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134620</wp:posOffset>
            </wp:positionH>
            <wp:positionV relativeFrom="page">
              <wp:posOffset>134620</wp:posOffset>
            </wp:positionV>
            <wp:extent cx="729234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92340" cy="5715"/>
                    </a:xfrm>
                    <a:prstGeom prst="rect">
                      <a:avLst/>
                    </a:prstGeom>
                    <a:noFill/>
                  </pic:spPr>
                </pic:pic>
              </a:graphicData>
            </a:graphic>
          </wp:anchor>
        </w:drawing>
        <w:drawing>
          <wp:anchor simplePos="0" relativeHeight="251657728" behindDoc="1" locked="0" layoutInCell="0" allowOverlap="1">
            <wp:simplePos x="0" y="0"/>
            <wp:positionH relativeFrom="page">
              <wp:posOffset>134620</wp:posOffset>
            </wp:positionH>
            <wp:positionV relativeFrom="page">
              <wp:posOffset>146050</wp:posOffset>
            </wp:positionV>
            <wp:extent cx="72923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92340" cy="5715"/>
                    </a:xfrm>
                    <a:prstGeom prst="rect">
                      <a:avLst/>
                    </a:prstGeom>
                    <a:noFill/>
                  </pic:spPr>
                </pic:pic>
              </a:graphicData>
            </a:graphic>
          </wp:anchor>
        </w:drawing>
        <w:t>UNITED STATES</w:t>
      </w:r>
    </w:p>
    <w:p>
      <w:pPr>
        <w:spacing w:after="0" w:line="17" w:lineRule="exact"/>
        <w:rPr>
          <w:sz w:val="24"/>
          <w:szCs w:val="24"/>
          <w:color w:val="auto"/>
        </w:rPr>
      </w:pPr>
    </w:p>
    <w:p>
      <w:pPr>
        <w:jc w:val="center"/>
        <w:ind w:right="-7"/>
        <w:spacing w:after="0"/>
        <w:rPr>
          <w:sz w:val="20"/>
          <w:szCs w:val="20"/>
          <w:color w:val="auto"/>
        </w:rPr>
      </w:pPr>
      <w:r>
        <w:rPr>
          <w:rFonts w:ascii="Arial" w:cs="Arial" w:eastAsia="Arial" w:hAnsi="Arial"/>
          <w:sz w:val="14"/>
          <w:szCs w:val="14"/>
          <w:b w:val="1"/>
          <w:bCs w:val="1"/>
          <w:color w:val="auto"/>
        </w:rPr>
        <w:t>SECURITIES AND EXCHANGE COMMISSION</w:t>
      </w:r>
    </w:p>
    <w:p>
      <w:pPr>
        <w:spacing w:after="0" w:line="6" w:lineRule="exact"/>
        <w:rPr>
          <w:sz w:val="24"/>
          <w:szCs w:val="24"/>
          <w:color w:val="auto"/>
        </w:rPr>
      </w:pPr>
    </w:p>
    <w:p>
      <w:pPr>
        <w:jc w:val="center"/>
        <w:ind w:right="-7"/>
        <w:spacing w:after="0"/>
        <w:rPr>
          <w:sz w:val="20"/>
          <w:szCs w:val="20"/>
          <w:color w:val="auto"/>
        </w:rPr>
      </w:pPr>
      <w:r>
        <w:rPr>
          <w:rFonts w:ascii="Arial" w:cs="Arial" w:eastAsia="Arial" w:hAnsi="Arial"/>
          <w:sz w:val="11"/>
          <w:szCs w:val="1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3362960</wp:posOffset>
            </wp:positionH>
            <wp:positionV relativeFrom="paragraph">
              <wp:posOffset>43815</wp:posOffset>
            </wp:positionV>
            <wp:extent cx="56642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6420" cy="5715"/>
                    </a:xfrm>
                    <a:prstGeom prst="rect">
                      <a:avLst/>
                    </a:prstGeom>
                    <a:noFill/>
                  </pic:spPr>
                </pic:pic>
              </a:graphicData>
            </a:graphic>
          </wp:anchor>
        </w:drawing>
      </w:r>
    </w:p>
    <w:p>
      <w:pPr>
        <w:spacing w:after="0" w:line="76" w:lineRule="exact"/>
        <w:rPr>
          <w:sz w:val="24"/>
          <w:szCs w:val="24"/>
          <w:color w:val="auto"/>
        </w:rPr>
      </w:pPr>
    </w:p>
    <w:p>
      <w:pPr>
        <w:jc w:val="center"/>
        <w:ind w:right="-7"/>
        <w:spacing w:after="0"/>
        <w:rPr>
          <w:sz w:val="20"/>
          <w:szCs w:val="20"/>
          <w:color w:val="auto"/>
        </w:rPr>
      </w:pPr>
      <w:r>
        <w:rPr>
          <w:rFonts w:ascii="Arial" w:cs="Arial" w:eastAsia="Arial" w:hAnsi="Arial"/>
          <w:sz w:val="14"/>
          <w:szCs w:val="14"/>
          <w:b w:val="1"/>
          <w:bCs w:val="1"/>
          <w:u w:val="single" w:color="auto"/>
          <w:color w:val="auto"/>
        </w:rPr>
        <w:t>FORM 10-K</w:t>
      </w:r>
    </w:p>
    <w:p>
      <w:pPr>
        <w:spacing w:after="0" w:line="73" w:lineRule="exact"/>
        <w:rPr>
          <w:sz w:val="24"/>
          <w:szCs w:val="24"/>
          <w:color w:val="auto"/>
        </w:rPr>
      </w:pPr>
    </w:p>
    <w:p>
      <w:pPr>
        <w:ind w:left="468" w:hanging="468"/>
        <w:spacing w:after="0"/>
        <w:tabs>
          <w:tab w:leader="none" w:pos="468" w:val="left"/>
        </w:tabs>
        <w:numPr>
          <w:ilvl w:val="0"/>
          <w:numId w:val="1"/>
        </w:numPr>
        <w:rPr>
          <w:rFonts w:ascii="MS PGothic" w:cs="MS PGothic" w:eastAsia="MS PGothic" w:hAnsi="MS PGothic"/>
          <w:sz w:val="11"/>
          <w:szCs w:val="11"/>
          <w:color w:val="auto"/>
        </w:rPr>
      </w:pPr>
      <w:r>
        <w:rPr>
          <w:rFonts w:ascii="Arial" w:cs="Arial" w:eastAsia="Arial" w:hAnsi="Arial"/>
          <w:sz w:val="11"/>
          <w:szCs w:val="11"/>
          <w:b w:val="1"/>
          <w:bCs w:val="1"/>
          <w:color w:val="auto"/>
        </w:rPr>
        <w:t>ANNUAL REPORT PURSUANT TO SECTION 13 OR 15(d) OF THE SECURITIES EXCHANGE ACT OF 1934</w:t>
      </w:r>
    </w:p>
    <w:p>
      <w:pPr>
        <w:spacing w:after="0" w:line="45" w:lineRule="exact"/>
        <w:rPr>
          <w:sz w:val="24"/>
          <w:szCs w:val="24"/>
          <w:color w:val="auto"/>
        </w:rPr>
      </w:pPr>
    </w:p>
    <w:p>
      <w:pPr>
        <w:jc w:val="center"/>
        <w:ind w:right="-7"/>
        <w:spacing w:after="0"/>
        <w:rPr>
          <w:sz w:val="20"/>
          <w:szCs w:val="20"/>
          <w:color w:val="auto"/>
        </w:rPr>
      </w:pPr>
      <w:r>
        <w:rPr>
          <w:rFonts w:ascii="Arial" w:cs="Arial" w:eastAsia="Arial" w:hAnsi="Arial"/>
          <w:sz w:val="9"/>
          <w:szCs w:val="9"/>
          <w:b w:val="1"/>
          <w:bCs w:val="1"/>
          <w:color w:val="auto"/>
        </w:rPr>
        <w:t>For the fiscal year ended December 31, 2019</w:t>
      </w:r>
    </w:p>
    <w:p>
      <w:pPr>
        <w:spacing w:after="0" w:line="35" w:lineRule="exact"/>
        <w:rPr>
          <w:sz w:val="24"/>
          <w:szCs w:val="24"/>
          <w:color w:val="auto"/>
        </w:rPr>
      </w:pPr>
    </w:p>
    <w:p>
      <w:pPr>
        <w:jc w:val="center"/>
        <w:ind w:right="-7"/>
        <w:spacing w:after="0"/>
        <w:rPr>
          <w:sz w:val="20"/>
          <w:szCs w:val="20"/>
          <w:color w:val="auto"/>
        </w:rPr>
      </w:pPr>
      <w:r>
        <w:rPr>
          <w:rFonts w:ascii="Arial" w:cs="Arial" w:eastAsia="Arial" w:hAnsi="Arial"/>
          <w:sz w:val="8"/>
          <w:szCs w:val="8"/>
          <w:b w:val="1"/>
          <w:bCs w:val="1"/>
          <w:color w:val="auto"/>
        </w:rPr>
        <w:t>OR</w:t>
      </w:r>
    </w:p>
    <w:p>
      <w:pPr>
        <w:spacing w:after="0" w:line="39" w:lineRule="exact"/>
        <w:rPr>
          <w:sz w:val="24"/>
          <w:szCs w:val="24"/>
          <w:color w:val="auto"/>
        </w:rPr>
      </w:pPr>
    </w:p>
    <w:p>
      <w:pPr>
        <w:ind w:left="468" w:hanging="468"/>
        <w:spacing w:after="0"/>
        <w:tabs>
          <w:tab w:leader="none" w:pos="468" w:val="left"/>
        </w:tabs>
        <w:numPr>
          <w:ilvl w:val="0"/>
          <w:numId w:val="2"/>
        </w:numPr>
        <w:rPr>
          <w:rFonts w:ascii="MS PGothic" w:cs="MS PGothic" w:eastAsia="MS PGothic" w:hAnsi="MS PGothic"/>
          <w:sz w:val="11"/>
          <w:szCs w:val="11"/>
          <w:color w:val="auto"/>
        </w:rPr>
      </w:pPr>
      <w:r>
        <w:rPr>
          <w:rFonts w:ascii="Arial" w:cs="Arial" w:eastAsia="Arial" w:hAnsi="Arial"/>
          <w:sz w:val="11"/>
          <w:szCs w:val="11"/>
          <w:b w:val="1"/>
          <w:bCs w:val="1"/>
          <w:color w:val="auto"/>
        </w:rPr>
        <w:t>TRANSITION REPORT PURSUANT TO SECTION 13 OR 15(d) OF THE SECURITIES EXCHANGE ACT OF 1934</w:t>
      </w:r>
    </w:p>
    <w:p>
      <w:pPr>
        <w:spacing w:after="0" w:line="45" w:lineRule="exact"/>
        <w:rPr>
          <w:sz w:val="24"/>
          <w:szCs w:val="24"/>
          <w:color w:val="auto"/>
        </w:rPr>
      </w:pPr>
    </w:p>
    <w:tbl>
      <w:tblPr>
        <w:tblLayout w:type="fixed"/>
        <w:tblInd w:w="8" w:type="dxa"/>
        <w:tblCellMar>
          <w:top w:w="0" w:type="dxa"/>
          <w:left w:w="0" w:type="dxa"/>
          <w:bottom w:w="0" w:type="dxa"/>
          <w:right w:w="0" w:type="dxa"/>
        </w:tblCellMar>
      </w:tblPr>
      <w:tr>
        <w:trPr>
          <w:trHeight w:val="116"/>
        </w:trPr>
        <w:tc>
          <w:tcPr>
            <w:tcW w:w="20" w:type="dxa"/>
            <w:vAlign w:val="bottom"/>
          </w:tcPr>
          <w:p>
            <w:pPr>
              <w:spacing w:after="0"/>
              <w:rPr>
                <w:sz w:val="10"/>
                <w:szCs w:val="10"/>
                <w:color w:val="auto"/>
              </w:rPr>
            </w:pPr>
          </w:p>
        </w:tc>
        <w:tc>
          <w:tcPr>
            <w:tcW w:w="4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000" w:type="dxa"/>
            <w:vAlign w:val="bottom"/>
            <w:gridSpan w:val="6"/>
          </w:tcPr>
          <w:p>
            <w:pPr>
              <w:ind w:left="80"/>
              <w:spacing w:after="0"/>
              <w:rPr>
                <w:sz w:val="20"/>
                <w:szCs w:val="20"/>
                <w:color w:val="auto"/>
              </w:rPr>
            </w:pPr>
            <w:r>
              <w:rPr>
                <w:rFonts w:ascii="Arial" w:cs="Arial" w:eastAsia="Arial" w:hAnsi="Arial"/>
                <w:sz w:val="9"/>
                <w:szCs w:val="9"/>
                <w:b w:val="1"/>
                <w:bCs w:val="1"/>
                <w:color w:val="auto"/>
              </w:rPr>
              <w:t>For the transition period from ___________ to ___________.</w:t>
            </w:r>
          </w:p>
        </w:tc>
        <w:tc>
          <w:tcPr>
            <w:tcW w:w="3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0" w:type="dxa"/>
            <w:vAlign w:val="bottom"/>
            <w:gridSpan w:val="6"/>
          </w:tcPr>
          <w:p>
            <w:pPr>
              <w:jc w:val="center"/>
              <w:ind w:right="1120"/>
              <w:spacing w:after="0"/>
              <w:rPr>
                <w:sz w:val="20"/>
                <w:szCs w:val="20"/>
                <w:color w:val="auto"/>
              </w:rPr>
            </w:pPr>
            <w:r>
              <w:rPr>
                <w:rFonts w:ascii="Arial" w:cs="Arial" w:eastAsia="Arial" w:hAnsi="Arial"/>
                <w:sz w:val="9"/>
                <w:szCs w:val="9"/>
                <w:b w:val="1"/>
                <w:bCs w:val="1"/>
                <w:color w:val="auto"/>
                <w:w w:val="90"/>
              </w:rPr>
              <w:t>Commission File Number 001-37979</w:t>
            </w:r>
          </w:p>
        </w:tc>
        <w:tc>
          <w:tcPr>
            <w:tcW w:w="3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4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gridSpan w:val="2"/>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620" w:type="dxa"/>
            <w:vAlign w:val="bottom"/>
            <w:gridSpan w:val="4"/>
            <w:vMerge w:val="restart"/>
          </w:tcPr>
          <w:p>
            <w:pPr>
              <w:spacing w:after="0"/>
              <w:rPr>
                <w:sz w:val="20"/>
                <w:szCs w:val="20"/>
                <w:color w:val="auto"/>
              </w:rPr>
            </w:pPr>
            <w:r>
              <w:rPr>
                <w:rFonts w:ascii="Arial" w:cs="Arial" w:eastAsia="Arial" w:hAnsi="Arial"/>
                <w:sz w:val="22"/>
                <w:szCs w:val="22"/>
                <w:b w:val="1"/>
                <w:bCs w:val="1"/>
                <w:color w:val="auto"/>
                <w:w w:val="96"/>
              </w:rPr>
              <w:t>CORPORATION</w:t>
            </w:r>
          </w:p>
        </w:tc>
        <w:tc>
          <w:tcPr>
            <w:tcW w:w="36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160" w:type="dxa"/>
            <w:vAlign w:val="bottom"/>
            <w:gridSpan w:val="5"/>
          </w:tcPr>
          <w:p>
            <w:pPr>
              <w:jc w:val="center"/>
              <w:ind w:left="3529"/>
              <w:spacing w:after="0" w:line="241" w:lineRule="exact"/>
              <w:rPr>
                <w:sz w:val="20"/>
                <w:szCs w:val="20"/>
                <w:color w:val="auto"/>
              </w:rPr>
            </w:pPr>
            <w:r>
              <w:rPr>
                <w:rFonts w:ascii="Arial" w:cs="Arial" w:eastAsia="Arial" w:hAnsi="Arial"/>
                <w:sz w:val="22"/>
                <w:szCs w:val="22"/>
                <w:b w:val="1"/>
                <w:bCs w:val="1"/>
                <w:color w:val="auto"/>
              </w:rPr>
              <w:t>VERRA MOBILITY</w:t>
            </w:r>
          </w:p>
        </w:tc>
        <w:tc>
          <w:tcPr>
            <w:tcW w:w="1620" w:type="dxa"/>
            <w:vAlign w:val="bottom"/>
            <w:gridSpan w:val="4"/>
            <w:vMerge w:val="continue"/>
          </w:tcPr>
          <w:p>
            <w:pPr>
              <w:spacing w:after="0"/>
              <w:rPr>
                <w:sz w:val="20"/>
                <w:szCs w:val="20"/>
                <w:color w:val="auto"/>
              </w:rPr>
            </w:pPr>
          </w:p>
        </w:tc>
        <w:tc>
          <w:tcPr>
            <w:tcW w:w="3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4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0" w:type="dxa"/>
            <w:vAlign w:val="bottom"/>
            <w:gridSpan w:val="7"/>
          </w:tcPr>
          <w:p>
            <w:pPr>
              <w:jc w:val="center"/>
              <w:ind w:right="940"/>
              <w:spacing w:after="0"/>
              <w:rPr>
                <w:sz w:val="20"/>
                <w:szCs w:val="20"/>
                <w:color w:val="auto"/>
              </w:rPr>
            </w:pPr>
            <w:r>
              <w:rPr>
                <w:rFonts w:ascii="Arial" w:cs="Arial" w:eastAsia="Arial" w:hAnsi="Arial"/>
                <w:sz w:val="9"/>
                <w:szCs w:val="9"/>
                <w:b w:val="1"/>
                <w:bCs w:val="1"/>
                <w:color w:val="auto"/>
                <w:w w:val="89"/>
              </w:rPr>
              <w:t>(Exact name of Registrant as specified in its charter)</w:t>
            </w:r>
          </w:p>
        </w:tc>
        <w:tc>
          <w:tcPr>
            <w:tcW w:w="3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4780" w:type="dxa"/>
            <w:vAlign w:val="bottom"/>
            <w:gridSpan w:val="3"/>
            <w:vMerge w:val="restart"/>
          </w:tcPr>
          <w:p>
            <w:pPr>
              <w:jc w:val="center"/>
              <w:ind w:left="849"/>
              <w:spacing w:after="0"/>
              <w:rPr>
                <w:sz w:val="20"/>
                <w:szCs w:val="20"/>
                <w:color w:val="auto"/>
              </w:rPr>
            </w:pPr>
            <w:r>
              <w:rPr>
                <w:rFonts w:ascii="Arial" w:cs="Arial" w:eastAsia="Arial" w:hAnsi="Arial"/>
                <w:sz w:val="9"/>
                <w:szCs w:val="9"/>
                <w:b w:val="1"/>
                <w:bCs w:val="1"/>
                <w:color w:val="auto"/>
                <w:w w:val="90"/>
              </w:rPr>
              <w:t>Delaware</w:t>
            </w:r>
          </w:p>
        </w:tc>
        <w:tc>
          <w:tcPr>
            <w:tcW w:w="480" w:type="dxa"/>
            <w:vAlign w:val="bottom"/>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tcPr>
          <w:p>
            <w:pPr>
              <w:spacing w:after="0"/>
              <w:rPr>
                <w:sz w:val="4"/>
                <w:szCs w:val="4"/>
                <w:color w:val="auto"/>
              </w:rPr>
            </w:pPr>
          </w:p>
        </w:tc>
        <w:tc>
          <w:tcPr>
            <w:tcW w:w="3680" w:type="dxa"/>
            <w:vAlign w:val="bottom"/>
            <w:vMerge w:val="restart"/>
          </w:tcPr>
          <w:p>
            <w:pPr>
              <w:jc w:val="right"/>
              <w:ind w:right="2556"/>
              <w:spacing w:after="0"/>
              <w:rPr>
                <w:sz w:val="20"/>
                <w:szCs w:val="20"/>
                <w:color w:val="auto"/>
              </w:rPr>
            </w:pPr>
            <w:r>
              <w:rPr>
                <w:rFonts w:ascii="Arial" w:cs="Arial" w:eastAsia="Arial" w:hAnsi="Arial"/>
                <w:sz w:val="9"/>
                <w:szCs w:val="9"/>
                <w:b w:val="1"/>
                <w:bCs w:val="1"/>
                <w:color w:val="auto"/>
              </w:rPr>
              <w:t>81-3563824</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4780" w:type="dxa"/>
            <w:vAlign w:val="bottom"/>
            <w:gridSpan w:val="3"/>
            <w:vMerge w:val="continue"/>
          </w:tcPr>
          <w:p>
            <w:pPr>
              <w:spacing w:after="0"/>
              <w:rPr>
                <w:sz w:val="10"/>
                <w:szCs w:val="10"/>
                <w:color w:val="auto"/>
              </w:rPr>
            </w:pPr>
          </w:p>
        </w:tc>
        <w:tc>
          <w:tcPr>
            <w:tcW w:w="4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3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780" w:type="dxa"/>
            <w:vAlign w:val="bottom"/>
            <w:gridSpan w:val="3"/>
          </w:tcPr>
          <w:p>
            <w:pPr>
              <w:jc w:val="center"/>
              <w:ind w:left="849"/>
              <w:spacing w:after="0"/>
              <w:rPr>
                <w:sz w:val="20"/>
                <w:szCs w:val="20"/>
                <w:color w:val="auto"/>
              </w:rPr>
            </w:pPr>
            <w:r>
              <w:rPr>
                <w:rFonts w:ascii="Arial" w:cs="Arial" w:eastAsia="Arial" w:hAnsi="Arial"/>
                <w:sz w:val="8"/>
                <w:szCs w:val="8"/>
                <w:color w:val="auto"/>
                <w:w w:val="97"/>
              </w:rPr>
              <w:t>(</w:t>
            </w:r>
            <w:r>
              <w:rPr>
                <w:rFonts w:ascii="Arial" w:cs="Arial" w:eastAsia="Arial" w:hAnsi="Arial"/>
                <w:sz w:val="8"/>
                <w:szCs w:val="8"/>
                <w:i w:val="1"/>
                <w:iCs w:val="1"/>
                <w:color w:val="auto"/>
                <w:w w:val="97"/>
              </w:rPr>
              <w:t>State of Incorporation</w:t>
            </w:r>
            <w:r>
              <w:rPr>
                <w:rFonts w:ascii="Arial" w:cs="Arial" w:eastAsia="Arial" w:hAnsi="Arial"/>
                <w:sz w:val="8"/>
                <w:szCs w:val="8"/>
                <w:color w:val="auto"/>
                <w:w w:val="97"/>
              </w:rPr>
              <w:t>)</w:t>
            </w:r>
          </w:p>
        </w:tc>
        <w:tc>
          <w:tcPr>
            <w:tcW w:w="48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3680" w:type="dxa"/>
            <w:vAlign w:val="bottom"/>
          </w:tcPr>
          <w:p>
            <w:pPr>
              <w:jc w:val="center"/>
              <w:ind w:right="1916"/>
              <w:spacing w:after="0"/>
              <w:rPr>
                <w:sz w:val="20"/>
                <w:szCs w:val="20"/>
                <w:color w:val="auto"/>
              </w:rPr>
            </w:pPr>
            <w:r>
              <w:rPr>
                <w:rFonts w:ascii="Arial" w:cs="Arial" w:eastAsia="Arial" w:hAnsi="Arial"/>
                <w:sz w:val="8"/>
                <w:szCs w:val="8"/>
                <w:color w:val="auto"/>
                <w:w w:val="97"/>
              </w:rPr>
              <w:t>(</w:t>
            </w:r>
            <w:r>
              <w:rPr>
                <w:rFonts w:ascii="Arial" w:cs="Arial" w:eastAsia="Arial" w:hAnsi="Arial"/>
                <w:sz w:val="8"/>
                <w:szCs w:val="8"/>
                <w:i w:val="1"/>
                <w:iCs w:val="1"/>
                <w:color w:val="auto"/>
                <w:w w:val="97"/>
              </w:rPr>
              <w:t>I.R.S. Employer Identification No</w:t>
            </w:r>
            <w:r>
              <w:rPr>
                <w:rFonts w:ascii="Arial" w:cs="Arial" w:eastAsia="Arial" w:hAnsi="Arial"/>
                <w:sz w:val="8"/>
                <w:szCs w:val="8"/>
                <w:color w:val="auto"/>
                <w:w w:val="97"/>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780" w:type="dxa"/>
            <w:vAlign w:val="bottom"/>
            <w:gridSpan w:val="3"/>
          </w:tcPr>
          <w:p>
            <w:pPr>
              <w:jc w:val="center"/>
              <w:ind w:left="849"/>
              <w:spacing w:after="0"/>
              <w:rPr>
                <w:sz w:val="20"/>
                <w:szCs w:val="20"/>
                <w:color w:val="auto"/>
              </w:rPr>
            </w:pPr>
            <w:r>
              <w:rPr>
                <w:rFonts w:ascii="Arial" w:cs="Arial" w:eastAsia="Arial" w:hAnsi="Arial"/>
                <w:sz w:val="9"/>
                <w:szCs w:val="9"/>
                <w:b w:val="1"/>
                <w:bCs w:val="1"/>
                <w:color w:val="auto"/>
                <w:w w:val="90"/>
              </w:rPr>
              <w:t>1150 North Alma School Road</w:t>
            </w:r>
          </w:p>
        </w:tc>
        <w:tc>
          <w:tcPr>
            <w:tcW w:w="4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4780" w:type="dxa"/>
            <w:vAlign w:val="bottom"/>
            <w:gridSpan w:val="3"/>
          </w:tcPr>
          <w:p>
            <w:pPr>
              <w:jc w:val="center"/>
              <w:ind w:left="849"/>
              <w:spacing w:after="0" w:line="100" w:lineRule="exact"/>
              <w:rPr>
                <w:sz w:val="20"/>
                <w:szCs w:val="20"/>
                <w:color w:val="auto"/>
              </w:rPr>
            </w:pPr>
            <w:r>
              <w:rPr>
                <w:rFonts w:ascii="Arial" w:cs="Arial" w:eastAsia="Arial" w:hAnsi="Arial"/>
                <w:sz w:val="9"/>
                <w:szCs w:val="9"/>
                <w:b w:val="1"/>
                <w:bCs w:val="1"/>
                <w:color w:val="auto"/>
                <w:w w:val="92"/>
              </w:rPr>
              <w:t>Mesa, Arizona</w:t>
            </w:r>
          </w:p>
        </w:tc>
        <w:tc>
          <w:tcPr>
            <w:tcW w:w="48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3680" w:type="dxa"/>
            <w:vAlign w:val="bottom"/>
          </w:tcPr>
          <w:p>
            <w:pPr>
              <w:jc w:val="right"/>
              <w:ind w:right="2656"/>
              <w:spacing w:after="0" w:line="100" w:lineRule="exact"/>
              <w:rPr>
                <w:sz w:val="20"/>
                <w:szCs w:val="20"/>
                <w:color w:val="auto"/>
              </w:rPr>
            </w:pPr>
            <w:r>
              <w:rPr>
                <w:rFonts w:ascii="Arial" w:cs="Arial" w:eastAsia="Arial" w:hAnsi="Arial"/>
                <w:sz w:val="9"/>
                <w:szCs w:val="9"/>
                <w:b w:val="1"/>
                <w:bCs w:val="1"/>
                <w:color w:val="auto"/>
              </w:rPr>
              <w:t>85201</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780" w:type="dxa"/>
            <w:vAlign w:val="bottom"/>
            <w:gridSpan w:val="3"/>
          </w:tcPr>
          <w:p>
            <w:pPr>
              <w:jc w:val="center"/>
              <w:ind w:left="849"/>
              <w:spacing w:after="0"/>
              <w:rPr>
                <w:sz w:val="20"/>
                <w:szCs w:val="20"/>
                <w:color w:val="auto"/>
              </w:rPr>
            </w:pPr>
            <w:r>
              <w:rPr>
                <w:rFonts w:ascii="Arial" w:cs="Arial" w:eastAsia="Arial" w:hAnsi="Arial"/>
                <w:sz w:val="8"/>
                <w:szCs w:val="8"/>
                <w:color w:val="auto"/>
                <w:w w:val="96"/>
              </w:rPr>
              <w:t>(</w:t>
            </w:r>
            <w:r>
              <w:rPr>
                <w:rFonts w:ascii="Arial" w:cs="Arial" w:eastAsia="Arial" w:hAnsi="Arial"/>
                <w:sz w:val="8"/>
                <w:szCs w:val="8"/>
                <w:i w:val="1"/>
                <w:iCs w:val="1"/>
                <w:color w:val="auto"/>
                <w:w w:val="96"/>
              </w:rPr>
              <w:t>Address of Principal Executive Offices</w:t>
            </w:r>
            <w:r>
              <w:rPr>
                <w:rFonts w:ascii="Arial" w:cs="Arial" w:eastAsia="Arial" w:hAnsi="Arial"/>
                <w:sz w:val="8"/>
                <w:szCs w:val="8"/>
                <w:color w:val="auto"/>
                <w:w w:val="96"/>
              </w:rPr>
              <w:t>)</w:t>
            </w:r>
          </w:p>
        </w:tc>
        <w:tc>
          <w:tcPr>
            <w:tcW w:w="48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3680" w:type="dxa"/>
            <w:vAlign w:val="bottom"/>
          </w:tcPr>
          <w:p>
            <w:pPr>
              <w:jc w:val="center"/>
              <w:ind w:right="1916"/>
              <w:spacing w:after="0"/>
              <w:rPr>
                <w:sz w:val="20"/>
                <w:szCs w:val="20"/>
                <w:color w:val="auto"/>
              </w:rPr>
            </w:pPr>
            <w:r>
              <w:rPr>
                <w:rFonts w:ascii="Arial" w:cs="Arial" w:eastAsia="Arial" w:hAnsi="Arial"/>
                <w:sz w:val="8"/>
                <w:szCs w:val="8"/>
                <w:color w:val="auto"/>
                <w:w w:val="95"/>
              </w:rPr>
              <w:t>(</w:t>
            </w:r>
            <w:r>
              <w:rPr>
                <w:rFonts w:ascii="Arial" w:cs="Arial" w:eastAsia="Arial" w:hAnsi="Arial"/>
                <w:sz w:val="8"/>
                <w:szCs w:val="8"/>
                <w:i w:val="1"/>
                <w:iCs w:val="1"/>
                <w:color w:val="auto"/>
                <w:w w:val="95"/>
              </w:rPr>
              <w:t>Zip Code</w:t>
            </w:r>
            <w:r>
              <w:rPr>
                <w:rFonts w:ascii="Arial" w:cs="Arial" w:eastAsia="Arial" w:hAnsi="Arial"/>
                <w:sz w:val="8"/>
                <w:szCs w:val="8"/>
                <w:color w:val="auto"/>
                <w:w w:val="95"/>
              </w:rPr>
              <w:t>)</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80" w:type="dxa"/>
            <w:vAlign w:val="bottom"/>
            <w:gridSpan w:val="2"/>
          </w:tcPr>
          <w:p>
            <w:pPr>
              <w:jc w:val="center"/>
              <w:ind w:left="455"/>
              <w:spacing w:after="0"/>
              <w:rPr>
                <w:sz w:val="20"/>
                <w:szCs w:val="20"/>
                <w:color w:val="auto"/>
              </w:rPr>
            </w:pPr>
            <w:r>
              <w:rPr>
                <w:rFonts w:ascii="Arial" w:cs="Arial" w:eastAsia="Arial" w:hAnsi="Arial"/>
                <w:sz w:val="9"/>
                <w:szCs w:val="9"/>
                <w:b w:val="1"/>
                <w:bCs w:val="1"/>
                <w:color w:val="auto"/>
                <w:w w:val="90"/>
              </w:rPr>
              <w:t>(480) 443-7000</w:t>
            </w: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4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0" w:type="dxa"/>
            <w:vAlign w:val="bottom"/>
            <w:gridSpan w:val="7"/>
          </w:tcPr>
          <w:p>
            <w:pPr>
              <w:jc w:val="center"/>
              <w:ind w:right="940"/>
              <w:spacing w:after="0"/>
              <w:rPr>
                <w:sz w:val="20"/>
                <w:szCs w:val="20"/>
                <w:color w:val="auto"/>
              </w:rPr>
            </w:pPr>
            <w:r>
              <w:rPr>
                <w:rFonts w:ascii="Arial" w:cs="Arial" w:eastAsia="Arial" w:hAnsi="Arial"/>
                <w:sz w:val="9"/>
                <w:szCs w:val="9"/>
                <w:color w:val="auto"/>
                <w:w w:val="89"/>
              </w:rPr>
              <w:t>(</w:t>
            </w:r>
            <w:r>
              <w:rPr>
                <w:rFonts w:ascii="Arial" w:cs="Arial" w:eastAsia="Arial" w:hAnsi="Arial"/>
                <w:sz w:val="9"/>
                <w:szCs w:val="9"/>
                <w:i w:val="1"/>
                <w:iCs w:val="1"/>
                <w:color w:val="auto"/>
                <w:w w:val="89"/>
              </w:rPr>
              <w:t>Registrant’s telephone number, including area code</w:t>
            </w:r>
            <w:r>
              <w:rPr>
                <w:rFonts w:ascii="Arial" w:cs="Arial" w:eastAsia="Arial" w:hAnsi="Arial"/>
                <w:sz w:val="9"/>
                <w:szCs w:val="9"/>
                <w:color w:val="auto"/>
                <w:w w:val="89"/>
              </w:rPr>
              <w:t>)</w:t>
            </w:r>
          </w:p>
        </w:tc>
        <w:tc>
          <w:tcPr>
            <w:tcW w:w="3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4800" w:type="dxa"/>
            <w:vAlign w:val="bottom"/>
            <w:gridSpan w:val="4"/>
          </w:tcPr>
          <w:p>
            <w:pPr>
              <w:spacing w:after="0"/>
              <w:rPr>
                <w:sz w:val="20"/>
                <w:szCs w:val="20"/>
                <w:color w:val="auto"/>
              </w:rPr>
            </w:pPr>
            <w:r>
              <w:rPr>
                <w:rFonts w:ascii="Arial" w:cs="Arial" w:eastAsia="Arial" w:hAnsi="Arial"/>
                <w:sz w:val="9"/>
                <w:szCs w:val="9"/>
                <w:color w:val="auto"/>
              </w:rPr>
              <w:t>Securities registered pursuant to Section 12(b) of the Act:</w:t>
            </w:r>
          </w:p>
        </w:tc>
        <w:tc>
          <w:tcPr>
            <w:tcW w:w="4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4780" w:type="dxa"/>
            <w:vAlign w:val="bottom"/>
            <w:gridSpan w:val="3"/>
          </w:tcPr>
          <w:p>
            <w:pPr>
              <w:jc w:val="center"/>
              <w:ind w:right="315"/>
              <w:spacing w:after="0"/>
              <w:rPr>
                <w:sz w:val="20"/>
                <w:szCs w:val="20"/>
                <w:color w:val="auto"/>
              </w:rPr>
            </w:pPr>
            <w:r>
              <w:rPr>
                <w:rFonts w:ascii="Arial" w:cs="Arial" w:eastAsia="Arial" w:hAnsi="Arial"/>
                <w:sz w:val="8"/>
                <w:szCs w:val="8"/>
                <w:i w:val="1"/>
                <w:iCs w:val="1"/>
                <w:color w:val="auto"/>
                <w:w w:val="97"/>
              </w:rPr>
              <w:t>(Title of Each Class)</w:t>
            </w:r>
          </w:p>
        </w:tc>
        <w:tc>
          <w:tcPr>
            <w:tcW w:w="480" w:type="dxa"/>
            <w:vAlign w:val="bottom"/>
          </w:tcPr>
          <w:p>
            <w:pPr>
              <w:spacing w:after="0"/>
              <w:rPr>
                <w:sz w:val="11"/>
                <w:szCs w:val="11"/>
                <w:color w:val="auto"/>
              </w:rPr>
            </w:pPr>
          </w:p>
        </w:tc>
        <w:tc>
          <w:tcPr>
            <w:tcW w:w="2520" w:type="dxa"/>
            <w:vAlign w:val="bottom"/>
            <w:gridSpan w:val="5"/>
          </w:tcPr>
          <w:p>
            <w:pPr>
              <w:jc w:val="center"/>
              <w:ind w:right="1720"/>
              <w:spacing w:after="0"/>
              <w:rPr>
                <w:sz w:val="20"/>
                <w:szCs w:val="20"/>
                <w:color w:val="auto"/>
              </w:rPr>
            </w:pPr>
            <w:r>
              <w:rPr>
                <w:rFonts w:ascii="Arial" w:cs="Arial" w:eastAsia="Arial" w:hAnsi="Arial"/>
                <w:sz w:val="8"/>
                <w:szCs w:val="8"/>
                <w:i w:val="1"/>
                <w:iCs w:val="1"/>
                <w:color w:val="auto"/>
                <w:w w:val="97"/>
              </w:rPr>
              <w:t>(Trading Symbol)</w:t>
            </w:r>
          </w:p>
        </w:tc>
        <w:tc>
          <w:tcPr>
            <w:tcW w:w="3680" w:type="dxa"/>
            <w:vAlign w:val="bottom"/>
          </w:tcPr>
          <w:p>
            <w:pPr>
              <w:jc w:val="center"/>
              <w:ind w:right="876"/>
              <w:spacing w:after="0"/>
              <w:rPr>
                <w:sz w:val="20"/>
                <w:szCs w:val="20"/>
                <w:color w:val="auto"/>
              </w:rPr>
            </w:pPr>
            <w:r>
              <w:rPr>
                <w:rFonts w:ascii="Arial" w:cs="Arial" w:eastAsia="Arial" w:hAnsi="Arial"/>
                <w:sz w:val="8"/>
                <w:szCs w:val="8"/>
                <w:i w:val="1"/>
                <w:iCs w:val="1"/>
                <w:color w:val="auto"/>
                <w:w w:val="93"/>
              </w:rPr>
              <w:t>(Name of Each Exchange on Which Registered)</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460" w:type="dxa"/>
            <w:vAlign w:val="bottom"/>
            <w:tcBorders>
              <w:top w:val="single" w:sz="8" w:color="auto"/>
            </w:tcBorders>
          </w:tcPr>
          <w:p>
            <w:pPr>
              <w:jc w:val="center"/>
              <w:spacing w:after="0"/>
              <w:rPr>
                <w:sz w:val="20"/>
                <w:szCs w:val="20"/>
                <w:color w:val="auto"/>
              </w:rPr>
            </w:pPr>
            <w:r>
              <w:rPr>
                <w:rFonts w:ascii="Arial" w:cs="Arial" w:eastAsia="Arial" w:hAnsi="Arial"/>
                <w:sz w:val="9"/>
                <w:szCs w:val="9"/>
                <w:b w:val="1"/>
                <w:bCs w:val="1"/>
                <w:color w:val="auto"/>
                <w:w w:val="90"/>
              </w:rPr>
              <w:t>Class A Common Stock, par value $0.0001 per share</w:t>
            </w:r>
          </w:p>
        </w:tc>
        <w:tc>
          <w:tcPr>
            <w:tcW w:w="120" w:type="dxa"/>
            <w:vAlign w:val="bottom"/>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1500" w:type="dxa"/>
            <w:vAlign w:val="bottom"/>
            <w:tcBorders>
              <w:top w:val="single" w:sz="8" w:color="auto"/>
            </w:tcBorders>
            <w:gridSpan w:val="3"/>
          </w:tcPr>
          <w:p>
            <w:pPr>
              <w:jc w:val="center"/>
              <w:ind w:right="700"/>
              <w:spacing w:after="0"/>
              <w:rPr>
                <w:sz w:val="20"/>
                <w:szCs w:val="20"/>
                <w:color w:val="auto"/>
              </w:rPr>
            </w:pPr>
            <w:r>
              <w:rPr>
                <w:rFonts w:ascii="Arial" w:cs="Arial" w:eastAsia="Arial" w:hAnsi="Arial"/>
                <w:sz w:val="9"/>
                <w:szCs w:val="9"/>
                <w:b w:val="1"/>
                <w:bCs w:val="1"/>
                <w:color w:val="auto"/>
              </w:rPr>
              <w:t>VRRM</w:t>
            </w:r>
          </w:p>
        </w:tc>
        <w:tc>
          <w:tcPr>
            <w:tcW w:w="100" w:type="dxa"/>
            <w:vAlign w:val="bottom"/>
          </w:tcPr>
          <w:p>
            <w:pPr>
              <w:spacing w:after="0"/>
              <w:rPr>
                <w:sz w:val="9"/>
                <w:szCs w:val="9"/>
                <w:color w:val="auto"/>
              </w:rPr>
            </w:pPr>
          </w:p>
        </w:tc>
        <w:tc>
          <w:tcPr>
            <w:tcW w:w="920" w:type="dxa"/>
            <w:vAlign w:val="bottom"/>
            <w:tcBorders>
              <w:top w:val="single" w:sz="8" w:color="auto"/>
            </w:tcBorders>
          </w:tcPr>
          <w:p>
            <w:pPr>
              <w:spacing w:after="0"/>
              <w:rPr>
                <w:sz w:val="9"/>
                <w:szCs w:val="9"/>
                <w:color w:val="auto"/>
              </w:rPr>
            </w:pPr>
          </w:p>
        </w:tc>
        <w:tc>
          <w:tcPr>
            <w:tcW w:w="3680" w:type="dxa"/>
            <w:vAlign w:val="bottom"/>
            <w:tcBorders>
              <w:top w:val="single" w:sz="8" w:color="auto"/>
            </w:tcBorders>
          </w:tcPr>
          <w:p>
            <w:pPr>
              <w:jc w:val="center"/>
              <w:ind w:right="876"/>
              <w:spacing w:after="0"/>
              <w:rPr>
                <w:sz w:val="20"/>
                <w:szCs w:val="20"/>
                <w:color w:val="auto"/>
              </w:rPr>
            </w:pPr>
            <w:r>
              <w:rPr>
                <w:rFonts w:ascii="Arial" w:cs="Arial" w:eastAsia="Arial" w:hAnsi="Arial"/>
                <w:sz w:val="9"/>
                <w:szCs w:val="9"/>
                <w:b w:val="1"/>
                <w:bCs w:val="1"/>
                <w:color w:val="auto"/>
                <w:w w:val="95"/>
              </w:rPr>
              <w:t>Nasdaq Capital Market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4780" w:type="dxa"/>
            <w:vAlign w:val="bottom"/>
            <w:gridSpan w:val="3"/>
          </w:tcPr>
          <w:p>
            <w:pPr>
              <w:ind w:left="1340"/>
              <w:spacing w:after="0"/>
              <w:rPr>
                <w:sz w:val="20"/>
                <w:szCs w:val="20"/>
                <w:color w:val="auto"/>
              </w:rPr>
            </w:pPr>
            <w:r>
              <w:rPr>
                <w:rFonts w:ascii="Arial" w:cs="Arial" w:eastAsia="Arial" w:hAnsi="Arial"/>
                <w:sz w:val="9"/>
                <w:szCs w:val="9"/>
                <w:b w:val="1"/>
                <w:bCs w:val="1"/>
                <w:color w:val="auto"/>
              </w:rPr>
              <w:t>Warrants to purchase Class A Common Stock</w:t>
            </w:r>
          </w:p>
        </w:tc>
        <w:tc>
          <w:tcPr>
            <w:tcW w:w="480" w:type="dxa"/>
            <w:vAlign w:val="bottom"/>
          </w:tcPr>
          <w:p>
            <w:pPr>
              <w:spacing w:after="0"/>
              <w:rPr>
                <w:sz w:val="10"/>
                <w:szCs w:val="10"/>
                <w:color w:val="auto"/>
              </w:rPr>
            </w:pPr>
          </w:p>
        </w:tc>
        <w:tc>
          <w:tcPr>
            <w:tcW w:w="2520" w:type="dxa"/>
            <w:vAlign w:val="bottom"/>
            <w:gridSpan w:val="5"/>
          </w:tcPr>
          <w:p>
            <w:pPr>
              <w:jc w:val="center"/>
              <w:ind w:right="1720"/>
              <w:spacing w:after="0"/>
              <w:rPr>
                <w:sz w:val="20"/>
                <w:szCs w:val="20"/>
                <w:color w:val="auto"/>
              </w:rPr>
            </w:pPr>
            <w:r>
              <w:rPr>
                <w:rFonts w:ascii="Arial" w:cs="Arial" w:eastAsia="Arial" w:hAnsi="Arial"/>
                <w:sz w:val="9"/>
                <w:szCs w:val="9"/>
                <w:b w:val="1"/>
                <w:bCs w:val="1"/>
                <w:color w:val="auto"/>
              </w:rPr>
              <w:t>VRRMW</w:t>
            </w:r>
          </w:p>
        </w:tc>
        <w:tc>
          <w:tcPr>
            <w:tcW w:w="3680" w:type="dxa"/>
            <w:vAlign w:val="bottom"/>
          </w:tcPr>
          <w:p>
            <w:pPr>
              <w:ind w:left="900"/>
              <w:spacing w:after="0"/>
              <w:rPr>
                <w:sz w:val="20"/>
                <w:szCs w:val="20"/>
                <w:color w:val="auto"/>
              </w:rPr>
            </w:pPr>
            <w:r>
              <w:rPr>
                <w:rFonts w:ascii="Arial" w:cs="Arial" w:eastAsia="Arial" w:hAnsi="Arial"/>
                <w:sz w:val="9"/>
                <w:szCs w:val="9"/>
                <w:b w:val="1"/>
                <w:bCs w:val="1"/>
                <w:color w:val="auto"/>
              </w:rPr>
              <w:t>OTC Pink Marketplace</w:t>
            </w:r>
          </w:p>
        </w:tc>
        <w:tc>
          <w:tcPr>
            <w:tcW w:w="0" w:type="dxa"/>
            <w:vAlign w:val="bottom"/>
          </w:tcPr>
          <w:p>
            <w:pPr>
              <w:spacing w:after="0"/>
              <w:rPr>
                <w:sz w:val="1"/>
                <w:szCs w:val="1"/>
                <w:color w:val="auto"/>
              </w:rPr>
            </w:pPr>
          </w:p>
        </w:tc>
      </w:tr>
      <w:tr>
        <w:trPr>
          <w:trHeight w:val="207"/>
        </w:trPr>
        <w:tc>
          <w:tcPr>
            <w:tcW w:w="4800" w:type="dxa"/>
            <w:vAlign w:val="bottom"/>
            <w:gridSpan w:val="4"/>
          </w:tcPr>
          <w:p>
            <w:pPr>
              <w:spacing w:after="0"/>
              <w:rPr>
                <w:sz w:val="20"/>
                <w:szCs w:val="20"/>
                <w:color w:val="auto"/>
              </w:rPr>
            </w:pPr>
            <w:r>
              <w:rPr>
                <w:rFonts w:ascii="Arial" w:cs="Arial" w:eastAsia="Arial" w:hAnsi="Arial"/>
                <w:sz w:val="9"/>
                <w:szCs w:val="9"/>
                <w:color w:val="auto"/>
              </w:rPr>
              <w:t>Securities registered pursuant to Section 12(g) of the Act: None</w:t>
            </w: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4800" w:type="dxa"/>
            <w:vAlign w:val="bottom"/>
            <w:gridSpan w:val="4"/>
          </w:tcPr>
          <w:p>
            <w:pPr>
              <w:spacing w:after="0"/>
              <w:rPr>
                <w:sz w:val="4"/>
                <w:szCs w:val="4"/>
                <w:color w:val="auto"/>
              </w:rPr>
            </w:pPr>
          </w:p>
        </w:tc>
        <w:tc>
          <w:tcPr>
            <w:tcW w:w="480" w:type="dxa"/>
            <w:vAlign w:val="bottom"/>
          </w:tcPr>
          <w:p>
            <w:pPr>
              <w:spacing w:after="0"/>
              <w:rPr>
                <w:sz w:val="4"/>
                <w:szCs w:val="4"/>
                <w:color w:val="auto"/>
              </w:rPr>
            </w:pPr>
          </w:p>
        </w:tc>
        <w:tc>
          <w:tcPr>
            <w:tcW w:w="920" w:type="dxa"/>
            <w:vAlign w:val="bottom"/>
            <w:tcBorders>
              <w:bottom w:val="single" w:sz="8" w:color="auto"/>
            </w:tcBorders>
            <w:gridSpan w:val="2"/>
          </w:tcPr>
          <w:p>
            <w:pPr>
              <w:spacing w:after="0"/>
              <w:rPr>
                <w:sz w:val="4"/>
                <w:szCs w:val="4"/>
                <w:color w:val="auto"/>
              </w:rPr>
            </w:pPr>
          </w:p>
        </w:tc>
        <w:tc>
          <w:tcPr>
            <w:tcW w:w="1600" w:type="dxa"/>
            <w:vAlign w:val="bottom"/>
            <w:gridSpan w:val="3"/>
          </w:tcPr>
          <w:p>
            <w:pPr>
              <w:spacing w:after="0"/>
              <w:rPr>
                <w:sz w:val="4"/>
                <w:szCs w:val="4"/>
                <w:color w:val="auto"/>
              </w:rPr>
            </w:pPr>
          </w:p>
        </w:tc>
        <w:tc>
          <w:tcPr>
            <w:tcW w:w="36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4800" w:type="dxa"/>
            <w:vAlign w:val="bottom"/>
            <w:gridSpan w:val="4"/>
          </w:tcPr>
          <w:p>
            <w:pPr>
              <w:spacing w:after="0" w:line="104" w:lineRule="exact"/>
              <w:rPr>
                <w:sz w:val="20"/>
                <w:szCs w:val="20"/>
                <w:color w:val="auto"/>
              </w:rPr>
            </w:pPr>
            <w:r>
              <w:rPr>
                <w:rFonts w:ascii="Arial" w:cs="Arial" w:eastAsia="Arial" w:hAnsi="Arial"/>
                <w:sz w:val="9"/>
                <w:szCs w:val="9"/>
                <w:color w:val="auto"/>
                <w:w w:val="92"/>
              </w:rPr>
              <w:t xml:space="preserve">Indicate by check mark if the Registrant is a well-known seasoned issuer, as defined in Rule 405 of the Securities Act. Yes  </w:t>
            </w:r>
            <w:r>
              <w:rPr>
                <w:rFonts w:ascii="MS PGothic" w:cs="MS PGothic" w:eastAsia="MS PGothic" w:hAnsi="MS PGothic"/>
                <w:sz w:val="9"/>
                <w:szCs w:val="9"/>
                <w:color w:val="auto"/>
                <w:w w:val="92"/>
              </w:rPr>
              <w:t>☐</w:t>
            </w:r>
            <w:r>
              <w:rPr>
                <w:rFonts w:ascii="Arial" w:cs="Arial" w:eastAsia="Arial" w:hAnsi="Arial"/>
                <w:sz w:val="9"/>
                <w:szCs w:val="9"/>
                <w:color w:val="auto"/>
                <w:w w:val="92"/>
              </w:rPr>
              <w:t xml:space="preserve"> No</w:t>
            </w:r>
          </w:p>
        </w:tc>
        <w:tc>
          <w:tcPr>
            <w:tcW w:w="3000" w:type="dxa"/>
            <w:vAlign w:val="bottom"/>
            <w:gridSpan w:val="6"/>
          </w:tcPr>
          <w:p>
            <w:pPr>
              <w:ind w:left="20"/>
              <w:spacing w:after="0" w:line="91" w:lineRule="exact"/>
              <w:rPr>
                <w:sz w:val="20"/>
                <w:szCs w:val="20"/>
                <w:color w:val="auto"/>
              </w:rPr>
            </w:pPr>
            <w:r>
              <w:rPr>
                <w:rFonts w:ascii="MS PGothic" w:cs="MS PGothic" w:eastAsia="MS PGothic" w:hAnsi="MS PGothic"/>
                <w:sz w:val="9"/>
                <w:szCs w:val="9"/>
                <w:color w:val="auto"/>
              </w:rPr>
              <w:t>☒</w:t>
            </w:r>
          </w:p>
        </w:tc>
        <w:tc>
          <w:tcPr>
            <w:tcW w:w="3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4800" w:type="dxa"/>
            <w:vAlign w:val="bottom"/>
            <w:gridSpan w:val="4"/>
          </w:tcPr>
          <w:p>
            <w:pPr>
              <w:spacing w:after="0" w:line="104" w:lineRule="exact"/>
              <w:rPr>
                <w:sz w:val="20"/>
                <w:szCs w:val="20"/>
                <w:color w:val="auto"/>
              </w:rPr>
            </w:pPr>
            <w:r>
              <w:rPr>
                <w:rFonts w:ascii="Arial" w:cs="Arial" w:eastAsia="Arial" w:hAnsi="Arial"/>
                <w:sz w:val="9"/>
                <w:szCs w:val="9"/>
                <w:color w:val="auto"/>
                <w:w w:val="92"/>
              </w:rPr>
              <w:t xml:space="preserve">Indicate by check mark if the Registrant is not required to file reports pursuant to Section 13 or Section 15(d) of the Act. Yes </w:t>
            </w:r>
            <w:r>
              <w:rPr>
                <w:rFonts w:ascii="MS PGothic" w:cs="MS PGothic" w:eastAsia="MS PGothic" w:hAnsi="MS PGothic"/>
                <w:sz w:val="9"/>
                <w:szCs w:val="9"/>
                <w:color w:val="auto"/>
                <w:w w:val="92"/>
              </w:rPr>
              <w:t>☐</w:t>
            </w:r>
            <w:r>
              <w:rPr>
                <w:rFonts w:ascii="Arial" w:cs="Arial" w:eastAsia="Arial" w:hAnsi="Arial"/>
                <w:sz w:val="9"/>
                <w:szCs w:val="9"/>
                <w:color w:val="auto"/>
                <w:w w:val="92"/>
              </w:rPr>
              <w:t xml:space="preserve"> No</w:t>
            </w:r>
          </w:p>
        </w:tc>
        <w:tc>
          <w:tcPr>
            <w:tcW w:w="3000" w:type="dxa"/>
            <w:vAlign w:val="bottom"/>
            <w:gridSpan w:val="6"/>
          </w:tcPr>
          <w:p>
            <w:pPr>
              <w:jc w:val="center"/>
              <w:ind w:right="2800"/>
              <w:spacing w:after="0" w:line="91" w:lineRule="exact"/>
              <w:rPr>
                <w:sz w:val="20"/>
                <w:szCs w:val="20"/>
                <w:color w:val="auto"/>
              </w:rPr>
            </w:pPr>
            <w:r>
              <w:rPr>
                <w:rFonts w:ascii="MS PGothic" w:cs="MS PGothic" w:eastAsia="MS PGothic" w:hAnsi="MS PGothic"/>
                <w:sz w:val="9"/>
                <w:szCs w:val="9"/>
                <w:color w:val="auto"/>
                <w:w w:val="88"/>
              </w:rPr>
              <w:t>☒</w:t>
            </w:r>
          </w:p>
        </w:tc>
        <w:tc>
          <w:tcPr>
            <w:tcW w:w="368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p>
    <w:p>
      <w:pPr>
        <w:jc w:val="both"/>
        <w:ind w:left="8" w:right="20"/>
        <w:spacing w:after="0" w:line="112" w:lineRule="exact"/>
        <w:rPr>
          <w:sz w:val="20"/>
          <w:szCs w:val="20"/>
          <w:color w:val="auto"/>
        </w:rPr>
      </w:pPr>
      <w:r>
        <w:rPr>
          <w:rFonts w:ascii="Arial" w:cs="Arial" w:eastAsia="Arial" w:hAnsi="Arial"/>
          <w:sz w:val="9"/>
          <w:szCs w:val="9"/>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9"/>
          <w:szCs w:val="9"/>
          <w:color w:val="auto"/>
        </w:rPr>
        <w:t>☒</w:t>
      </w:r>
      <w:r>
        <w:rPr>
          <w:rFonts w:ascii="Arial" w:cs="Arial" w:eastAsia="Arial" w:hAnsi="Arial"/>
          <w:sz w:val="9"/>
          <w:szCs w:val="9"/>
          <w:color w:val="auto"/>
        </w:rPr>
        <w:t xml:space="preserve"> No </w:t>
      </w:r>
      <w:r>
        <w:rPr>
          <w:rFonts w:ascii="MS PGothic" w:cs="MS PGothic" w:eastAsia="MS PGothic" w:hAnsi="MS PGothic"/>
          <w:sz w:val="9"/>
          <w:szCs w:val="9"/>
          <w:color w:val="auto"/>
        </w:rPr>
        <w:t>☐</w:t>
      </w:r>
    </w:p>
    <w:p>
      <w:pPr>
        <w:spacing w:after="0" w:line="21" w:lineRule="exact"/>
        <w:rPr>
          <w:sz w:val="24"/>
          <w:szCs w:val="24"/>
          <w:color w:val="auto"/>
        </w:rPr>
      </w:pPr>
    </w:p>
    <w:p>
      <w:pPr>
        <w:jc w:val="both"/>
        <w:ind w:left="8"/>
        <w:spacing w:after="0" w:line="112" w:lineRule="exact"/>
        <w:rPr>
          <w:sz w:val="20"/>
          <w:szCs w:val="20"/>
          <w:color w:val="auto"/>
        </w:rPr>
      </w:pPr>
      <w:r>
        <w:rPr>
          <w:rFonts w:ascii="Arial" w:cs="Arial" w:eastAsia="Arial" w:hAnsi="Arial"/>
          <w:sz w:val="9"/>
          <w:szCs w:val="9"/>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9"/>
          <w:szCs w:val="9"/>
          <w:color w:val="auto"/>
        </w:rPr>
        <w:t>☒</w:t>
      </w:r>
      <w:r>
        <w:rPr>
          <w:rFonts w:ascii="Arial" w:cs="Arial" w:eastAsia="Arial" w:hAnsi="Arial"/>
          <w:sz w:val="9"/>
          <w:szCs w:val="9"/>
          <w:color w:val="auto"/>
        </w:rPr>
        <w:t xml:space="preserve"> No </w:t>
      </w:r>
      <w:r>
        <w:rPr>
          <w:rFonts w:ascii="MS PGothic" w:cs="MS PGothic" w:eastAsia="MS PGothic" w:hAnsi="MS PGothic"/>
          <w:sz w:val="9"/>
          <w:szCs w:val="9"/>
          <w:color w:val="auto"/>
        </w:rPr>
        <w:t>☐</w:t>
      </w:r>
    </w:p>
    <w:p>
      <w:pPr>
        <w:spacing w:after="0" w:line="12" w:lineRule="exact"/>
        <w:rPr>
          <w:sz w:val="24"/>
          <w:szCs w:val="24"/>
          <w:color w:val="auto"/>
        </w:rPr>
      </w:pPr>
    </w:p>
    <w:p>
      <w:pPr>
        <w:jc w:val="both"/>
        <w:ind w:left="8" w:right="20"/>
        <w:spacing w:after="0" w:line="254" w:lineRule="auto"/>
        <w:rPr>
          <w:sz w:val="20"/>
          <w:szCs w:val="20"/>
          <w:color w:val="auto"/>
        </w:rPr>
      </w:pPr>
      <w:r>
        <w:rPr>
          <w:rFonts w:ascii="Arial" w:cs="Arial" w:eastAsia="Arial" w:hAnsi="Arial"/>
          <w:sz w:val="9"/>
          <w:szCs w:val="9"/>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88"/>
          </w:cols>
          <w:pgMar w:left="212" w:top="256" w:right="199" w:bottom="1440" w:gutter="0" w:footer="0" w:header="0"/>
        </w:sectPr>
      </w:pPr>
    </w:p>
    <w:p>
      <w:pPr>
        <w:spacing w:after="0" w:line="9" w:lineRule="exact"/>
        <w:rPr>
          <w:sz w:val="24"/>
          <w:szCs w:val="24"/>
          <w:color w:val="auto"/>
        </w:rPr>
      </w:pPr>
    </w:p>
    <w:p>
      <w:pPr>
        <w:ind w:left="8"/>
        <w:spacing w:after="0" w:line="104" w:lineRule="exact"/>
        <w:tabs>
          <w:tab w:leader="none" w:pos="1808" w:val="left"/>
        </w:tabs>
        <w:rPr>
          <w:sz w:val="20"/>
          <w:szCs w:val="20"/>
          <w:color w:val="auto"/>
        </w:rPr>
      </w:pPr>
      <w:r>
        <w:rPr>
          <w:rFonts w:ascii="Arial" w:cs="Arial" w:eastAsia="Arial" w:hAnsi="Arial"/>
          <w:sz w:val="9"/>
          <w:szCs w:val="9"/>
          <w:color w:val="auto"/>
        </w:rPr>
        <w:t>Large accelerated filer</w:t>
      </w:r>
      <w:r>
        <w:rPr>
          <w:sz w:val="20"/>
          <w:szCs w:val="20"/>
          <w:color w:val="auto"/>
        </w:rPr>
        <w:tab/>
      </w:r>
      <w:r>
        <w:rPr>
          <w:rFonts w:ascii="MS PGothic" w:cs="MS PGothic" w:eastAsia="MS PGothic" w:hAnsi="MS PGothic"/>
          <w:sz w:val="8"/>
          <w:szCs w:val="8"/>
          <w:color w:val="auto"/>
        </w:rPr>
        <w:t>☒</w:t>
      </w:r>
    </w:p>
    <w:p>
      <w:pPr>
        <w:spacing w:after="0" w:line="16" w:lineRule="exact"/>
        <w:rPr>
          <w:sz w:val="24"/>
          <w:szCs w:val="24"/>
          <w:color w:val="auto"/>
        </w:rPr>
      </w:pPr>
    </w:p>
    <w:p>
      <w:pPr>
        <w:ind w:left="8"/>
        <w:spacing w:after="0" w:line="104" w:lineRule="exact"/>
        <w:tabs>
          <w:tab w:leader="none" w:pos="1808" w:val="left"/>
        </w:tabs>
        <w:rPr>
          <w:sz w:val="20"/>
          <w:szCs w:val="20"/>
          <w:color w:val="auto"/>
        </w:rPr>
      </w:pPr>
      <w:r>
        <w:rPr>
          <w:rFonts w:ascii="Arial" w:cs="Arial" w:eastAsia="Arial" w:hAnsi="Arial"/>
          <w:sz w:val="9"/>
          <w:szCs w:val="9"/>
          <w:color w:val="auto"/>
        </w:rPr>
        <w:t>Non-accelerated filer</w:t>
      </w:r>
      <w:r>
        <w:rPr>
          <w:sz w:val="20"/>
          <w:szCs w:val="20"/>
          <w:color w:val="auto"/>
        </w:rPr>
        <w:tab/>
      </w:r>
      <w:r>
        <w:rPr>
          <w:rFonts w:ascii="MS PGothic" w:cs="MS PGothic" w:eastAsia="MS PGothic" w:hAnsi="MS PGothic"/>
          <w:sz w:val="8"/>
          <w:szCs w:val="8"/>
          <w:color w:val="auto"/>
        </w:rPr>
        <w:t>☐</w:t>
      </w:r>
    </w:p>
    <w:p>
      <w:pPr>
        <w:spacing w:after="0" w:line="20" w:lineRule="exact"/>
        <w:rPr>
          <w:sz w:val="24"/>
          <w:szCs w:val="24"/>
          <w:color w:val="auto"/>
        </w:rPr>
      </w:pPr>
      <w:r>
        <w:rPr>
          <w:sz w:val="24"/>
          <w:szCs w:val="24"/>
          <w:color w:val="auto"/>
        </w:rPr>
        <w:br w:type="column"/>
      </w:r>
    </w:p>
    <w:p>
      <w:pPr>
        <w:spacing w:after="0" w:line="93" w:lineRule="exact"/>
        <w:tabs>
          <w:tab w:leader="none" w:pos="3160" w:val="left"/>
        </w:tabs>
        <w:rPr>
          <w:sz w:val="20"/>
          <w:szCs w:val="20"/>
          <w:color w:val="auto"/>
        </w:rPr>
      </w:pPr>
      <w:r>
        <w:rPr>
          <w:rFonts w:ascii="Arial" w:cs="Arial" w:eastAsia="Arial" w:hAnsi="Arial"/>
          <w:sz w:val="9"/>
          <w:szCs w:val="9"/>
          <w:color w:val="auto"/>
        </w:rPr>
        <w:t>Accelerated filer</w:t>
      </w:r>
      <w:r>
        <w:rPr>
          <w:sz w:val="20"/>
          <w:szCs w:val="20"/>
          <w:color w:val="auto"/>
        </w:rPr>
        <w:tab/>
      </w:r>
      <w:r>
        <w:rPr>
          <w:rFonts w:ascii="MS PGothic" w:cs="MS PGothic" w:eastAsia="MS PGothic" w:hAnsi="MS PGothic"/>
          <w:sz w:val="8"/>
          <w:szCs w:val="8"/>
          <w:color w:val="auto"/>
        </w:rPr>
        <w:t>☐</w:t>
      </w:r>
    </w:p>
    <w:p>
      <w:pPr>
        <w:spacing w:after="0" w:line="11" w:lineRule="exact"/>
        <w:rPr>
          <w:sz w:val="24"/>
          <w:szCs w:val="24"/>
          <w:color w:val="auto"/>
        </w:rPr>
      </w:pPr>
    </w:p>
    <w:p>
      <w:pPr>
        <w:spacing w:after="0" w:line="104" w:lineRule="exact"/>
        <w:tabs>
          <w:tab w:leader="none" w:pos="3160" w:val="left"/>
        </w:tabs>
        <w:rPr>
          <w:sz w:val="20"/>
          <w:szCs w:val="20"/>
          <w:color w:val="auto"/>
        </w:rPr>
      </w:pPr>
      <w:r>
        <w:rPr>
          <w:rFonts w:ascii="Arial" w:cs="Arial" w:eastAsia="Arial" w:hAnsi="Arial"/>
          <w:sz w:val="9"/>
          <w:szCs w:val="9"/>
          <w:color w:val="auto"/>
        </w:rPr>
        <w:t>Smaller reporting company</w:t>
      </w:r>
      <w:r>
        <w:rPr>
          <w:sz w:val="20"/>
          <w:szCs w:val="20"/>
          <w:color w:val="auto"/>
        </w:rPr>
        <w:tab/>
      </w:r>
      <w:r>
        <w:rPr>
          <w:rFonts w:ascii="MS PGothic" w:cs="MS PGothic" w:eastAsia="MS PGothic" w:hAnsi="MS PGothic"/>
          <w:sz w:val="8"/>
          <w:szCs w:val="8"/>
          <w:color w:val="auto"/>
        </w:rPr>
        <w:t>☐</w:t>
      </w:r>
    </w:p>
    <w:p>
      <w:pPr>
        <w:spacing w:after="0" w:line="104" w:lineRule="exact"/>
        <w:tabs>
          <w:tab w:leader="none" w:pos="3160" w:val="left"/>
        </w:tabs>
        <w:rPr>
          <w:sz w:val="20"/>
          <w:szCs w:val="20"/>
          <w:color w:val="auto"/>
        </w:rPr>
      </w:pPr>
      <w:r>
        <w:rPr>
          <w:rFonts w:ascii="Arial" w:cs="Arial" w:eastAsia="Arial" w:hAnsi="Arial"/>
          <w:sz w:val="9"/>
          <w:szCs w:val="9"/>
          <w:color w:val="auto"/>
        </w:rPr>
        <w:t>Emerging growth company</w:t>
      </w:r>
      <w:r>
        <w:rPr>
          <w:sz w:val="20"/>
          <w:szCs w:val="20"/>
          <w:color w:val="auto"/>
        </w:rPr>
        <w:tab/>
      </w:r>
      <w:r>
        <w:rPr>
          <w:rFonts w:ascii="MS PGothic" w:cs="MS PGothic" w:eastAsia="MS PGothic" w:hAnsi="MS PGothic"/>
          <w:sz w:val="8"/>
          <w:szCs w:val="8"/>
          <w:color w:val="auto"/>
        </w:rPr>
        <w:t>☐</w:t>
      </w:r>
    </w:p>
    <w:p>
      <w:pPr>
        <w:spacing w:after="0" w:line="21" w:lineRule="exact"/>
        <w:rPr>
          <w:sz w:val="24"/>
          <w:szCs w:val="24"/>
          <w:color w:val="auto"/>
        </w:rPr>
      </w:pPr>
    </w:p>
    <w:p>
      <w:pPr>
        <w:sectPr>
          <w:pgSz w:w="11900" w:h="16838" w:orient="portrait"/>
          <w:cols w:equalWidth="0" w:num="2">
            <w:col w:w="7508" w:space="720"/>
            <w:col w:w="3260"/>
          </w:cols>
          <w:pgMar w:left="212" w:top="256" w:right="199" w:bottom="1440" w:gutter="0" w:footer="0" w:header="0"/>
          <w:type w:val="continuous"/>
        </w:sectPr>
      </w:pPr>
    </w:p>
    <w:p>
      <w:pPr>
        <w:ind w:left="8" w:right="2240"/>
        <w:spacing w:after="0" w:line="142" w:lineRule="exact"/>
        <w:rPr>
          <w:sz w:val="20"/>
          <w:szCs w:val="20"/>
          <w:color w:val="auto"/>
        </w:rPr>
      </w:pPr>
      <w:r>
        <w:rPr>
          <w:rFonts w:ascii="Arial" w:cs="Arial" w:eastAsia="Arial" w:hAnsi="Arial"/>
          <w:sz w:val="9"/>
          <w:szCs w:val="9"/>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9"/>
          <w:szCs w:val="9"/>
          <w:color w:val="auto"/>
        </w:rPr>
        <w:t>☐</w:t>
      </w:r>
      <w:r>
        <w:rPr>
          <w:rFonts w:ascii="Arial" w:cs="Arial" w:eastAsia="Arial" w:hAnsi="Arial"/>
          <w:sz w:val="9"/>
          <w:szCs w:val="9"/>
          <w:color w:val="auto"/>
        </w:rPr>
        <w:t xml:space="preserve"> Indicate by check mark whether the Registrant is a shell company (as defined in Rule 12b-2 of the Act). Yes </w:t>
      </w:r>
      <w:r>
        <w:rPr>
          <w:rFonts w:ascii="MS PGothic" w:cs="MS PGothic" w:eastAsia="MS PGothic" w:hAnsi="MS PGothic"/>
          <w:sz w:val="9"/>
          <w:szCs w:val="9"/>
          <w:color w:val="auto"/>
        </w:rPr>
        <w:t>☐</w:t>
      </w:r>
      <w:r>
        <w:rPr>
          <w:rFonts w:ascii="Arial" w:cs="Arial" w:eastAsia="Arial" w:hAnsi="Arial"/>
          <w:sz w:val="9"/>
          <w:szCs w:val="9"/>
          <w:color w:val="auto"/>
        </w:rPr>
        <w:t xml:space="preserve"> No </w:t>
      </w:r>
      <w:r>
        <w:rPr>
          <w:rFonts w:ascii="MS PGothic" w:cs="MS PGothic" w:eastAsia="MS PGothic" w:hAnsi="MS PGothic"/>
          <w:sz w:val="9"/>
          <w:szCs w:val="9"/>
          <w:color w:val="auto"/>
        </w:rPr>
        <w:t>☒</w:t>
      </w:r>
    </w:p>
    <w:p>
      <w:pPr>
        <w:spacing w:after="0" w:line="21" w:lineRule="exact"/>
        <w:rPr>
          <w:sz w:val="24"/>
          <w:szCs w:val="24"/>
          <w:color w:val="auto"/>
        </w:rPr>
      </w:pPr>
    </w:p>
    <w:p>
      <w:pPr>
        <w:ind w:left="8"/>
        <w:spacing w:after="0" w:line="92" w:lineRule="exact"/>
        <w:rPr>
          <w:sz w:val="20"/>
          <w:szCs w:val="20"/>
          <w:color w:val="auto"/>
        </w:rPr>
      </w:pPr>
      <w:r>
        <w:rPr>
          <w:rFonts w:ascii="Arial" w:cs="Arial" w:eastAsia="Arial" w:hAnsi="Arial"/>
          <w:sz w:val="8"/>
          <w:szCs w:val="8"/>
          <w:color w:val="auto"/>
        </w:rPr>
        <w:t>The aggregate market value of the voting and non</w:t>
      </w:r>
      <w:r>
        <w:rPr>
          <w:rFonts w:ascii="MS PGothic" w:cs="MS PGothic" w:eastAsia="MS PGothic" w:hAnsi="MS PGothic"/>
          <w:sz w:val="8"/>
          <w:szCs w:val="8"/>
          <w:color w:val="auto"/>
        </w:rPr>
        <w:t>‑</w:t>
      </w:r>
      <w:r>
        <w:rPr>
          <w:rFonts w:ascii="Arial" w:cs="Arial" w:eastAsia="Arial" w:hAnsi="Arial"/>
          <w:sz w:val="8"/>
          <w:szCs w:val="8"/>
          <w:color w:val="auto"/>
        </w:rPr>
        <w:t>voting common equity held by non</w:t>
      </w:r>
      <w:r>
        <w:rPr>
          <w:rFonts w:ascii="MS PGothic" w:cs="MS PGothic" w:eastAsia="MS PGothic" w:hAnsi="MS PGothic"/>
          <w:sz w:val="8"/>
          <w:szCs w:val="8"/>
          <w:color w:val="auto"/>
        </w:rPr>
        <w:t>‑</w:t>
      </w:r>
      <w:r>
        <w:rPr>
          <w:rFonts w:ascii="Arial" w:cs="Arial" w:eastAsia="Arial" w:hAnsi="Arial"/>
          <w:sz w:val="8"/>
          <w:szCs w:val="8"/>
          <w:color w:val="auto"/>
        </w:rPr>
        <w:t>affiliates of the Registrant on June 30, 2019, computed by reference to the closing price reported on the Nasdaq Capital Market on such date was $1,476,300,279 (112,780,770 shares at a closing price per share of $13.09).</w:t>
      </w:r>
    </w:p>
    <w:p>
      <w:pPr>
        <w:spacing w:after="0" w:line="79" w:lineRule="exact"/>
        <w:rPr>
          <w:sz w:val="24"/>
          <w:szCs w:val="24"/>
          <w:color w:val="auto"/>
        </w:rPr>
      </w:pPr>
    </w:p>
    <w:p>
      <w:pPr>
        <w:ind w:left="8"/>
        <w:spacing w:after="0"/>
        <w:rPr>
          <w:sz w:val="20"/>
          <w:szCs w:val="20"/>
          <w:color w:val="auto"/>
        </w:rPr>
      </w:pPr>
      <w:r>
        <w:rPr>
          <w:rFonts w:ascii="Arial" w:cs="Arial" w:eastAsia="Arial" w:hAnsi="Arial"/>
          <w:sz w:val="9"/>
          <w:szCs w:val="9"/>
          <w:color w:val="auto"/>
        </w:rPr>
        <w:t>As of February 26, 2020, the Registrant had 161,650,055 shares of Class A Common Stock, par value $0.0001 per share, issued and outstanding.</w:t>
      </w:r>
    </w:p>
    <w:p>
      <w:pPr>
        <w:spacing w:after="0" w:line="48" w:lineRule="exact"/>
        <w:rPr>
          <w:sz w:val="24"/>
          <w:szCs w:val="24"/>
          <w:color w:val="auto"/>
        </w:rPr>
      </w:pPr>
    </w:p>
    <w:p>
      <w:pPr>
        <w:ind w:left="4708"/>
        <w:spacing w:after="0"/>
        <w:rPr>
          <w:sz w:val="20"/>
          <w:szCs w:val="20"/>
          <w:color w:val="auto"/>
        </w:rPr>
      </w:pPr>
      <w:r>
        <w:rPr>
          <w:rFonts w:ascii="Arial" w:cs="Arial" w:eastAsia="Arial" w:hAnsi="Arial"/>
          <w:sz w:val="9"/>
          <w:szCs w:val="9"/>
          <w:b w:val="1"/>
          <w:bCs w:val="1"/>
          <w:color w:val="auto"/>
        </w:rPr>
        <w:t>DOCUMENTS INCORPORATED BY REFERENCE</w:t>
      </w:r>
    </w:p>
    <w:p>
      <w:pPr>
        <w:spacing w:after="0" w:line="34" w:lineRule="exact"/>
        <w:rPr>
          <w:sz w:val="24"/>
          <w:szCs w:val="24"/>
          <w:color w:val="auto"/>
        </w:rPr>
      </w:pPr>
    </w:p>
    <w:p>
      <w:pPr>
        <w:ind w:left="8"/>
        <w:spacing w:after="0"/>
        <w:rPr>
          <w:sz w:val="20"/>
          <w:szCs w:val="20"/>
          <w:color w:val="auto"/>
        </w:rPr>
      </w:pPr>
      <w:r>
        <w:rPr>
          <w:rFonts w:ascii="Arial" w:cs="Arial" w:eastAsia="Arial" w:hAnsi="Arial"/>
          <w:sz w:val="9"/>
          <w:szCs w:val="9"/>
          <w:color w:val="auto"/>
        </w:rPr>
        <w:t>Portions of the Registrant’s proxy statement to be filed in connection with its annual meeting of stockholders to be held May 26, 2020 are incorporated by reference into Part III of this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47625</wp:posOffset>
            </wp:positionV>
            <wp:extent cx="729234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92340"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59055</wp:posOffset>
            </wp:positionV>
            <wp:extent cx="729234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92340" cy="571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463550</wp:posOffset>
            </wp:positionV>
            <wp:extent cx="7317740" cy="368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ectPr>
          <w:pgSz w:w="11900" w:h="16838" w:orient="portrait"/>
          <w:cols w:equalWidth="0" w:num="1">
            <w:col w:w="11488"/>
          </w:cols>
          <w:pgMar w:left="212" w:top="256" w:right="19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57"/>
        </w:trPr>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20" w:type="dxa"/>
            <w:vAlign w:val="bottom"/>
            <w:gridSpan w:val="3"/>
          </w:tcPr>
          <w:p>
            <w:pPr>
              <w:jc w:val="center"/>
              <w:ind w:right="2320"/>
              <w:spacing w:after="0"/>
              <w:rPr>
                <w:sz w:val="20"/>
                <w:szCs w:val="20"/>
                <w:color w:val="auto"/>
              </w:rPr>
            </w:pPr>
            <w:r>
              <w:rPr>
                <w:rFonts w:ascii="Arial" w:cs="Arial" w:eastAsia="Arial" w:hAnsi="Arial"/>
                <w:sz w:val="12"/>
                <w:szCs w:val="12"/>
                <w:b w:val="1"/>
                <w:bCs w:val="1"/>
                <w:color w:val="231F20"/>
              </w:rPr>
              <w:t>VERRA MOBILITY CORPORATION</w:t>
            </w:r>
          </w:p>
        </w:tc>
        <w:tc>
          <w:tcPr>
            <w:tcW w:w="2380" w:type="dxa"/>
            <w:vAlign w:val="bottom"/>
          </w:tcPr>
          <w:p>
            <w:pPr>
              <w:spacing w:after="0"/>
              <w:rPr>
                <w:sz w:val="13"/>
                <w:szCs w:val="13"/>
                <w:color w:val="auto"/>
              </w:rPr>
            </w:pPr>
          </w:p>
        </w:tc>
      </w:tr>
      <w:tr>
        <w:trPr>
          <w:trHeight w:val="189"/>
        </w:trPr>
        <w:tc>
          <w:tcPr>
            <w:tcW w:w="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820" w:type="dxa"/>
            <w:vAlign w:val="bottom"/>
            <w:gridSpan w:val="2"/>
          </w:tcPr>
          <w:p>
            <w:pPr>
              <w:jc w:val="center"/>
              <w:ind w:right="2920"/>
              <w:spacing w:after="0"/>
              <w:rPr>
                <w:sz w:val="20"/>
                <w:szCs w:val="20"/>
                <w:color w:val="auto"/>
              </w:rPr>
            </w:pPr>
            <w:r>
              <w:rPr>
                <w:rFonts w:ascii="Arial" w:cs="Arial" w:eastAsia="Arial" w:hAnsi="Arial"/>
                <w:sz w:val="12"/>
                <w:szCs w:val="12"/>
                <w:b w:val="1"/>
                <w:bCs w:val="1"/>
                <w:color w:val="auto"/>
              </w:rPr>
              <w:t>FORM 10-K</w:t>
            </w:r>
          </w:p>
        </w:tc>
        <w:tc>
          <w:tcPr>
            <w:tcW w:w="2380" w:type="dxa"/>
            <w:vAlign w:val="bottom"/>
          </w:tcPr>
          <w:p>
            <w:pPr>
              <w:spacing w:after="0"/>
              <w:rPr>
                <w:sz w:val="16"/>
                <w:szCs w:val="16"/>
                <w:color w:val="auto"/>
              </w:rPr>
            </w:pPr>
          </w:p>
        </w:tc>
      </w:tr>
      <w:tr>
        <w:trPr>
          <w:trHeight w:val="198"/>
        </w:trPr>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040" w:type="dxa"/>
            <w:vAlign w:val="bottom"/>
            <w:gridSpan w:val="5"/>
          </w:tcPr>
          <w:p>
            <w:pPr>
              <w:jc w:val="center"/>
              <w:ind w:right="1700"/>
              <w:spacing w:after="0"/>
              <w:rPr>
                <w:sz w:val="20"/>
                <w:szCs w:val="20"/>
                <w:color w:val="auto"/>
              </w:rPr>
            </w:pPr>
            <w:r>
              <w:rPr>
                <w:rFonts w:ascii="Arial" w:cs="Arial" w:eastAsia="Arial" w:hAnsi="Arial"/>
                <w:sz w:val="12"/>
                <w:szCs w:val="12"/>
                <w:b w:val="1"/>
                <w:bCs w:val="1"/>
                <w:color w:val="auto"/>
                <w:w w:val="90"/>
              </w:rPr>
              <w:t>For the Fiscal Year Ended December 31, 2019</w:t>
            </w:r>
          </w:p>
        </w:tc>
        <w:tc>
          <w:tcPr>
            <w:tcW w:w="2380" w:type="dxa"/>
            <w:vAlign w:val="bottom"/>
          </w:tcPr>
          <w:p>
            <w:pPr>
              <w:spacing w:after="0"/>
              <w:rPr>
                <w:sz w:val="17"/>
                <w:szCs w:val="17"/>
                <w:color w:val="auto"/>
              </w:rPr>
            </w:pPr>
          </w:p>
        </w:tc>
      </w:tr>
      <w:tr>
        <w:trPr>
          <w:trHeight w:val="252"/>
        </w:trPr>
        <w:tc>
          <w:tcPr>
            <w:tcW w:w="3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820" w:type="dxa"/>
            <w:vAlign w:val="bottom"/>
            <w:gridSpan w:val="2"/>
          </w:tcPr>
          <w:p>
            <w:pPr>
              <w:jc w:val="center"/>
              <w:ind w:right="2920"/>
              <w:spacing w:after="0"/>
              <w:rPr>
                <w:sz w:val="20"/>
                <w:szCs w:val="20"/>
                <w:color w:val="auto"/>
              </w:rPr>
            </w:pPr>
            <w:r>
              <w:rPr>
                <w:rFonts w:ascii="Arial" w:cs="Arial" w:eastAsia="Arial" w:hAnsi="Arial"/>
                <w:sz w:val="12"/>
                <w:szCs w:val="12"/>
                <w:b w:val="1"/>
                <w:bCs w:val="1"/>
                <w:color w:val="auto"/>
              </w:rPr>
              <w:t>INDEX</w:t>
            </w:r>
          </w:p>
        </w:tc>
        <w:tc>
          <w:tcPr>
            <w:tcW w:w="2380" w:type="dxa"/>
            <w:vAlign w:val="bottom"/>
          </w:tcPr>
          <w:p>
            <w:pPr>
              <w:spacing w:after="0"/>
              <w:rPr>
                <w:sz w:val="21"/>
                <w:szCs w:val="21"/>
                <w:color w:val="auto"/>
              </w:rPr>
            </w:pPr>
          </w:p>
        </w:tc>
      </w:tr>
      <w:tr>
        <w:trPr>
          <w:trHeight w:val="126"/>
        </w:trPr>
        <w:tc>
          <w:tcPr>
            <w:tcW w:w="360" w:type="dxa"/>
            <w:vAlign w:val="bottom"/>
            <w:tcBorders>
              <w:bottom w:val="single" w:sz="8" w:color="0000EE"/>
            </w:tcBorders>
          </w:tcPr>
          <w:p>
            <w:pPr>
              <w:spacing w:after="0" w:line="126" w:lineRule="exact"/>
              <w:rPr>
                <w:rFonts w:ascii="Arial" w:cs="Arial" w:eastAsia="Arial" w:hAnsi="Arial"/>
                <w:sz w:val="12"/>
                <w:szCs w:val="12"/>
                <w:color w:val="0000EE"/>
                <w:w w:val="87"/>
              </w:rPr>
            </w:pPr>
            <w:hyperlink w:anchor="page5">
              <w:r>
                <w:rPr>
                  <w:rFonts w:ascii="Arial" w:cs="Arial" w:eastAsia="Arial" w:hAnsi="Arial"/>
                  <w:sz w:val="12"/>
                  <w:szCs w:val="12"/>
                  <w:color w:val="0000EE"/>
                  <w:w w:val="87"/>
                </w:rPr>
                <w:t>PART I</w:t>
              </w:r>
            </w:hyperlink>
          </w:p>
        </w:tc>
        <w:tc>
          <w:tcPr>
            <w:tcW w:w="8740" w:type="dxa"/>
            <w:vAlign w:val="bottom"/>
            <w:gridSpan w:val="24"/>
          </w:tcPr>
          <w:p>
            <w:pPr>
              <w:spacing w:after="0"/>
              <w:rPr>
                <w:sz w:val="10"/>
                <w:szCs w:val="10"/>
                <w:color w:val="auto"/>
              </w:rPr>
            </w:pPr>
          </w:p>
        </w:tc>
        <w:tc>
          <w:tcPr>
            <w:tcW w:w="2380" w:type="dxa"/>
            <w:vAlign w:val="bottom"/>
          </w:tcPr>
          <w:p>
            <w:pPr>
              <w:jc w:val="right"/>
              <w:spacing w:after="0" w:line="126" w:lineRule="exact"/>
              <w:rPr>
                <w:sz w:val="20"/>
                <w:szCs w:val="20"/>
                <w:color w:val="auto"/>
              </w:rPr>
            </w:pPr>
            <w:r>
              <w:rPr>
                <w:rFonts w:ascii="Arial" w:cs="Arial" w:eastAsia="Arial" w:hAnsi="Arial"/>
                <w:sz w:val="12"/>
                <w:szCs w:val="12"/>
                <w:color w:val="auto"/>
              </w:rPr>
              <w:t>4</w:t>
            </w:r>
          </w:p>
        </w:tc>
      </w:tr>
      <w:tr>
        <w:trPr>
          <w:trHeight w:val="187"/>
        </w:trPr>
        <w:tc>
          <w:tcPr>
            <w:tcW w:w="9100" w:type="dxa"/>
            <w:vAlign w:val="bottom"/>
            <w:gridSpan w:val="25"/>
          </w:tcPr>
          <w:p>
            <w:pPr>
              <w:spacing w:after="0"/>
              <w:rPr>
                <w:rFonts w:ascii="Arial" w:cs="Arial" w:eastAsia="Arial" w:hAnsi="Arial"/>
                <w:sz w:val="12"/>
                <w:szCs w:val="12"/>
                <w:color w:val="0000EE"/>
              </w:rPr>
            </w:pPr>
            <w:hyperlink w:anchor="page5">
              <w:r>
                <w:rPr>
                  <w:rFonts w:ascii="Arial" w:cs="Arial" w:eastAsia="Arial" w:hAnsi="Arial"/>
                  <w:sz w:val="12"/>
                  <w:szCs w:val="12"/>
                  <w:color w:val="0000EE"/>
                </w:rPr>
                <w:t>Item 1. Business</w:t>
              </w:r>
            </w:hyperlink>
          </w:p>
        </w:tc>
        <w:tc>
          <w:tcPr>
            <w:tcW w:w="2380" w:type="dxa"/>
            <w:vAlign w:val="bottom"/>
          </w:tcPr>
          <w:p>
            <w:pPr>
              <w:jc w:val="right"/>
              <w:spacing w:after="0"/>
              <w:rPr>
                <w:sz w:val="20"/>
                <w:szCs w:val="20"/>
                <w:color w:val="auto"/>
              </w:rPr>
            </w:pPr>
            <w:r>
              <w:rPr>
                <w:rFonts w:ascii="Arial" w:cs="Arial" w:eastAsia="Arial" w:hAnsi="Arial"/>
                <w:sz w:val="12"/>
                <w:szCs w:val="12"/>
                <w:color w:val="auto"/>
              </w:rPr>
              <w:t>4</w:t>
            </w:r>
          </w:p>
        </w:tc>
      </w:tr>
      <w:tr>
        <w:trPr>
          <w:trHeight w:val="20"/>
        </w:trPr>
        <w:tc>
          <w:tcPr>
            <w:tcW w:w="4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187"/>
        </w:trPr>
        <w:tc>
          <w:tcPr>
            <w:tcW w:w="1060" w:type="dxa"/>
            <w:vAlign w:val="bottom"/>
            <w:tcBorders>
              <w:bottom w:val="single" w:sz="8" w:color="0000EE"/>
            </w:tcBorders>
            <w:gridSpan w:val="6"/>
          </w:tcPr>
          <w:p>
            <w:pPr>
              <w:spacing w:after="0"/>
              <w:rPr>
                <w:rFonts w:ascii="Arial" w:cs="Arial" w:eastAsia="Arial" w:hAnsi="Arial"/>
                <w:sz w:val="12"/>
                <w:szCs w:val="12"/>
                <w:color w:val="0000EE"/>
                <w:w w:val="90"/>
              </w:rPr>
            </w:pPr>
            <w:hyperlink w:anchor="page12">
              <w:r>
                <w:rPr>
                  <w:rFonts w:ascii="Arial" w:cs="Arial" w:eastAsia="Arial" w:hAnsi="Arial"/>
                  <w:sz w:val="12"/>
                  <w:szCs w:val="12"/>
                  <w:color w:val="0000EE"/>
                  <w:w w:val="90"/>
                </w:rPr>
                <w:t>Item 1A. Risk Factors</w:t>
              </w:r>
            </w:hyperlink>
          </w:p>
        </w:tc>
        <w:tc>
          <w:tcPr>
            <w:tcW w:w="8040" w:type="dxa"/>
            <w:vAlign w:val="bottom"/>
            <w:gridSpan w:val="19"/>
          </w:tcPr>
          <w:p>
            <w:pPr>
              <w:spacing w:after="0"/>
              <w:rPr>
                <w:sz w:val="16"/>
                <w:szCs w:val="16"/>
                <w:color w:val="auto"/>
              </w:rPr>
            </w:pPr>
          </w:p>
        </w:tc>
        <w:tc>
          <w:tcPr>
            <w:tcW w:w="2380" w:type="dxa"/>
            <w:vAlign w:val="bottom"/>
          </w:tcPr>
          <w:p>
            <w:pPr>
              <w:jc w:val="right"/>
              <w:spacing w:after="0"/>
              <w:rPr>
                <w:sz w:val="20"/>
                <w:szCs w:val="20"/>
                <w:color w:val="auto"/>
              </w:rPr>
            </w:pPr>
            <w:r>
              <w:rPr>
                <w:rFonts w:ascii="Arial" w:cs="Arial" w:eastAsia="Arial" w:hAnsi="Arial"/>
                <w:sz w:val="12"/>
                <w:szCs w:val="12"/>
                <w:color w:val="auto"/>
              </w:rPr>
              <w:t>11</w:t>
            </w:r>
          </w:p>
        </w:tc>
      </w:tr>
      <w:tr>
        <w:trPr>
          <w:trHeight w:val="187"/>
        </w:trPr>
        <w:tc>
          <w:tcPr>
            <w:tcW w:w="9100" w:type="dxa"/>
            <w:vAlign w:val="bottom"/>
            <w:gridSpan w:val="25"/>
          </w:tcPr>
          <w:p>
            <w:pPr>
              <w:spacing w:after="0"/>
              <w:rPr>
                <w:rFonts w:ascii="Arial" w:cs="Arial" w:eastAsia="Arial" w:hAnsi="Arial"/>
                <w:sz w:val="12"/>
                <w:szCs w:val="12"/>
                <w:color w:val="0000EE"/>
              </w:rPr>
            </w:pPr>
            <w:hyperlink w:anchor="page35">
              <w:r>
                <w:rPr>
                  <w:rFonts w:ascii="Arial" w:cs="Arial" w:eastAsia="Arial" w:hAnsi="Arial"/>
                  <w:sz w:val="12"/>
                  <w:szCs w:val="12"/>
                  <w:color w:val="0000EE"/>
                </w:rPr>
                <w:t>Item 1B. Unresolved Staff Comments</w:t>
              </w:r>
            </w:hyperlink>
          </w:p>
        </w:tc>
        <w:tc>
          <w:tcPr>
            <w:tcW w:w="2380" w:type="dxa"/>
            <w:vAlign w:val="bottom"/>
          </w:tcPr>
          <w:p>
            <w:pPr>
              <w:jc w:val="right"/>
              <w:spacing w:after="0"/>
              <w:rPr>
                <w:sz w:val="20"/>
                <w:szCs w:val="20"/>
                <w:color w:val="auto"/>
              </w:rPr>
            </w:pPr>
            <w:r>
              <w:rPr>
                <w:rFonts w:ascii="Arial" w:cs="Arial" w:eastAsia="Arial" w:hAnsi="Arial"/>
                <w:sz w:val="12"/>
                <w:szCs w:val="12"/>
                <w:color w:val="auto"/>
              </w:rPr>
              <w:t>34</w:t>
            </w:r>
          </w:p>
        </w:tc>
      </w:tr>
      <w:tr>
        <w:trPr>
          <w:trHeight w:val="187"/>
        </w:trPr>
        <w:tc>
          <w:tcPr>
            <w:tcW w:w="1800" w:type="dxa"/>
            <w:vAlign w:val="bottom"/>
            <w:tcBorders>
              <w:top w:val="single" w:sz="8" w:color="0000EE"/>
            </w:tcBorders>
            <w:gridSpan w:val="14"/>
          </w:tcPr>
          <w:p>
            <w:pPr>
              <w:spacing w:after="0"/>
              <w:rPr>
                <w:rFonts w:ascii="Arial" w:cs="Arial" w:eastAsia="Arial" w:hAnsi="Arial"/>
                <w:sz w:val="12"/>
                <w:szCs w:val="12"/>
                <w:color w:val="0000EE"/>
              </w:rPr>
            </w:pPr>
            <w:hyperlink w:anchor="page35">
              <w:r>
                <w:rPr>
                  <w:rFonts w:ascii="Arial" w:cs="Arial" w:eastAsia="Arial" w:hAnsi="Arial"/>
                  <w:sz w:val="12"/>
                  <w:szCs w:val="12"/>
                  <w:color w:val="0000EE"/>
                </w:rPr>
                <w:t>Item 2. Properties</w:t>
              </w:r>
            </w:hyperlink>
          </w:p>
        </w:tc>
        <w:tc>
          <w:tcPr>
            <w:tcW w:w="7300" w:type="dxa"/>
            <w:vAlign w:val="bottom"/>
            <w:gridSpan w:val="11"/>
          </w:tcPr>
          <w:p>
            <w:pPr>
              <w:spacing w:after="0"/>
              <w:rPr>
                <w:sz w:val="16"/>
                <w:szCs w:val="16"/>
                <w:color w:val="auto"/>
              </w:rPr>
            </w:pPr>
          </w:p>
        </w:tc>
        <w:tc>
          <w:tcPr>
            <w:tcW w:w="2380" w:type="dxa"/>
            <w:vAlign w:val="bottom"/>
          </w:tcPr>
          <w:p>
            <w:pPr>
              <w:jc w:val="right"/>
              <w:spacing w:after="0"/>
              <w:rPr>
                <w:sz w:val="20"/>
                <w:szCs w:val="20"/>
                <w:color w:val="auto"/>
              </w:rPr>
            </w:pPr>
            <w:r>
              <w:rPr>
                <w:rFonts w:ascii="Arial" w:cs="Arial" w:eastAsia="Arial" w:hAnsi="Arial"/>
                <w:sz w:val="12"/>
                <w:szCs w:val="12"/>
                <w:color w:val="auto"/>
              </w:rPr>
              <w:t>34</w:t>
            </w:r>
          </w:p>
        </w:tc>
      </w:tr>
      <w:tr>
        <w:trPr>
          <w:trHeight w:val="20"/>
        </w:trPr>
        <w:tc>
          <w:tcPr>
            <w:tcW w:w="4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187"/>
        </w:trPr>
        <w:tc>
          <w:tcPr>
            <w:tcW w:w="1260" w:type="dxa"/>
            <w:vAlign w:val="bottom"/>
            <w:tcBorders>
              <w:bottom w:val="single" w:sz="8" w:color="0000EE"/>
            </w:tcBorders>
            <w:gridSpan w:val="8"/>
          </w:tcPr>
          <w:p>
            <w:pPr>
              <w:spacing w:after="0"/>
              <w:rPr>
                <w:rFonts w:ascii="Arial" w:cs="Arial" w:eastAsia="Arial" w:hAnsi="Arial"/>
                <w:sz w:val="12"/>
                <w:szCs w:val="12"/>
                <w:color w:val="0000EE"/>
                <w:w w:val="88"/>
              </w:rPr>
            </w:pPr>
            <w:hyperlink w:anchor="page36">
              <w:r>
                <w:rPr>
                  <w:rFonts w:ascii="Arial" w:cs="Arial" w:eastAsia="Arial" w:hAnsi="Arial"/>
                  <w:sz w:val="12"/>
                  <w:szCs w:val="12"/>
                  <w:color w:val="0000EE"/>
                  <w:w w:val="88"/>
                </w:rPr>
                <w:t>Item 3. Legal Proceedings</w:t>
              </w:r>
            </w:hyperlink>
          </w:p>
        </w:tc>
        <w:tc>
          <w:tcPr>
            <w:tcW w:w="7840" w:type="dxa"/>
            <w:vAlign w:val="bottom"/>
            <w:gridSpan w:val="17"/>
          </w:tcPr>
          <w:p>
            <w:pPr>
              <w:spacing w:after="0"/>
              <w:rPr>
                <w:sz w:val="16"/>
                <w:szCs w:val="16"/>
                <w:color w:val="auto"/>
              </w:rPr>
            </w:pPr>
          </w:p>
        </w:tc>
        <w:tc>
          <w:tcPr>
            <w:tcW w:w="2380" w:type="dxa"/>
            <w:vAlign w:val="bottom"/>
          </w:tcPr>
          <w:p>
            <w:pPr>
              <w:jc w:val="right"/>
              <w:spacing w:after="0"/>
              <w:rPr>
                <w:sz w:val="20"/>
                <w:szCs w:val="20"/>
                <w:color w:val="auto"/>
              </w:rPr>
            </w:pPr>
            <w:r>
              <w:rPr>
                <w:rFonts w:ascii="Arial" w:cs="Arial" w:eastAsia="Arial" w:hAnsi="Arial"/>
                <w:sz w:val="12"/>
                <w:szCs w:val="12"/>
                <w:color w:val="auto"/>
              </w:rPr>
              <w:t>35</w:t>
            </w:r>
          </w:p>
        </w:tc>
      </w:tr>
      <w:tr>
        <w:trPr>
          <w:trHeight w:val="187"/>
        </w:trPr>
        <w:tc>
          <w:tcPr>
            <w:tcW w:w="9100" w:type="dxa"/>
            <w:vAlign w:val="bottom"/>
            <w:gridSpan w:val="25"/>
          </w:tcPr>
          <w:p>
            <w:pPr>
              <w:spacing w:after="0"/>
              <w:rPr>
                <w:rFonts w:ascii="Arial" w:cs="Arial" w:eastAsia="Arial" w:hAnsi="Arial"/>
                <w:sz w:val="12"/>
                <w:szCs w:val="12"/>
                <w:color w:val="0000EE"/>
              </w:rPr>
            </w:pPr>
            <w:hyperlink w:anchor="page36">
              <w:r>
                <w:rPr>
                  <w:rFonts w:ascii="Arial" w:cs="Arial" w:eastAsia="Arial" w:hAnsi="Arial"/>
                  <w:sz w:val="12"/>
                  <w:szCs w:val="12"/>
                  <w:color w:val="0000EE"/>
                </w:rPr>
                <w:t>Item 4. Mine Safety Disclosures</w:t>
              </w:r>
            </w:hyperlink>
          </w:p>
        </w:tc>
        <w:tc>
          <w:tcPr>
            <w:tcW w:w="2380" w:type="dxa"/>
            <w:vAlign w:val="bottom"/>
          </w:tcPr>
          <w:p>
            <w:pPr>
              <w:jc w:val="right"/>
              <w:spacing w:after="0"/>
              <w:rPr>
                <w:sz w:val="20"/>
                <w:szCs w:val="20"/>
                <w:color w:val="auto"/>
              </w:rPr>
            </w:pPr>
            <w:r>
              <w:rPr>
                <w:rFonts w:ascii="Arial" w:cs="Arial" w:eastAsia="Arial" w:hAnsi="Arial"/>
                <w:sz w:val="12"/>
                <w:szCs w:val="12"/>
                <w:color w:val="auto"/>
              </w:rPr>
              <w:t>35</w:t>
            </w:r>
          </w:p>
        </w:tc>
      </w:tr>
      <w:tr>
        <w:trPr>
          <w:trHeight w:val="187"/>
        </w:trPr>
        <w:tc>
          <w:tcPr>
            <w:tcW w:w="400" w:type="dxa"/>
            <w:vAlign w:val="bottom"/>
            <w:tcBorders>
              <w:top w:val="single" w:sz="8" w:color="0000EE"/>
              <w:bottom w:val="single" w:sz="8" w:color="0000EE"/>
            </w:tcBorders>
            <w:gridSpan w:val="2"/>
          </w:tcPr>
          <w:p>
            <w:pPr>
              <w:spacing w:after="0"/>
              <w:rPr>
                <w:rFonts w:ascii="Arial" w:cs="Arial" w:eastAsia="Arial" w:hAnsi="Arial"/>
                <w:sz w:val="12"/>
                <w:szCs w:val="12"/>
                <w:color w:val="0000EE"/>
                <w:w w:val="90"/>
              </w:rPr>
            </w:pPr>
            <w:hyperlink w:anchor="page37">
              <w:r>
                <w:rPr>
                  <w:rFonts w:ascii="Arial" w:cs="Arial" w:eastAsia="Arial" w:hAnsi="Arial"/>
                  <w:sz w:val="12"/>
                  <w:szCs w:val="12"/>
                  <w:color w:val="0000EE"/>
                  <w:w w:val="90"/>
                </w:rPr>
                <w:t>PART II</w:t>
              </w:r>
            </w:hyperlink>
          </w:p>
        </w:tc>
        <w:tc>
          <w:tcPr>
            <w:tcW w:w="1140" w:type="dxa"/>
            <w:vAlign w:val="bottom"/>
            <w:tcBorders>
              <w:top w:val="single" w:sz="8" w:color="0000EE"/>
            </w:tcBorders>
            <w:gridSpan w:val="9"/>
          </w:tcPr>
          <w:p>
            <w:pPr>
              <w:spacing w:after="0"/>
              <w:rPr>
                <w:sz w:val="16"/>
                <w:szCs w:val="16"/>
                <w:color w:val="auto"/>
              </w:rPr>
            </w:pPr>
          </w:p>
        </w:tc>
        <w:tc>
          <w:tcPr>
            <w:tcW w:w="7560" w:type="dxa"/>
            <w:vAlign w:val="bottom"/>
            <w:gridSpan w:val="14"/>
          </w:tcPr>
          <w:p>
            <w:pPr>
              <w:spacing w:after="0"/>
              <w:rPr>
                <w:sz w:val="16"/>
                <w:szCs w:val="16"/>
                <w:color w:val="auto"/>
              </w:rPr>
            </w:pPr>
          </w:p>
        </w:tc>
        <w:tc>
          <w:tcPr>
            <w:tcW w:w="2380" w:type="dxa"/>
            <w:vAlign w:val="bottom"/>
          </w:tcPr>
          <w:p>
            <w:pPr>
              <w:jc w:val="right"/>
              <w:spacing w:after="0"/>
              <w:rPr>
                <w:sz w:val="20"/>
                <w:szCs w:val="20"/>
                <w:color w:val="auto"/>
              </w:rPr>
            </w:pPr>
            <w:r>
              <w:rPr>
                <w:rFonts w:ascii="Arial" w:cs="Arial" w:eastAsia="Arial" w:hAnsi="Arial"/>
                <w:sz w:val="12"/>
                <w:szCs w:val="12"/>
                <w:color w:val="auto"/>
              </w:rPr>
              <w:t>36</w:t>
            </w:r>
          </w:p>
        </w:tc>
      </w:tr>
      <w:tr>
        <w:trPr>
          <w:trHeight w:val="187"/>
        </w:trPr>
        <w:tc>
          <w:tcPr>
            <w:tcW w:w="9100" w:type="dxa"/>
            <w:vAlign w:val="bottom"/>
            <w:gridSpan w:val="25"/>
          </w:tcPr>
          <w:p>
            <w:pPr>
              <w:spacing w:after="0"/>
              <w:rPr>
                <w:rFonts w:ascii="Arial" w:cs="Arial" w:eastAsia="Arial" w:hAnsi="Arial"/>
                <w:sz w:val="12"/>
                <w:szCs w:val="12"/>
                <w:color w:val="0000EE"/>
              </w:rPr>
            </w:pPr>
            <w:hyperlink w:anchor="page37">
              <w:r>
                <w:rPr>
                  <w:rFonts w:ascii="Arial" w:cs="Arial" w:eastAsia="Arial" w:hAnsi="Arial"/>
                  <w:sz w:val="12"/>
                  <w:szCs w:val="12"/>
                  <w:color w:val="0000EE"/>
                </w:rPr>
                <w:t>Item 5. Market for Registrant’s Common Equity, Related Stockholder Matters and Issuer Purchases of Equity Securities</w:t>
              </w:r>
            </w:hyperlink>
          </w:p>
        </w:tc>
        <w:tc>
          <w:tcPr>
            <w:tcW w:w="2380" w:type="dxa"/>
            <w:vAlign w:val="bottom"/>
          </w:tcPr>
          <w:p>
            <w:pPr>
              <w:jc w:val="right"/>
              <w:spacing w:after="0"/>
              <w:rPr>
                <w:sz w:val="20"/>
                <w:szCs w:val="20"/>
                <w:color w:val="auto"/>
              </w:rPr>
            </w:pPr>
            <w:r>
              <w:rPr>
                <w:rFonts w:ascii="Arial" w:cs="Arial" w:eastAsia="Arial" w:hAnsi="Arial"/>
                <w:sz w:val="12"/>
                <w:szCs w:val="12"/>
                <w:color w:val="auto"/>
              </w:rPr>
              <w:t>36</w:t>
            </w:r>
          </w:p>
        </w:tc>
      </w:tr>
      <w:tr>
        <w:trPr>
          <w:trHeight w:val="187"/>
        </w:trPr>
        <w:tc>
          <w:tcPr>
            <w:tcW w:w="5740" w:type="dxa"/>
            <w:vAlign w:val="bottom"/>
            <w:tcBorders>
              <w:top w:val="single" w:sz="8" w:color="0000EE"/>
            </w:tcBorders>
            <w:gridSpan w:val="24"/>
          </w:tcPr>
          <w:p>
            <w:pPr>
              <w:spacing w:after="0"/>
              <w:rPr>
                <w:rFonts w:ascii="Arial" w:cs="Arial" w:eastAsia="Arial" w:hAnsi="Arial"/>
                <w:sz w:val="12"/>
                <w:szCs w:val="12"/>
                <w:color w:val="0000EE"/>
              </w:rPr>
            </w:pPr>
            <w:hyperlink w:anchor="page39">
              <w:r>
                <w:rPr>
                  <w:rFonts w:ascii="Arial" w:cs="Arial" w:eastAsia="Arial" w:hAnsi="Arial"/>
                  <w:sz w:val="12"/>
                  <w:szCs w:val="12"/>
                  <w:color w:val="0000EE"/>
                </w:rPr>
                <w:t>Item 6. Selected Financial Data</w:t>
              </w:r>
            </w:hyperlink>
          </w:p>
        </w:tc>
        <w:tc>
          <w:tcPr>
            <w:tcW w:w="3360" w:type="dxa"/>
            <w:vAlign w:val="bottom"/>
          </w:tcPr>
          <w:p>
            <w:pPr>
              <w:spacing w:after="0"/>
              <w:rPr>
                <w:sz w:val="16"/>
                <w:szCs w:val="16"/>
                <w:color w:val="auto"/>
              </w:rPr>
            </w:pPr>
          </w:p>
        </w:tc>
        <w:tc>
          <w:tcPr>
            <w:tcW w:w="2380" w:type="dxa"/>
            <w:vAlign w:val="bottom"/>
          </w:tcPr>
          <w:p>
            <w:pPr>
              <w:jc w:val="right"/>
              <w:spacing w:after="0"/>
              <w:rPr>
                <w:sz w:val="20"/>
                <w:szCs w:val="20"/>
                <w:color w:val="auto"/>
              </w:rPr>
            </w:pPr>
            <w:r>
              <w:rPr>
                <w:rFonts w:ascii="Arial" w:cs="Arial" w:eastAsia="Arial" w:hAnsi="Arial"/>
                <w:sz w:val="12"/>
                <w:szCs w:val="12"/>
                <w:color w:val="auto"/>
              </w:rPr>
              <w:t>38</w:t>
            </w:r>
          </w:p>
        </w:tc>
      </w:tr>
      <w:tr>
        <w:trPr>
          <w:trHeight w:val="20"/>
        </w:trPr>
        <w:tc>
          <w:tcPr>
            <w:tcW w:w="44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20" w:type="dxa"/>
            <w:vAlign w:val="bottom"/>
            <w:gridSpan w:val="2"/>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187"/>
        </w:trPr>
        <w:tc>
          <w:tcPr>
            <w:tcW w:w="9100" w:type="dxa"/>
            <w:vAlign w:val="bottom"/>
            <w:gridSpan w:val="25"/>
          </w:tcPr>
          <w:p>
            <w:pPr>
              <w:spacing w:after="0"/>
              <w:rPr>
                <w:rFonts w:ascii="Arial" w:cs="Arial" w:eastAsia="Arial" w:hAnsi="Arial"/>
                <w:sz w:val="12"/>
                <w:szCs w:val="12"/>
                <w:color w:val="0000EE"/>
              </w:rPr>
            </w:pPr>
            <w:hyperlink w:anchor="page45">
              <w:r>
                <w:rPr>
                  <w:rFonts w:ascii="Arial" w:cs="Arial" w:eastAsia="Arial" w:hAnsi="Arial"/>
                  <w:sz w:val="12"/>
                  <w:szCs w:val="12"/>
                  <w:color w:val="0000EE"/>
                </w:rPr>
                <w:t>Item 7. Management’s Discussion and Analysis of Financial Condition and Results of Operations</w:t>
              </w:r>
            </w:hyperlink>
          </w:p>
        </w:tc>
        <w:tc>
          <w:tcPr>
            <w:tcW w:w="2380" w:type="dxa"/>
            <w:vAlign w:val="bottom"/>
          </w:tcPr>
          <w:p>
            <w:pPr>
              <w:jc w:val="right"/>
              <w:spacing w:after="0"/>
              <w:rPr>
                <w:sz w:val="20"/>
                <w:szCs w:val="20"/>
                <w:color w:val="auto"/>
              </w:rPr>
            </w:pPr>
            <w:r>
              <w:rPr>
                <w:rFonts w:ascii="Arial" w:cs="Arial" w:eastAsia="Arial" w:hAnsi="Arial"/>
                <w:sz w:val="12"/>
                <w:szCs w:val="12"/>
                <w:color w:val="auto"/>
              </w:rPr>
              <w:t>44</w:t>
            </w:r>
          </w:p>
        </w:tc>
      </w:tr>
      <w:tr>
        <w:trPr>
          <w:trHeight w:val="187"/>
        </w:trPr>
        <w:tc>
          <w:tcPr>
            <w:tcW w:w="3360" w:type="dxa"/>
            <w:vAlign w:val="bottom"/>
            <w:tcBorders>
              <w:top w:val="single" w:sz="8" w:color="0000EE"/>
              <w:bottom w:val="single" w:sz="8" w:color="0000EE"/>
            </w:tcBorders>
            <w:gridSpan w:val="19"/>
          </w:tcPr>
          <w:p>
            <w:pPr>
              <w:spacing w:after="0"/>
              <w:rPr>
                <w:rFonts w:ascii="Arial" w:cs="Arial" w:eastAsia="Arial" w:hAnsi="Arial"/>
                <w:sz w:val="12"/>
                <w:szCs w:val="12"/>
                <w:color w:val="0000EE"/>
                <w:w w:val="92"/>
              </w:rPr>
            </w:pPr>
            <w:hyperlink w:anchor="page64">
              <w:r>
                <w:rPr>
                  <w:rFonts w:ascii="Arial" w:cs="Arial" w:eastAsia="Arial" w:hAnsi="Arial"/>
                  <w:sz w:val="12"/>
                  <w:szCs w:val="12"/>
                  <w:color w:val="0000EE"/>
                  <w:w w:val="92"/>
                </w:rPr>
                <w:t>Item 7A. Quantitative and Qualitative Disclosures About Market Risk</w:t>
              </w:r>
            </w:hyperlink>
          </w:p>
        </w:tc>
        <w:tc>
          <w:tcPr>
            <w:tcW w:w="1300" w:type="dxa"/>
            <w:vAlign w:val="bottom"/>
            <w:tcBorders>
              <w:top w:val="single" w:sz="8" w:color="0000EE"/>
            </w:tcBorders>
            <w:gridSpan w:val="2"/>
          </w:tcPr>
          <w:p>
            <w:pPr>
              <w:spacing w:after="0"/>
              <w:rPr>
                <w:sz w:val="16"/>
                <w:szCs w:val="16"/>
                <w:color w:val="auto"/>
              </w:rPr>
            </w:pPr>
          </w:p>
        </w:tc>
        <w:tc>
          <w:tcPr>
            <w:tcW w:w="4440" w:type="dxa"/>
            <w:vAlign w:val="bottom"/>
            <w:gridSpan w:val="4"/>
          </w:tcPr>
          <w:p>
            <w:pPr>
              <w:spacing w:after="0"/>
              <w:rPr>
                <w:sz w:val="16"/>
                <w:szCs w:val="16"/>
                <w:color w:val="auto"/>
              </w:rPr>
            </w:pPr>
          </w:p>
        </w:tc>
        <w:tc>
          <w:tcPr>
            <w:tcW w:w="2380" w:type="dxa"/>
            <w:vAlign w:val="bottom"/>
          </w:tcPr>
          <w:p>
            <w:pPr>
              <w:jc w:val="right"/>
              <w:spacing w:after="0"/>
              <w:rPr>
                <w:sz w:val="20"/>
                <w:szCs w:val="20"/>
                <w:color w:val="auto"/>
              </w:rPr>
            </w:pPr>
            <w:r>
              <w:rPr>
                <w:rFonts w:ascii="Arial" w:cs="Arial" w:eastAsia="Arial" w:hAnsi="Arial"/>
                <w:sz w:val="12"/>
                <w:szCs w:val="12"/>
                <w:color w:val="auto"/>
              </w:rPr>
              <w:t>63</w:t>
            </w:r>
          </w:p>
        </w:tc>
      </w:tr>
      <w:tr>
        <w:trPr>
          <w:trHeight w:val="187"/>
        </w:trPr>
        <w:tc>
          <w:tcPr>
            <w:tcW w:w="9100" w:type="dxa"/>
            <w:vAlign w:val="bottom"/>
            <w:gridSpan w:val="25"/>
          </w:tcPr>
          <w:p>
            <w:pPr>
              <w:spacing w:after="0"/>
              <w:rPr>
                <w:rFonts w:ascii="Arial" w:cs="Arial" w:eastAsia="Arial" w:hAnsi="Arial"/>
                <w:sz w:val="12"/>
                <w:szCs w:val="12"/>
                <w:color w:val="0000EE"/>
              </w:rPr>
            </w:pPr>
            <w:hyperlink w:anchor="page64">
              <w:r>
                <w:rPr>
                  <w:rFonts w:ascii="Arial" w:cs="Arial" w:eastAsia="Arial" w:hAnsi="Arial"/>
                  <w:sz w:val="12"/>
                  <w:szCs w:val="12"/>
                  <w:color w:val="0000EE"/>
                </w:rPr>
                <w:t>Item 8. Financial Statements and Supplementary Data</w:t>
              </w:r>
            </w:hyperlink>
          </w:p>
        </w:tc>
        <w:tc>
          <w:tcPr>
            <w:tcW w:w="2380" w:type="dxa"/>
            <w:vAlign w:val="bottom"/>
          </w:tcPr>
          <w:p>
            <w:pPr>
              <w:jc w:val="right"/>
              <w:spacing w:after="0"/>
              <w:rPr>
                <w:sz w:val="20"/>
                <w:szCs w:val="20"/>
                <w:color w:val="auto"/>
              </w:rPr>
            </w:pPr>
            <w:r>
              <w:rPr>
                <w:rFonts w:ascii="Arial" w:cs="Arial" w:eastAsia="Arial" w:hAnsi="Arial"/>
                <w:sz w:val="12"/>
                <w:szCs w:val="12"/>
                <w:color w:val="auto"/>
              </w:rPr>
              <w:t>63</w:t>
            </w:r>
          </w:p>
        </w:tc>
      </w:tr>
      <w:tr>
        <w:trPr>
          <w:trHeight w:val="20"/>
        </w:trPr>
        <w:tc>
          <w:tcPr>
            <w:tcW w:w="44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20" w:type="dxa"/>
            <w:vAlign w:val="bottom"/>
            <w:gridSpan w:val="2"/>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187"/>
        </w:trPr>
        <w:tc>
          <w:tcPr>
            <w:tcW w:w="9100" w:type="dxa"/>
            <w:vAlign w:val="bottom"/>
            <w:gridSpan w:val="25"/>
          </w:tcPr>
          <w:p>
            <w:pPr>
              <w:spacing w:after="0"/>
              <w:rPr>
                <w:rFonts w:ascii="Arial" w:cs="Arial" w:eastAsia="Arial" w:hAnsi="Arial"/>
                <w:sz w:val="12"/>
                <w:szCs w:val="12"/>
                <w:color w:val="0000EE"/>
              </w:rPr>
            </w:pPr>
            <w:hyperlink w:anchor="page109">
              <w:r>
                <w:rPr>
                  <w:rFonts w:ascii="Arial" w:cs="Arial" w:eastAsia="Arial" w:hAnsi="Arial"/>
                  <w:sz w:val="12"/>
                  <w:szCs w:val="12"/>
                  <w:color w:val="0000EE"/>
                </w:rPr>
                <w:t>Item 9. Changes in and Disagreements with Accountants on Accounting and Financial Disclosure</w:t>
              </w:r>
            </w:hyperlink>
          </w:p>
        </w:tc>
        <w:tc>
          <w:tcPr>
            <w:tcW w:w="2380" w:type="dxa"/>
            <w:vAlign w:val="bottom"/>
          </w:tcPr>
          <w:p>
            <w:pPr>
              <w:jc w:val="right"/>
              <w:spacing w:after="0"/>
              <w:rPr>
                <w:sz w:val="20"/>
                <w:szCs w:val="20"/>
                <w:color w:val="auto"/>
              </w:rPr>
            </w:pPr>
            <w:r>
              <w:rPr>
                <w:rFonts w:ascii="Arial" w:cs="Arial" w:eastAsia="Arial" w:hAnsi="Arial"/>
                <w:sz w:val="12"/>
                <w:szCs w:val="12"/>
                <w:color w:val="auto"/>
              </w:rPr>
              <w:t>108</w:t>
            </w:r>
          </w:p>
        </w:tc>
      </w:tr>
      <w:tr>
        <w:trPr>
          <w:trHeight w:val="187"/>
        </w:trPr>
        <w:tc>
          <w:tcPr>
            <w:tcW w:w="1640" w:type="dxa"/>
            <w:vAlign w:val="bottom"/>
            <w:tcBorders>
              <w:top w:val="single" w:sz="8" w:color="0000EE"/>
              <w:bottom w:val="single" w:sz="8" w:color="0000EE"/>
            </w:tcBorders>
            <w:gridSpan w:val="13"/>
          </w:tcPr>
          <w:p>
            <w:pPr>
              <w:spacing w:after="0"/>
              <w:rPr>
                <w:rFonts w:ascii="Arial" w:cs="Arial" w:eastAsia="Arial" w:hAnsi="Arial"/>
                <w:sz w:val="12"/>
                <w:szCs w:val="12"/>
                <w:color w:val="0000EE"/>
                <w:w w:val="89"/>
              </w:rPr>
            </w:pPr>
            <w:hyperlink w:anchor="page109">
              <w:r>
                <w:rPr>
                  <w:rFonts w:ascii="Arial" w:cs="Arial" w:eastAsia="Arial" w:hAnsi="Arial"/>
                  <w:sz w:val="12"/>
                  <w:szCs w:val="12"/>
                  <w:color w:val="0000EE"/>
                  <w:w w:val="89"/>
                </w:rPr>
                <w:t>Item 9A. Controls and Procedures</w:t>
              </w:r>
            </w:hyperlink>
          </w:p>
        </w:tc>
        <w:tc>
          <w:tcPr>
            <w:tcW w:w="3040" w:type="dxa"/>
            <w:vAlign w:val="bottom"/>
            <w:tcBorders>
              <w:top w:val="single" w:sz="8" w:color="0000EE"/>
            </w:tcBorders>
            <w:gridSpan w:val="9"/>
          </w:tcPr>
          <w:p>
            <w:pPr>
              <w:spacing w:after="0"/>
              <w:rPr>
                <w:sz w:val="16"/>
                <w:szCs w:val="16"/>
                <w:color w:val="auto"/>
              </w:rPr>
            </w:pPr>
          </w:p>
        </w:tc>
        <w:tc>
          <w:tcPr>
            <w:tcW w:w="4420" w:type="dxa"/>
            <w:vAlign w:val="bottom"/>
            <w:gridSpan w:val="3"/>
          </w:tcPr>
          <w:p>
            <w:pPr>
              <w:spacing w:after="0"/>
              <w:rPr>
                <w:sz w:val="16"/>
                <w:szCs w:val="16"/>
                <w:color w:val="auto"/>
              </w:rPr>
            </w:pPr>
          </w:p>
        </w:tc>
        <w:tc>
          <w:tcPr>
            <w:tcW w:w="2380" w:type="dxa"/>
            <w:vAlign w:val="bottom"/>
          </w:tcPr>
          <w:p>
            <w:pPr>
              <w:jc w:val="right"/>
              <w:spacing w:after="0"/>
              <w:rPr>
                <w:sz w:val="20"/>
                <w:szCs w:val="20"/>
                <w:color w:val="auto"/>
              </w:rPr>
            </w:pPr>
            <w:r>
              <w:rPr>
                <w:rFonts w:ascii="Arial" w:cs="Arial" w:eastAsia="Arial" w:hAnsi="Arial"/>
                <w:sz w:val="12"/>
                <w:szCs w:val="12"/>
                <w:color w:val="auto"/>
              </w:rPr>
              <w:t>108</w:t>
            </w:r>
          </w:p>
        </w:tc>
      </w:tr>
      <w:tr>
        <w:trPr>
          <w:trHeight w:val="187"/>
        </w:trPr>
        <w:tc>
          <w:tcPr>
            <w:tcW w:w="1320" w:type="dxa"/>
            <w:vAlign w:val="bottom"/>
            <w:tcBorders>
              <w:bottom w:val="single" w:sz="8" w:color="0000EE"/>
            </w:tcBorders>
            <w:gridSpan w:val="9"/>
          </w:tcPr>
          <w:p>
            <w:pPr>
              <w:spacing w:after="0"/>
              <w:rPr>
                <w:rFonts w:ascii="Arial" w:cs="Arial" w:eastAsia="Arial" w:hAnsi="Arial"/>
                <w:sz w:val="12"/>
                <w:szCs w:val="12"/>
                <w:color w:val="0000EE"/>
                <w:w w:val="91"/>
              </w:rPr>
            </w:pPr>
            <w:hyperlink w:anchor="page110">
              <w:r>
                <w:rPr>
                  <w:rFonts w:ascii="Arial" w:cs="Arial" w:eastAsia="Arial" w:hAnsi="Arial"/>
                  <w:sz w:val="12"/>
                  <w:szCs w:val="12"/>
                  <w:color w:val="0000EE"/>
                  <w:w w:val="91"/>
                </w:rPr>
                <w:t>Item 9B. Other Information</w:t>
              </w:r>
            </w:hyperlink>
          </w:p>
        </w:tc>
        <w:tc>
          <w:tcPr>
            <w:tcW w:w="7780" w:type="dxa"/>
            <w:vAlign w:val="bottom"/>
            <w:gridSpan w:val="16"/>
          </w:tcPr>
          <w:p>
            <w:pPr>
              <w:spacing w:after="0"/>
              <w:rPr>
                <w:sz w:val="16"/>
                <w:szCs w:val="16"/>
                <w:color w:val="auto"/>
              </w:rPr>
            </w:pPr>
          </w:p>
        </w:tc>
        <w:tc>
          <w:tcPr>
            <w:tcW w:w="2380" w:type="dxa"/>
            <w:vAlign w:val="bottom"/>
          </w:tcPr>
          <w:p>
            <w:pPr>
              <w:jc w:val="right"/>
              <w:spacing w:after="0"/>
              <w:rPr>
                <w:sz w:val="20"/>
                <w:szCs w:val="20"/>
                <w:color w:val="auto"/>
              </w:rPr>
            </w:pPr>
            <w:r>
              <w:rPr>
                <w:rFonts w:ascii="Arial" w:cs="Arial" w:eastAsia="Arial" w:hAnsi="Arial"/>
                <w:sz w:val="12"/>
                <w:szCs w:val="12"/>
                <w:color w:val="auto"/>
              </w:rPr>
              <w:t>109</w:t>
            </w:r>
          </w:p>
        </w:tc>
      </w:tr>
      <w:tr>
        <w:trPr>
          <w:trHeight w:val="187"/>
        </w:trPr>
        <w:tc>
          <w:tcPr>
            <w:tcW w:w="440" w:type="dxa"/>
            <w:vAlign w:val="bottom"/>
            <w:tcBorders>
              <w:bottom w:val="single" w:sz="8" w:color="0000EE"/>
            </w:tcBorders>
            <w:gridSpan w:val="3"/>
          </w:tcPr>
          <w:p>
            <w:pPr>
              <w:spacing w:after="0"/>
              <w:rPr>
                <w:rFonts w:ascii="Arial" w:cs="Arial" w:eastAsia="Arial" w:hAnsi="Arial"/>
                <w:sz w:val="12"/>
                <w:szCs w:val="12"/>
                <w:color w:val="0000EE"/>
                <w:w w:val="92"/>
              </w:rPr>
            </w:pPr>
            <w:hyperlink w:anchor="page111">
              <w:r>
                <w:rPr>
                  <w:rFonts w:ascii="Arial" w:cs="Arial" w:eastAsia="Arial" w:hAnsi="Arial"/>
                  <w:sz w:val="12"/>
                  <w:szCs w:val="12"/>
                  <w:color w:val="0000EE"/>
                  <w:w w:val="92"/>
                </w:rPr>
                <w:t>PART III</w:t>
              </w:r>
            </w:hyperlink>
          </w:p>
        </w:tc>
        <w:tc>
          <w:tcPr>
            <w:tcW w:w="8660" w:type="dxa"/>
            <w:vAlign w:val="bottom"/>
            <w:gridSpan w:val="22"/>
          </w:tcPr>
          <w:p>
            <w:pPr>
              <w:spacing w:after="0"/>
              <w:rPr>
                <w:sz w:val="16"/>
                <w:szCs w:val="16"/>
                <w:color w:val="auto"/>
              </w:rPr>
            </w:pPr>
          </w:p>
        </w:tc>
        <w:tc>
          <w:tcPr>
            <w:tcW w:w="2380" w:type="dxa"/>
            <w:vAlign w:val="bottom"/>
          </w:tcPr>
          <w:p>
            <w:pPr>
              <w:jc w:val="right"/>
              <w:spacing w:after="0"/>
              <w:rPr>
                <w:sz w:val="20"/>
                <w:szCs w:val="20"/>
                <w:color w:val="auto"/>
              </w:rPr>
            </w:pPr>
            <w:r>
              <w:rPr>
                <w:rFonts w:ascii="Arial" w:cs="Arial" w:eastAsia="Arial" w:hAnsi="Arial"/>
                <w:sz w:val="12"/>
                <w:szCs w:val="12"/>
                <w:color w:val="auto"/>
              </w:rPr>
              <w:t>110</w:t>
            </w:r>
          </w:p>
        </w:tc>
      </w:tr>
      <w:tr>
        <w:trPr>
          <w:trHeight w:val="187"/>
        </w:trPr>
        <w:tc>
          <w:tcPr>
            <w:tcW w:w="3160" w:type="dxa"/>
            <w:vAlign w:val="bottom"/>
            <w:tcBorders>
              <w:bottom w:val="single" w:sz="8" w:color="0000EE"/>
            </w:tcBorders>
            <w:gridSpan w:val="18"/>
          </w:tcPr>
          <w:p>
            <w:pPr>
              <w:spacing w:after="0"/>
              <w:rPr>
                <w:rFonts w:ascii="Arial" w:cs="Arial" w:eastAsia="Arial" w:hAnsi="Arial"/>
                <w:sz w:val="12"/>
                <w:szCs w:val="12"/>
                <w:color w:val="0000EE"/>
                <w:w w:val="90"/>
              </w:rPr>
            </w:pPr>
            <w:hyperlink w:anchor="page111">
              <w:r>
                <w:rPr>
                  <w:rFonts w:ascii="Arial" w:cs="Arial" w:eastAsia="Arial" w:hAnsi="Arial"/>
                  <w:sz w:val="12"/>
                  <w:szCs w:val="12"/>
                  <w:color w:val="0000EE"/>
                  <w:w w:val="90"/>
                </w:rPr>
                <w:t>Item 10. Directors, Executive Officers and Corporate Governance</w:t>
              </w:r>
            </w:hyperlink>
          </w:p>
        </w:tc>
        <w:tc>
          <w:tcPr>
            <w:tcW w:w="5940" w:type="dxa"/>
            <w:vAlign w:val="bottom"/>
            <w:gridSpan w:val="7"/>
          </w:tcPr>
          <w:p>
            <w:pPr>
              <w:spacing w:after="0"/>
              <w:rPr>
                <w:sz w:val="16"/>
                <w:szCs w:val="16"/>
                <w:color w:val="auto"/>
              </w:rPr>
            </w:pPr>
          </w:p>
        </w:tc>
        <w:tc>
          <w:tcPr>
            <w:tcW w:w="2380" w:type="dxa"/>
            <w:vAlign w:val="bottom"/>
          </w:tcPr>
          <w:p>
            <w:pPr>
              <w:jc w:val="right"/>
              <w:spacing w:after="0"/>
              <w:rPr>
                <w:sz w:val="20"/>
                <w:szCs w:val="20"/>
                <w:color w:val="auto"/>
              </w:rPr>
            </w:pPr>
            <w:r>
              <w:rPr>
                <w:rFonts w:ascii="Arial" w:cs="Arial" w:eastAsia="Arial" w:hAnsi="Arial"/>
                <w:sz w:val="12"/>
                <w:szCs w:val="12"/>
                <w:color w:val="auto"/>
              </w:rPr>
              <w:t>110</w:t>
            </w:r>
          </w:p>
        </w:tc>
      </w:tr>
      <w:tr>
        <w:trPr>
          <w:trHeight w:val="187"/>
        </w:trPr>
        <w:tc>
          <w:tcPr>
            <w:tcW w:w="9100" w:type="dxa"/>
            <w:vAlign w:val="bottom"/>
            <w:gridSpan w:val="25"/>
          </w:tcPr>
          <w:p>
            <w:pPr>
              <w:spacing w:after="0"/>
              <w:rPr>
                <w:rFonts w:ascii="Arial" w:cs="Arial" w:eastAsia="Arial" w:hAnsi="Arial"/>
                <w:sz w:val="12"/>
                <w:szCs w:val="12"/>
                <w:color w:val="0000EE"/>
              </w:rPr>
            </w:pPr>
            <w:hyperlink w:anchor="page111">
              <w:r>
                <w:rPr>
                  <w:rFonts w:ascii="Arial" w:cs="Arial" w:eastAsia="Arial" w:hAnsi="Arial"/>
                  <w:sz w:val="12"/>
                  <w:szCs w:val="12"/>
                  <w:color w:val="0000EE"/>
                </w:rPr>
                <w:t>Item 11. Executive Compensation</w:t>
              </w:r>
            </w:hyperlink>
          </w:p>
        </w:tc>
        <w:tc>
          <w:tcPr>
            <w:tcW w:w="2380" w:type="dxa"/>
            <w:vAlign w:val="bottom"/>
          </w:tcPr>
          <w:p>
            <w:pPr>
              <w:jc w:val="right"/>
              <w:spacing w:after="0"/>
              <w:rPr>
                <w:sz w:val="20"/>
                <w:szCs w:val="20"/>
                <w:color w:val="auto"/>
              </w:rPr>
            </w:pPr>
            <w:r>
              <w:rPr>
                <w:rFonts w:ascii="Arial" w:cs="Arial" w:eastAsia="Arial" w:hAnsi="Arial"/>
                <w:sz w:val="12"/>
                <w:szCs w:val="12"/>
                <w:color w:val="auto"/>
              </w:rPr>
              <w:t>110</w:t>
            </w:r>
          </w:p>
        </w:tc>
      </w:tr>
      <w:tr>
        <w:trPr>
          <w:trHeight w:val="20"/>
        </w:trPr>
        <w:tc>
          <w:tcPr>
            <w:tcW w:w="44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00" w:type="dxa"/>
            <w:vAlign w:val="bottom"/>
            <w:gridSpan w:val="4"/>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3820" w:type="dxa"/>
            <w:vAlign w:val="bottom"/>
            <w:gridSpan w:val="2"/>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187"/>
        </w:trPr>
        <w:tc>
          <w:tcPr>
            <w:tcW w:w="9100" w:type="dxa"/>
            <w:vAlign w:val="bottom"/>
            <w:gridSpan w:val="25"/>
          </w:tcPr>
          <w:p>
            <w:pPr>
              <w:spacing w:after="0"/>
              <w:rPr>
                <w:rFonts w:ascii="Arial" w:cs="Arial" w:eastAsia="Arial" w:hAnsi="Arial"/>
                <w:sz w:val="12"/>
                <w:szCs w:val="12"/>
                <w:color w:val="0000EE"/>
              </w:rPr>
            </w:pPr>
            <w:hyperlink w:anchor="page111">
              <w:r>
                <w:rPr>
                  <w:rFonts w:ascii="Arial" w:cs="Arial" w:eastAsia="Arial" w:hAnsi="Arial"/>
                  <w:sz w:val="12"/>
                  <w:szCs w:val="12"/>
                  <w:color w:val="0000EE"/>
                </w:rPr>
                <w:t>Item 12. Security Ownership of Certain Beneficial Owners and Management and Related Stockholder Matters</w:t>
              </w:r>
            </w:hyperlink>
          </w:p>
        </w:tc>
        <w:tc>
          <w:tcPr>
            <w:tcW w:w="2380" w:type="dxa"/>
            <w:vAlign w:val="bottom"/>
          </w:tcPr>
          <w:p>
            <w:pPr>
              <w:jc w:val="right"/>
              <w:spacing w:after="0"/>
              <w:rPr>
                <w:sz w:val="20"/>
                <w:szCs w:val="20"/>
                <w:color w:val="auto"/>
              </w:rPr>
            </w:pPr>
            <w:r>
              <w:rPr>
                <w:rFonts w:ascii="Arial" w:cs="Arial" w:eastAsia="Arial" w:hAnsi="Arial"/>
                <w:sz w:val="12"/>
                <w:szCs w:val="12"/>
                <w:color w:val="auto"/>
              </w:rPr>
              <w:t>110</w:t>
            </w:r>
          </w:p>
        </w:tc>
      </w:tr>
      <w:tr>
        <w:trPr>
          <w:trHeight w:val="187"/>
        </w:trPr>
        <w:tc>
          <w:tcPr>
            <w:tcW w:w="4060" w:type="dxa"/>
            <w:vAlign w:val="bottom"/>
            <w:tcBorders>
              <w:top w:val="single" w:sz="8" w:color="0000EE"/>
              <w:bottom w:val="single" w:sz="8" w:color="0000EE"/>
            </w:tcBorders>
            <w:gridSpan w:val="20"/>
          </w:tcPr>
          <w:p>
            <w:pPr>
              <w:spacing w:after="0"/>
              <w:rPr>
                <w:rFonts w:ascii="Arial" w:cs="Arial" w:eastAsia="Arial" w:hAnsi="Arial"/>
                <w:sz w:val="12"/>
                <w:szCs w:val="12"/>
                <w:color w:val="0000EE"/>
                <w:w w:val="89"/>
              </w:rPr>
            </w:pPr>
            <w:hyperlink w:anchor="page111">
              <w:r>
                <w:rPr>
                  <w:rFonts w:ascii="Arial" w:cs="Arial" w:eastAsia="Arial" w:hAnsi="Arial"/>
                  <w:sz w:val="12"/>
                  <w:szCs w:val="12"/>
                  <w:color w:val="0000EE"/>
                  <w:w w:val="89"/>
                </w:rPr>
                <w:t>Item 13. Certain Relationships and Related Transactions, and Director Independence</w:t>
              </w:r>
            </w:hyperlink>
          </w:p>
        </w:tc>
        <w:tc>
          <w:tcPr>
            <w:tcW w:w="1220" w:type="dxa"/>
            <w:vAlign w:val="bottom"/>
            <w:tcBorders>
              <w:top w:val="single" w:sz="8" w:color="0000EE"/>
            </w:tcBorders>
            <w:gridSpan w:val="3"/>
          </w:tcPr>
          <w:p>
            <w:pPr>
              <w:spacing w:after="0"/>
              <w:rPr>
                <w:sz w:val="16"/>
                <w:szCs w:val="16"/>
                <w:color w:val="auto"/>
              </w:rPr>
            </w:pPr>
          </w:p>
        </w:tc>
        <w:tc>
          <w:tcPr>
            <w:tcW w:w="3820" w:type="dxa"/>
            <w:vAlign w:val="bottom"/>
            <w:gridSpan w:val="2"/>
          </w:tcPr>
          <w:p>
            <w:pPr>
              <w:spacing w:after="0"/>
              <w:rPr>
                <w:sz w:val="16"/>
                <w:szCs w:val="16"/>
                <w:color w:val="auto"/>
              </w:rPr>
            </w:pPr>
          </w:p>
        </w:tc>
        <w:tc>
          <w:tcPr>
            <w:tcW w:w="2380" w:type="dxa"/>
            <w:vAlign w:val="bottom"/>
          </w:tcPr>
          <w:p>
            <w:pPr>
              <w:jc w:val="right"/>
              <w:spacing w:after="0"/>
              <w:rPr>
                <w:sz w:val="20"/>
                <w:szCs w:val="20"/>
                <w:color w:val="auto"/>
              </w:rPr>
            </w:pPr>
            <w:r>
              <w:rPr>
                <w:rFonts w:ascii="Arial" w:cs="Arial" w:eastAsia="Arial" w:hAnsi="Arial"/>
                <w:sz w:val="12"/>
                <w:szCs w:val="12"/>
                <w:color w:val="auto"/>
              </w:rPr>
              <w:t>110</w:t>
            </w:r>
          </w:p>
        </w:tc>
      </w:tr>
      <w:tr>
        <w:trPr>
          <w:trHeight w:val="187"/>
        </w:trPr>
        <w:tc>
          <w:tcPr>
            <w:tcW w:w="2340" w:type="dxa"/>
            <w:vAlign w:val="bottom"/>
            <w:tcBorders>
              <w:bottom w:val="single" w:sz="8" w:color="0000EE"/>
            </w:tcBorders>
            <w:gridSpan w:val="15"/>
          </w:tcPr>
          <w:p>
            <w:pPr>
              <w:spacing w:after="0"/>
              <w:rPr>
                <w:rFonts w:ascii="Arial" w:cs="Arial" w:eastAsia="Arial" w:hAnsi="Arial"/>
                <w:sz w:val="12"/>
                <w:szCs w:val="12"/>
                <w:color w:val="0000EE"/>
                <w:w w:val="89"/>
              </w:rPr>
            </w:pPr>
            <w:hyperlink w:anchor="page111">
              <w:r>
                <w:rPr>
                  <w:rFonts w:ascii="Arial" w:cs="Arial" w:eastAsia="Arial" w:hAnsi="Arial"/>
                  <w:sz w:val="12"/>
                  <w:szCs w:val="12"/>
                  <w:color w:val="0000EE"/>
                  <w:w w:val="89"/>
                </w:rPr>
                <w:t>Item 14. Principal Accounting Fees and Services</w:t>
              </w:r>
            </w:hyperlink>
          </w:p>
        </w:tc>
        <w:tc>
          <w:tcPr>
            <w:tcW w:w="6760" w:type="dxa"/>
            <w:vAlign w:val="bottom"/>
            <w:gridSpan w:val="10"/>
          </w:tcPr>
          <w:p>
            <w:pPr>
              <w:spacing w:after="0"/>
              <w:rPr>
                <w:sz w:val="16"/>
                <w:szCs w:val="16"/>
                <w:color w:val="auto"/>
              </w:rPr>
            </w:pPr>
          </w:p>
        </w:tc>
        <w:tc>
          <w:tcPr>
            <w:tcW w:w="2380" w:type="dxa"/>
            <w:vAlign w:val="bottom"/>
          </w:tcPr>
          <w:p>
            <w:pPr>
              <w:jc w:val="right"/>
              <w:spacing w:after="0"/>
              <w:rPr>
                <w:sz w:val="20"/>
                <w:szCs w:val="20"/>
                <w:color w:val="auto"/>
              </w:rPr>
            </w:pPr>
            <w:r>
              <w:rPr>
                <w:rFonts w:ascii="Arial" w:cs="Arial" w:eastAsia="Arial" w:hAnsi="Arial"/>
                <w:sz w:val="12"/>
                <w:szCs w:val="12"/>
                <w:color w:val="auto"/>
              </w:rPr>
              <w:t>110</w:t>
            </w:r>
          </w:p>
        </w:tc>
      </w:tr>
      <w:tr>
        <w:trPr>
          <w:trHeight w:val="187"/>
        </w:trPr>
        <w:tc>
          <w:tcPr>
            <w:tcW w:w="440" w:type="dxa"/>
            <w:vAlign w:val="bottom"/>
            <w:tcBorders>
              <w:bottom w:val="single" w:sz="8" w:color="0000EE"/>
            </w:tcBorders>
            <w:gridSpan w:val="3"/>
          </w:tcPr>
          <w:p>
            <w:pPr>
              <w:spacing w:after="0"/>
              <w:rPr>
                <w:rFonts w:ascii="Arial" w:cs="Arial" w:eastAsia="Arial" w:hAnsi="Arial"/>
                <w:sz w:val="12"/>
                <w:szCs w:val="12"/>
                <w:color w:val="0000EE"/>
                <w:w w:val="89"/>
              </w:rPr>
            </w:pPr>
            <w:hyperlink w:anchor="page112">
              <w:r>
                <w:rPr>
                  <w:rFonts w:ascii="Arial" w:cs="Arial" w:eastAsia="Arial" w:hAnsi="Arial"/>
                  <w:sz w:val="12"/>
                  <w:szCs w:val="12"/>
                  <w:color w:val="0000EE"/>
                  <w:w w:val="89"/>
                </w:rPr>
                <w:t>PART IV</w:t>
              </w:r>
            </w:hyperlink>
          </w:p>
        </w:tc>
        <w:tc>
          <w:tcPr>
            <w:tcW w:w="8660" w:type="dxa"/>
            <w:vAlign w:val="bottom"/>
            <w:gridSpan w:val="22"/>
          </w:tcPr>
          <w:p>
            <w:pPr>
              <w:spacing w:after="0"/>
              <w:rPr>
                <w:sz w:val="16"/>
                <w:szCs w:val="16"/>
                <w:color w:val="auto"/>
              </w:rPr>
            </w:pPr>
          </w:p>
        </w:tc>
        <w:tc>
          <w:tcPr>
            <w:tcW w:w="2380" w:type="dxa"/>
            <w:vAlign w:val="bottom"/>
          </w:tcPr>
          <w:p>
            <w:pPr>
              <w:jc w:val="right"/>
              <w:spacing w:after="0"/>
              <w:rPr>
                <w:sz w:val="20"/>
                <w:szCs w:val="20"/>
                <w:color w:val="auto"/>
              </w:rPr>
            </w:pPr>
            <w:r>
              <w:rPr>
                <w:rFonts w:ascii="Arial" w:cs="Arial" w:eastAsia="Arial" w:hAnsi="Arial"/>
                <w:sz w:val="12"/>
                <w:szCs w:val="12"/>
                <w:color w:val="auto"/>
              </w:rPr>
              <w:t>111</w:t>
            </w:r>
          </w:p>
        </w:tc>
      </w:tr>
      <w:tr>
        <w:trPr>
          <w:trHeight w:val="187"/>
        </w:trPr>
        <w:tc>
          <w:tcPr>
            <w:tcW w:w="2360" w:type="dxa"/>
            <w:vAlign w:val="bottom"/>
            <w:tcBorders>
              <w:bottom w:val="single" w:sz="8" w:color="0000EE"/>
            </w:tcBorders>
            <w:gridSpan w:val="16"/>
          </w:tcPr>
          <w:p>
            <w:pPr>
              <w:spacing w:after="0"/>
              <w:rPr>
                <w:rFonts w:ascii="Arial" w:cs="Arial" w:eastAsia="Arial" w:hAnsi="Arial"/>
                <w:sz w:val="12"/>
                <w:szCs w:val="12"/>
                <w:color w:val="0000EE"/>
                <w:w w:val="89"/>
              </w:rPr>
            </w:pPr>
            <w:hyperlink w:anchor="page112">
              <w:r>
                <w:rPr>
                  <w:rFonts w:ascii="Arial" w:cs="Arial" w:eastAsia="Arial" w:hAnsi="Arial"/>
                  <w:sz w:val="12"/>
                  <w:szCs w:val="12"/>
                  <w:color w:val="0000EE"/>
                  <w:w w:val="89"/>
                </w:rPr>
                <w:t>Item 15. Exhibits, Financial Statement Schedules</w:t>
              </w:r>
            </w:hyperlink>
          </w:p>
        </w:tc>
        <w:tc>
          <w:tcPr>
            <w:tcW w:w="6740" w:type="dxa"/>
            <w:vAlign w:val="bottom"/>
            <w:gridSpan w:val="9"/>
          </w:tcPr>
          <w:p>
            <w:pPr>
              <w:spacing w:after="0"/>
              <w:rPr>
                <w:sz w:val="16"/>
                <w:szCs w:val="16"/>
                <w:color w:val="auto"/>
              </w:rPr>
            </w:pPr>
          </w:p>
        </w:tc>
        <w:tc>
          <w:tcPr>
            <w:tcW w:w="2380" w:type="dxa"/>
            <w:vAlign w:val="bottom"/>
          </w:tcPr>
          <w:p>
            <w:pPr>
              <w:jc w:val="right"/>
              <w:spacing w:after="0"/>
              <w:rPr>
                <w:sz w:val="20"/>
                <w:szCs w:val="20"/>
                <w:color w:val="auto"/>
              </w:rPr>
            </w:pPr>
            <w:r>
              <w:rPr>
                <w:rFonts w:ascii="Arial" w:cs="Arial" w:eastAsia="Arial" w:hAnsi="Arial"/>
                <w:sz w:val="12"/>
                <w:szCs w:val="12"/>
                <w:color w:val="auto"/>
              </w:rPr>
              <w:t>111</w:t>
            </w:r>
          </w:p>
        </w:tc>
      </w:tr>
      <w:tr>
        <w:trPr>
          <w:trHeight w:val="187"/>
        </w:trPr>
        <w:tc>
          <w:tcPr>
            <w:tcW w:w="1500" w:type="dxa"/>
            <w:vAlign w:val="bottom"/>
            <w:tcBorders>
              <w:bottom w:val="single" w:sz="8" w:color="0000EE"/>
            </w:tcBorders>
            <w:gridSpan w:val="10"/>
          </w:tcPr>
          <w:p>
            <w:pPr>
              <w:spacing w:after="0"/>
              <w:rPr>
                <w:rFonts w:ascii="Arial" w:cs="Arial" w:eastAsia="Arial" w:hAnsi="Arial"/>
                <w:sz w:val="12"/>
                <w:szCs w:val="12"/>
                <w:color w:val="0000EE"/>
                <w:w w:val="92"/>
              </w:rPr>
            </w:pPr>
            <w:hyperlink w:anchor="page117">
              <w:r>
                <w:rPr>
                  <w:rFonts w:ascii="Arial" w:cs="Arial" w:eastAsia="Arial" w:hAnsi="Arial"/>
                  <w:sz w:val="12"/>
                  <w:szCs w:val="12"/>
                  <w:color w:val="0000EE"/>
                  <w:w w:val="92"/>
                </w:rPr>
                <w:t>Item 16. Form 10-K Summary</w:t>
              </w:r>
            </w:hyperlink>
          </w:p>
        </w:tc>
        <w:tc>
          <w:tcPr>
            <w:tcW w:w="7600" w:type="dxa"/>
            <w:vAlign w:val="bottom"/>
            <w:gridSpan w:val="15"/>
          </w:tcPr>
          <w:p>
            <w:pPr>
              <w:spacing w:after="0"/>
              <w:rPr>
                <w:sz w:val="16"/>
                <w:szCs w:val="16"/>
                <w:color w:val="auto"/>
              </w:rPr>
            </w:pPr>
          </w:p>
        </w:tc>
        <w:tc>
          <w:tcPr>
            <w:tcW w:w="2380" w:type="dxa"/>
            <w:vAlign w:val="bottom"/>
          </w:tcPr>
          <w:p>
            <w:pPr>
              <w:jc w:val="right"/>
              <w:spacing w:after="0"/>
              <w:rPr>
                <w:sz w:val="20"/>
                <w:szCs w:val="20"/>
                <w:color w:val="auto"/>
              </w:rPr>
            </w:pPr>
            <w:r>
              <w:rPr>
                <w:rFonts w:ascii="Arial" w:cs="Arial" w:eastAsia="Arial" w:hAnsi="Arial"/>
                <w:sz w:val="12"/>
                <w:szCs w:val="12"/>
                <w:color w:val="auto"/>
              </w:rPr>
              <w:t>116</w:t>
            </w:r>
          </w:p>
        </w:tc>
      </w:tr>
      <w:tr>
        <w:trPr>
          <w:trHeight w:val="187"/>
        </w:trPr>
        <w:tc>
          <w:tcPr>
            <w:tcW w:w="9100" w:type="dxa"/>
            <w:vAlign w:val="bottom"/>
            <w:gridSpan w:val="25"/>
          </w:tcPr>
          <w:p>
            <w:pPr>
              <w:spacing w:after="0"/>
              <w:rPr>
                <w:rFonts w:ascii="Arial" w:cs="Arial" w:eastAsia="Arial" w:hAnsi="Arial"/>
                <w:sz w:val="12"/>
                <w:szCs w:val="12"/>
                <w:color w:val="0000EE"/>
              </w:rPr>
            </w:pPr>
            <w:hyperlink w:anchor="page118">
              <w:r>
                <w:rPr>
                  <w:rFonts w:ascii="Arial" w:cs="Arial" w:eastAsia="Arial" w:hAnsi="Arial"/>
                  <w:sz w:val="12"/>
                  <w:szCs w:val="12"/>
                  <w:color w:val="0000EE"/>
                </w:rPr>
                <w:t>SIGNATURES</w:t>
              </w:r>
            </w:hyperlink>
          </w:p>
        </w:tc>
        <w:tc>
          <w:tcPr>
            <w:tcW w:w="2380" w:type="dxa"/>
            <w:vAlign w:val="bottom"/>
          </w:tcPr>
          <w:p>
            <w:pPr>
              <w:jc w:val="right"/>
              <w:spacing w:after="0"/>
              <w:rPr>
                <w:sz w:val="20"/>
                <w:szCs w:val="20"/>
                <w:color w:val="auto"/>
              </w:rPr>
            </w:pPr>
            <w:r>
              <w:rPr>
                <w:rFonts w:ascii="Arial" w:cs="Arial" w:eastAsia="Arial" w:hAnsi="Arial"/>
                <w:sz w:val="12"/>
                <w:szCs w:val="12"/>
                <w:color w:val="auto"/>
              </w:rPr>
              <w:t>117</w:t>
            </w:r>
          </w:p>
        </w:tc>
      </w:tr>
      <w:tr>
        <w:trPr>
          <w:trHeight w:val="20"/>
        </w:trPr>
        <w:tc>
          <w:tcPr>
            <w:tcW w:w="720" w:type="dxa"/>
            <w:vAlign w:val="bottom"/>
            <w:gridSpan w:val="4"/>
            <w:shd w:val="clear" w:color="auto" w:fill="0000EE"/>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40" w:type="dxa"/>
            <w:vAlign w:val="bottom"/>
            <w:gridSpan w:val="17"/>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187"/>
        </w:trPr>
        <w:tc>
          <w:tcPr>
            <w:tcW w:w="1260" w:type="dxa"/>
            <w:vAlign w:val="bottom"/>
            <w:tcBorders>
              <w:bottom w:val="single" w:sz="8" w:color="0000EE"/>
            </w:tcBorders>
            <w:gridSpan w:val="8"/>
          </w:tcPr>
          <w:p>
            <w:pPr>
              <w:spacing w:after="0"/>
              <w:rPr>
                <w:rFonts w:ascii="Arial" w:cs="Arial" w:eastAsia="Arial" w:hAnsi="Arial"/>
                <w:sz w:val="12"/>
                <w:szCs w:val="12"/>
                <w:color w:val="0000EE"/>
                <w:w w:val="92"/>
              </w:rPr>
            </w:pPr>
            <w:hyperlink w:anchor="page119">
              <w:r>
                <w:rPr>
                  <w:rFonts w:ascii="Arial" w:cs="Arial" w:eastAsia="Arial" w:hAnsi="Arial"/>
                  <w:sz w:val="12"/>
                  <w:szCs w:val="12"/>
                  <w:color w:val="0000EE"/>
                  <w:w w:val="92"/>
                </w:rPr>
                <w:t>POWER OF ATTORNEY</w:t>
              </w:r>
            </w:hyperlink>
          </w:p>
        </w:tc>
        <w:tc>
          <w:tcPr>
            <w:tcW w:w="7840" w:type="dxa"/>
            <w:vAlign w:val="bottom"/>
            <w:gridSpan w:val="17"/>
          </w:tcPr>
          <w:p>
            <w:pPr>
              <w:spacing w:after="0"/>
              <w:rPr>
                <w:sz w:val="16"/>
                <w:szCs w:val="16"/>
                <w:color w:val="auto"/>
              </w:rPr>
            </w:pPr>
          </w:p>
        </w:tc>
        <w:tc>
          <w:tcPr>
            <w:tcW w:w="2380" w:type="dxa"/>
            <w:vAlign w:val="bottom"/>
          </w:tcPr>
          <w:p>
            <w:pPr>
              <w:jc w:val="right"/>
              <w:spacing w:after="0"/>
              <w:rPr>
                <w:sz w:val="20"/>
                <w:szCs w:val="20"/>
                <w:color w:val="auto"/>
              </w:rPr>
            </w:pPr>
            <w:r>
              <w:rPr>
                <w:rFonts w:ascii="Arial" w:cs="Arial" w:eastAsia="Arial" w:hAnsi="Arial"/>
                <w:sz w:val="12"/>
                <w:szCs w:val="12"/>
                <w:color w:val="auto"/>
              </w:rPr>
              <w:t>118</w:t>
            </w:r>
          </w:p>
        </w:tc>
      </w:tr>
      <w:tr>
        <w:trPr>
          <w:trHeight w:val="187"/>
        </w:trPr>
        <w:tc>
          <w:tcPr>
            <w:tcW w:w="1200" w:type="dxa"/>
            <w:vAlign w:val="bottom"/>
            <w:tcBorders>
              <w:bottom w:val="single" w:sz="8" w:color="0000EE"/>
            </w:tcBorders>
            <w:gridSpan w:val="7"/>
          </w:tcPr>
          <w:p>
            <w:pPr>
              <w:spacing w:after="0"/>
              <w:rPr>
                <w:rFonts w:ascii="Arial" w:cs="Arial" w:eastAsia="Arial" w:hAnsi="Arial"/>
                <w:sz w:val="12"/>
                <w:szCs w:val="12"/>
                <w:color w:val="0000EE"/>
                <w:w w:val="92"/>
              </w:rPr>
            </w:pPr>
            <w:hyperlink w:anchor="page120">
              <w:r>
                <w:rPr>
                  <w:rFonts w:ascii="Arial" w:cs="Arial" w:eastAsia="Arial" w:hAnsi="Arial"/>
                  <w:sz w:val="12"/>
                  <w:szCs w:val="12"/>
                  <w:color w:val="0000EE"/>
                  <w:w w:val="92"/>
                </w:rPr>
                <w:t>Appendix A, Schedule II</w:t>
              </w:r>
            </w:hyperlink>
          </w:p>
        </w:tc>
        <w:tc>
          <w:tcPr>
            <w:tcW w:w="7900" w:type="dxa"/>
            <w:vAlign w:val="bottom"/>
            <w:gridSpan w:val="18"/>
          </w:tcPr>
          <w:p>
            <w:pPr>
              <w:spacing w:after="0"/>
              <w:rPr>
                <w:sz w:val="16"/>
                <w:szCs w:val="16"/>
                <w:color w:val="auto"/>
              </w:rPr>
            </w:pPr>
          </w:p>
        </w:tc>
        <w:tc>
          <w:tcPr>
            <w:tcW w:w="2380" w:type="dxa"/>
            <w:vAlign w:val="bottom"/>
          </w:tcPr>
          <w:p>
            <w:pPr>
              <w:jc w:val="right"/>
              <w:spacing w:after="0"/>
              <w:rPr>
                <w:sz w:val="20"/>
                <w:szCs w:val="20"/>
                <w:color w:val="auto"/>
              </w:rPr>
            </w:pPr>
            <w:r>
              <w:rPr>
                <w:rFonts w:ascii="Arial" w:cs="Arial" w:eastAsia="Arial" w:hAnsi="Arial"/>
                <w:sz w:val="12"/>
                <w:szCs w:val="12"/>
                <w:color w:val="auto"/>
              </w:rPr>
              <w:t>119</w:t>
            </w:r>
          </w:p>
        </w:tc>
      </w:tr>
      <w:tr>
        <w:trPr>
          <w:trHeight w:val="502"/>
        </w:trPr>
        <w:tc>
          <w:tcPr>
            <w:tcW w:w="9100" w:type="dxa"/>
            <w:vAlign w:val="bottom"/>
            <w:gridSpan w:val="25"/>
          </w:tcPr>
          <w:p>
            <w:pPr>
              <w:jc w:val="center"/>
              <w:ind w:left="2300"/>
              <w:spacing w:after="0"/>
              <w:rPr>
                <w:sz w:val="20"/>
                <w:szCs w:val="20"/>
                <w:color w:val="auto"/>
              </w:rPr>
            </w:pPr>
            <w:r>
              <w:rPr>
                <w:rFonts w:ascii="Arial" w:cs="Arial" w:eastAsia="Arial" w:hAnsi="Arial"/>
                <w:sz w:val="12"/>
                <w:szCs w:val="12"/>
                <w:color w:val="auto"/>
                <w:w w:val="89"/>
              </w:rPr>
              <w:t>1</w:t>
            </w:r>
          </w:p>
        </w:tc>
        <w:tc>
          <w:tcPr>
            <w:tcW w:w="2380" w:type="dxa"/>
            <w:vAlign w:val="bottom"/>
          </w:tcPr>
          <w:p>
            <w:pPr>
              <w:spacing w:after="0"/>
              <w:rPr>
                <w:sz w:val="24"/>
                <w:szCs w:val="24"/>
                <w:color w:val="auto"/>
              </w:rPr>
            </w:pPr>
          </w:p>
        </w:tc>
      </w:tr>
      <w:tr>
        <w:trPr>
          <w:trHeight w:val="72"/>
        </w:trPr>
        <w:tc>
          <w:tcPr>
            <w:tcW w:w="36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18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54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58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70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460" w:type="dxa"/>
            <w:vAlign w:val="bottom"/>
            <w:tcBorders>
              <w:bottom w:val="single" w:sz="8" w:color="9A9A9A"/>
            </w:tcBorders>
          </w:tcPr>
          <w:p>
            <w:pPr>
              <w:spacing w:after="0"/>
              <w:rPr>
                <w:sz w:val="6"/>
                <w:szCs w:val="6"/>
                <w:color w:val="auto"/>
              </w:rPr>
            </w:pPr>
          </w:p>
        </w:tc>
        <w:tc>
          <w:tcPr>
            <w:tcW w:w="3360" w:type="dxa"/>
            <w:vAlign w:val="bottom"/>
            <w:tcBorders>
              <w:bottom w:val="single" w:sz="8" w:color="9A9A9A"/>
            </w:tcBorders>
          </w:tcPr>
          <w:p>
            <w:pPr>
              <w:spacing w:after="0"/>
              <w:rPr>
                <w:sz w:val="6"/>
                <w:szCs w:val="6"/>
                <w:color w:val="auto"/>
              </w:rPr>
            </w:pPr>
          </w:p>
        </w:tc>
        <w:tc>
          <w:tcPr>
            <w:tcW w:w="238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7268845</wp:posOffset>
            </wp:positionH>
            <wp:positionV relativeFrom="paragraph">
              <wp:posOffset>-23495</wp:posOffset>
            </wp:positionV>
            <wp:extent cx="31115" cy="368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480"/>
          </w:cols>
          <w:pgMar w:left="220" w:top="127" w:right="19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2"/>
          <w:szCs w:val="12"/>
          <w:b w:val="1"/>
          <w:bCs w:val="1"/>
          <w:color w:val="auto"/>
        </w:rPr>
        <w:t>Cautionary Note Regarding Forward-Looking Statements</w:t>
      </w:r>
    </w:p>
    <w:p>
      <w:pPr>
        <w:spacing w:after="0" w:line="154" w:lineRule="exact"/>
        <w:rPr>
          <w:sz w:val="20"/>
          <w:szCs w:val="20"/>
          <w:color w:val="auto"/>
        </w:rPr>
      </w:pPr>
    </w:p>
    <w:p>
      <w:pPr>
        <w:ind w:firstLine="602"/>
        <w:spacing w:after="0" w:line="253" w:lineRule="auto"/>
        <w:rPr>
          <w:sz w:val="20"/>
          <w:szCs w:val="20"/>
          <w:color w:val="auto"/>
        </w:rPr>
      </w:pPr>
      <w:r>
        <w:rPr>
          <w:rFonts w:ascii="Arial" w:cs="Arial" w:eastAsia="Arial" w:hAnsi="Arial"/>
          <w:sz w:val="12"/>
          <w:szCs w:val="12"/>
          <w:color w:val="auto"/>
        </w:rPr>
        <w:t>This Annual Report on Form 10-K contains forward-looking statements within the meaning of federal securities laws. All statements contained in this Annual Report on Form 10-K other than statements of historical fact, including statements regarding our future operating results and financial position, our business strategy and plans, products, services, and technology offerings, market conditions, growth and trends, expansion plans and opportunities and our objectives for future operations, are forward-looking statements. The words “believe,” “may,” “will,” “estimate,” “continue,” “anticipate,” “intend,” “expect,” “could,” “would,” “project,” “plan,” “potentially,” “preliminary,” “likely,” and similar expressions are intended to identify forward-looking statements. We have based these forward-looking statements largely on our current expectations and projections about future events and trends that we believe may affect our financial condition, results of operations, business strategy, short-term and long-term business operations and objectives, and financial needs. These forward-looking statements are subject to a number of risks, uncertainties, and assumptions, including those described under Part I, Item 1A, “Risk Factors.” Moreover, we operate in a very competitive and rapidly changing environment. New risks emerge from time to time. It is not possible for our management to predict all risks, nor can we assess the effect of all factors on our business or the extent to which any factor, or combination of factors, may cause actual results to differ materially from those contained in any forward-looking statements we may make. In light of these risks, uncertainties, and assumptions, the future events and trends discussed in this Annual Report on Form 10-K may not occur and actual results could differ materially and adversely from those anticipated or implied in the forward-looking statements.</w:t>
      </w:r>
    </w:p>
    <w:p>
      <w:pPr>
        <w:spacing w:after="0" w:line="132" w:lineRule="exact"/>
        <w:rPr>
          <w:sz w:val="20"/>
          <w:szCs w:val="20"/>
          <w:color w:val="auto"/>
        </w:rPr>
      </w:pPr>
    </w:p>
    <w:p>
      <w:pPr>
        <w:jc w:val="both"/>
        <w:ind w:right="100" w:firstLine="602"/>
        <w:spacing w:after="0" w:line="298" w:lineRule="auto"/>
        <w:rPr>
          <w:sz w:val="20"/>
          <w:szCs w:val="20"/>
          <w:color w:val="auto"/>
        </w:rPr>
      </w:pPr>
      <w:r>
        <w:rPr>
          <w:rFonts w:ascii="Arial" w:cs="Arial" w:eastAsia="Arial" w:hAnsi="Arial"/>
          <w:sz w:val="11"/>
          <w:szCs w:val="11"/>
          <w:color w:val="auto"/>
        </w:rPr>
        <w:t>You should not rely on forward-looking statements as predictions of future events. The events and circumstances reflected in the forward-looking statements may not occur. Although we believe that the expectations reflected in the forward-looking statements are reasonable, we cannot guarantee that the future results, performance, or events and circumstances reflected in the forward-looking statements will be achieved or occur. We undertake no obligation to update any of these forward-looking statements for any reason after the date of this Annual Report on Form 10-K or to conform these statements to actual results or revised expectations.</w:t>
      </w:r>
    </w:p>
    <w:p>
      <w:pPr>
        <w:spacing w:after="0" w:line="105" w:lineRule="exact"/>
        <w:rPr>
          <w:sz w:val="20"/>
          <w:szCs w:val="20"/>
          <w:color w:val="auto"/>
        </w:rPr>
      </w:pPr>
    </w:p>
    <w:p>
      <w:pPr>
        <w:ind w:right="280" w:firstLine="602"/>
        <w:spacing w:after="0" w:line="276" w:lineRule="auto"/>
        <w:rPr>
          <w:sz w:val="20"/>
          <w:szCs w:val="20"/>
          <w:color w:val="auto"/>
        </w:rPr>
      </w:pPr>
      <w:r>
        <w:rPr>
          <w:rFonts w:ascii="Arial" w:cs="Arial" w:eastAsia="Arial" w:hAnsi="Arial"/>
          <w:sz w:val="12"/>
          <w:szCs w:val="12"/>
          <w:color w:val="auto"/>
        </w:rPr>
        <w:t>Unless the context indicates otherwise, as used in this Annual Report on Form 10-K, the terms “Verra Mobility,” the “Company,” “we,” “us,” and “our” refer to Verra Mobility Corporation, a Delaware corporation, and its subsidiaries taken as a whole.</w:t>
      </w: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17740" cy="368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ectPr>
          <w:pgSz w:w="11900" w:h="16838" w:orient="portrait"/>
          <w:cols w:equalWidth="0" w:num="1">
            <w:col w:w="11460"/>
          </w:cols>
          <w:pgMar w:left="220" w:top="127" w:right="219" w:bottom="1440" w:gutter="0" w:footer="0" w:header="0"/>
        </w:sectPr>
      </w:pPr>
    </w:p>
    <w:bookmarkStart w:id="3" w:name="page4"/>
    <w:bookmarkEnd w:id="3"/>
    <w:p>
      <w:pPr>
        <w:jc w:val="center"/>
        <w:ind w:right="-39"/>
        <w:spacing w:after="0"/>
        <w:rPr>
          <w:sz w:val="20"/>
          <w:szCs w:val="20"/>
          <w:color w:val="auto"/>
        </w:rPr>
      </w:pPr>
      <w:r>
        <w:rPr>
          <w:rFonts w:ascii="Arial" w:cs="Arial" w:eastAsia="Arial" w:hAnsi="Arial"/>
          <w:sz w:val="12"/>
          <w:szCs w:val="12"/>
          <w:b w:val="1"/>
          <w:bCs w:val="1"/>
          <w:color w:val="auto"/>
        </w:rPr>
        <w:t>Explanatory Note</w:t>
      </w:r>
    </w:p>
    <w:p>
      <w:pPr>
        <w:spacing w:after="0" w:line="154" w:lineRule="exact"/>
        <w:rPr>
          <w:sz w:val="20"/>
          <w:szCs w:val="20"/>
          <w:color w:val="auto"/>
        </w:rPr>
      </w:pPr>
    </w:p>
    <w:p>
      <w:pPr>
        <w:ind w:right="100" w:firstLine="602"/>
        <w:spacing w:after="0" w:line="263" w:lineRule="auto"/>
        <w:rPr>
          <w:sz w:val="20"/>
          <w:szCs w:val="20"/>
          <w:color w:val="auto"/>
        </w:rPr>
      </w:pPr>
      <w:r>
        <w:rPr>
          <w:rFonts w:ascii="Arial" w:cs="Arial" w:eastAsia="Arial" w:hAnsi="Arial"/>
          <w:sz w:val="12"/>
          <w:szCs w:val="12"/>
          <w:color w:val="auto"/>
        </w:rPr>
        <w:t>Verra Mobility Corporation, formerly known as Gores Holdings II, Inc. (“</w:t>
      </w:r>
      <w:r>
        <w:rPr>
          <w:rFonts w:ascii="Arial" w:cs="Arial" w:eastAsia="Arial" w:hAnsi="Arial"/>
          <w:sz w:val="12"/>
          <w:szCs w:val="12"/>
          <w:b w:val="1"/>
          <w:bCs w:val="1"/>
          <w:i w:val="1"/>
          <w:iCs w:val="1"/>
          <w:color w:val="auto"/>
        </w:rPr>
        <w:t>Gores</w:t>
      </w:r>
      <w:r>
        <w:rPr>
          <w:rFonts w:ascii="Arial" w:cs="Arial" w:eastAsia="Arial" w:hAnsi="Arial"/>
          <w:sz w:val="12"/>
          <w:szCs w:val="12"/>
          <w:color w:val="auto"/>
        </w:rPr>
        <w:t>”) was originally incorporated in Delaware on August 15, 2016, as a special purpose acquisition company formed for the purpose of effecting a merger, capital stock exchange, asset acquisition, stock purchase, reorganization, or other similar business combination with one or more target businesses. On January 19, 2017, we consummated our initial public offering (the “</w:t>
      </w:r>
      <w:r>
        <w:rPr>
          <w:rFonts w:ascii="Arial" w:cs="Arial" w:eastAsia="Arial" w:hAnsi="Arial"/>
          <w:sz w:val="12"/>
          <w:szCs w:val="12"/>
          <w:b w:val="1"/>
          <w:bCs w:val="1"/>
          <w:i w:val="1"/>
          <w:iCs w:val="1"/>
          <w:color w:val="auto"/>
        </w:rPr>
        <w:t>IPO</w:t>
      </w:r>
      <w:r>
        <w:rPr>
          <w:rFonts w:ascii="Arial" w:cs="Arial" w:eastAsia="Arial" w:hAnsi="Arial"/>
          <w:sz w:val="12"/>
          <w:szCs w:val="12"/>
          <w:color w:val="auto"/>
        </w:rPr>
        <w:t>”), following which our shares began trading on the Nasdaq Capital Market (“</w:t>
      </w:r>
      <w:r>
        <w:rPr>
          <w:rFonts w:ascii="Arial" w:cs="Arial" w:eastAsia="Arial" w:hAnsi="Arial"/>
          <w:sz w:val="12"/>
          <w:szCs w:val="12"/>
          <w:b w:val="1"/>
          <w:bCs w:val="1"/>
          <w:i w:val="1"/>
          <w:iCs w:val="1"/>
          <w:color w:val="auto"/>
        </w:rPr>
        <w:t>Nasdaq</w:t>
      </w:r>
      <w:r>
        <w:rPr>
          <w:rFonts w:ascii="Arial" w:cs="Arial" w:eastAsia="Arial" w:hAnsi="Arial"/>
          <w:sz w:val="12"/>
          <w:szCs w:val="12"/>
          <w:color w:val="auto"/>
        </w:rPr>
        <w:t>”).</w:t>
      </w:r>
    </w:p>
    <w:p>
      <w:pPr>
        <w:spacing w:after="0" w:line="123" w:lineRule="exact"/>
        <w:rPr>
          <w:sz w:val="20"/>
          <w:szCs w:val="20"/>
          <w:color w:val="auto"/>
        </w:rPr>
      </w:pPr>
    </w:p>
    <w:p>
      <w:pPr>
        <w:ind w:right="40" w:firstLine="602"/>
        <w:spacing w:after="0" w:line="286" w:lineRule="auto"/>
        <w:rPr>
          <w:sz w:val="20"/>
          <w:szCs w:val="20"/>
          <w:color w:val="auto"/>
        </w:rPr>
      </w:pPr>
      <w:r>
        <w:rPr>
          <w:rFonts w:ascii="Arial" w:cs="Arial" w:eastAsia="Arial" w:hAnsi="Arial"/>
          <w:sz w:val="11"/>
          <w:szCs w:val="11"/>
          <w:color w:val="auto"/>
        </w:rPr>
        <w:t>On June 21, 2018, Gores, AM Merger Sub I, Inc., a direct, wholly-owned subsidiary of Gores (“</w:t>
      </w:r>
      <w:r>
        <w:rPr>
          <w:rFonts w:ascii="Arial" w:cs="Arial" w:eastAsia="Arial" w:hAnsi="Arial"/>
          <w:sz w:val="11"/>
          <w:szCs w:val="11"/>
          <w:b w:val="1"/>
          <w:bCs w:val="1"/>
          <w:i w:val="1"/>
          <w:iCs w:val="1"/>
          <w:color w:val="auto"/>
        </w:rPr>
        <w:t>First Merger Sub</w:t>
      </w:r>
      <w:r>
        <w:rPr>
          <w:rFonts w:ascii="Arial" w:cs="Arial" w:eastAsia="Arial" w:hAnsi="Arial"/>
          <w:sz w:val="11"/>
          <w:szCs w:val="11"/>
          <w:color w:val="auto"/>
        </w:rPr>
        <w:t>”), AM Merger Sub II, LLC, a direct, wholly-owned subsidiary of Gores (“</w:t>
      </w:r>
      <w:r>
        <w:rPr>
          <w:rFonts w:ascii="Arial" w:cs="Arial" w:eastAsia="Arial" w:hAnsi="Arial"/>
          <w:sz w:val="11"/>
          <w:szCs w:val="11"/>
          <w:b w:val="1"/>
          <w:bCs w:val="1"/>
          <w:i w:val="1"/>
          <w:iCs w:val="1"/>
          <w:color w:val="auto"/>
        </w:rPr>
        <w:t>Second Merger Sub</w:t>
      </w:r>
      <w:r>
        <w:rPr>
          <w:rFonts w:ascii="Arial" w:cs="Arial" w:eastAsia="Arial" w:hAnsi="Arial"/>
          <w:sz w:val="11"/>
          <w:szCs w:val="11"/>
          <w:color w:val="auto"/>
        </w:rPr>
        <w:t>”), Greenlight Holding II Corporation (“</w:t>
      </w:r>
      <w:r>
        <w:rPr>
          <w:rFonts w:ascii="Arial" w:cs="Arial" w:eastAsia="Arial" w:hAnsi="Arial"/>
          <w:sz w:val="11"/>
          <w:szCs w:val="11"/>
          <w:b w:val="1"/>
          <w:bCs w:val="1"/>
          <w:i w:val="1"/>
          <w:iCs w:val="1"/>
          <w:color w:val="auto"/>
        </w:rPr>
        <w:t>Greenlight</w:t>
      </w:r>
      <w:r>
        <w:rPr>
          <w:rFonts w:ascii="Arial" w:cs="Arial" w:eastAsia="Arial" w:hAnsi="Arial"/>
          <w:sz w:val="11"/>
          <w:szCs w:val="11"/>
          <w:color w:val="auto"/>
        </w:rPr>
        <w:t>”), and PE Greenlight Holdings, LLC entered into an Agreement and Plan of Merger as amended on August 23, 2018 by that certain Amendment No. 1 to Agreement and Plan of Merger (as amended, the “</w:t>
      </w:r>
      <w:r>
        <w:rPr>
          <w:rFonts w:ascii="Arial" w:cs="Arial" w:eastAsia="Arial" w:hAnsi="Arial"/>
          <w:sz w:val="11"/>
          <w:szCs w:val="11"/>
          <w:b w:val="1"/>
          <w:bCs w:val="1"/>
          <w:i w:val="1"/>
          <w:iCs w:val="1"/>
          <w:color w:val="auto"/>
        </w:rPr>
        <w:t>Merger Agreement</w:t>
      </w:r>
      <w:r>
        <w:rPr>
          <w:rFonts w:ascii="Arial" w:cs="Arial" w:eastAsia="Arial" w:hAnsi="Arial"/>
          <w:sz w:val="11"/>
          <w:szCs w:val="11"/>
          <w:color w:val="auto"/>
        </w:rPr>
        <w:t>”), which provided for, among other things, (i) the merger of First Merger Sub with and into Greenlight, with Greenlight continuing as the surviving corporation (the “</w:t>
      </w:r>
      <w:r>
        <w:rPr>
          <w:rFonts w:ascii="Arial" w:cs="Arial" w:eastAsia="Arial" w:hAnsi="Arial"/>
          <w:sz w:val="11"/>
          <w:szCs w:val="11"/>
          <w:b w:val="1"/>
          <w:bCs w:val="1"/>
          <w:i w:val="1"/>
          <w:iCs w:val="1"/>
          <w:color w:val="auto"/>
        </w:rPr>
        <w:t>First Merger</w:t>
      </w:r>
      <w:r>
        <w:rPr>
          <w:rFonts w:ascii="Arial" w:cs="Arial" w:eastAsia="Arial" w:hAnsi="Arial"/>
          <w:sz w:val="11"/>
          <w:szCs w:val="11"/>
          <w:color w:val="auto"/>
        </w:rPr>
        <w:t>”) and (ii) immediately following the First Merger and as part of the same overall transaction as the First Merger, the merger of Greenlight with and into Second Merger Sub, with Second Merger Sub continuing as the surviving entity (the “</w:t>
      </w:r>
      <w:r>
        <w:rPr>
          <w:rFonts w:ascii="Arial" w:cs="Arial" w:eastAsia="Arial" w:hAnsi="Arial"/>
          <w:sz w:val="11"/>
          <w:szCs w:val="11"/>
          <w:b w:val="1"/>
          <w:bCs w:val="1"/>
          <w:i w:val="1"/>
          <w:iCs w:val="1"/>
          <w:color w:val="auto"/>
        </w:rPr>
        <w:t>Second Merger</w:t>
      </w:r>
      <w:r>
        <w:rPr>
          <w:rFonts w:ascii="Arial" w:cs="Arial" w:eastAsia="Arial" w:hAnsi="Arial"/>
          <w:sz w:val="11"/>
          <w:szCs w:val="11"/>
          <w:color w:val="auto"/>
        </w:rPr>
        <w:t>” and, together with the First Merger, the “</w:t>
      </w:r>
      <w:r>
        <w:rPr>
          <w:rFonts w:ascii="Arial" w:cs="Arial" w:eastAsia="Arial" w:hAnsi="Arial"/>
          <w:sz w:val="11"/>
          <w:szCs w:val="11"/>
          <w:b w:val="1"/>
          <w:bCs w:val="1"/>
          <w:i w:val="1"/>
          <w:iCs w:val="1"/>
          <w:color w:val="auto"/>
        </w:rPr>
        <w:t>Merger</w:t>
      </w:r>
      <w:r>
        <w:rPr>
          <w:rFonts w:ascii="Arial" w:cs="Arial" w:eastAsia="Arial" w:hAnsi="Arial"/>
          <w:sz w:val="11"/>
          <w:szCs w:val="11"/>
          <w:color w:val="auto"/>
        </w:rPr>
        <w:t>” and, together with the other transactions contemplated by the Merger Agreement, the “</w:t>
      </w:r>
      <w:r>
        <w:rPr>
          <w:rFonts w:ascii="Arial" w:cs="Arial" w:eastAsia="Arial" w:hAnsi="Arial"/>
          <w:sz w:val="11"/>
          <w:szCs w:val="11"/>
          <w:b w:val="1"/>
          <w:bCs w:val="1"/>
          <w:i w:val="1"/>
          <w:iCs w:val="1"/>
          <w:color w:val="auto"/>
        </w:rPr>
        <w:t>Business Combination</w:t>
      </w:r>
      <w:r>
        <w:rPr>
          <w:rFonts w:ascii="Arial" w:cs="Arial" w:eastAsia="Arial" w:hAnsi="Arial"/>
          <w:sz w:val="11"/>
          <w:szCs w:val="11"/>
          <w:color w:val="auto"/>
        </w:rPr>
        <w:t>”).</w:t>
      </w:r>
    </w:p>
    <w:p>
      <w:pPr>
        <w:spacing w:after="0" w:line="111" w:lineRule="exact"/>
        <w:rPr>
          <w:sz w:val="20"/>
          <w:szCs w:val="20"/>
          <w:color w:val="auto"/>
        </w:rPr>
      </w:pPr>
    </w:p>
    <w:p>
      <w:pPr>
        <w:ind w:right="200" w:firstLine="602"/>
        <w:spacing w:after="0" w:line="263" w:lineRule="auto"/>
        <w:rPr>
          <w:sz w:val="20"/>
          <w:szCs w:val="20"/>
          <w:color w:val="auto"/>
        </w:rPr>
      </w:pPr>
      <w:r>
        <w:rPr>
          <w:rFonts w:ascii="Arial" w:cs="Arial" w:eastAsia="Arial" w:hAnsi="Arial"/>
          <w:sz w:val="12"/>
          <w:szCs w:val="12"/>
          <w:color w:val="auto"/>
        </w:rPr>
        <w:t>In connection with the closing of the Business Combination on October 17, 2018 (the “</w:t>
      </w:r>
      <w:r>
        <w:rPr>
          <w:rFonts w:ascii="Arial" w:cs="Arial" w:eastAsia="Arial" w:hAnsi="Arial"/>
          <w:sz w:val="12"/>
          <w:szCs w:val="12"/>
          <w:b w:val="1"/>
          <w:bCs w:val="1"/>
          <w:i w:val="1"/>
          <w:iCs w:val="1"/>
          <w:color w:val="auto"/>
        </w:rPr>
        <w:t>Closing Date</w:t>
      </w:r>
      <w:r>
        <w:rPr>
          <w:rFonts w:ascii="Arial" w:cs="Arial" w:eastAsia="Arial" w:hAnsi="Arial"/>
          <w:sz w:val="12"/>
          <w:szCs w:val="12"/>
          <w:color w:val="auto"/>
        </w:rPr>
        <w:t>”), Gores changed its name from Gores Holdings II, Inc. to Verra Mobility Corporation, changed its trading symbols on Nasdaq from “GSHT,” and “GSHTW,” to “VRRM” and “VRRMW,” and Second Merger Sub changed its name from AM Merger Sub II, LLC to Verra Mobility Holdings, LLC. As a result of the Business Combination, Verra Mobility Corporation became the owner, directly or indirectly, of all of the equity interests of Verra Mobility Holdings, LLC and its subsidiaries.</w:t>
      </w:r>
    </w:p>
    <w:p>
      <w:pPr>
        <w:spacing w:after="0" w:line="123" w:lineRule="exact"/>
        <w:rPr>
          <w:sz w:val="20"/>
          <w:szCs w:val="20"/>
          <w:color w:val="auto"/>
        </w:rPr>
      </w:pPr>
    </w:p>
    <w:p>
      <w:pPr>
        <w:jc w:val="both"/>
        <w:ind w:firstLine="602"/>
        <w:spacing w:after="0" w:line="263" w:lineRule="auto"/>
        <w:rPr>
          <w:sz w:val="20"/>
          <w:szCs w:val="20"/>
          <w:color w:val="auto"/>
        </w:rPr>
      </w:pPr>
      <w:r>
        <w:rPr>
          <w:rFonts w:ascii="Arial" w:cs="Arial" w:eastAsia="Arial" w:hAnsi="Arial"/>
          <w:sz w:val="12"/>
          <w:szCs w:val="12"/>
          <w:color w:val="auto"/>
        </w:rPr>
        <w:t>For accounting purposes, the Business Combination is treated as a reverse acquisition and recapitalization, in which Greenlight is considered the accounting acquirer (and legal acquiree) and Gores is considered the accounting acquiree (and legal acquirer). Our financial statement presentation includes the financial statements of Greenlight and its subsidiaries as “</w:t>
      </w:r>
      <w:r>
        <w:rPr>
          <w:rFonts w:ascii="Arial" w:cs="Arial" w:eastAsia="Arial" w:hAnsi="Arial"/>
          <w:sz w:val="12"/>
          <w:szCs w:val="12"/>
          <w:b w:val="1"/>
          <w:bCs w:val="1"/>
          <w:i w:val="1"/>
          <w:iCs w:val="1"/>
          <w:color w:val="auto"/>
        </w:rPr>
        <w:t>Predecessor</w:t>
      </w:r>
      <w:r>
        <w:rPr>
          <w:rFonts w:ascii="Arial" w:cs="Arial" w:eastAsia="Arial" w:hAnsi="Arial"/>
          <w:sz w:val="12"/>
          <w:szCs w:val="12"/>
          <w:color w:val="auto"/>
        </w:rPr>
        <w:t>” for periods prior to the completion of the Business Combination and of Verra Mobility Corporation, including the consolidation of Verra Mobility Holdings, LLC and its subsidiaries, for periods from and after the Closing Date.</w:t>
      </w:r>
    </w:p>
    <w:p>
      <w:pPr>
        <w:spacing w:after="0" w:line="267"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17740" cy="368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ectPr>
          <w:pgSz w:w="11900" w:h="16838" w:orient="portrait"/>
          <w:cols w:equalWidth="0" w:num="1">
            <w:col w:w="11420"/>
          </w:cols>
          <w:pgMar w:left="220" w:top="343" w:right="259" w:bottom="1440" w:gutter="0" w:footer="0" w:header="0"/>
        </w:sectPr>
      </w:pPr>
    </w:p>
    <w:bookmarkStart w:id="4" w:name="page5"/>
    <w:bookmarkEnd w:id="4"/>
    <w:p>
      <w:pPr>
        <w:spacing w:after="0"/>
        <w:rPr>
          <w:sz w:val="20"/>
          <w:szCs w:val="20"/>
          <w:color w:val="auto"/>
        </w:rPr>
      </w:pPr>
      <w:r>
        <w:rPr>
          <w:rFonts w:ascii="Arial" w:cs="Arial" w:eastAsia="Arial" w:hAnsi="Arial"/>
          <w:sz w:val="12"/>
          <w:szCs w:val="12"/>
          <w:b w:val="1"/>
          <w:bCs w:val="1"/>
          <w:color w:val="auto"/>
        </w:rPr>
        <w:t>PART I</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 Business</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Overview</w:t>
      </w:r>
    </w:p>
    <w:p>
      <w:pPr>
        <w:spacing w:after="0" w:line="82" w:lineRule="exact"/>
        <w:rPr>
          <w:sz w:val="20"/>
          <w:szCs w:val="20"/>
          <w:color w:val="auto"/>
        </w:rPr>
      </w:pPr>
    </w:p>
    <w:p>
      <w:pPr>
        <w:ind w:right="240" w:firstLine="602"/>
        <w:spacing w:after="0" w:line="290" w:lineRule="auto"/>
        <w:rPr>
          <w:sz w:val="20"/>
          <w:szCs w:val="20"/>
          <w:color w:val="auto"/>
        </w:rPr>
      </w:pPr>
      <w:r>
        <w:rPr>
          <w:rFonts w:ascii="Arial" w:cs="Arial" w:eastAsia="Arial" w:hAnsi="Arial"/>
          <w:sz w:val="11"/>
          <w:szCs w:val="11"/>
          <w:color w:val="auto"/>
        </w:rPr>
        <w:t>We are a leading provider of smart mobility technology solutions and services throughout the United States, Canada and Europe. We provide integrated technology solutions and services which include toll and violations management, title and registration, automated safety solutions, and other data driven solutions to our customers, which include rental car companies (“</w:t>
      </w:r>
      <w:r>
        <w:rPr>
          <w:rFonts w:ascii="Arial" w:cs="Arial" w:eastAsia="Arial" w:hAnsi="Arial"/>
          <w:sz w:val="11"/>
          <w:szCs w:val="11"/>
          <w:b w:val="1"/>
          <w:bCs w:val="1"/>
          <w:i w:val="1"/>
          <w:iCs w:val="1"/>
          <w:color w:val="auto"/>
        </w:rPr>
        <w:t>RACs</w:t>
      </w:r>
      <w:r>
        <w:rPr>
          <w:rFonts w:ascii="Arial" w:cs="Arial" w:eastAsia="Arial" w:hAnsi="Arial"/>
          <w:sz w:val="11"/>
          <w:szCs w:val="11"/>
          <w:color w:val="auto"/>
        </w:rPr>
        <w:t>”), fleet management companies (“</w:t>
      </w:r>
      <w:r>
        <w:rPr>
          <w:rFonts w:ascii="Arial" w:cs="Arial" w:eastAsia="Arial" w:hAnsi="Arial"/>
          <w:sz w:val="11"/>
          <w:szCs w:val="11"/>
          <w:b w:val="1"/>
          <w:bCs w:val="1"/>
          <w:i w:val="1"/>
          <w:iCs w:val="1"/>
          <w:color w:val="auto"/>
        </w:rPr>
        <w:t>FMCs</w:t>
      </w:r>
      <w:r>
        <w:rPr>
          <w:rFonts w:ascii="Arial" w:cs="Arial" w:eastAsia="Arial" w:hAnsi="Arial"/>
          <w:sz w:val="11"/>
          <w:szCs w:val="11"/>
          <w:color w:val="auto"/>
        </w:rPr>
        <w:t>”), other large fleet owners, municipalities, school districts and violation issuing authorities. Our solutions simplify the smart mobility ecosystem by utilizing what we believe are industry leading capabilities, information and technology expertise, and integrated hardware and software to efficiently facilitate the automated processing of tolls and violations for hundreds of agencies and millions of end users annually, while also making cities and roadways safer for everyone.</w:t>
      </w:r>
    </w:p>
    <w:p>
      <w:pPr>
        <w:spacing w:after="0" w:line="109" w:lineRule="exact"/>
        <w:rPr>
          <w:sz w:val="20"/>
          <w:szCs w:val="20"/>
          <w:color w:val="auto"/>
        </w:rPr>
      </w:pPr>
    </w:p>
    <w:p>
      <w:pPr>
        <w:ind w:firstLine="602"/>
        <w:spacing w:after="0" w:line="286" w:lineRule="auto"/>
        <w:rPr>
          <w:sz w:val="20"/>
          <w:szCs w:val="20"/>
          <w:color w:val="auto"/>
        </w:rPr>
      </w:pPr>
      <w:r>
        <w:rPr>
          <w:rFonts w:ascii="Arial" w:cs="Arial" w:eastAsia="Arial" w:hAnsi="Arial"/>
          <w:sz w:val="11"/>
          <w:szCs w:val="11"/>
          <w:color w:val="auto"/>
        </w:rPr>
        <w:t>Based in Mesa, Arizona, we operate through two primary segments – Commercial Services and Government Solutions. Through our Commercial Services segment, we believe we are the market leading provider of automated toll and violations management and title and registration solutions to RACs, FMCs and other large fleet owners in the United States and Canada. In Europe, we work with violation issuing authorities and specialize in the identification, notification, and collection of unpaid traffic, parking, and public transportation related violations incurred by vehicles registered in a country other than that in which the violation occurred. Through our Government Solutions segment, we believe we are the market leading provider of automated safety solutions to municipalities, counties, school districts and law enforcement agencies (which are collectively referred to herein as “</w:t>
      </w:r>
      <w:r>
        <w:rPr>
          <w:rFonts w:ascii="Arial" w:cs="Arial" w:eastAsia="Arial" w:hAnsi="Arial"/>
          <w:sz w:val="11"/>
          <w:szCs w:val="11"/>
          <w:b w:val="1"/>
          <w:bCs w:val="1"/>
          <w:i w:val="1"/>
          <w:iCs w:val="1"/>
          <w:color w:val="auto"/>
        </w:rPr>
        <w:t>local government agencies</w:t>
      </w:r>
      <w:r>
        <w:rPr>
          <w:rFonts w:ascii="Arial" w:cs="Arial" w:eastAsia="Arial" w:hAnsi="Arial"/>
          <w:sz w:val="11"/>
          <w:szCs w:val="11"/>
          <w:color w:val="auto"/>
        </w:rPr>
        <w:t>”), including services and technology that enable photo enforcement via road safety camera programs related to red-light, speed, school bus, and city bus lanes.</w:t>
      </w:r>
    </w:p>
    <w:p>
      <w:pPr>
        <w:spacing w:after="0" w:line="17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Segments</w:t>
      </w:r>
    </w:p>
    <w:p>
      <w:pPr>
        <w:spacing w:after="0" w:line="8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Commercial Services</w:t>
      </w:r>
    </w:p>
    <w:p>
      <w:pPr>
        <w:spacing w:after="0" w:line="78" w:lineRule="exact"/>
        <w:rPr>
          <w:sz w:val="20"/>
          <w:szCs w:val="20"/>
          <w:color w:val="auto"/>
        </w:rPr>
      </w:pPr>
    </w:p>
    <w:p>
      <w:pPr>
        <w:ind w:right="40" w:firstLine="602"/>
        <w:spacing w:after="0" w:line="281" w:lineRule="auto"/>
        <w:rPr>
          <w:sz w:val="20"/>
          <w:szCs w:val="20"/>
          <w:color w:val="auto"/>
        </w:rPr>
      </w:pPr>
      <w:r>
        <w:rPr>
          <w:rFonts w:ascii="Arial" w:cs="Arial" w:eastAsia="Arial" w:hAnsi="Arial"/>
          <w:sz w:val="11"/>
          <w:szCs w:val="11"/>
          <w:color w:val="auto"/>
        </w:rPr>
        <w:t>Our Commercial Services segment generated approximately $276.5 million in revenue for 2019, or approximately 62% of our total revenue. The Commercial Services segment is the market leading provider of automated toll and violations management and title and registration solutions to RACs, FMCs and other large fleet owners in North America. Through our established relationships with more than 50 individual tolling authorities throughout the United States, we provide an automated and outsourced administrative solution for our customers while also providing a value-added convenience for vehicle drivers and benefits to the tolling and issuing authorities. Without our toll and violations management solutions, our customers would bear the expense and administrative burden of matching tolls or violations to the responsible vehicle and driver, and then either transferring liability or paying the fee or fine directly (for which it may then need to bill the driver) – in either case within specified time periods to avoid the potential imposition of penalties. We mitigate these risks by ensuring timely payment for tolls and violations incurred by our customers’ vehicles or by performing timely transfers of liability on our customers’ behalf, and then billing and collecting from the driver as applicable. We also manage regional toll transponder installation and vehicle association, an especially critical and highly complex component for RAC and FMC customers, to ensure that the transponder (and corresponding toll transactions) are associated with the correct vehicle.</w:t>
      </w:r>
    </w:p>
    <w:p>
      <w:pPr>
        <w:spacing w:after="0" w:line="116" w:lineRule="exact"/>
        <w:rPr>
          <w:sz w:val="20"/>
          <w:szCs w:val="20"/>
          <w:color w:val="auto"/>
        </w:rPr>
      </w:pPr>
    </w:p>
    <w:p>
      <w:pPr>
        <w:ind w:firstLine="602"/>
        <w:spacing w:after="0" w:line="286" w:lineRule="auto"/>
        <w:rPr>
          <w:sz w:val="20"/>
          <w:szCs w:val="20"/>
          <w:color w:val="auto"/>
        </w:rPr>
      </w:pPr>
      <w:r>
        <w:rPr>
          <w:rFonts w:ascii="Arial" w:cs="Arial" w:eastAsia="Arial" w:hAnsi="Arial"/>
          <w:sz w:val="11"/>
          <w:szCs w:val="11"/>
          <w:color w:val="auto"/>
        </w:rPr>
        <w:t>We have long-standing relationships with the three largest RACs in the United States – The Hertz Corporation, Avis Budget Group and Enterprise Holdings, Inc. – among others, as well as the six largest FMCs in the United States, which are Element, ARI, Enterprise Fleet Management, Wheels, LeasePlan and Donlen. We provide coverage for more than 95% of all toll roads in the United States and currently one toll road in Canada, processing more than 250 million toll transactions and 2.4 million traffic violations in 2019. Following the acquisition of Euro Parking Collection (“</w:t>
      </w:r>
      <w:r>
        <w:rPr>
          <w:rFonts w:ascii="Arial" w:cs="Arial" w:eastAsia="Arial" w:hAnsi="Arial"/>
          <w:sz w:val="11"/>
          <w:szCs w:val="11"/>
          <w:b w:val="1"/>
          <w:bCs w:val="1"/>
          <w:i w:val="1"/>
          <w:iCs w:val="1"/>
          <w:color w:val="auto"/>
        </w:rPr>
        <w:t>EPC</w:t>
      </w:r>
      <w:r>
        <w:rPr>
          <w:rFonts w:ascii="Arial" w:cs="Arial" w:eastAsia="Arial" w:hAnsi="Arial"/>
          <w:sz w:val="11"/>
          <w:szCs w:val="11"/>
          <w:color w:val="auto"/>
        </w:rPr>
        <w:t>”) in April 2018, we extended our customer base to include violation issuing authorities in Europe and expanded our commercial services to include identification, notification, and collection of unpaid traffic, parking, and public transportation related violations incurred by vehicle drivers not originating in the country where the violation occurred. We expanded our presence in Europe to include electronic toll collection on highways and car parks throughout Spain, Portugal, France and Italy through our acquisition of Pagatelia, S.L. (“</w:t>
      </w:r>
      <w:r>
        <w:rPr>
          <w:rFonts w:ascii="Arial" w:cs="Arial" w:eastAsia="Arial" w:hAnsi="Arial"/>
          <w:sz w:val="11"/>
          <w:szCs w:val="11"/>
          <w:b w:val="1"/>
          <w:bCs w:val="1"/>
          <w:i w:val="1"/>
          <w:iCs w:val="1"/>
          <w:color w:val="auto"/>
        </w:rPr>
        <w:t>Pagatelia</w:t>
      </w:r>
      <w:r>
        <w:rPr>
          <w:rFonts w:ascii="Arial" w:cs="Arial" w:eastAsia="Arial" w:hAnsi="Arial"/>
          <w:sz w:val="11"/>
          <w:szCs w:val="11"/>
          <w:color w:val="auto"/>
        </w:rPr>
        <w:t>”) in October 2019.</w:t>
      </w:r>
    </w:p>
    <w:p>
      <w:pPr>
        <w:spacing w:after="0" w:line="111" w:lineRule="exact"/>
        <w:rPr>
          <w:sz w:val="20"/>
          <w:szCs w:val="20"/>
          <w:color w:val="auto"/>
        </w:rPr>
      </w:pPr>
    </w:p>
    <w:p>
      <w:pPr>
        <w:jc w:val="center"/>
        <w:ind w:right="-59"/>
        <w:spacing w:after="0"/>
        <w:rPr>
          <w:sz w:val="20"/>
          <w:szCs w:val="20"/>
          <w:color w:val="auto"/>
        </w:rPr>
      </w:pPr>
      <w:r>
        <w:rPr>
          <w:rFonts w:ascii="Arial" w:cs="Arial" w:eastAsia="Arial" w:hAnsi="Arial"/>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17740" cy="368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ectPr>
          <w:pgSz w:w="11900" w:h="16838" w:orient="portrait"/>
          <w:cols w:equalWidth="0" w:num="1">
            <w:col w:w="11400"/>
          </w:cols>
          <w:pgMar w:left="220" w:top="127" w:right="279" w:bottom="1440" w:gutter="0" w:footer="0" w:header="0"/>
        </w:sectPr>
      </w:pPr>
    </w:p>
    <w:bookmarkStart w:id="5" w:name="page6"/>
    <w:bookmarkEnd w:id="5"/>
    <w:p>
      <w:pPr>
        <w:spacing w:after="0"/>
        <w:rPr>
          <w:sz w:val="20"/>
          <w:szCs w:val="20"/>
          <w:color w:val="auto"/>
        </w:rPr>
      </w:pPr>
      <w:r>
        <w:rPr>
          <w:rFonts w:ascii="Arial" w:cs="Arial" w:eastAsia="Arial" w:hAnsi="Arial"/>
          <w:sz w:val="12"/>
          <w:szCs w:val="12"/>
          <w:b w:val="1"/>
          <w:bCs w:val="1"/>
          <w:i w:val="1"/>
          <w:iCs w:val="1"/>
          <w:color w:val="auto"/>
        </w:rPr>
        <w:t>Government Solutions</w:t>
      </w:r>
    </w:p>
    <w:p>
      <w:pPr>
        <w:spacing w:after="0" w:line="78" w:lineRule="exact"/>
        <w:rPr>
          <w:sz w:val="20"/>
          <w:szCs w:val="20"/>
          <w:color w:val="auto"/>
        </w:rPr>
      </w:pPr>
    </w:p>
    <w:p>
      <w:pPr>
        <w:ind w:right="160" w:firstLine="602"/>
        <w:spacing w:after="0" w:line="286" w:lineRule="auto"/>
        <w:rPr>
          <w:sz w:val="20"/>
          <w:szCs w:val="20"/>
          <w:color w:val="auto"/>
        </w:rPr>
      </w:pPr>
      <w:r>
        <w:rPr>
          <w:rFonts w:ascii="Arial" w:cs="Arial" w:eastAsia="Arial" w:hAnsi="Arial"/>
          <w:sz w:val="11"/>
          <w:szCs w:val="11"/>
          <w:color w:val="auto"/>
        </w:rPr>
        <w:t>Our Government Solutions segment generated approximately $172.3 million in revenue for 2019, or approximately 38% of our total revenue. This segment works with local government agencies to help make cities and roadways safer for everyone through automated safety solutions. We provide local government agencies with road safety cameras to detect and process traffic violations for red-light, speed, school bus, and city bus lanes. Our proprietary hardware and software technologies provide local government agencies the information, data, and automated end-to-end administrative capabilities to enforce traffic violations through photo enforcement. On behalf of our customers, we own, install, maintain, and manage automated safety solution hardware and software that processes event data, applies customer specific rules and connects a traffic violation to the responsible driver or vehicle owner. Additionally, upon law enforcement’s determination that a violation has occurred, we manage the citation mailing, billing, and other administrative tasks on behalf of many of our customers.</w:t>
      </w:r>
    </w:p>
    <w:p>
      <w:pPr>
        <w:spacing w:after="0" w:line="111" w:lineRule="exact"/>
        <w:rPr>
          <w:sz w:val="20"/>
          <w:szCs w:val="20"/>
          <w:color w:val="auto"/>
        </w:rPr>
      </w:pPr>
    </w:p>
    <w:p>
      <w:pPr>
        <w:ind w:right="80" w:firstLine="602"/>
        <w:spacing w:after="0" w:line="259" w:lineRule="auto"/>
        <w:rPr>
          <w:sz w:val="20"/>
          <w:szCs w:val="20"/>
          <w:color w:val="auto"/>
        </w:rPr>
      </w:pPr>
      <w:r>
        <w:rPr>
          <w:rFonts w:ascii="Arial" w:cs="Arial" w:eastAsia="Arial" w:hAnsi="Arial"/>
          <w:sz w:val="12"/>
          <w:szCs w:val="12"/>
          <w:color w:val="auto"/>
        </w:rPr>
        <w:t>We are a critical partner to local government agencies across the United States, helping to facilitate and increase public safety, improve public transportation, enhance law enforcement officer safety and act as a police force multiplier by allowing law enforcement to focus on serious crimes rather than routine traffic violations. We currently have more than 4,700 red-light, speed, school bus and city bus lane road safety cameras installed across nearly 160 jurisdictions and school districts in 18 states and the District of Columbia. On an annual basis, we process approximately 9.3 million violations on behalf of our municipality and school district customers, including New York City, Seattle, Washington D.C., Austin Independent School District, Philadelphia, Orlando and Atlanta Public Schools.</w:t>
      </w:r>
    </w:p>
    <w:p>
      <w:pPr>
        <w:spacing w:after="0" w:line="19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The Industries in Which We Operate</w:t>
      </w:r>
    </w:p>
    <w:p>
      <w:pPr>
        <w:spacing w:after="0" w:line="8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Tolling</w:t>
      </w:r>
    </w:p>
    <w:p>
      <w:pPr>
        <w:spacing w:after="0" w:line="78" w:lineRule="exact"/>
        <w:rPr>
          <w:sz w:val="20"/>
          <w:szCs w:val="20"/>
          <w:color w:val="auto"/>
        </w:rPr>
      </w:pPr>
    </w:p>
    <w:p>
      <w:pPr>
        <w:ind w:right="220" w:firstLine="602"/>
        <w:spacing w:after="0" w:line="290" w:lineRule="auto"/>
        <w:rPr>
          <w:sz w:val="20"/>
          <w:szCs w:val="20"/>
          <w:color w:val="auto"/>
        </w:rPr>
      </w:pPr>
      <w:r>
        <w:rPr>
          <w:rFonts w:ascii="Arial" w:cs="Arial" w:eastAsia="Arial" w:hAnsi="Arial"/>
          <w:sz w:val="11"/>
          <w:szCs w:val="11"/>
          <w:color w:val="auto"/>
        </w:rPr>
        <w:t>Tolling is an important feature of the United States transportation landscape, with United States tolling authorities collecting nearly $21 billion in toll revenues in 2018. As a result, tolling is one of the most effective and equitable ways to pay for highway infrastructure. In addition to the overall growth in tolling as reflected in the U.S. Department of Transportation Federal Highway Administration’s tracking of total toll bridge, tunnel and road mileage, there is also a growing movement towards cashless and all-electronic tolling, which allows for more convenient, accurate and reliable processing and collection of toll incurrence fees and mitigates congestion on toll roads. The tolling industry is highly fragmented and complex as it is comprised of more than 50 tolling authorities, each operating as independent organizations with specific coverage regions and disparate technology platforms.</w:t>
      </w:r>
    </w:p>
    <w:p>
      <w:pPr>
        <w:spacing w:after="0" w:line="18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Commercial Fleet</w:t>
      </w:r>
    </w:p>
    <w:p>
      <w:pPr>
        <w:spacing w:after="0" w:line="78" w:lineRule="exact"/>
        <w:rPr>
          <w:sz w:val="20"/>
          <w:szCs w:val="20"/>
          <w:color w:val="auto"/>
        </w:rPr>
      </w:pPr>
    </w:p>
    <w:p>
      <w:pPr>
        <w:ind w:firstLine="602"/>
        <w:spacing w:after="0" w:line="254" w:lineRule="auto"/>
        <w:rPr>
          <w:sz w:val="20"/>
          <w:szCs w:val="20"/>
          <w:color w:val="auto"/>
        </w:rPr>
      </w:pPr>
      <w:r>
        <w:rPr>
          <w:rFonts w:ascii="Arial" w:cs="Arial" w:eastAsia="Arial" w:hAnsi="Arial"/>
          <w:sz w:val="12"/>
          <w:szCs w:val="12"/>
          <w:color w:val="auto"/>
        </w:rPr>
        <w:t>Our Commercial Services customers consist of RACs, FMCs and other large fleet owners. The nearly $32 billion United States RAC industry is highly consolidated, with three companies accounting for a significant majority of United States RAC revenues in 2019. In addition to these larger nationwide RACs, smaller independent companies operate regionally throughout the United States. The industry is currently being driven by an increase in the average number of days a vehicle is rented. The industry is also being impacted by the rapid growth in the ride sharing market through recent partnerships with ride share providers like Uber and Lyft to rent vehicles to their independent drivers, leading to additional rental transactions. Management believes the European RAC market, while more fragmented than the U.S. market, is large in size. According to Automotive Fleet Magazine, there are nearly 8.5 million fleet vehicles in the United States, approximately 3.2 million of which are under management by FMCs. The fleet industry in North America is primarily centered on vocational vehicles utilized for transporting people along with the tools, parts and equipment required to perform their jobs, largely insulating the industry from disruptions caused by today’s ride share and car share services. In Europe, the FMC market is estimated to be more than 6 million vehicles, with over half under management by the top five European FMCs.</w:t>
      </w:r>
    </w:p>
    <w:p>
      <w:pPr>
        <w:spacing w:after="0" w:line="20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Automated Safety</w:t>
      </w:r>
    </w:p>
    <w:p>
      <w:pPr>
        <w:spacing w:after="0" w:line="78" w:lineRule="exact"/>
        <w:rPr>
          <w:sz w:val="20"/>
          <w:szCs w:val="20"/>
          <w:color w:val="auto"/>
        </w:rPr>
      </w:pPr>
    </w:p>
    <w:p>
      <w:pPr>
        <w:jc w:val="both"/>
        <w:ind w:right="240" w:firstLine="602"/>
        <w:spacing w:after="0" w:line="263" w:lineRule="auto"/>
        <w:rPr>
          <w:sz w:val="20"/>
          <w:szCs w:val="20"/>
          <w:color w:val="auto"/>
        </w:rPr>
      </w:pPr>
      <w:r>
        <w:rPr>
          <w:rFonts w:ascii="Arial" w:cs="Arial" w:eastAsia="Arial" w:hAnsi="Arial"/>
          <w:sz w:val="12"/>
          <w:szCs w:val="12"/>
          <w:color w:val="auto"/>
        </w:rPr>
        <w:t>As the number of vehicle miles traveled continues to increase and cities and municipalities struggle to deal with the challenges of managing traffic enforcement, red-light, speed and school bus stop arm cameras continue to play a prominent role in comprehensive safety initiatives. According to the National Highway Traffic Safety Administration, speeding and red-light running cause around 10,000 fatalities each year. Studies from organizations like the Insurance Institute for Highway Safety (“</w:t>
      </w:r>
      <w:r>
        <w:rPr>
          <w:rFonts w:ascii="Arial" w:cs="Arial" w:eastAsia="Arial" w:hAnsi="Arial"/>
          <w:sz w:val="12"/>
          <w:szCs w:val="12"/>
          <w:b w:val="1"/>
          <w:bCs w:val="1"/>
          <w:i w:val="1"/>
          <w:iCs w:val="1"/>
          <w:color w:val="auto"/>
        </w:rPr>
        <w:t>IIHS</w:t>
      </w:r>
      <w:r>
        <w:rPr>
          <w:rFonts w:ascii="Arial" w:cs="Arial" w:eastAsia="Arial" w:hAnsi="Arial"/>
          <w:sz w:val="12"/>
          <w:szCs w:val="12"/>
          <w:color w:val="auto"/>
        </w:rPr>
        <w:t>”) have found cameras to be an effective tool for law</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17740" cy="368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ectPr>
          <w:pgSz w:w="11900" w:h="16838" w:orient="portrait"/>
          <w:cols w:equalWidth="0" w:num="1">
            <w:col w:w="11480"/>
          </w:cols>
          <w:pgMar w:left="220" w:top="347" w:right="199" w:bottom="1440" w:gutter="0" w:footer="0" w:header="0"/>
        </w:sectPr>
      </w:pPr>
    </w:p>
    <w:bookmarkStart w:id="6" w:name="page7"/>
    <w:bookmarkEnd w:id="6"/>
    <w:p>
      <w:pPr>
        <w:jc w:val="both"/>
        <w:ind w:right="180"/>
        <w:spacing w:after="0" w:line="263" w:lineRule="auto"/>
        <w:rPr>
          <w:sz w:val="20"/>
          <w:szCs w:val="20"/>
          <w:color w:val="auto"/>
        </w:rPr>
      </w:pPr>
      <w:r>
        <w:rPr>
          <w:rFonts w:ascii="Arial" w:cs="Arial" w:eastAsia="Arial" w:hAnsi="Arial"/>
          <w:sz w:val="12"/>
          <w:szCs w:val="12"/>
          <w:color w:val="auto"/>
        </w:rPr>
        <w:t>enforcement and other agencies to reduce the number of traffic-related violations, collisions, injuries and fatalities. A 2017 IIHS study found that red-light cameras reduce fatalities by as much as 21%, and a 2015 IIHS study found that speed cameras reduced incapacitating or fatal crashes by as much as 39%. Additionally, programs like Vision Zero, a collaborative campaign helping communities reach their goals of eliminating all traffic fatalities and severe injuries, across most major U.S. cities, are driving capital investment to make meaningful strides in traffic safety.</w:t>
      </w:r>
    </w:p>
    <w:p>
      <w:pPr>
        <w:spacing w:after="0" w:line="19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Growth Strategies</w:t>
      </w:r>
    </w:p>
    <w:p>
      <w:pPr>
        <w:spacing w:after="0" w:line="8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Benefit from Strong Industry Tailwinds</w:t>
      </w:r>
    </w:p>
    <w:p>
      <w:pPr>
        <w:spacing w:after="0" w:line="78" w:lineRule="exact"/>
        <w:rPr>
          <w:sz w:val="20"/>
          <w:szCs w:val="20"/>
          <w:color w:val="auto"/>
        </w:rPr>
      </w:pPr>
    </w:p>
    <w:p>
      <w:pPr>
        <w:ind w:firstLine="602"/>
        <w:spacing w:after="0" w:line="323" w:lineRule="auto"/>
        <w:rPr>
          <w:sz w:val="20"/>
          <w:szCs w:val="20"/>
          <w:color w:val="auto"/>
        </w:rPr>
      </w:pPr>
      <w:r>
        <w:rPr>
          <w:rFonts w:ascii="Arial" w:cs="Arial" w:eastAsia="Arial" w:hAnsi="Arial"/>
          <w:sz w:val="11"/>
          <w:szCs w:val="11"/>
          <w:color w:val="auto"/>
        </w:rPr>
        <w:t>We believe there is significant opportunity in both Commercial Services and Government Solutions to leverage strong industry momentum and trends. In Commercial Services, the number of toll roads is continuing to increase and there is continued migration towards cashless and all-electronic tolling. In Government Solutions, the public attention given to traffic safety issues for drivers, pedestrians, bicyclists, and law enforcement is intensifying.</w:t>
      </w:r>
    </w:p>
    <w:p>
      <w:pPr>
        <w:spacing w:after="0" w:line="92" w:lineRule="exact"/>
        <w:rPr>
          <w:sz w:val="20"/>
          <w:szCs w:val="20"/>
          <w:color w:val="auto"/>
        </w:rPr>
      </w:pPr>
    </w:p>
    <w:p>
      <w:pPr>
        <w:ind w:right="160" w:firstLine="602"/>
        <w:spacing w:after="0" w:line="290" w:lineRule="auto"/>
        <w:rPr>
          <w:sz w:val="20"/>
          <w:szCs w:val="20"/>
          <w:color w:val="auto"/>
        </w:rPr>
      </w:pPr>
      <w:r>
        <w:rPr>
          <w:rFonts w:ascii="Arial" w:cs="Arial" w:eastAsia="Arial" w:hAnsi="Arial"/>
          <w:sz w:val="11"/>
          <w:szCs w:val="11"/>
          <w:color w:val="auto"/>
        </w:rPr>
        <w:t>According to 2014 IBTTA estimates, annual tolling industry revenues in the United States could reach $60 to $75 billion by 2030. This increase in revenue is expected to be driven by an increase in the number of toll roads, including new express and high occupancy lanes in urban areas, dynamic tolling based on congestion pricing which allow toll rates to fluctuate based on real-time traffic trends, U.S. states that do not currently utilize toll roads implementing interstate tolling, and an overall need to fund a growing list of infrastructure maintenance and construction needs. In addition, nearly half of the toll roads in the United States have transitioned to cashless or all-electronic, according to IBTTA. Both trends create significant opportunities for us to expand our market presence while developing relationships with both new and existing RACs, FMCs, consumers, and tolling authorities.</w:t>
      </w:r>
    </w:p>
    <w:p>
      <w:pPr>
        <w:spacing w:after="0" w:line="109" w:lineRule="exact"/>
        <w:rPr>
          <w:sz w:val="20"/>
          <w:szCs w:val="20"/>
          <w:color w:val="auto"/>
        </w:rPr>
      </w:pPr>
    </w:p>
    <w:p>
      <w:pPr>
        <w:ind w:right="40" w:firstLine="602"/>
        <w:spacing w:after="0" w:line="263" w:lineRule="auto"/>
        <w:rPr>
          <w:sz w:val="20"/>
          <w:szCs w:val="20"/>
          <w:color w:val="auto"/>
        </w:rPr>
      </w:pPr>
      <w:r>
        <w:rPr>
          <w:rFonts w:ascii="Arial" w:cs="Arial" w:eastAsia="Arial" w:hAnsi="Arial"/>
          <w:sz w:val="12"/>
          <w:szCs w:val="12"/>
          <w:color w:val="auto"/>
        </w:rPr>
        <w:t>The increase in the number of vehicle miles traveled each year and a heightened public awareness of traffic safety has highlighted the need for smart technology solutions to address traffic safety issues. We believe that as public focus intensifies, the demand for our Government Solutions offerings will grow as well, and that we are positioned to take advantage of these opportunities. Since the beginning of 2018, our Government Solutions segment has won 41% of the requests for proposals to which we have responded for the provision of photo enforcement services.</w:t>
      </w:r>
    </w:p>
    <w:p>
      <w:pPr>
        <w:spacing w:after="0" w:line="19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Strengthen and Expand Customer Relationships</w:t>
      </w:r>
    </w:p>
    <w:p>
      <w:pPr>
        <w:spacing w:after="0" w:line="78" w:lineRule="exact"/>
        <w:rPr>
          <w:sz w:val="20"/>
          <w:szCs w:val="20"/>
          <w:color w:val="auto"/>
        </w:rPr>
      </w:pPr>
    </w:p>
    <w:p>
      <w:pPr>
        <w:ind w:right="20" w:firstLine="602"/>
        <w:spacing w:after="0" w:line="259" w:lineRule="auto"/>
        <w:rPr>
          <w:sz w:val="20"/>
          <w:szCs w:val="20"/>
          <w:color w:val="auto"/>
        </w:rPr>
      </w:pPr>
      <w:r>
        <w:rPr>
          <w:rFonts w:ascii="Arial" w:cs="Arial" w:eastAsia="Arial" w:hAnsi="Arial"/>
          <w:sz w:val="12"/>
          <w:szCs w:val="12"/>
          <w:color w:val="auto"/>
        </w:rPr>
        <w:t>The ongoing expansion of New York City’s school zone speed enforcement program presents us with a significant growth opportunity in our Government Solutions segment. As a result of state legislation passed in May 2019, New York City is substantially expanding its school zone speed enforcement program, with a plan to increase the number of enforcement areas from approximately 150 to 750 by 2021. In connection with the expansion, we received a Notice to Proceed from the New York City Department of Transportation in October 2019 for 720 new school zone safety camera systems. New York City has announced that it intends to install new camera systems citywide at a rate of approximately 60 per month through 2020.</w:t>
      </w:r>
    </w:p>
    <w:p>
      <w:pPr>
        <w:spacing w:after="0" w:line="19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Expand Platform with New Products and New and Growing End Markets</w:t>
      </w:r>
    </w:p>
    <w:p>
      <w:pPr>
        <w:spacing w:after="0" w:line="78" w:lineRule="exact"/>
        <w:rPr>
          <w:sz w:val="20"/>
          <w:szCs w:val="20"/>
          <w:color w:val="auto"/>
        </w:rPr>
      </w:pPr>
    </w:p>
    <w:p>
      <w:pPr>
        <w:ind w:right="120" w:firstLine="602"/>
        <w:spacing w:after="0" w:line="263" w:lineRule="auto"/>
        <w:rPr>
          <w:sz w:val="20"/>
          <w:szCs w:val="20"/>
          <w:color w:val="auto"/>
        </w:rPr>
      </w:pPr>
      <w:r>
        <w:rPr>
          <w:rFonts w:ascii="Arial" w:cs="Arial" w:eastAsia="Arial" w:hAnsi="Arial"/>
          <w:sz w:val="12"/>
          <w:szCs w:val="12"/>
          <w:color w:val="auto"/>
        </w:rPr>
        <w:t>We are an industry leader in the deployment of products and services that meet the increasingly complex and continuously evolving requirements of both existing and new customers. We are continuously looking toward the future, ensuring the development of relevant solutions today that will work tomorrow. We seek to understand developing customer, consumer, and government trends that will shape tomorrow’s smart mobility experiences both in the United States and internationally, all in an effort to ensure more people around the world reach their destination safely and easily.</w:t>
      </w:r>
    </w:p>
    <w:p>
      <w:pPr>
        <w:spacing w:after="0" w:line="150" w:lineRule="exact"/>
        <w:rPr>
          <w:sz w:val="20"/>
          <w:szCs w:val="20"/>
          <w:color w:val="auto"/>
        </w:rPr>
      </w:pPr>
    </w:p>
    <w:p>
      <w:pPr>
        <w:ind w:right="80" w:firstLine="602"/>
        <w:spacing w:after="0" w:line="259" w:lineRule="auto"/>
        <w:rPr>
          <w:sz w:val="20"/>
          <w:szCs w:val="20"/>
          <w:color w:val="auto"/>
        </w:rPr>
      </w:pPr>
      <w:r>
        <w:rPr>
          <w:rFonts w:ascii="Arial" w:cs="Arial" w:eastAsia="Arial" w:hAnsi="Arial"/>
          <w:sz w:val="12"/>
          <w:szCs w:val="12"/>
          <w:color w:val="auto"/>
        </w:rPr>
        <w:t>We believe leveraging our differentiated capabilities into new and growing end markets, such as ride sharing, car sharing and autonomous vehicles, provides attractive growth opportunities. The ride sharing and car sharing market, which includes vehicles leased to individual drivers, gives us a low-risk opportunity to grow Commercial Services revenues while at the same time insulating us from any market shift between ride sharing, car sharing and RACs. Further, this growth prospect comes at little additional investment as we are able to leverage the same technologies and solutions we have already developed for our RAC and FMC customers. As an already established leader, we believe we are well-positioned to be a first mover and to become a provider of choice in these new end markets.</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17740" cy="368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ectPr>
          <w:pgSz w:w="11900" w:h="16838" w:orient="portrait"/>
          <w:cols w:equalWidth="0" w:num="1">
            <w:col w:w="11420"/>
          </w:cols>
          <w:pgMar w:left="220" w:top="203" w:right="259" w:bottom="1440" w:gutter="0" w:footer="0" w:header="0"/>
        </w:sectPr>
      </w:pPr>
    </w:p>
    <w:bookmarkStart w:id="7" w:name="page8"/>
    <w:bookmarkEnd w:id="7"/>
    <w:p>
      <w:pPr>
        <w:ind w:right="300" w:firstLine="602"/>
        <w:spacing w:after="0" w:line="323" w:lineRule="auto"/>
        <w:rPr>
          <w:sz w:val="20"/>
          <w:szCs w:val="20"/>
          <w:color w:val="auto"/>
        </w:rPr>
      </w:pPr>
      <w:r>
        <w:rPr>
          <w:rFonts w:ascii="Arial" w:cs="Arial" w:eastAsia="Arial" w:hAnsi="Arial"/>
          <w:sz w:val="11"/>
          <w:szCs w:val="11"/>
          <w:color w:val="auto"/>
        </w:rPr>
        <w:t>Urban enforcement, curb management and citation processing solutions in the smart city movement also present a significant opportunity for us. As one example, according to Technavio, the smart parking industry in the United States is forecasted to grow by approximately $2.6 billion between 2017 and 2022. Our existing technologies and solutions could be adopted to take advantage of this market, providing an additional avenue for growth.</w:t>
      </w:r>
    </w:p>
    <w:p>
      <w:pPr>
        <w:spacing w:after="0" w:line="92" w:lineRule="exact"/>
        <w:rPr>
          <w:sz w:val="20"/>
          <w:szCs w:val="20"/>
          <w:color w:val="auto"/>
        </w:rPr>
      </w:pPr>
    </w:p>
    <w:p>
      <w:pPr>
        <w:ind w:right="520" w:firstLine="602"/>
        <w:spacing w:after="0" w:line="276" w:lineRule="auto"/>
        <w:rPr>
          <w:sz w:val="20"/>
          <w:szCs w:val="20"/>
          <w:color w:val="auto"/>
        </w:rPr>
      </w:pPr>
      <w:r>
        <w:rPr>
          <w:rFonts w:ascii="Arial" w:cs="Arial" w:eastAsia="Arial" w:hAnsi="Arial"/>
          <w:sz w:val="12"/>
          <w:szCs w:val="12"/>
          <w:color w:val="auto"/>
        </w:rPr>
        <w:t>In addition, Government Solutions could leverage our long-standing relationships with municipal customers to provide other smart mobility technology solutions, such as automatic license plate recognition, and new developing technologies, such as connected vehicle technology.</w:t>
      </w:r>
    </w:p>
    <w:p>
      <w:pPr>
        <w:spacing w:after="0" w:line="18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Expand Global Footprint</w:t>
      </w:r>
    </w:p>
    <w:p>
      <w:pPr>
        <w:spacing w:after="0" w:line="78" w:lineRule="exact"/>
        <w:rPr>
          <w:sz w:val="20"/>
          <w:szCs w:val="20"/>
          <w:color w:val="auto"/>
        </w:rPr>
      </w:pPr>
    </w:p>
    <w:p>
      <w:pPr>
        <w:ind w:right="100" w:firstLine="602"/>
        <w:spacing w:after="0" w:line="263" w:lineRule="auto"/>
        <w:rPr>
          <w:sz w:val="20"/>
          <w:szCs w:val="20"/>
          <w:color w:val="auto"/>
        </w:rPr>
      </w:pPr>
      <w:r>
        <w:rPr>
          <w:rFonts w:ascii="Arial" w:cs="Arial" w:eastAsia="Arial" w:hAnsi="Arial"/>
          <w:sz w:val="12"/>
          <w:szCs w:val="12"/>
          <w:color w:val="auto"/>
        </w:rPr>
        <w:t>We believe there is significant opportunity to expand into attractive markets across Europe and beyond, and to that end, we have established a location in the Netherlands to serve as our European headquarters from which we are launching our RAC and FMC business in Europe. In September 2019, we entered into a partnership with APRR, Europe’s fourth-largest motorway operator, which enables us to provide our toll management services to French customers.</w:t>
      </w:r>
    </w:p>
    <w:p>
      <w:pPr>
        <w:spacing w:after="0" w:line="123" w:lineRule="exact"/>
        <w:rPr>
          <w:sz w:val="20"/>
          <w:szCs w:val="20"/>
          <w:color w:val="auto"/>
        </w:rPr>
      </w:pPr>
    </w:p>
    <w:p>
      <w:pPr>
        <w:ind w:left="600"/>
        <w:spacing w:after="0"/>
        <w:rPr>
          <w:sz w:val="20"/>
          <w:szCs w:val="20"/>
          <w:color w:val="auto"/>
        </w:rPr>
      </w:pPr>
      <w:r>
        <w:rPr>
          <w:rFonts w:ascii="Arial" w:cs="Arial" w:eastAsia="Arial" w:hAnsi="Arial"/>
          <w:sz w:val="12"/>
          <w:szCs w:val="12"/>
          <w:color w:val="auto"/>
        </w:rPr>
        <w:t>We also intend to leverage our recent acquisitions of EPC and Pagatelia to further bolster our growth into the European market.</w:t>
      </w:r>
    </w:p>
    <w:p>
      <w:pPr>
        <w:spacing w:after="0" w:line="150" w:lineRule="exact"/>
        <w:rPr>
          <w:sz w:val="20"/>
          <w:szCs w:val="20"/>
          <w:color w:val="auto"/>
        </w:rPr>
      </w:pPr>
    </w:p>
    <w:p>
      <w:pPr>
        <w:ind w:right="20" w:firstLine="602"/>
        <w:spacing w:after="0" w:line="259" w:lineRule="auto"/>
        <w:rPr>
          <w:sz w:val="20"/>
          <w:szCs w:val="20"/>
          <w:color w:val="auto"/>
        </w:rPr>
      </w:pPr>
      <w:r>
        <w:rPr>
          <w:rFonts w:ascii="Arial" w:cs="Arial" w:eastAsia="Arial" w:hAnsi="Arial"/>
          <w:sz w:val="12"/>
          <w:szCs w:val="12"/>
          <w:color w:val="auto"/>
        </w:rPr>
        <w:t>Through EPC we now have the capabilities to serve customers in more than 18 languages and more than 10 currencies and to leverage existing connections with approximately 30 vehicle licensing authorities for whom we bill violators in more than 130 countries. Additionally, Pagatelia has established relationships with tolling authorities throughout Spain, Portugal, France and Italy, through which it offers interoperable electronic tolling both directly to consumers and through white-label partners. Given that there is no pan-European competitor, through these recent acquisitions we have an opportunity to provide existing and new RAC and FMC customers with a convenient and effective solution similar to our current offering in the United States.</w:t>
      </w:r>
    </w:p>
    <w:p>
      <w:pPr>
        <w:spacing w:after="0" w:line="19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Pursue Accretive Acquisitions</w:t>
      </w:r>
    </w:p>
    <w:p>
      <w:pPr>
        <w:spacing w:after="0" w:line="78" w:lineRule="exact"/>
        <w:rPr>
          <w:sz w:val="20"/>
          <w:szCs w:val="20"/>
          <w:color w:val="auto"/>
        </w:rPr>
      </w:pPr>
    </w:p>
    <w:p>
      <w:pPr>
        <w:ind w:firstLine="602"/>
        <w:spacing w:after="0" w:line="259" w:lineRule="auto"/>
        <w:rPr>
          <w:sz w:val="20"/>
          <w:szCs w:val="20"/>
          <w:color w:val="auto"/>
        </w:rPr>
      </w:pPr>
      <w:r>
        <w:rPr>
          <w:rFonts w:ascii="Arial" w:cs="Arial" w:eastAsia="Arial" w:hAnsi="Arial"/>
          <w:sz w:val="12"/>
          <w:szCs w:val="12"/>
          <w:color w:val="auto"/>
        </w:rPr>
        <w:t>In addition to organic growth initiatives, we have significant opportunities to increase our competitive positioning and strengthen our portfolio of products and solutions through strategic acquisitions. We have demonstrated the ability to identify and execute strategic acquisitions, as we did with HTA and EPC in 2018 and Pagatelia in 2019. We constantly monitor the market for potential acquisition targets, which are evaluated based on their potential strategic impact, including growth potential, synergies, end-market development, customer relationships, technology, and cash flow. Our management team has a strong track record of integrating acquisitions and driving synergies, and has identified a strong pipeline for future acquisitions.</w:t>
      </w:r>
    </w:p>
    <w:p>
      <w:pPr>
        <w:spacing w:after="0" w:line="19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Products</w:t>
      </w:r>
    </w:p>
    <w:p>
      <w:pPr>
        <w:spacing w:after="0" w:line="8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Commercial Services</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Toll management solutions.</w:t>
      </w:r>
    </w:p>
    <w:p>
      <w:pPr>
        <w:spacing w:after="0" w:line="78" w:lineRule="exact"/>
        <w:rPr>
          <w:sz w:val="20"/>
          <w:szCs w:val="20"/>
          <w:color w:val="auto"/>
        </w:rPr>
      </w:pPr>
    </w:p>
    <w:p>
      <w:pPr>
        <w:ind w:firstLine="602"/>
        <w:spacing w:after="0" w:line="257" w:lineRule="auto"/>
        <w:rPr>
          <w:sz w:val="20"/>
          <w:szCs w:val="20"/>
          <w:color w:val="auto"/>
        </w:rPr>
      </w:pPr>
      <w:r>
        <w:rPr>
          <w:rFonts w:ascii="Arial" w:cs="Arial" w:eastAsia="Arial" w:hAnsi="Arial"/>
          <w:sz w:val="12"/>
          <w:szCs w:val="12"/>
          <w:color w:val="auto"/>
        </w:rPr>
        <w:t>We provide fully outsourced toll management solutions for our RAC and FMC customers while also providing a value-added convenience for vehicle drivers via our established relationships and integrations with more than 50 individual tolling authorities throughout the United States. This comprehensive network allows RAC and FMC drivers the convenience of using cashless and all-electronic tolls. Additionally, this service helps prevent the liability and business disruption of costly toll violations incurred by vehicles owned by RAC and FMC customers and eliminates their need to manage a nationwide program internally. Our proprietary software technology and hardware allow us to effectively match a toll to the specific RAC or FMC vehicle and driver so that the toll can accurately and reliably be billed and collected on behalf of, or directly from, the RAC or FMC. Toll management solutions accounted for approximately 52% of our 2019 revenues.</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17740" cy="368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ectPr>
          <w:pgSz w:w="11900" w:h="16838" w:orient="portrait"/>
          <w:cols w:equalWidth="0" w:num="1">
            <w:col w:w="11440"/>
          </w:cols>
          <w:pgMar w:left="220" w:top="275" w:right="239" w:bottom="1440" w:gutter="0" w:footer="0" w:header="0"/>
        </w:sectPr>
      </w:pPr>
    </w:p>
    <w:bookmarkStart w:id="8" w:name="page9"/>
    <w:bookmarkEnd w:id="8"/>
    <w:p>
      <w:pPr>
        <w:spacing w:after="0"/>
        <w:rPr>
          <w:sz w:val="20"/>
          <w:szCs w:val="20"/>
          <w:color w:val="auto"/>
        </w:rPr>
      </w:pPr>
      <w:r>
        <w:rPr>
          <w:rFonts w:ascii="Arial" w:cs="Arial" w:eastAsia="Arial" w:hAnsi="Arial"/>
          <w:sz w:val="12"/>
          <w:szCs w:val="12"/>
          <w:i w:val="1"/>
          <w:iCs w:val="1"/>
          <w:color w:val="auto"/>
        </w:rPr>
        <w:t>Violations management solutions.</w:t>
      </w:r>
    </w:p>
    <w:p>
      <w:pPr>
        <w:spacing w:after="0" w:line="78" w:lineRule="exact"/>
        <w:rPr>
          <w:sz w:val="20"/>
          <w:szCs w:val="20"/>
          <w:color w:val="auto"/>
        </w:rPr>
      </w:pPr>
    </w:p>
    <w:p>
      <w:pPr>
        <w:ind w:right="240" w:firstLine="602"/>
        <w:spacing w:after="0" w:line="290" w:lineRule="auto"/>
        <w:rPr>
          <w:sz w:val="20"/>
          <w:szCs w:val="20"/>
          <w:color w:val="auto"/>
        </w:rPr>
      </w:pPr>
      <w:r>
        <w:rPr>
          <w:rFonts w:ascii="Arial" w:cs="Arial" w:eastAsia="Arial" w:hAnsi="Arial"/>
          <w:sz w:val="11"/>
          <w:szCs w:val="11"/>
          <w:color w:val="auto"/>
        </w:rPr>
        <w:t>Our violations management solutions process violations incurred by the drivers of RAC and FMC vehicles by working with more than 8,000 domestic violation issuing authorities (more than 400 of which we are directly integrated with) to either pay the fine on behalf of the vehicle owner (for which we are able to bill the vehicle driver) or to transfer liability directly to the vehicle driver. Vehicle-issued violations include parking and photo enforcement violations. We hold the leading market position with operations in all 50 U.S. states. In Europe, we specialize in the identification, notification, and collection of unpaid traffic, parking and public transport related fees, charges, and penalties issued to foreign registered vehicles or persons on behalf of issuing authorities in more than 15 European countries. Violation management solutions accounted for approximately 7% of our 2019 revenues.</w:t>
      </w:r>
    </w:p>
    <w:p>
      <w:pPr>
        <w:spacing w:after="0" w:line="181"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Title and registration solutions.</w:t>
      </w:r>
    </w:p>
    <w:p>
      <w:pPr>
        <w:spacing w:after="0" w:line="78" w:lineRule="exact"/>
        <w:rPr>
          <w:sz w:val="20"/>
          <w:szCs w:val="20"/>
          <w:color w:val="auto"/>
        </w:rPr>
      </w:pPr>
    </w:p>
    <w:p>
      <w:pPr>
        <w:ind w:right="360" w:firstLine="602"/>
        <w:spacing w:after="0" w:line="380" w:lineRule="auto"/>
        <w:rPr>
          <w:sz w:val="20"/>
          <w:szCs w:val="20"/>
          <w:color w:val="auto"/>
        </w:rPr>
      </w:pPr>
      <w:r>
        <w:rPr>
          <w:rFonts w:ascii="Arial" w:cs="Arial" w:eastAsia="Arial" w:hAnsi="Arial"/>
          <w:sz w:val="10"/>
          <w:szCs w:val="10"/>
          <w:color w:val="auto"/>
        </w:rPr>
        <w:t>Our title and registration solutions provide RAC and FMC customers with an integrated, end-to-end solution for managing vehicle titles and registrations and annual renewals. We provide automated title and registration solutions by leveraging connections with individual departments of motor vehicles for electronic title and registration processing in 20 states. Title and registration solutions accounted for approximately 3% of our 2019 revenues.</w:t>
      </w:r>
    </w:p>
    <w:p>
      <w:pPr>
        <w:spacing w:after="0" w:line="14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Government Solutions</w:t>
      </w:r>
    </w:p>
    <w:p>
      <w:pPr>
        <w:spacing w:after="0" w:line="78" w:lineRule="exact"/>
        <w:rPr>
          <w:sz w:val="20"/>
          <w:szCs w:val="20"/>
          <w:color w:val="auto"/>
        </w:rPr>
      </w:pPr>
    </w:p>
    <w:p>
      <w:pPr>
        <w:ind w:right="80" w:firstLine="602"/>
        <w:spacing w:after="0" w:line="259" w:lineRule="auto"/>
        <w:rPr>
          <w:sz w:val="20"/>
          <w:szCs w:val="20"/>
          <w:color w:val="auto"/>
        </w:rPr>
      </w:pPr>
      <w:r>
        <w:rPr>
          <w:rFonts w:ascii="Arial" w:cs="Arial" w:eastAsia="Arial" w:hAnsi="Arial"/>
          <w:sz w:val="12"/>
          <w:szCs w:val="12"/>
          <w:color w:val="auto"/>
        </w:rPr>
        <w:t>We serve as a value-add partner to local government agencies by providing road safety cameras that promote traffic safety and reduce traffic violations. We work with our customers to identify problematic traffic areas and install, maintain, and manage the technology platform needed to capture images or videos of drivers committing traffic violations. Red-light cameras are placed at intersections to capture vehicles running red lights. Similarly, speed safety cameras are used to capture vehicles exceeding speed limits, either on a fixed basis or in a mobile platform, and often in school zones. School bus cameras are fixed to the side of buses to capture vehicles passing school buses with extended stop arms. Finally, bus lane cameras are designed to capture vehicles illegally driving in restricted bus lanes.</w:t>
      </w:r>
    </w:p>
    <w:p>
      <w:pPr>
        <w:spacing w:after="0" w:line="125" w:lineRule="exact"/>
        <w:rPr>
          <w:sz w:val="20"/>
          <w:szCs w:val="20"/>
          <w:color w:val="auto"/>
        </w:rPr>
      </w:pPr>
    </w:p>
    <w:p>
      <w:pPr>
        <w:ind w:firstLine="602"/>
        <w:spacing w:after="0" w:line="263" w:lineRule="auto"/>
        <w:rPr>
          <w:sz w:val="20"/>
          <w:szCs w:val="20"/>
          <w:color w:val="auto"/>
        </w:rPr>
      </w:pPr>
      <w:r>
        <w:rPr>
          <w:rFonts w:ascii="Arial" w:cs="Arial" w:eastAsia="Arial" w:hAnsi="Arial"/>
          <w:sz w:val="12"/>
          <w:szCs w:val="12"/>
          <w:color w:val="auto"/>
        </w:rPr>
        <w:t>Applying rules specified by each customer, we automatically send the captured event to the designated enforcement agency of the customer, where an authorized individual determines if a violation occurred. Red-light cameras, speed cameras, school bus cameras, and city bus lane cameras for red-light, speed, school bus and city bus lanes accounted for approximately 31% of our 2019 revenues. Other segment revenue consists primarily of ancillary revenue streams, including product revenues and other ancillary services.</w:t>
      </w:r>
    </w:p>
    <w:p>
      <w:pPr>
        <w:spacing w:after="0" w:line="19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Customers</w:t>
      </w:r>
    </w:p>
    <w:p>
      <w:pPr>
        <w:spacing w:after="0" w:line="82" w:lineRule="exact"/>
        <w:rPr>
          <w:sz w:val="20"/>
          <w:szCs w:val="20"/>
          <w:color w:val="auto"/>
        </w:rPr>
      </w:pPr>
    </w:p>
    <w:p>
      <w:pPr>
        <w:ind w:right="100" w:firstLine="602"/>
        <w:spacing w:after="0" w:line="259" w:lineRule="auto"/>
        <w:rPr>
          <w:sz w:val="20"/>
          <w:szCs w:val="20"/>
          <w:color w:val="auto"/>
        </w:rPr>
      </w:pPr>
      <w:r>
        <w:rPr>
          <w:rFonts w:ascii="Arial" w:cs="Arial" w:eastAsia="Arial" w:hAnsi="Arial"/>
          <w:sz w:val="12"/>
          <w:szCs w:val="12"/>
          <w:color w:val="auto"/>
        </w:rPr>
        <w:t>We have a diverse customer base across the United States, Canada, and Europe. We are a top provider of toll management solutions, violations management solutions, and title and registration solutions for nearly every major RAC and FMC provider nationwide, including The Hertz Corporation, Avis Budget Group, Enterprise Holdings, Inc., Fox Rent a Car, Advantage Rent A Car, Sixt, Element, ARI, Donlen and Wheels. In addition, we provide automated safety solutions to local government agencies including New York City, Seattle, Washington D.C., Austin Independent School District, Philadelphia, Orlando and Atlanta Public Schools. For many of our customers, we provide more than one product or service offering, addressing the diverse and varied needs of our clients.</w:t>
      </w:r>
    </w:p>
    <w:p>
      <w:pPr>
        <w:spacing w:after="0" w:line="19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Competition</w:t>
      </w:r>
    </w:p>
    <w:p>
      <w:pPr>
        <w:spacing w:after="0" w:line="82" w:lineRule="exact"/>
        <w:rPr>
          <w:sz w:val="20"/>
          <w:szCs w:val="20"/>
          <w:color w:val="auto"/>
        </w:rPr>
      </w:pPr>
    </w:p>
    <w:p>
      <w:pPr>
        <w:jc w:val="both"/>
        <w:ind w:right="20" w:firstLine="602"/>
        <w:spacing w:after="0" w:line="263" w:lineRule="auto"/>
        <w:rPr>
          <w:sz w:val="20"/>
          <w:szCs w:val="20"/>
          <w:color w:val="auto"/>
        </w:rPr>
      </w:pPr>
      <w:r>
        <w:rPr>
          <w:rFonts w:ascii="Arial" w:cs="Arial" w:eastAsia="Arial" w:hAnsi="Arial"/>
          <w:sz w:val="12"/>
          <w:szCs w:val="12"/>
          <w:color w:val="auto"/>
        </w:rPr>
        <w:t>There is no single competitor that provides a similarly broad suite of solutions. However, in our Government Solutions segment, we face competition in certain automated safety solutions from other vendors in the areas of red-light, school bus and speed photo enforcement. In our Commercial Services segment, we face competition from both our own customers, as they may choose to invest in their own internal solutions, and vendors offering or seeking to offer new technologies or financial models, and we must continue to innovate for our offerings to remain competitive.</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17740" cy="368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ectPr>
          <w:pgSz w:w="11900" w:h="16838" w:orient="portrait"/>
          <w:cols w:equalWidth="0" w:num="1">
            <w:col w:w="11460"/>
          </w:cols>
          <w:pgMar w:left="220" w:top="347" w:right="219" w:bottom="1440" w:gutter="0" w:footer="0" w:header="0"/>
        </w:sectPr>
      </w:pPr>
    </w:p>
    <w:bookmarkStart w:id="9" w:name="page10"/>
    <w:bookmarkEnd w:id="9"/>
    <w:p>
      <w:pPr>
        <w:spacing w:after="0"/>
        <w:rPr>
          <w:sz w:val="20"/>
          <w:szCs w:val="20"/>
          <w:color w:val="auto"/>
        </w:rPr>
      </w:pPr>
      <w:r>
        <w:rPr>
          <w:rFonts w:ascii="Arial" w:cs="Arial" w:eastAsia="Arial" w:hAnsi="Arial"/>
          <w:sz w:val="12"/>
          <w:szCs w:val="12"/>
          <w:b w:val="1"/>
          <w:bCs w:val="1"/>
          <w:color w:val="auto"/>
        </w:rPr>
        <w:t>Intellectual Property</w:t>
      </w:r>
    </w:p>
    <w:p>
      <w:pPr>
        <w:spacing w:after="0" w:line="82" w:lineRule="exact"/>
        <w:rPr>
          <w:sz w:val="20"/>
          <w:szCs w:val="20"/>
          <w:color w:val="auto"/>
        </w:rPr>
      </w:pPr>
    </w:p>
    <w:p>
      <w:pPr>
        <w:ind w:right="240" w:firstLine="602"/>
        <w:spacing w:after="0" w:line="263" w:lineRule="auto"/>
        <w:rPr>
          <w:sz w:val="20"/>
          <w:szCs w:val="20"/>
          <w:color w:val="auto"/>
        </w:rPr>
      </w:pPr>
      <w:r>
        <w:rPr>
          <w:rFonts w:ascii="Arial" w:cs="Arial" w:eastAsia="Arial" w:hAnsi="Arial"/>
          <w:sz w:val="12"/>
          <w:szCs w:val="12"/>
          <w:color w:val="auto"/>
        </w:rPr>
        <w:t>We rely on a combination of patents, trademarks, trade secrets, copyrights and confidentiality agreements to protect our intellectual property. We take steps to protect new intellectual property to safeguard our ongoing technological innovations and strengthen our brand, and believe we take appropriate action against infringement or misappropriation of our intellectual property rights by others. We review third-party intellectual property rights to help avoid infringement, and to identify strategic opportunities.</w:t>
      </w:r>
    </w:p>
    <w:p>
      <w:pPr>
        <w:spacing w:after="0" w:line="123" w:lineRule="exact"/>
        <w:rPr>
          <w:sz w:val="20"/>
          <w:szCs w:val="20"/>
          <w:color w:val="auto"/>
        </w:rPr>
      </w:pPr>
    </w:p>
    <w:p>
      <w:pPr>
        <w:ind w:right="20" w:firstLine="602"/>
        <w:spacing w:after="0" w:line="327" w:lineRule="auto"/>
        <w:rPr>
          <w:sz w:val="20"/>
          <w:szCs w:val="20"/>
          <w:color w:val="auto"/>
        </w:rPr>
      </w:pPr>
      <w:r>
        <w:rPr>
          <w:rFonts w:ascii="Arial" w:cs="Arial" w:eastAsia="Arial" w:hAnsi="Arial"/>
          <w:sz w:val="10"/>
          <w:szCs w:val="10"/>
          <w:color w:val="auto"/>
        </w:rPr>
        <w:t>Our general policy is to seek patent protection for those inventions likely to be incorporated into our products and services or where obtaining such proprietary rights will improve our competitive position. We own approximately 65 U.S. and foreign-issued patents and pending patent applications, including patents and rights to patent applications acquired through strategic transactions, which relate to various aspects of our products and technology. Our patent portfolio evolves as new patents are awarded to us and as older patents expire. Patents expire at various dates, generally 20 years from their original filing dates. While we believe that our portfolio of patents and applications has value, in general no single patent is essential to our business or any individual segment. In addition, any of our proprietary rights could be challenged, invalidated or circumvented, or may not provide significant competitive advantages.</w:t>
      </w:r>
    </w:p>
    <w:p>
      <w:pPr>
        <w:spacing w:after="0" w:line="94" w:lineRule="exact"/>
        <w:rPr>
          <w:sz w:val="20"/>
          <w:szCs w:val="20"/>
          <w:color w:val="auto"/>
        </w:rPr>
      </w:pPr>
    </w:p>
    <w:p>
      <w:pPr>
        <w:ind w:right="280" w:firstLine="602"/>
        <w:spacing w:after="0" w:line="263" w:lineRule="auto"/>
        <w:rPr>
          <w:sz w:val="20"/>
          <w:szCs w:val="20"/>
          <w:color w:val="auto"/>
        </w:rPr>
      </w:pPr>
      <w:r>
        <w:rPr>
          <w:rFonts w:ascii="Arial" w:cs="Arial" w:eastAsia="Arial" w:hAnsi="Arial"/>
          <w:sz w:val="12"/>
          <w:szCs w:val="12"/>
          <w:color w:val="auto"/>
        </w:rPr>
        <w:t>Our business relies on both internally developed and externally licensed software to operate and provide our systems and deliver our services. We claim copyright on all internally developed software. We generally rely on common law protection for our copyrighted works. In addition, we rely on maintaining source code confidentiality to assure our market competitiveness. With respect to externally sourced software, we rely on contracts to retain our continued access for our business usage.</w:t>
      </w:r>
    </w:p>
    <w:p>
      <w:pPr>
        <w:spacing w:after="0" w:line="123" w:lineRule="exact"/>
        <w:rPr>
          <w:sz w:val="20"/>
          <w:szCs w:val="20"/>
          <w:color w:val="auto"/>
        </w:rPr>
      </w:pPr>
    </w:p>
    <w:p>
      <w:pPr>
        <w:jc w:val="both"/>
        <w:ind w:firstLine="602"/>
        <w:spacing w:after="0" w:line="263" w:lineRule="auto"/>
        <w:rPr>
          <w:sz w:val="20"/>
          <w:szCs w:val="20"/>
          <w:color w:val="auto"/>
        </w:rPr>
      </w:pPr>
      <w:r>
        <w:rPr>
          <w:rFonts w:ascii="Arial" w:cs="Arial" w:eastAsia="Arial" w:hAnsi="Arial"/>
          <w:sz w:val="12"/>
          <w:szCs w:val="12"/>
          <w:color w:val="auto"/>
        </w:rPr>
        <w:t>We have approximately 120 registrations and pending applications in the United States and foreign jurisdictions for trademarks and service marks, reflecting our many products and services. These registrations and applications include our historic brands, as well as Verra Mobility. These marks may have a perpetual life, subject to periodic renewal and may be subject to cancellation or invalidation based on certain use requirements and third-party challenges, or on other grounds. We vigorously enforce and protect our marks.</w:t>
      </w:r>
    </w:p>
    <w:p>
      <w:pPr>
        <w:spacing w:after="0" w:line="19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Government Regulation</w:t>
      </w:r>
    </w:p>
    <w:p>
      <w:pPr>
        <w:spacing w:after="0" w:line="82" w:lineRule="exact"/>
        <w:rPr>
          <w:sz w:val="20"/>
          <w:szCs w:val="20"/>
          <w:color w:val="auto"/>
        </w:rPr>
      </w:pPr>
    </w:p>
    <w:p>
      <w:pPr>
        <w:ind w:right="40" w:firstLine="602"/>
        <w:spacing w:after="0" w:line="255" w:lineRule="auto"/>
        <w:rPr>
          <w:sz w:val="20"/>
          <w:szCs w:val="20"/>
          <w:color w:val="auto"/>
        </w:rPr>
      </w:pPr>
      <w:r>
        <w:rPr>
          <w:rFonts w:ascii="Arial" w:cs="Arial" w:eastAsia="Arial" w:hAnsi="Arial"/>
          <w:sz w:val="12"/>
          <w:szCs w:val="12"/>
          <w:color w:val="auto"/>
        </w:rPr>
        <w:t>We are subject to various local, state and federal laws, regulations and administrative practices regulating matters such as data privacy, photo enforcement, consumer protection, procurement, licensing requirements, anti-kickback, equal employment, minimum wages and the environment, among others. Our operations are subject to regulation by various U.S. federal agencies, including the U.S. Department of Transportation, (“</w:t>
      </w:r>
      <w:r>
        <w:rPr>
          <w:rFonts w:ascii="Arial" w:cs="Arial" w:eastAsia="Arial" w:hAnsi="Arial"/>
          <w:sz w:val="12"/>
          <w:szCs w:val="12"/>
          <w:b w:val="1"/>
          <w:bCs w:val="1"/>
          <w:i w:val="1"/>
          <w:iCs w:val="1"/>
          <w:color w:val="auto"/>
        </w:rPr>
        <w:t>USDOT</w:t>
      </w:r>
      <w:r>
        <w:rPr>
          <w:rFonts w:ascii="Arial" w:cs="Arial" w:eastAsia="Arial" w:hAnsi="Arial"/>
          <w:sz w:val="12"/>
          <w:szCs w:val="12"/>
          <w:color w:val="auto"/>
        </w:rPr>
        <w:t>”), the Federal Trade Commission, (“</w:t>
      </w:r>
      <w:r>
        <w:rPr>
          <w:rFonts w:ascii="Arial" w:cs="Arial" w:eastAsia="Arial" w:hAnsi="Arial"/>
          <w:sz w:val="12"/>
          <w:szCs w:val="12"/>
          <w:b w:val="1"/>
          <w:bCs w:val="1"/>
          <w:i w:val="1"/>
          <w:iCs w:val="1"/>
          <w:color w:val="auto"/>
        </w:rPr>
        <w:t>FTC</w:t>
      </w:r>
      <w:r>
        <w:rPr>
          <w:rFonts w:ascii="Arial" w:cs="Arial" w:eastAsia="Arial" w:hAnsi="Arial"/>
          <w:sz w:val="12"/>
          <w:szCs w:val="12"/>
          <w:color w:val="auto"/>
        </w:rPr>
        <w:t>”), the Federal Communications Commission, the Consumer Product Safety Commission and the Environmental Protection Agency, as well as comparable state and local agencies, including the departments of transportation, departments of motor vehicles, and offices of inspector general. Following the acquisition of EPC and in connection with our European expansion efforts, we are now subject to laws, regulations and administrative practices addressing many of these same matters in Europe, including those specifically relating to accessing and use of information obtained from vehicle licensing authorities, as well as European regulations to traffic enforcement and collections and other financial and banking regulations.</w:t>
      </w:r>
    </w:p>
    <w:p>
      <w:pPr>
        <w:spacing w:after="0" w:line="129" w:lineRule="exact"/>
        <w:rPr>
          <w:sz w:val="20"/>
          <w:szCs w:val="20"/>
          <w:color w:val="auto"/>
        </w:rPr>
      </w:pPr>
    </w:p>
    <w:p>
      <w:pPr>
        <w:ind w:right="40" w:firstLine="602"/>
        <w:spacing w:after="0" w:line="254" w:lineRule="auto"/>
        <w:rPr>
          <w:sz w:val="20"/>
          <w:szCs w:val="20"/>
          <w:color w:val="auto"/>
        </w:rPr>
      </w:pPr>
      <w:r>
        <w:rPr>
          <w:rFonts w:ascii="Arial" w:cs="Arial" w:eastAsia="Arial" w:hAnsi="Arial"/>
          <w:sz w:val="12"/>
          <w:szCs w:val="12"/>
          <w:color w:val="auto"/>
        </w:rPr>
        <w:t>As part of our business, we process, collect, use and disclose personal information directly or for our customers and, therefore, are subject to various laws protecting privacy and security of personal information, including the U.S. Driver Privacy Protection Act, the General Data Protection Regulation (the “</w:t>
      </w:r>
      <w:r>
        <w:rPr>
          <w:rFonts w:ascii="Arial" w:cs="Arial" w:eastAsia="Arial" w:hAnsi="Arial"/>
          <w:sz w:val="12"/>
          <w:szCs w:val="12"/>
          <w:b w:val="1"/>
          <w:bCs w:val="1"/>
          <w:i w:val="1"/>
          <w:iCs w:val="1"/>
          <w:color w:val="auto"/>
        </w:rPr>
        <w:t>GDPR</w:t>
      </w:r>
      <w:r>
        <w:rPr>
          <w:rFonts w:ascii="Arial" w:cs="Arial" w:eastAsia="Arial" w:hAnsi="Arial"/>
          <w:sz w:val="12"/>
          <w:szCs w:val="12"/>
          <w:color w:val="auto"/>
        </w:rPr>
        <w:t>”) in the European Union (the “</w:t>
      </w:r>
      <w:r>
        <w:rPr>
          <w:rFonts w:ascii="Arial" w:cs="Arial" w:eastAsia="Arial" w:hAnsi="Arial"/>
          <w:sz w:val="12"/>
          <w:szCs w:val="12"/>
          <w:b w:val="1"/>
          <w:bCs w:val="1"/>
          <w:i w:val="1"/>
          <w:iCs w:val="1"/>
          <w:color w:val="auto"/>
        </w:rPr>
        <w:t>E.U.</w:t>
      </w:r>
      <w:r>
        <w:rPr>
          <w:rFonts w:ascii="Arial" w:cs="Arial" w:eastAsia="Arial" w:hAnsi="Arial"/>
          <w:sz w:val="12"/>
          <w:szCs w:val="12"/>
          <w:color w:val="auto"/>
        </w:rPr>
        <w:t>”) and the California Consumer Privacy Act (the “</w:t>
      </w:r>
      <w:r>
        <w:rPr>
          <w:rFonts w:ascii="Arial" w:cs="Arial" w:eastAsia="Arial" w:hAnsi="Arial"/>
          <w:sz w:val="12"/>
          <w:szCs w:val="12"/>
          <w:b w:val="1"/>
          <w:bCs w:val="1"/>
          <w:i w:val="1"/>
          <w:iCs w:val="1"/>
          <w:color w:val="auto"/>
        </w:rPr>
        <w:t>CCPA</w:t>
      </w:r>
      <w:r>
        <w:rPr>
          <w:rFonts w:ascii="Arial" w:cs="Arial" w:eastAsia="Arial" w:hAnsi="Arial"/>
          <w:sz w:val="12"/>
          <w:szCs w:val="12"/>
          <w:color w:val="auto"/>
        </w:rPr>
        <w:t>”), which took effect in January 2020. We are also subject to similar restrictions and audit requirements pursuant to our contracts with the organizations from which we gain access to personal information, such as departments of motor vehicles and the National Law Enforcement Telecommunications System. Privacy laws and regulations are constantly evolving and changing, are subject to differing interpretations and may be inconsistent among countries and state and local jurisdictions, or conflict with other rules. As we expand our operations in foreign countries, or as U.S. federal or state law changes, our liability exposure and the complexity and cost of compliance with data and privacy requirements, including the GDPR and CCPA, will increase. Laws and practices regarding handling and use of personal and other information by companies have also come under increased public scrutiny, and governmental authorities, consumer agencies and consumer advocacy groups have called for increased regulation and changes in industry practices.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17740" cy="368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ectPr>
          <w:pgSz w:w="11900" w:h="16838" w:orient="portrait"/>
          <w:cols w:equalWidth="0" w:num="1">
            <w:col w:w="11480"/>
          </w:cols>
          <w:pgMar w:left="220" w:top="343" w:right="199" w:bottom="1440" w:gutter="0" w:footer="0" w:header="0"/>
        </w:sectPr>
      </w:pPr>
    </w:p>
    <w:bookmarkStart w:id="10" w:name="page11"/>
    <w:bookmarkEnd w:id="10"/>
    <w:p>
      <w:pPr>
        <w:ind w:right="20" w:firstLine="602"/>
        <w:spacing w:after="0" w:line="255" w:lineRule="auto"/>
        <w:rPr>
          <w:sz w:val="20"/>
          <w:szCs w:val="20"/>
          <w:color w:val="auto"/>
        </w:rPr>
      </w:pPr>
      <w:r>
        <w:rPr>
          <w:rFonts w:ascii="Arial" w:cs="Arial" w:eastAsia="Arial" w:hAnsi="Arial"/>
          <w:sz w:val="12"/>
          <w:szCs w:val="12"/>
          <w:color w:val="auto"/>
        </w:rPr>
        <w:t>Automated photo enforcement camera programs in the United States are typically regulated at the state and local level, not the federal level. Since 2010, there have been over 1,500 pieces of legislation introduced nationwide related to the photo enforcement industry. In general, photo enforcement is administrated by local government agencies, under either state enabling legislation or under home rule authority established under the relevant state constitution. Where enabling legislation is not required, local ordinances impose further restrictions within a given jurisdiction. Whether in a state requiring enabling legislation or in home rule states where municipalities pass ordinances permitting photo enforcement, if the legislation or ordinance is subsequently repealed, not renewed if required, or if the authority for a local ordinance is revoked, photo enforcement activities would stop. At times, state Attorneys General have issued opinions interpreting photo enforcement laws and the permissibility of certain practices or other requirements of practice that further restrict private activities. For example, the Attorneys General of Arizona, Tennessee and Virginia have each issued opinions in recent years that impacted photo enforcement activities.</w:t>
      </w:r>
    </w:p>
    <w:p>
      <w:pPr>
        <w:spacing w:after="0" w:line="129" w:lineRule="exact"/>
        <w:rPr>
          <w:sz w:val="20"/>
          <w:szCs w:val="20"/>
          <w:color w:val="auto"/>
        </w:rPr>
      </w:pPr>
    </w:p>
    <w:p>
      <w:pPr>
        <w:ind w:right="180" w:firstLine="602"/>
        <w:spacing w:after="0" w:line="298" w:lineRule="auto"/>
        <w:rPr>
          <w:sz w:val="20"/>
          <w:szCs w:val="20"/>
          <w:color w:val="auto"/>
        </w:rPr>
      </w:pPr>
      <w:r>
        <w:rPr>
          <w:rFonts w:ascii="Arial" w:cs="Arial" w:eastAsia="Arial" w:hAnsi="Arial"/>
          <w:sz w:val="11"/>
          <w:szCs w:val="11"/>
          <w:color w:val="auto"/>
        </w:rPr>
        <w:t>State and local regulation affect our Commercial Services segment as well, particularly with respect to tolling. Over the past few years, bills have been introduced in multiple states to limit whether and how much RACs can charge their customers for the use of a toll transponder, limit the administrative penalties and fees that can be assessed for processing tolls, and/or impose increased disclosure requirements on RACs with respect to tolling charges. In addition, there has been an increase in interest and greater focus on RAC tolling programs from state Attorneys General related to tolling issues from a consumer protection perspective.</w:t>
      </w:r>
    </w:p>
    <w:p>
      <w:pPr>
        <w:spacing w:after="0" w:line="105" w:lineRule="exact"/>
        <w:rPr>
          <w:sz w:val="20"/>
          <w:szCs w:val="20"/>
          <w:color w:val="auto"/>
        </w:rPr>
      </w:pPr>
    </w:p>
    <w:p>
      <w:pPr>
        <w:ind w:right="20" w:firstLine="602"/>
        <w:spacing w:after="0" w:line="259" w:lineRule="auto"/>
        <w:rPr>
          <w:sz w:val="20"/>
          <w:szCs w:val="20"/>
          <w:color w:val="auto"/>
        </w:rPr>
      </w:pPr>
      <w:r>
        <w:rPr>
          <w:rFonts w:ascii="Arial" w:cs="Arial" w:eastAsia="Arial" w:hAnsi="Arial"/>
          <w:sz w:val="12"/>
          <w:szCs w:val="12"/>
          <w:color w:val="auto"/>
        </w:rPr>
        <w:t>Our Government Solutions customers are typically local government agencies, and our operations within this segment are therefore subject to state and local procurement laws pertaining to gifts and entertainment, payments of commissions and contingency fees, conflicts of interest, licensing and permitting requirements and other matters. These laws are overseen by different government agencies, depending on the jurisdiction, including departments of procurements services, contracting offices and offices of inspector general. In large municipalities, many of which have their own offices of the inspector general, these laws and regulations tend to be much more detailed and impose greater restrictions.</w:t>
      </w:r>
    </w:p>
    <w:p>
      <w:pPr>
        <w:spacing w:after="0" w:line="125" w:lineRule="exact"/>
        <w:rPr>
          <w:sz w:val="20"/>
          <w:szCs w:val="20"/>
          <w:color w:val="auto"/>
        </w:rPr>
      </w:pPr>
    </w:p>
    <w:p>
      <w:pPr>
        <w:ind w:right="180" w:firstLine="602"/>
        <w:spacing w:after="0" w:line="263" w:lineRule="auto"/>
        <w:rPr>
          <w:sz w:val="20"/>
          <w:szCs w:val="20"/>
          <w:color w:val="auto"/>
        </w:rPr>
      </w:pPr>
      <w:r>
        <w:rPr>
          <w:rFonts w:ascii="Arial" w:cs="Arial" w:eastAsia="Arial" w:hAnsi="Arial"/>
          <w:sz w:val="12"/>
          <w:szCs w:val="12"/>
          <w:color w:val="auto"/>
        </w:rPr>
        <w:t>To successfully navigate this regulatory landscape, we have a dedicated government relations team that works with state legislators and local authorities, often with the help of lobbyists and consultants, to track and help support favorable camera-enforcement safety and toll-related legislation. Through this network, we have a presence in every state in which our Government Solutions segment does business. These lobbying activities are subject to state and local lobbying regulations and registration requirements.</w:t>
      </w:r>
    </w:p>
    <w:p>
      <w:pPr>
        <w:spacing w:after="0" w:line="123" w:lineRule="exact"/>
        <w:rPr>
          <w:sz w:val="20"/>
          <w:szCs w:val="20"/>
          <w:color w:val="auto"/>
        </w:rPr>
      </w:pPr>
    </w:p>
    <w:p>
      <w:pPr>
        <w:ind w:firstLine="602"/>
        <w:spacing w:after="0" w:line="257" w:lineRule="auto"/>
        <w:rPr>
          <w:sz w:val="20"/>
          <w:szCs w:val="20"/>
          <w:color w:val="auto"/>
        </w:rPr>
      </w:pPr>
      <w:r>
        <w:rPr>
          <w:rFonts w:ascii="Arial" w:cs="Arial" w:eastAsia="Arial" w:hAnsi="Arial"/>
          <w:sz w:val="12"/>
          <w:szCs w:val="12"/>
          <w:color w:val="auto"/>
        </w:rPr>
        <w:t>In connection with the installation of photo enforcement systems, we or our customers routinely obtain permits from various state and local permitting authorities, and we monitor our compliance with the rules and regulations of the USDOT and state departments of transportation relating to matters such as training, policies and procedures. As a government contractor providing photo enforcement services directly or through subcontractors (including design, engineering, construction, installation, and maintenance) in various locations throughout the country, we are at times required to obtain licenses regarding general contracting, performance of engineering services, performance of electrical work, performance of private investigative work and processing license plate and related personal information, and periodically receive notices from regulatory authorities regarding these matters and inquiring as to our compliance with the applicable state and local laws and regulations.</w:t>
      </w:r>
    </w:p>
    <w:p>
      <w:pPr>
        <w:spacing w:after="0" w:line="126" w:lineRule="exact"/>
        <w:rPr>
          <w:sz w:val="20"/>
          <w:szCs w:val="20"/>
          <w:color w:val="auto"/>
        </w:rPr>
      </w:pPr>
    </w:p>
    <w:p>
      <w:pPr>
        <w:ind w:right="60" w:firstLine="602"/>
        <w:spacing w:after="0" w:line="323" w:lineRule="auto"/>
        <w:rPr>
          <w:sz w:val="20"/>
          <w:szCs w:val="20"/>
          <w:color w:val="auto"/>
        </w:rPr>
      </w:pPr>
      <w:r>
        <w:rPr>
          <w:rFonts w:ascii="Arial" w:cs="Arial" w:eastAsia="Arial" w:hAnsi="Arial"/>
          <w:sz w:val="11"/>
          <w:szCs w:val="11"/>
          <w:color w:val="auto"/>
        </w:rPr>
        <w:t>We believe we are in substantial compliance with the laws and regulations that regulate our business. There are, however, significant uncertainties involving the application of various legal requirements, the violation of which could result in, among other things, fines, penalties, revocation of permits or licenses, cessation of operations in a given jurisdiction and other adverse consequences. See “Risk Factors” for a discussion of our regulatory risks.</w:t>
      </w:r>
    </w:p>
    <w:p>
      <w:pPr>
        <w:spacing w:after="0" w:line="16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Employees</w:t>
      </w:r>
    </w:p>
    <w:p>
      <w:pPr>
        <w:spacing w:after="0" w:line="82" w:lineRule="exact"/>
        <w:rPr>
          <w:sz w:val="20"/>
          <w:szCs w:val="20"/>
          <w:color w:val="auto"/>
        </w:rPr>
      </w:pPr>
    </w:p>
    <w:p>
      <w:pPr>
        <w:ind w:right="440" w:firstLine="602"/>
        <w:spacing w:after="0" w:line="276" w:lineRule="auto"/>
        <w:rPr>
          <w:sz w:val="20"/>
          <w:szCs w:val="20"/>
          <w:color w:val="auto"/>
        </w:rPr>
      </w:pPr>
      <w:r>
        <w:rPr>
          <w:rFonts w:ascii="Arial" w:cs="Arial" w:eastAsia="Arial" w:hAnsi="Arial"/>
          <w:sz w:val="12"/>
          <w:szCs w:val="12"/>
          <w:color w:val="auto"/>
        </w:rPr>
        <w:t>As of December 31, 2019, we employed 779 people, 23 of which were subject to a collective bargaining agreement. We believe our relations with our employees are good, and we have not experienced a strike or other significant work stoppage.</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17740" cy="368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ectPr>
          <w:pgSz w:w="11900" w:h="16838" w:orient="portrait"/>
          <w:cols w:equalWidth="0" w:num="1">
            <w:col w:w="11460"/>
          </w:cols>
          <w:pgMar w:left="220" w:top="275" w:right="219" w:bottom="1440" w:gutter="0" w:footer="0" w:header="0"/>
        </w:sectPr>
      </w:pPr>
    </w:p>
    <w:bookmarkStart w:id="11" w:name="page12"/>
    <w:bookmarkEnd w:id="11"/>
    <w:p>
      <w:pPr>
        <w:spacing w:after="0"/>
        <w:rPr>
          <w:sz w:val="20"/>
          <w:szCs w:val="20"/>
          <w:color w:val="auto"/>
        </w:rPr>
      </w:pPr>
      <w:r>
        <w:rPr>
          <w:rFonts w:ascii="Arial" w:cs="Arial" w:eastAsia="Arial" w:hAnsi="Arial"/>
          <w:sz w:val="12"/>
          <w:szCs w:val="12"/>
          <w:b w:val="1"/>
          <w:bCs w:val="1"/>
          <w:i w:val="1"/>
          <w:iCs w:val="1"/>
          <w:color w:val="auto"/>
        </w:rPr>
        <w:t>Corporate Information</w:t>
      </w:r>
    </w:p>
    <w:p>
      <w:pPr>
        <w:spacing w:after="0" w:line="78" w:lineRule="exact"/>
        <w:rPr>
          <w:sz w:val="20"/>
          <w:szCs w:val="20"/>
          <w:color w:val="auto"/>
        </w:rPr>
      </w:pPr>
    </w:p>
    <w:p>
      <w:pPr>
        <w:jc w:val="both"/>
        <w:ind w:right="80" w:firstLine="602"/>
        <w:spacing w:after="0" w:line="340" w:lineRule="auto"/>
        <w:rPr>
          <w:sz w:val="20"/>
          <w:szCs w:val="20"/>
          <w:color w:val="auto"/>
        </w:rPr>
      </w:pPr>
      <w:r>
        <w:rPr>
          <w:rFonts w:ascii="Arial" w:cs="Arial" w:eastAsia="Arial" w:hAnsi="Arial"/>
          <w:sz w:val="10"/>
          <w:szCs w:val="10"/>
          <w:color w:val="auto"/>
        </w:rPr>
        <w:t>We were originally incorporated in Delaware on August 15, 2016 under the name “Gores Holdings II, Inc.” as a special purpose acquisition company, formed for the purpose of effecting a merger, capital stock exchange, asset acquisition, stock purchase, reorganization, or other similar business combination with one or more target businesses. On January 19, 2017, we consummated our IPO, following which our shares began trading on Nasdaq. On October 17, 2018, we consummated the Business Combination and changed our name to “Verra Mobility Corporation” and we became the owner, directly or indirectly, all of the equity interests of Verra Mobility Holdings, LLC and its subsidiaries.</w:t>
      </w:r>
    </w:p>
    <w:p>
      <w:pPr>
        <w:spacing w:after="0" w:line="88" w:lineRule="exact"/>
        <w:rPr>
          <w:sz w:val="20"/>
          <w:szCs w:val="20"/>
          <w:color w:val="auto"/>
        </w:rPr>
      </w:pPr>
    </w:p>
    <w:p>
      <w:pPr>
        <w:jc w:val="both"/>
        <w:ind w:right="100" w:firstLine="602"/>
        <w:spacing w:after="0" w:line="276" w:lineRule="auto"/>
        <w:rPr>
          <w:sz w:val="20"/>
          <w:szCs w:val="20"/>
          <w:color w:val="auto"/>
        </w:rPr>
      </w:pPr>
      <w:r>
        <w:rPr>
          <w:rFonts w:ascii="Arial" w:cs="Arial" w:eastAsia="Arial" w:hAnsi="Arial"/>
          <w:sz w:val="12"/>
          <w:szCs w:val="12"/>
          <w:color w:val="auto"/>
        </w:rPr>
        <w:t>Our principal executive office is located at 1150 N Alma School Rd, Mesa, AZ 85201. Our telephone number is (480) 443-7000. Our website address is www.verramobility.com. The information on, or accessible through, our website does not constitute part of, and is not incorporated into, this Annual Report on Form 10-K.</w:t>
      </w:r>
    </w:p>
    <w:p>
      <w:pPr>
        <w:spacing w:after="0" w:line="115" w:lineRule="exact"/>
        <w:rPr>
          <w:sz w:val="20"/>
          <w:szCs w:val="20"/>
          <w:color w:val="auto"/>
        </w:rPr>
      </w:pPr>
    </w:p>
    <w:p>
      <w:pPr>
        <w:jc w:val="both"/>
        <w:ind w:right="140" w:firstLine="602"/>
        <w:spacing w:after="0" w:line="259" w:lineRule="auto"/>
        <w:rPr>
          <w:sz w:val="20"/>
          <w:szCs w:val="20"/>
          <w:color w:val="auto"/>
        </w:rPr>
      </w:pPr>
      <w:r>
        <w:rPr>
          <w:rFonts w:ascii="Arial" w:cs="Arial" w:eastAsia="Arial" w:hAnsi="Arial"/>
          <w:sz w:val="12"/>
          <w:szCs w:val="12"/>
          <w:color w:val="auto"/>
        </w:rPr>
        <w:t>The trade names, trademarks, and service marks appearing in this Annual Report on Form 10-K include registered marks and marks in which we claim common law rights, such as Verra Mobility and the Verra Mobility logo, all of which are our intellectual property. This Annual Report on Form 10-K contains additional trade names, trademarks, and service marks of other companies that are the property of their respective owners. We do not intend our use or display of other companies’ trade names, trademarks, or service marks to imply a relationship with, or endorsement or sponsorship of us, by these companies. We have omitted the ® and ™ designations, as applicable, for the trademarks used in this Annual Report on Form 10-K.</w:t>
      </w:r>
    </w:p>
    <w:p>
      <w:pPr>
        <w:spacing w:after="0" w:line="125" w:lineRule="exact"/>
        <w:rPr>
          <w:sz w:val="20"/>
          <w:szCs w:val="20"/>
          <w:color w:val="auto"/>
        </w:rPr>
      </w:pPr>
    </w:p>
    <w:p>
      <w:pPr>
        <w:ind w:firstLine="602"/>
        <w:spacing w:after="0" w:line="254" w:lineRule="auto"/>
        <w:rPr>
          <w:sz w:val="20"/>
          <w:szCs w:val="20"/>
          <w:color w:val="auto"/>
        </w:rPr>
      </w:pPr>
      <w:r>
        <w:rPr>
          <w:rFonts w:ascii="Arial" w:cs="Arial" w:eastAsia="Arial" w:hAnsi="Arial"/>
          <w:sz w:val="12"/>
          <w:szCs w:val="12"/>
          <w:color w:val="auto"/>
        </w:rPr>
        <w:t>Our Annual Reports on Form 10-K, Quarterly Reports on Form 10-Q, Current Reports on Form 8-K, and amendments to reports filed pursuant to Sections 13(a) and 15(d) of the Securities Exchange Act of 1934, as amended (the “</w:t>
      </w:r>
      <w:r>
        <w:rPr>
          <w:rFonts w:ascii="Arial" w:cs="Arial" w:eastAsia="Arial" w:hAnsi="Arial"/>
          <w:sz w:val="12"/>
          <w:szCs w:val="12"/>
          <w:b w:val="1"/>
          <w:bCs w:val="1"/>
          <w:i w:val="1"/>
          <w:iCs w:val="1"/>
          <w:color w:val="auto"/>
        </w:rPr>
        <w:t>Exchange Act</w:t>
      </w:r>
      <w:r>
        <w:rPr>
          <w:rFonts w:ascii="Arial" w:cs="Arial" w:eastAsia="Arial" w:hAnsi="Arial"/>
          <w:sz w:val="12"/>
          <w:szCs w:val="12"/>
          <w:color w:val="auto"/>
        </w:rPr>
        <w:t>”), are filed with the Securities and Exchange Commission (the “S</w:t>
      </w:r>
      <w:r>
        <w:rPr>
          <w:rFonts w:ascii="Arial" w:cs="Arial" w:eastAsia="Arial" w:hAnsi="Arial"/>
          <w:sz w:val="12"/>
          <w:szCs w:val="12"/>
          <w:b w:val="1"/>
          <w:bCs w:val="1"/>
          <w:i w:val="1"/>
          <w:iCs w:val="1"/>
          <w:color w:val="auto"/>
        </w:rPr>
        <w:t>EC</w:t>
      </w:r>
      <w:r>
        <w:rPr>
          <w:rFonts w:ascii="Arial" w:cs="Arial" w:eastAsia="Arial" w:hAnsi="Arial"/>
          <w:sz w:val="12"/>
          <w:szCs w:val="12"/>
          <w:color w:val="auto"/>
        </w:rPr>
        <w:t>”). We are subject to the informational requirements of the Exchange Act, and we file or furnish reports, proxy statements and other information with the SEC. Such reports and other information we file with the SEC are available free of charge at http://ir.verramobility.com/financial-information/sec-filings when such reports are available on the SEC’s website. The SEC maintains a website that contains reports, proxy and information statements, and other information regarding issuers that file electronically with the SEC at www.sec.gov. We periodically provide other information for investors on our corporate website, www.verramobility.com, and our investor relations website, ir.verramobility.com. This includes press releases and other information about financial performance, information on corporate governance and details related to our annual meeting of stockholders. The information contained on the websites referenced in this Annual Report on Form 10-K is not incorporated by reference into this filing. Further, our references to website URLs are intended to be inactive textual references only.</w:t>
      </w:r>
    </w:p>
    <w:p>
      <w:pPr>
        <w:spacing w:after="0" w:line="19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1A. Risk Factors</w:t>
      </w:r>
    </w:p>
    <w:p>
      <w:pPr>
        <w:spacing w:after="0" w:line="82" w:lineRule="exact"/>
        <w:rPr>
          <w:sz w:val="20"/>
          <w:szCs w:val="20"/>
          <w:color w:val="auto"/>
        </w:rPr>
      </w:pPr>
    </w:p>
    <w:p>
      <w:pPr>
        <w:ind w:firstLine="602"/>
        <w:spacing w:after="0" w:line="259" w:lineRule="auto"/>
        <w:rPr>
          <w:sz w:val="20"/>
          <w:szCs w:val="20"/>
          <w:color w:val="auto"/>
        </w:rPr>
      </w:pPr>
      <w:r>
        <w:rPr>
          <w:rFonts w:ascii="Arial" w:cs="Arial" w:eastAsia="Arial" w:hAnsi="Arial"/>
          <w:sz w:val="12"/>
          <w:szCs w:val="12"/>
          <w:i w:val="1"/>
          <w:iCs w:val="1"/>
          <w:color w:val="auto"/>
        </w:rPr>
        <w:t>You should carefully consider the risks and uncertainties described below, together with all of the other information in this Annual Report on Form 10-K, including “Management’s Discussion and Analysis of Financial Condition and Results of Operations” and our consolidated financial statements and related notes. Our business, operating results, financial condition, or prospects could be materially and adversely affected by any of these risks and uncertainties. If any of these risks occurs, the trading price of our common stock could decline and you might lose all or part of your investment. Our business, operating results, financial performance, or prospects could also be harmed by risks and uncertainties not currently known to us or that we currently do not believe are material.</w:t>
      </w:r>
    </w:p>
    <w:p>
      <w:pPr>
        <w:spacing w:after="0" w:line="19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Risks Related to Our Business</w:t>
      </w:r>
    </w:p>
    <w:p>
      <w:pPr>
        <w:spacing w:after="0" w:line="8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Both our Commercial Services and Government Solutions segments have customer concentration that could have a material adverse effect on our business.</w:t>
      </w:r>
    </w:p>
    <w:p>
      <w:pPr>
        <w:spacing w:after="0" w:line="78" w:lineRule="exact"/>
        <w:rPr>
          <w:sz w:val="20"/>
          <w:szCs w:val="20"/>
          <w:color w:val="auto"/>
        </w:rPr>
      </w:pPr>
    </w:p>
    <w:p>
      <w:pPr>
        <w:ind w:right="280" w:firstLine="602"/>
        <w:spacing w:after="0" w:line="340" w:lineRule="auto"/>
        <w:rPr>
          <w:sz w:val="20"/>
          <w:szCs w:val="20"/>
          <w:color w:val="auto"/>
        </w:rPr>
      </w:pPr>
      <w:r>
        <w:rPr>
          <w:rFonts w:ascii="Arial" w:cs="Arial" w:eastAsia="Arial" w:hAnsi="Arial"/>
          <w:sz w:val="10"/>
          <w:szCs w:val="10"/>
          <w:color w:val="auto"/>
        </w:rPr>
        <w:t>Our business experiences customer concentration from time to time. For example, our Commercial Services segment is dependent on certain key customers, including those in the RAC industry. In 2019, we generated a substantial amount of our revenues from RAC customers such as The Hertz Corporation, Avis Budget Group and Enterprise Holdings, Inc. The RAC industry has seen fluctuations in results from time to time, particularly as a result of periods of reduced airline passenger travel. The health of the RAC industry is impacted by a variety of factors, including seasonality, increases in energy prices, general international, national and local economic conditions and</w:t>
      </w:r>
    </w:p>
    <w:p>
      <w:pPr>
        <w:spacing w:after="0" w:line="8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17740" cy="368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ectPr>
          <w:pgSz w:w="11900" w:h="16838" w:orient="portrait"/>
          <w:cols w:equalWidth="0" w:num="1">
            <w:col w:w="11480"/>
          </w:cols>
          <w:pgMar w:left="220" w:top="347" w:right="199" w:bottom="1440" w:gutter="0" w:footer="0" w:header="0"/>
        </w:sectPr>
      </w:pPr>
    </w:p>
    <w:bookmarkStart w:id="12" w:name="page13"/>
    <w:bookmarkEnd w:id="12"/>
    <w:p>
      <w:pPr>
        <w:ind w:right="20"/>
        <w:spacing w:after="0" w:line="257" w:lineRule="auto"/>
        <w:rPr>
          <w:sz w:val="20"/>
          <w:szCs w:val="20"/>
          <w:color w:val="auto"/>
        </w:rPr>
      </w:pPr>
      <w:r>
        <w:rPr>
          <w:rFonts w:ascii="Arial" w:cs="Arial" w:eastAsia="Arial" w:hAnsi="Arial"/>
          <w:sz w:val="12"/>
          <w:szCs w:val="12"/>
          <w:color w:val="auto"/>
        </w:rPr>
        <w:t>cycles, as well as other factors affecting travel levels, such as military conflicts, terrorist incidents, natural disasters and epidemic diseases. Because the revenue from our agreements with our RAC customers is largely based on a margin-share model, any changes to our RAC customers’ pricing or pricing model for tolling, such as changing from charging their customers per rental day to per toll usage day, could have a material impact on the revenue we realize under those agreements. Further, although we have long-term agreements with many of our RAC customers, most provide the customer with a termination right in certain situations, including if we commit an uncured material breach of the agreement. Any decrease in revenues from customers in the RAC industry, whether as a result of factors impacting the RAC industry as a whole, or a loss of or reduced business from one or more of our RAC customers, could have a material adverse effect on our business, financial condition and results of operations.</w:t>
      </w:r>
    </w:p>
    <w:p>
      <w:pPr>
        <w:spacing w:after="0" w:line="126" w:lineRule="exact"/>
        <w:rPr>
          <w:sz w:val="20"/>
          <w:szCs w:val="20"/>
          <w:color w:val="auto"/>
        </w:rPr>
      </w:pPr>
    </w:p>
    <w:p>
      <w:pPr>
        <w:ind w:right="160" w:firstLine="602"/>
        <w:spacing w:after="0" w:line="298" w:lineRule="auto"/>
        <w:rPr>
          <w:sz w:val="20"/>
          <w:szCs w:val="20"/>
          <w:color w:val="auto"/>
        </w:rPr>
      </w:pPr>
      <w:r>
        <w:rPr>
          <w:rFonts w:ascii="Arial" w:cs="Arial" w:eastAsia="Arial" w:hAnsi="Arial"/>
          <w:sz w:val="11"/>
          <w:szCs w:val="11"/>
          <w:color w:val="auto"/>
        </w:rPr>
        <w:t>We also experience customer concentration in our Government Solutions segment. For example, in 2019, approximately 14% of our total revenues were attributable to the City of New York Department of Transportation, which can terminate its agreement with us upon advance notice without cause. In the future, a small number of customers in our Government Solutions segment may continue to represent a significant portion of our total revenues in any given period. The loss of any of our top Government Solutions customers could have a material adverse effect on our business, financial condition and results of operations.</w:t>
      </w:r>
    </w:p>
    <w:p>
      <w:pPr>
        <w:spacing w:after="0" w:line="17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Any decreases in the prevalence of automated and other similar methods of photo enforcement or the use of tolling could have a material adverse effect on our business.</w:t>
      </w:r>
    </w:p>
    <w:p>
      <w:pPr>
        <w:spacing w:after="0" w:line="78" w:lineRule="exact"/>
        <w:rPr>
          <w:sz w:val="20"/>
          <w:szCs w:val="20"/>
          <w:color w:val="auto"/>
        </w:rPr>
      </w:pPr>
    </w:p>
    <w:p>
      <w:pPr>
        <w:ind w:firstLine="602"/>
        <w:spacing w:after="0" w:line="255" w:lineRule="auto"/>
        <w:rPr>
          <w:sz w:val="20"/>
          <w:szCs w:val="20"/>
          <w:color w:val="auto"/>
        </w:rPr>
      </w:pPr>
      <w:r>
        <w:rPr>
          <w:rFonts w:ascii="Arial" w:cs="Arial" w:eastAsia="Arial" w:hAnsi="Arial"/>
          <w:sz w:val="12"/>
          <w:szCs w:val="12"/>
          <w:color w:val="auto"/>
        </w:rPr>
        <w:t>We provide automated safety solutions to local government agencies, generating revenues through automated photo enforcement of red-light, school bus, speed limit and bus lane laws. In 2019, revenues from this segment represented approximately 38% of our revenues. Therefore, we depend on federal, state and local governments authorizing the use of automated photo enforcement and not otherwise materially restricting its use. In states that have enabling legislation, if that legislation is not renewed or is otherwise repealed, use of automated enforcement technology can be suspended until new legislation is passed. For example, school zone speed enforcement enabling legislation was not renewed in the state of New York in 2018, prompting New York City to pass a local law enabling speed photo enforcement until the state law was renewed during the 2019 legislative session. . Additionally, in June 2019, the state of Texas passed a law prohibiting red-light photo enforcement programs across the state, with certain carve-outs for some existing programs. The passage of this law resulted in a loss of revenue and a related impairment of assets for fiscal year 2019.</w:t>
      </w:r>
    </w:p>
    <w:p>
      <w:pPr>
        <w:spacing w:after="0" w:line="129" w:lineRule="exact"/>
        <w:rPr>
          <w:sz w:val="20"/>
          <w:szCs w:val="20"/>
          <w:color w:val="auto"/>
        </w:rPr>
      </w:pPr>
    </w:p>
    <w:p>
      <w:pPr>
        <w:ind w:right="280" w:firstLine="602"/>
        <w:spacing w:after="0" w:line="298" w:lineRule="auto"/>
        <w:rPr>
          <w:sz w:val="20"/>
          <w:szCs w:val="20"/>
          <w:color w:val="auto"/>
        </w:rPr>
      </w:pPr>
      <w:r>
        <w:rPr>
          <w:rFonts w:ascii="Arial" w:cs="Arial" w:eastAsia="Arial" w:hAnsi="Arial"/>
          <w:sz w:val="11"/>
          <w:szCs w:val="11"/>
          <w:color w:val="auto"/>
        </w:rPr>
        <w:t>Ballot initiatives, referendums, opinions of attorneys general, and legal challenges can also be used to restrict the use of automated enforcement or to impose additional licensing requirements on its use. For example, the Attorneys General in the states of Arizona, Tennessee and Virginia have issued opinions that had the effect of limiting the use of these enforcement technologies or impacting the manner in which photo enforcement programs operate. Usage may also be affected if there is an unfavorable shift in political support for or public sentiment towards automated enforcement, or as a result of one or more scandals related to its use.</w:t>
      </w:r>
    </w:p>
    <w:p>
      <w:pPr>
        <w:spacing w:after="0" w:line="105" w:lineRule="exact"/>
        <w:rPr>
          <w:sz w:val="20"/>
          <w:szCs w:val="20"/>
          <w:color w:val="auto"/>
        </w:rPr>
      </w:pPr>
    </w:p>
    <w:p>
      <w:pPr>
        <w:jc w:val="both"/>
        <w:ind w:right="60" w:firstLine="602"/>
        <w:spacing w:after="0" w:line="263" w:lineRule="auto"/>
        <w:rPr>
          <w:sz w:val="20"/>
          <w:szCs w:val="20"/>
          <w:color w:val="auto"/>
        </w:rPr>
      </w:pPr>
      <w:r>
        <w:rPr>
          <w:rFonts w:ascii="Arial" w:cs="Arial" w:eastAsia="Arial" w:hAnsi="Arial"/>
          <w:sz w:val="12"/>
          <w:szCs w:val="12"/>
          <w:color w:val="auto"/>
        </w:rPr>
        <w:t>Similarly, our Commercial Services business may be materially impacted if there is an unfavorable shift in political support for or public sentiment towards tolling or its use is materially restricted or limited, including through the imposition of limits on the fees RAC companies can charge their customers for tolling services. Any material restriction or limitation on the use of automated enforcement or material reduction in its use in the markets we serve, or any similar changes with respect to tolling, could have a material adverse effect on our business, financial condition and results of operations.</w:t>
      </w:r>
    </w:p>
    <w:p>
      <w:pPr>
        <w:spacing w:after="0" w:line="19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government contracts are subject to unique risks and uncertainties, including termination rights, audits and investigations, any of which could have a material adverse effect on our business.</w:t>
      </w:r>
    </w:p>
    <w:p>
      <w:pPr>
        <w:spacing w:after="0" w:line="78" w:lineRule="exact"/>
        <w:rPr>
          <w:sz w:val="20"/>
          <w:szCs w:val="20"/>
          <w:color w:val="auto"/>
        </w:rPr>
      </w:pPr>
    </w:p>
    <w:p>
      <w:pPr>
        <w:ind w:firstLine="602"/>
        <w:spacing w:after="0" w:line="259" w:lineRule="auto"/>
        <w:rPr>
          <w:sz w:val="20"/>
          <w:szCs w:val="20"/>
          <w:color w:val="auto"/>
        </w:rPr>
      </w:pPr>
      <w:r>
        <w:rPr>
          <w:rFonts w:ascii="Arial" w:cs="Arial" w:eastAsia="Arial" w:hAnsi="Arial"/>
          <w:sz w:val="12"/>
          <w:szCs w:val="12"/>
          <w:color w:val="auto"/>
        </w:rPr>
        <w:t>Government entities typically finance projects through appropriated funds. While these projects are often planned and executed as multi-year projects, government entities usually reserve the right to change the scope of or terminate these projects for lack of approved funding or at their convenience. Changes in government or political developments, including budget deficits, shortfalls or uncertainties, government spending reductions or other debt or funding constraints, could result in our government contracts being reduced in price or scope or terminated altogether, as well as limit our ability to win new government work in the future. Moreover, if a government customer does not follow the requisite procurement or ordinance specific administrative procedures, the contract</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17740" cy="368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ectPr>
          <w:pgSz w:w="11900" w:h="16838" w:orient="portrait"/>
          <w:cols w:equalWidth="0" w:num="1">
            <w:col w:w="11460"/>
          </w:cols>
          <w:pgMar w:left="220" w:top="203" w:right="219" w:bottom="1440" w:gutter="0" w:footer="0" w:header="0"/>
        </w:sectPr>
      </w:pPr>
    </w:p>
    <w:bookmarkStart w:id="13" w:name="page14"/>
    <w:bookmarkEnd w:id="13"/>
    <w:p>
      <w:pPr>
        <w:ind w:right="80"/>
        <w:spacing w:after="0" w:line="323" w:lineRule="auto"/>
        <w:rPr>
          <w:sz w:val="20"/>
          <w:szCs w:val="20"/>
          <w:color w:val="auto"/>
        </w:rPr>
      </w:pPr>
      <w:r>
        <w:rPr>
          <w:rFonts w:ascii="Arial" w:cs="Arial" w:eastAsia="Arial" w:hAnsi="Arial"/>
          <w:sz w:val="11"/>
          <w:szCs w:val="11"/>
          <w:color w:val="auto"/>
        </w:rPr>
        <w:t>may be subject to protest or voidable regardless of whether we bear any responsibility for the error. Our government contracts often include other one-sided, customer-friendly provisions and certifications, including broad indemnification provisions and uncapped exposure or liquidated damages for certain liabilities, which can impose obligations, requirements, and liabilities on us that are beyond those associated with a typical commercial arrangement.</w:t>
      </w:r>
    </w:p>
    <w:p>
      <w:pPr>
        <w:spacing w:after="0" w:line="92" w:lineRule="exact"/>
        <w:rPr>
          <w:sz w:val="20"/>
          <w:szCs w:val="20"/>
          <w:color w:val="auto"/>
        </w:rPr>
      </w:pPr>
    </w:p>
    <w:p>
      <w:pPr>
        <w:ind w:right="40" w:firstLine="602"/>
        <w:spacing w:after="0" w:line="255" w:lineRule="auto"/>
        <w:rPr>
          <w:sz w:val="20"/>
          <w:szCs w:val="20"/>
          <w:color w:val="auto"/>
        </w:rPr>
      </w:pPr>
      <w:r>
        <w:rPr>
          <w:rFonts w:ascii="Arial" w:cs="Arial" w:eastAsia="Arial" w:hAnsi="Arial"/>
          <w:sz w:val="12"/>
          <w:szCs w:val="12"/>
          <w:color w:val="auto"/>
        </w:rPr>
        <w:t>In addition, government contracts are generally subject to audits and investigations by government agencies or higher-tier government contractors. If improper or illegal activities or contractual non-compliance are identified, including improper billing, we may be subject to various civil and criminal penalties and administrative sanctions, which may include termination of contracts, forfeiture of profits, suspension of payments, the imposition of fines, penalties and sanctions, and suspensions or debarment from doing business for or on behalf of the government in the future. If penalties or other restrictions are imposed in one jurisdiction, it could also implicate similar provisions of contracts with other government customers in other jurisdictions. Further, the negative publicity related to these penalties, sanctions or findings in government audits or investigations could harm our reputation and hinder our ability to compete for new contracts with government customers and in the private sector. Any of the foregoing or any other reduction in revenue from government customers could have a material adverse effect on our business, financial condition and results of operations.</w:t>
      </w:r>
    </w:p>
    <w:p>
      <w:pPr>
        <w:spacing w:after="0" w:line="20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Decreased interest in outsourcing could have a material adverse effect on our business.</w:t>
      </w:r>
    </w:p>
    <w:p>
      <w:pPr>
        <w:spacing w:after="0" w:line="78" w:lineRule="exact"/>
        <w:rPr>
          <w:sz w:val="20"/>
          <w:szCs w:val="20"/>
          <w:color w:val="auto"/>
        </w:rPr>
      </w:pPr>
    </w:p>
    <w:p>
      <w:pPr>
        <w:ind w:firstLine="602"/>
        <w:spacing w:after="0" w:line="259" w:lineRule="auto"/>
        <w:rPr>
          <w:sz w:val="20"/>
          <w:szCs w:val="20"/>
          <w:color w:val="auto"/>
        </w:rPr>
      </w:pPr>
      <w:r>
        <w:rPr>
          <w:rFonts w:ascii="Arial" w:cs="Arial" w:eastAsia="Arial" w:hAnsi="Arial"/>
          <w:sz w:val="12"/>
          <w:szCs w:val="12"/>
          <w:color w:val="auto"/>
        </w:rPr>
        <w:t>Our business and growth depend in large part on continued demand for outsourced business process services. Outsourcing means that an entity contracts with a third party, such as us, to provide business process services rather than performing the services in-house. This interest may not continue, as our customers may elect to develop their own solutions or perform the services themselves. Additionally, our cross-selling efforts with existing customers or with the customers of a business we acquire may not lead to additional revenues. A significant change in the demand for outsourcing or an inability to cross-sell to existing customers or the customers of any business we acquire could have a material adverse effect on our business, financial condition and results of operations.</w:t>
      </w:r>
    </w:p>
    <w:p>
      <w:pPr>
        <w:spacing w:after="0" w:line="19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failure to properly perform under our contracts or otherwise satisfy our customers could have a material adverse effect on our business.</w:t>
      </w:r>
    </w:p>
    <w:p>
      <w:pPr>
        <w:spacing w:after="0" w:line="78" w:lineRule="exact"/>
        <w:rPr>
          <w:sz w:val="20"/>
          <w:szCs w:val="20"/>
          <w:color w:val="auto"/>
        </w:rPr>
      </w:pPr>
    </w:p>
    <w:p>
      <w:pPr>
        <w:ind w:firstLine="602"/>
        <w:spacing w:after="0" w:line="255" w:lineRule="auto"/>
        <w:rPr>
          <w:sz w:val="20"/>
          <w:szCs w:val="20"/>
          <w:color w:val="auto"/>
        </w:rPr>
      </w:pPr>
      <w:r>
        <w:rPr>
          <w:rFonts w:ascii="Arial" w:cs="Arial" w:eastAsia="Arial" w:hAnsi="Arial"/>
          <w:sz w:val="12"/>
          <w:szCs w:val="12"/>
          <w:color w:val="auto"/>
        </w:rPr>
        <w:t>Our business model depends in large part on our ability to retain existing work and attract new work from existing customers. If a customer is not satisfied with the quality of our solutions or the work performed by us or one of our subcontractors, we may incur additional costs to address the problem and the profitability of that contract may be impaired. Failure to properly transition new customers to our systems or existing customers to our different systems, properly budget transition costs or accurately estimate contract costs could also result in delays and general customer dissatisfaction. Other than our agreements with customers in the RAC industry, many of our contracts may be terminated by the customer upon specified advance notice without cause. Moreover, any customer dissatisfaction with our products, services or solutions or the timeliness or quality of our work, for whatever reason, could harm our reputation and hinder our ability to win new work from other prospective customers. Any failure to properly perform under our contracts or meet our customers’ expectations could have a material adverse effect on our business, financial condition and results of operations.</w:t>
      </w:r>
    </w:p>
    <w:p>
      <w:pPr>
        <w:spacing w:after="0" w:line="20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face intense competition and any failure to compete could have a material adverse effect on our business.</w:t>
      </w:r>
    </w:p>
    <w:p>
      <w:pPr>
        <w:spacing w:after="0" w:line="78" w:lineRule="exact"/>
        <w:rPr>
          <w:sz w:val="20"/>
          <w:szCs w:val="20"/>
          <w:color w:val="auto"/>
        </w:rPr>
      </w:pPr>
    </w:p>
    <w:p>
      <w:pPr>
        <w:ind w:firstLine="602"/>
        <w:spacing w:after="0" w:line="257" w:lineRule="auto"/>
        <w:rPr>
          <w:sz w:val="20"/>
          <w:szCs w:val="20"/>
          <w:color w:val="auto"/>
        </w:rPr>
      </w:pPr>
      <w:r>
        <w:rPr>
          <w:rFonts w:ascii="Arial" w:cs="Arial" w:eastAsia="Arial" w:hAnsi="Arial"/>
          <w:sz w:val="12"/>
          <w:szCs w:val="12"/>
          <w:color w:val="auto"/>
        </w:rPr>
        <w:t>The markets for our solutions are increasingly competitive, rapidly evolving and fragmented, and are subject to changing technology and shifting customer needs. A number of vendors develop and market products and services that compete to varying extents with our offerings, and we expect this competition to continue to intensify . In addition, industry consolidation could further increase competition, and competitors may also establish relationships or form alliances. Currently we compete with a number of other companies, ranging from small, regional or specialized firms to large, diversified companies. The rapid rate of technological change in our industry could increase the chances that we will face competition from new products or services designed by companies that we do not currently compete with. Moreover, we face competition from our own customers as they may choose to invest in developing their own internal solutions.</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17740" cy="368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ectPr>
          <w:pgSz w:w="11900" w:h="16838" w:orient="portrait"/>
          <w:cols w:equalWidth="0" w:num="1">
            <w:col w:w="11460"/>
          </w:cols>
          <w:pgMar w:left="220" w:top="203" w:right="219" w:bottom="1440" w:gutter="0" w:footer="0" w:header="0"/>
        </w:sectPr>
      </w:pPr>
    </w:p>
    <w:bookmarkStart w:id="14" w:name="page15"/>
    <w:bookmarkEnd w:id="14"/>
    <w:p>
      <w:pPr>
        <w:ind w:left="600"/>
        <w:spacing w:after="0"/>
        <w:rPr>
          <w:sz w:val="20"/>
          <w:szCs w:val="20"/>
          <w:color w:val="auto"/>
        </w:rPr>
      </w:pPr>
      <w:r>
        <w:rPr>
          <w:rFonts w:ascii="Arial" w:cs="Arial" w:eastAsia="Arial" w:hAnsi="Arial"/>
          <w:sz w:val="12"/>
          <w:szCs w:val="12"/>
          <w:color w:val="auto"/>
        </w:rPr>
        <w:t>Competition in our markets is primarily based on:</w:t>
      </w:r>
    </w:p>
    <w:p>
      <w:pPr>
        <w:spacing w:after="0" w:line="78" w:lineRule="exact"/>
        <w:rPr>
          <w:sz w:val="20"/>
          <w:szCs w:val="20"/>
          <w:color w:val="auto"/>
        </w:rPr>
      </w:pPr>
    </w:p>
    <w:p>
      <w:pPr>
        <w:ind w:left="1180" w:hanging="593"/>
        <w:spacing w:after="0"/>
        <w:tabs>
          <w:tab w:leader="none" w:pos="1180"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quality, reliability and efficacy of the solution;</w:t>
      </w:r>
    </w:p>
    <w:p>
      <w:pPr>
        <w:spacing w:after="0" w:line="78" w:lineRule="exact"/>
        <w:rPr>
          <w:rFonts w:ascii="Arial" w:cs="Arial" w:eastAsia="Arial" w:hAnsi="Arial"/>
          <w:sz w:val="12"/>
          <w:szCs w:val="12"/>
          <w:color w:val="auto"/>
        </w:rPr>
      </w:pPr>
    </w:p>
    <w:p>
      <w:pPr>
        <w:ind w:left="1180" w:hanging="593"/>
        <w:spacing w:after="0"/>
        <w:tabs>
          <w:tab w:leader="none" w:pos="1180" w:val="left"/>
        </w:tabs>
        <w:numPr>
          <w:ilvl w:val="0"/>
          <w:numId w:val="3"/>
        </w:numPr>
        <w:rPr>
          <w:rFonts w:ascii="Arial" w:cs="Arial" w:eastAsia="Arial" w:hAnsi="Arial"/>
          <w:sz w:val="12"/>
          <w:szCs w:val="12"/>
          <w:color w:val="auto"/>
        </w:rPr>
      </w:pPr>
      <w:r>
        <w:rPr>
          <w:rFonts w:ascii="Arial" w:cs="Arial" w:eastAsia="Arial" w:hAnsi="Arial"/>
          <w:sz w:val="12"/>
          <w:szCs w:val="12"/>
          <w:color w:val="auto"/>
        </w:rPr>
        <w:t>customer awareness of offerings;</w:t>
      </w:r>
    </w:p>
    <w:p>
      <w:pPr>
        <w:spacing w:after="0" w:line="78" w:lineRule="exact"/>
        <w:rPr>
          <w:rFonts w:ascii="Arial" w:cs="Arial" w:eastAsia="Arial" w:hAnsi="Arial"/>
          <w:sz w:val="12"/>
          <w:szCs w:val="12"/>
          <w:color w:val="auto"/>
        </w:rPr>
      </w:pPr>
    </w:p>
    <w:p>
      <w:pPr>
        <w:ind w:left="1180" w:hanging="593"/>
        <w:spacing w:after="0"/>
        <w:tabs>
          <w:tab w:leader="none" w:pos="1180" w:val="left"/>
        </w:tabs>
        <w:numPr>
          <w:ilvl w:val="0"/>
          <w:numId w:val="3"/>
        </w:numPr>
        <w:rPr>
          <w:rFonts w:ascii="Arial" w:cs="Arial" w:eastAsia="Arial" w:hAnsi="Arial"/>
          <w:sz w:val="12"/>
          <w:szCs w:val="12"/>
          <w:color w:val="auto"/>
        </w:rPr>
      </w:pPr>
      <w:r>
        <w:rPr>
          <w:rFonts w:ascii="Arial" w:cs="Arial" w:eastAsia="Arial" w:hAnsi="Arial"/>
          <w:sz w:val="12"/>
          <w:szCs w:val="12"/>
          <w:color w:val="auto"/>
        </w:rPr>
        <w:t>pricing;</w:t>
      </w:r>
    </w:p>
    <w:p>
      <w:pPr>
        <w:spacing w:after="0" w:line="78" w:lineRule="exact"/>
        <w:rPr>
          <w:rFonts w:ascii="Arial" w:cs="Arial" w:eastAsia="Arial" w:hAnsi="Arial"/>
          <w:sz w:val="12"/>
          <w:szCs w:val="12"/>
          <w:color w:val="auto"/>
        </w:rPr>
      </w:pPr>
    </w:p>
    <w:p>
      <w:pPr>
        <w:ind w:left="1180" w:hanging="593"/>
        <w:spacing w:after="0"/>
        <w:tabs>
          <w:tab w:leader="none" w:pos="1180" w:val="left"/>
        </w:tabs>
        <w:numPr>
          <w:ilvl w:val="0"/>
          <w:numId w:val="3"/>
        </w:numPr>
        <w:rPr>
          <w:rFonts w:ascii="Arial" w:cs="Arial" w:eastAsia="Arial" w:hAnsi="Arial"/>
          <w:sz w:val="12"/>
          <w:szCs w:val="12"/>
          <w:color w:val="auto"/>
        </w:rPr>
      </w:pPr>
      <w:r>
        <w:rPr>
          <w:rFonts w:ascii="Arial" w:cs="Arial" w:eastAsia="Arial" w:hAnsi="Arial"/>
          <w:sz w:val="12"/>
          <w:szCs w:val="12"/>
          <w:color w:val="auto"/>
        </w:rPr>
        <w:t>functionality and features, including ease of use and broad application;</w:t>
      </w:r>
    </w:p>
    <w:p>
      <w:pPr>
        <w:spacing w:after="0" w:line="78" w:lineRule="exact"/>
        <w:rPr>
          <w:rFonts w:ascii="Arial" w:cs="Arial" w:eastAsia="Arial" w:hAnsi="Arial"/>
          <w:sz w:val="12"/>
          <w:szCs w:val="12"/>
          <w:color w:val="auto"/>
        </w:rPr>
      </w:pPr>
    </w:p>
    <w:p>
      <w:pPr>
        <w:ind w:left="1180" w:hanging="593"/>
        <w:spacing w:after="0"/>
        <w:tabs>
          <w:tab w:leader="none" w:pos="1180"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customer experience;</w:t>
      </w:r>
    </w:p>
    <w:p>
      <w:pPr>
        <w:spacing w:after="0" w:line="78" w:lineRule="exact"/>
        <w:rPr>
          <w:rFonts w:ascii="Arial" w:cs="Arial" w:eastAsia="Arial" w:hAnsi="Arial"/>
          <w:sz w:val="12"/>
          <w:szCs w:val="12"/>
          <w:color w:val="auto"/>
        </w:rPr>
      </w:pPr>
    </w:p>
    <w:p>
      <w:pPr>
        <w:ind w:left="1180" w:hanging="593"/>
        <w:spacing w:after="0"/>
        <w:tabs>
          <w:tab w:leader="none" w:pos="1180"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breadth and depth of products and services offered;</w:t>
      </w:r>
    </w:p>
    <w:p>
      <w:pPr>
        <w:spacing w:after="0" w:line="78" w:lineRule="exact"/>
        <w:rPr>
          <w:rFonts w:ascii="Arial" w:cs="Arial" w:eastAsia="Arial" w:hAnsi="Arial"/>
          <w:sz w:val="12"/>
          <w:szCs w:val="12"/>
          <w:color w:val="auto"/>
        </w:rPr>
      </w:pPr>
    </w:p>
    <w:p>
      <w:pPr>
        <w:ind w:left="1180" w:hanging="593"/>
        <w:spacing w:after="0"/>
        <w:tabs>
          <w:tab w:leader="none" w:pos="1180" w:val="left"/>
        </w:tabs>
        <w:numPr>
          <w:ilvl w:val="0"/>
          <w:numId w:val="3"/>
        </w:numPr>
        <w:rPr>
          <w:rFonts w:ascii="Arial" w:cs="Arial" w:eastAsia="Arial" w:hAnsi="Arial"/>
          <w:sz w:val="12"/>
          <w:szCs w:val="12"/>
          <w:color w:val="auto"/>
        </w:rPr>
      </w:pPr>
      <w:r>
        <w:rPr>
          <w:rFonts w:ascii="Arial" w:cs="Arial" w:eastAsia="Arial" w:hAnsi="Arial"/>
          <w:sz w:val="12"/>
          <w:szCs w:val="12"/>
          <w:color w:val="auto"/>
        </w:rPr>
        <w:t>reputation and track record;</w:t>
      </w:r>
    </w:p>
    <w:p>
      <w:pPr>
        <w:spacing w:after="0" w:line="78" w:lineRule="exact"/>
        <w:rPr>
          <w:rFonts w:ascii="Arial" w:cs="Arial" w:eastAsia="Arial" w:hAnsi="Arial"/>
          <w:sz w:val="12"/>
          <w:szCs w:val="12"/>
          <w:color w:val="auto"/>
        </w:rPr>
      </w:pPr>
    </w:p>
    <w:p>
      <w:pPr>
        <w:ind w:left="1180" w:hanging="593"/>
        <w:spacing w:after="0"/>
        <w:tabs>
          <w:tab w:leader="none" w:pos="1180" w:val="left"/>
        </w:tabs>
        <w:numPr>
          <w:ilvl w:val="0"/>
          <w:numId w:val="3"/>
        </w:numPr>
        <w:rPr>
          <w:rFonts w:ascii="Arial" w:cs="Arial" w:eastAsia="Arial" w:hAnsi="Arial"/>
          <w:sz w:val="12"/>
          <w:szCs w:val="12"/>
          <w:color w:val="auto"/>
        </w:rPr>
      </w:pPr>
      <w:r>
        <w:rPr>
          <w:rFonts w:ascii="Arial" w:cs="Arial" w:eastAsia="Arial" w:hAnsi="Arial"/>
          <w:sz w:val="12"/>
          <w:szCs w:val="12"/>
          <w:color w:val="auto"/>
        </w:rPr>
        <w:t>technical expertise; and</w:t>
      </w:r>
    </w:p>
    <w:p>
      <w:pPr>
        <w:spacing w:after="0" w:line="78" w:lineRule="exact"/>
        <w:rPr>
          <w:rFonts w:ascii="Arial" w:cs="Arial" w:eastAsia="Arial" w:hAnsi="Arial"/>
          <w:sz w:val="12"/>
          <w:szCs w:val="12"/>
          <w:color w:val="auto"/>
        </w:rPr>
      </w:pPr>
    </w:p>
    <w:p>
      <w:pPr>
        <w:ind w:left="1180" w:hanging="593"/>
        <w:spacing w:after="0"/>
        <w:tabs>
          <w:tab w:leader="none" w:pos="1180" w:val="left"/>
        </w:tabs>
        <w:numPr>
          <w:ilvl w:val="0"/>
          <w:numId w:val="3"/>
        </w:numPr>
        <w:rPr>
          <w:rFonts w:ascii="Arial" w:cs="Arial" w:eastAsia="Arial" w:hAnsi="Arial"/>
          <w:sz w:val="12"/>
          <w:szCs w:val="12"/>
          <w:color w:val="auto"/>
        </w:rPr>
      </w:pPr>
      <w:r>
        <w:rPr>
          <w:rFonts w:ascii="Arial" w:cs="Arial" w:eastAsia="Arial" w:hAnsi="Arial"/>
          <w:sz w:val="12"/>
          <w:szCs w:val="12"/>
          <w:color w:val="auto"/>
        </w:rPr>
        <w:t>security.</w:t>
      </w:r>
    </w:p>
    <w:p>
      <w:pPr>
        <w:spacing w:after="0" w:line="150" w:lineRule="exact"/>
        <w:rPr>
          <w:sz w:val="20"/>
          <w:szCs w:val="20"/>
          <w:color w:val="auto"/>
        </w:rPr>
      </w:pPr>
    </w:p>
    <w:p>
      <w:pPr>
        <w:ind w:right="60" w:firstLine="602"/>
        <w:spacing w:after="0" w:line="281" w:lineRule="auto"/>
        <w:rPr>
          <w:sz w:val="20"/>
          <w:szCs w:val="20"/>
          <w:color w:val="auto"/>
        </w:rPr>
      </w:pPr>
      <w:r>
        <w:rPr>
          <w:rFonts w:ascii="Arial" w:cs="Arial" w:eastAsia="Arial" w:hAnsi="Arial"/>
          <w:sz w:val="11"/>
          <w:szCs w:val="11"/>
          <w:color w:val="auto"/>
        </w:rPr>
        <w:t>Some of our existing competitors and potential new competitors have longer operating histories, greater name recognition, less debt, more established customer bases and significantly greater financial, technical, research and development, marketing and other resources than we do. As a result, our competitors may be able to respond more quickly and effectively than we can to new or changing opportunities, technologies, standards or customer requirements. If our competitors introduce new competitive solutions and technologies, or add new features, we could lose customers. In some cases, our competitors may be better positioned to initiate or withstand substantial price competition, and we may have to reduce our pricing to retain existing business or obtain new business. If we are not able to maintain favorable pricing for our solutions, our profit margin and profitability could suffer. In addition, if a prospective customer is currently using a competing solution, the customer may be unwilling to switch to our solution without setup support services or other incentives. Certain existing and new competitors may be better positioned to acquire competitive solutions, effectively negotiate third-party licenses and other strategic relationships, and take advantage of acquisition or other similar expansion opportunities. Any failure to achieve our target pricing levels, maintain existing customer relationships, generate additional customer wins or otherwise successfully compete would have a material adverse effect on our business, financial condition and results of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Any failure to keep up with technological developments and changing customer preferences could have a material adverse effect on our business.</w:t>
      </w:r>
    </w:p>
    <w:p>
      <w:pPr>
        <w:spacing w:after="0" w:line="78" w:lineRule="exact"/>
        <w:rPr>
          <w:sz w:val="20"/>
          <w:szCs w:val="20"/>
          <w:color w:val="auto"/>
        </w:rPr>
      </w:pPr>
    </w:p>
    <w:p>
      <w:pPr>
        <w:ind w:firstLine="602"/>
        <w:spacing w:after="0" w:line="254" w:lineRule="auto"/>
        <w:rPr>
          <w:sz w:val="20"/>
          <w:szCs w:val="20"/>
          <w:color w:val="auto"/>
        </w:rPr>
      </w:pPr>
      <w:r>
        <w:rPr>
          <w:rFonts w:ascii="Arial" w:cs="Arial" w:eastAsia="Arial" w:hAnsi="Arial"/>
          <w:sz w:val="12"/>
          <w:szCs w:val="12"/>
          <w:color w:val="auto"/>
        </w:rPr>
        <w:t>We operate in dynamic industries that are characterized by rapid technological change, frequent product and service innovation and evolving industry standards. We may be required to implement new technologies or adapt to existing but different technologies from those currently used. Our future success will depend on our ability to adapt and innovate to keep up with technological developments and changes in third-party technologies, including those of our customers and tolling and issuing authorities, to the extent our integrations are interdependent. As a result, we expect we will need to invest significant resources in research and development, often before knowing whether these investments will eventually be successful. The success of new solutions and enhancements and new features for existing solutions depends on several factors, including adequate testing, timely completion, appropriate introduction and market acceptance. Further, we may be required to make changes due to an inability to secure necessary intellectual property protections or licenses. Our inability to anticipate or timely and successfully develop or acquire new products and services or enhance our existing products and services to keep pace with technological changes and meet evolving customer requirements could decrease demand for our solutions and otherwise have a material adverse effect on our business, financial condition and results of operations.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17740" cy="368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ectPr>
          <w:pgSz w:w="11900" w:h="16838" w:orient="portrait"/>
          <w:cols w:equalWidth="0" w:num="1">
            <w:col w:w="11480"/>
          </w:cols>
          <w:pgMar w:left="220" w:top="275" w:right="199" w:bottom="1440" w:gutter="0" w:footer="0" w:header="0"/>
        </w:sectPr>
      </w:pPr>
    </w:p>
    <w:bookmarkStart w:id="15" w:name="page16"/>
    <w:bookmarkEnd w:id="15"/>
    <w:p>
      <w:pPr>
        <w:spacing w:after="0"/>
        <w:rPr>
          <w:sz w:val="20"/>
          <w:szCs w:val="20"/>
          <w:color w:val="auto"/>
        </w:rPr>
      </w:pPr>
      <w:r>
        <w:rPr>
          <w:rFonts w:ascii="Arial" w:cs="Arial" w:eastAsia="Arial" w:hAnsi="Arial"/>
          <w:sz w:val="12"/>
          <w:szCs w:val="12"/>
          <w:b w:val="1"/>
          <w:bCs w:val="1"/>
          <w:i w:val="1"/>
          <w:iCs w:val="1"/>
          <w:color w:val="auto"/>
        </w:rPr>
        <w:t>Our new products and services and changes to existing products and services may not succeed.</w:t>
      </w:r>
    </w:p>
    <w:p>
      <w:pPr>
        <w:spacing w:after="0" w:line="78" w:lineRule="exact"/>
        <w:rPr>
          <w:sz w:val="20"/>
          <w:szCs w:val="20"/>
          <w:color w:val="auto"/>
        </w:rPr>
      </w:pPr>
    </w:p>
    <w:p>
      <w:pPr>
        <w:ind w:right="100" w:firstLine="602"/>
        <w:spacing w:after="0" w:line="280" w:lineRule="auto"/>
        <w:rPr>
          <w:sz w:val="20"/>
          <w:szCs w:val="20"/>
          <w:color w:val="auto"/>
        </w:rPr>
      </w:pPr>
      <w:r>
        <w:rPr>
          <w:rFonts w:ascii="Arial" w:cs="Arial" w:eastAsia="Arial" w:hAnsi="Arial"/>
          <w:sz w:val="11"/>
          <w:szCs w:val="11"/>
          <w:color w:val="auto"/>
        </w:rPr>
        <w:t>Our ability to retain, increase, and engage our customer base and to increase our revenue depends, in large part, on our ability to continue to evolve existing solutions and to create successful new solutions. We may introduce significant changes to our existing solutions or acquire or introduce new and unproven products and services, including using technologies or entering markets or industries in which we have little or no experience. For example, in September 2018, we launched Peasy, our cloud-based, pay-as-you-go tolling solution targeting consumers, a market segment that we had not previously targeted directly. Consumer adoption of Peasy has been slower than anticipated, and the product did not generate meaningful revenue during fiscal year 2019. Our success with Peasy may be impacted by our relative lack of experience in a direct-to-consumer product offering, our relationships with toll authorities and the success of our channel partner arrangements to expand our marketing effort, and emerging competition in this space. We have some indirect exposure to the consumer segment through our business with the RAC industry, but in those instances, our customer controls the pricing, marketing, consumer disclosures and other aspects of the consumer relationship. As such, the consumers’ view of us and their willingness to try our solutions may be impacted by their experience with our tolling services delivered by our RAC customers. The failure of any new or enhanced solution to achieve customer adoption or our failure to otherwise successfully monetize our development efforts could have a material adverse effect on our business, financial condition and results of operations.</w:t>
      </w:r>
    </w:p>
    <w:p>
      <w:pPr>
        <w:spacing w:after="0" w:line="18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reliance on third-party providers could have a material adverse effect on our business.</w:t>
      </w:r>
    </w:p>
    <w:p>
      <w:pPr>
        <w:spacing w:after="0" w:line="78" w:lineRule="exact"/>
        <w:rPr>
          <w:sz w:val="20"/>
          <w:szCs w:val="20"/>
          <w:color w:val="auto"/>
        </w:rPr>
      </w:pPr>
    </w:p>
    <w:p>
      <w:pPr>
        <w:ind w:right="20" w:firstLine="602"/>
        <w:spacing w:after="0" w:line="283" w:lineRule="auto"/>
        <w:rPr>
          <w:sz w:val="20"/>
          <w:szCs w:val="20"/>
          <w:color w:val="auto"/>
        </w:rPr>
      </w:pPr>
      <w:r>
        <w:rPr>
          <w:rFonts w:ascii="Arial" w:cs="Arial" w:eastAsia="Arial" w:hAnsi="Arial"/>
          <w:sz w:val="11"/>
          <w:szCs w:val="11"/>
          <w:color w:val="auto"/>
        </w:rPr>
        <w:t>We rely heavily on third-party providers, including subcontractors, manufacturers, software vendors, software application developers, and utility and network providers, to meet their obligations to us in a timely and high-quality manner. For example, we rely on third parties such as the National Law Enforcement Telecommunications System, Polk, DMVDesk, CVR and Dealertrack to provide a direct connection to state departments of motor vehicles (and their European equivalents) and other governmental agencies with which we do not have direct relationships for the driver and other information we use in our business. Our ability to offer our solutions would be materially affected if this access was unavailable or materially restricted, or if the price we pay increased significantly. Our Government Solutions business also relies on a number of third-party manufacturers, including camera manufacturers and automated license plate recognition providers, and outsources some engineering, construction, maintenance, printing and mailing, call center, image review and violations processing work. Further, if one or more tolling authorities cancels our accounts, or stops providing transponders and we are unable to obtain transponders through other sources, our Commercial Services business would be affected.</w:t>
      </w:r>
    </w:p>
    <w:p>
      <w:pPr>
        <w:spacing w:after="0" w:line="114" w:lineRule="exact"/>
        <w:rPr>
          <w:sz w:val="20"/>
          <w:szCs w:val="20"/>
          <w:color w:val="auto"/>
        </w:rPr>
      </w:pPr>
    </w:p>
    <w:p>
      <w:pPr>
        <w:ind w:firstLine="602"/>
        <w:spacing w:after="0" w:line="257" w:lineRule="auto"/>
        <w:rPr>
          <w:sz w:val="20"/>
          <w:szCs w:val="20"/>
          <w:color w:val="auto"/>
        </w:rPr>
      </w:pPr>
      <w:r>
        <w:rPr>
          <w:rFonts w:ascii="Arial" w:cs="Arial" w:eastAsia="Arial" w:hAnsi="Arial"/>
          <w:sz w:val="12"/>
          <w:szCs w:val="12"/>
          <w:color w:val="auto"/>
        </w:rPr>
        <w:t>We also outsource a meaningful percentage of our software development work to third parties. Some of our agreements with these third parties include termination rights, allowing the third party to terminate the arrangement in certain circumstances. For example, the agreements with our third-party payment processors give them the right to terminate the relationship if we fail to keep credit card chargeback and retrieval rates below certain thresholds. If any of our third-party providers are unable or unwilling to meet their obligations to us, fail to satisfy our expectations or those of our customers, including those imposed through flow-down provisions in prime contracts, or if they terminate or refuse to renew their relationships with us on substantially similar terms, we may be unable to find adequate replacements within a reasonable time frame, on favorable commercial terms or at all, and our business, financial condition and results of operations could be materially and adversely affected.</w:t>
      </w:r>
    </w:p>
    <w:p>
      <w:pPr>
        <w:spacing w:after="0" w:line="126" w:lineRule="exact"/>
        <w:rPr>
          <w:sz w:val="20"/>
          <w:szCs w:val="20"/>
          <w:color w:val="auto"/>
        </w:rPr>
      </w:pPr>
    </w:p>
    <w:p>
      <w:pPr>
        <w:ind w:right="140" w:firstLine="602"/>
        <w:spacing w:after="0" w:line="259" w:lineRule="auto"/>
        <w:rPr>
          <w:sz w:val="20"/>
          <w:szCs w:val="20"/>
          <w:color w:val="auto"/>
        </w:rPr>
      </w:pPr>
      <w:r>
        <w:rPr>
          <w:rFonts w:ascii="Arial" w:cs="Arial" w:eastAsia="Arial" w:hAnsi="Arial"/>
          <w:sz w:val="12"/>
          <w:szCs w:val="12"/>
          <w:color w:val="auto"/>
        </w:rPr>
        <w:t>While we perform some due diligence on these third parties and take measures to ensure that they comply with applicable laws and regulations, we do not have an extensive screening or review process and ultimately cannot guarantee our third-party providers will comply with applicable laws, the terms of their agreements or flow-down requirements from our customers. Misconduct or performance deficiencies by any of our third-party providers may be perceived as misconduct or poor performance by us, cause us to fall short on our contractual obligations to our customers or harm our reputation, any of which could have a material adverse effect on our business, financial condition and results of operations.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17740" cy="368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ectPr>
          <w:pgSz w:w="11900" w:h="16838" w:orient="portrait"/>
          <w:cols w:equalWidth="0" w:num="1">
            <w:col w:w="11460"/>
          </w:cols>
          <w:pgMar w:left="220" w:top="347" w:right="219" w:bottom="1440" w:gutter="0" w:footer="0" w:header="0"/>
        </w:sectPr>
      </w:pPr>
    </w:p>
    <w:bookmarkStart w:id="16" w:name="page17"/>
    <w:bookmarkEnd w:id="16"/>
    <w:p>
      <w:pPr>
        <w:spacing w:after="0"/>
        <w:rPr>
          <w:sz w:val="20"/>
          <w:szCs w:val="20"/>
          <w:color w:val="auto"/>
        </w:rPr>
      </w:pPr>
      <w:r>
        <w:rPr>
          <w:rFonts w:ascii="Arial" w:cs="Arial" w:eastAsia="Arial" w:hAnsi="Arial"/>
          <w:sz w:val="12"/>
          <w:szCs w:val="12"/>
          <w:b w:val="1"/>
          <w:bCs w:val="1"/>
          <w:i w:val="1"/>
          <w:iCs w:val="1"/>
          <w:color w:val="auto"/>
        </w:rPr>
        <w:t>A failure in or breach of our networks or systems, including as a result of cyber-attacks, could have a material adverse effect on our business.</w:t>
      </w:r>
    </w:p>
    <w:p>
      <w:pPr>
        <w:spacing w:after="0" w:line="78" w:lineRule="exact"/>
        <w:rPr>
          <w:sz w:val="20"/>
          <w:szCs w:val="20"/>
          <w:color w:val="auto"/>
        </w:rPr>
      </w:pPr>
    </w:p>
    <w:p>
      <w:pPr>
        <w:ind w:firstLine="602"/>
        <w:spacing w:after="0" w:line="286" w:lineRule="auto"/>
        <w:rPr>
          <w:sz w:val="20"/>
          <w:szCs w:val="20"/>
          <w:color w:val="auto"/>
        </w:rPr>
      </w:pPr>
      <w:r>
        <w:rPr>
          <w:rFonts w:ascii="Arial" w:cs="Arial" w:eastAsia="Arial" w:hAnsi="Arial"/>
          <w:sz w:val="11"/>
          <w:szCs w:val="11"/>
          <w:color w:val="auto"/>
        </w:rPr>
        <w:t>We act as a trusted business partner in both front office and back office platforms, interacting with our customers and other third parties. Our customers include large, multinational corporations and government agencies who depend upon our operational efficiency, non-interruption of service, and accuracy and security of information. We receive, process, transmit and store substantial volumes of information relating to identifiable individuals, both in our role as a back-end or direct-to-consumer service provider and as an employer, and receive, process and implement financial transactions, and disburse funds, which requires us to receive debit and credit card information. We also use third-party providers such as subcontractors, software vendors, utility providers and network providers, upon whom we rely to offer our products, services and solutions. As a result of these and other aspects of our business, the integrity, security and accuracy of our systems and information technology, and that of the third parties with which we interact, including our customers and other government agencies with which we work, are extremely important.</w:t>
      </w:r>
    </w:p>
    <w:p>
      <w:pPr>
        <w:spacing w:after="0" w:line="111" w:lineRule="exact"/>
        <w:rPr>
          <w:sz w:val="20"/>
          <w:szCs w:val="20"/>
          <w:color w:val="auto"/>
        </w:rPr>
      </w:pPr>
    </w:p>
    <w:p>
      <w:pPr>
        <w:ind w:right="120" w:firstLine="602"/>
        <w:spacing w:after="0" w:line="259" w:lineRule="auto"/>
        <w:rPr>
          <w:sz w:val="20"/>
          <w:szCs w:val="20"/>
          <w:color w:val="auto"/>
        </w:rPr>
      </w:pPr>
      <w:r>
        <w:rPr>
          <w:rFonts w:ascii="Arial" w:cs="Arial" w:eastAsia="Arial" w:hAnsi="Arial"/>
          <w:sz w:val="12"/>
          <w:szCs w:val="12"/>
          <w:color w:val="auto"/>
        </w:rPr>
        <w:t>Our cybersecurity and processing systems, as well as those of the third parties with which we interact, may be damaged, disrupted or otherwise breached for a number of reasons, including power outages, computer and telecommunication failures, computer viruses, malware or other destructive software, internal design, manual or usage errors, cyber-attacks, terrorism, workplace violence or wrongdoing, catastrophic events, natural disasters and severe weather conditions. Our visibility and role as a processor of transactions containing personally identifiable information may also put us at a greater risk of being targeted by hackers. In the normal course of our business, we have been the target of malicious cyber-attack attempts.</w:t>
      </w:r>
    </w:p>
    <w:p>
      <w:pPr>
        <w:spacing w:after="0" w:line="125" w:lineRule="exact"/>
        <w:rPr>
          <w:sz w:val="20"/>
          <w:szCs w:val="20"/>
          <w:color w:val="auto"/>
        </w:rPr>
      </w:pPr>
    </w:p>
    <w:p>
      <w:pPr>
        <w:ind w:right="20" w:firstLine="602"/>
        <w:spacing w:after="0" w:line="286" w:lineRule="auto"/>
        <w:rPr>
          <w:sz w:val="20"/>
          <w:szCs w:val="20"/>
          <w:color w:val="auto"/>
        </w:rPr>
      </w:pPr>
      <w:r>
        <w:rPr>
          <w:rFonts w:ascii="Arial" w:cs="Arial" w:eastAsia="Arial" w:hAnsi="Arial"/>
          <w:sz w:val="11"/>
          <w:szCs w:val="11"/>
          <w:color w:val="auto"/>
        </w:rPr>
        <w:t>In addition, numerous and evolving cybersecurity threats, including advanced and persistent cyber-attacks, phishing and social engineering schemes could compromise the confidentiality, availability and integrity of data in our systems as well as those of the third parties with which we interact. The security measures and procedures we and the third parties with which we interact have in place to protect sensitive consumer data and other information may not be successful or sufficient to counter all data breaches, cyber-attacks, or system failures. Further, employee error or malfeasance, faulty password management or other irregularities may result in a defeat of security measures or a system breach. Although we devote significant resources to our cybersecurity programs and have implemented security measures to protect our systems and data, and to prevent, detect and respond to data security incidents, in each case that we believe are reasonable and appropriate, these efforts, and the efforts third parties with which we interact, may not prevent these or other threats.</w:t>
      </w:r>
    </w:p>
    <w:p>
      <w:pPr>
        <w:spacing w:after="0" w:line="111" w:lineRule="exact"/>
        <w:rPr>
          <w:sz w:val="20"/>
          <w:szCs w:val="20"/>
          <w:color w:val="auto"/>
        </w:rPr>
      </w:pPr>
    </w:p>
    <w:p>
      <w:pPr>
        <w:jc w:val="both"/>
        <w:ind w:right="20" w:firstLine="602"/>
        <w:spacing w:after="0" w:line="263" w:lineRule="auto"/>
        <w:rPr>
          <w:sz w:val="20"/>
          <w:szCs w:val="20"/>
          <w:color w:val="auto"/>
        </w:rPr>
      </w:pPr>
      <w:r>
        <w:rPr>
          <w:rFonts w:ascii="Arial" w:cs="Arial" w:eastAsia="Arial" w:hAnsi="Arial"/>
          <w:sz w:val="12"/>
          <w:szCs w:val="12"/>
          <w:color w:val="auto"/>
        </w:rPr>
        <w:t>Moreover, because the techniques used to obtain unauthorized access, or to disable or degrade systems change frequently, have become increasingly more complex and sophisticated, and may be difficult to detect for periods of time, we and the third parties with which we interact may not anticipate these acts or respond adequately or timely. As these threats continue to evolve and increase, we may be required to devote significant additional resources in order to modify and enhance our security controls and to identify and remediate any security vulnerabilities or diligencing those of third parties.</w:t>
      </w:r>
    </w:p>
    <w:p>
      <w:pPr>
        <w:spacing w:after="0" w:line="123" w:lineRule="exact"/>
        <w:rPr>
          <w:sz w:val="20"/>
          <w:szCs w:val="20"/>
          <w:color w:val="auto"/>
        </w:rPr>
      </w:pPr>
    </w:p>
    <w:p>
      <w:pPr>
        <w:ind w:right="100" w:firstLine="602"/>
        <w:spacing w:after="0" w:line="257" w:lineRule="auto"/>
        <w:rPr>
          <w:sz w:val="20"/>
          <w:szCs w:val="20"/>
          <w:color w:val="auto"/>
        </w:rPr>
      </w:pPr>
      <w:r>
        <w:rPr>
          <w:rFonts w:ascii="Arial" w:cs="Arial" w:eastAsia="Arial" w:hAnsi="Arial"/>
          <w:sz w:val="12"/>
          <w:szCs w:val="12"/>
          <w:color w:val="auto"/>
        </w:rPr>
        <w:t>If we are sued in connection with any data security breach or system failure, we could be involved in protracted litigation. In addition, a breach could lead to unfavorable publicity and significant damage to our brand, the loss of existing and potential customers, allegations by customers that we have not performed or breached our contractual obligations, or decreased use and acceptance of our solutions. A breach or failure may also subject us to additional regulations or governmental or regulatory scrutiny, which could result in significant compliance costs, fines or enforcement actions, or potential restrictions imposed by regulators on our ability to operate our business. A security breach would also likely require us to devote significant management and other resources to address the problems created by the security breach. Any of the foregoing could have a material adverse effect on our business, financial condition and results of operations.</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17740" cy="368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ectPr>
          <w:pgSz w:w="11900" w:h="16838" w:orient="portrait"/>
          <w:cols w:equalWidth="0" w:num="1">
            <w:col w:w="11460"/>
          </w:cols>
          <w:pgMar w:left="220" w:top="347" w:right="219" w:bottom="1440" w:gutter="0" w:footer="0" w:header="0"/>
        </w:sectPr>
      </w:pPr>
    </w:p>
    <w:bookmarkStart w:id="17" w:name="page18"/>
    <w:bookmarkEnd w:id="17"/>
    <w:p>
      <w:pPr>
        <w:spacing w:after="0"/>
        <w:rPr>
          <w:sz w:val="20"/>
          <w:szCs w:val="20"/>
          <w:color w:val="auto"/>
        </w:rPr>
      </w:pPr>
      <w:r>
        <w:rPr>
          <w:rFonts w:ascii="Arial" w:cs="Arial" w:eastAsia="Arial" w:hAnsi="Arial"/>
          <w:sz w:val="12"/>
          <w:szCs w:val="12"/>
          <w:b w:val="1"/>
          <w:bCs w:val="1"/>
          <w:i w:val="1"/>
          <w:iCs w:val="1"/>
          <w:color w:val="auto"/>
        </w:rPr>
        <w:t>We rely on communications networks and information systems and any interruption could have a material adverse effect on our business.</w:t>
      </w:r>
    </w:p>
    <w:p>
      <w:pPr>
        <w:spacing w:after="0" w:line="78" w:lineRule="exact"/>
        <w:rPr>
          <w:sz w:val="20"/>
          <w:szCs w:val="20"/>
          <w:color w:val="auto"/>
        </w:rPr>
      </w:pPr>
    </w:p>
    <w:p>
      <w:pPr>
        <w:ind w:right="20" w:firstLine="602"/>
        <w:spacing w:after="0" w:line="279" w:lineRule="auto"/>
        <w:rPr>
          <w:sz w:val="20"/>
          <w:szCs w:val="20"/>
          <w:color w:val="auto"/>
        </w:rPr>
      </w:pPr>
      <w:r>
        <w:rPr>
          <w:rFonts w:ascii="Arial" w:cs="Arial" w:eastAsia="Arial" w:hAnsi="Arial"/>
          <w:sz w:val="11"/>
          <w:szCs w:val="11"/>
          <w:color w:val="auto"/>
        </w:rPr>
        <w:t>We rely heavily on the satisfactory performance and availability of our information technology infrastructure and systems, including our websites and network infrastructure, to conduct our business. We rely on third-party communications service and system providers to provide technology services and link our systems with our customers’ networks and systems, including a reliable network backbone with the necessary speed, data capacity and security. We also rely on third-party vendors, including data center, bandwidth, and telecommunications equipment providers. A failure or interruption that results in the unavailability of any of our information systems or a major disruption of communications between a system and the customer(s) we serve could disrupt the effective operation of our solutions and otherwise adversely impact our ability to manage our business effectively. We may experience system and service interruptions or disruptions for a variety of reasons, including as the result of network failures, power outages, cyber-attacks, employee errors, software errors, an unusually high volume of transactions, or localized conditions such as fire, explosions or power outages or broader geographic events such as earthquakes, storms, floods, epidemics, strikes, acts of war, civil unrest or terrorist acts. We have taken steps to mitigate our exposure to certain service disruptions by investing in redundant or blended circuits, although the redundant or blended circuits may also suffer disruption. Because we are dependent in part on independent third parties for the implementation and maintenance of certain aspects of our systems and because some of the causes of system interruptions may be outside of our control, we may not be able to remedy such interruptions in a timely manner, or at all. Any interruption or delay in or cessation of these services and systems could significantly disrupt operations, impact customers, damage our reputation, result in litigation, decrease the overall use and acceptance of our solutions, result in lost data and be costly, time consuming and difficult to remedy, any of which could have a material adverse effect on our business, financial condition and results of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inability to successfully implement our acquisition strategy could have a material adverse effect on our business.</w:t>
      </w:r>
    </w:p>
    <w:p>
      <w:pPr>
        <w:spacing w:after="0" w:line="78" w:lineRule="exact"/>
        <w:rPr>
          <w:sz w:val="20"/>
          <w:szCs w:val="20"/>
          <w:color w:val="auto"/>
        </w:rPr>
      </w:pPr>
    </w:p>
    <w:p>
      <w:pPr>
        <w:ind w:firstLine="602"/>
        <w:spacing w:after="0" w:line="283" w:lineRule="auto"/>
        <w:rPr>
          <w:sz w:val="20"/>
          <w:szCs w:val="20"/>
          <w:color w:val="auto"/>
        </w:rPr>
      </w:pPr>
      <w:r>
        <w:rPr>
          <w:rFonts w:ascii="Arial" w:cs="Arial" w:eastAsia="Arial" w:hAnsi="Arial"/>
          <w:sz w:val="11"/>
          <w:szCs w:val="11"/>
          <w:color w:val="auto"/>
        </w:rPr>
        <w:t>We have grown in large part as a result of our recent acquisitions, including the acquisitions of HTA, EPC and Pagatelia, and we anticipate continuing to grow in this manner. Although we expect to regularly consider additional strategic transactions in the future, we may not identify suitable opportunities or, if we do identify prospects, it may not be possible to consummate a transaction on acceptable terms. Antitrust or other competition laws may also limit our ability to acquire or work collaboratively with certain businesses or to fully realize the benefits of a prospective acquisition. Furthermore, a significant change in our business or the economy, an unexpected decrease in our cash flows or any restrictions imposed by our indebtedness may limit our ability to obtain the necessary capital or otherwise impede our ability to complete a transaction. Regularly considering strategic transactions can also divert management’s attention and lead to significant due diligence and other expenses regardless of whether we pursue or consummate any transaction. Failure to identify suitable transaction partners and to consummate transactions on acceptable terms, as well as the commitment of time and resources in connection with such transactions, could have a material adverse effect on our business, financial condition and results of operations.</w:t>
      </w:r>
    </w:p>
    <w:p>
      <w:pPr>
        <w:spacing w:after="0" w:line="18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Any failure to realize the anticipated benefits of an acquisition could have a material adverse effect on our business.</w:t>
      </w:r>
    </w:p>
    <w:p>
      <w:pPr>
        <w:spacing w:after="0" w:line="78" w:lineRule="exact"/>
        <w:rPr>
          <w:sz w:val="20"/>
          <w:szCs w:val="20"/>
          <w:color w:val="auto"/>
        </w:rPr>
      </w:pPr>
    </w:p>
    <w:p>
      <w:pPr>
        <w:ind w:right="80" w:firstLine="602"/>
        <w:spacing w:after="0" w:line="259" w:lineRule="auto"/>
        <w:rPr>
          <w:sz w:val="20"/>
          <w:szCs w:val="20"/>
          <w:color w:val="auto"/>
        </w:rPr>
      </w:pPr>
      <w:r>
        <w:rPr>
          <w:rFonts w:ascii="Arial" w:cs="Arial" w:eastAsia="Arial" w:hAnsi="Arial"/>
          <w:sz w:val="12"/>
          <w:szCs w:val="12"/>
          <w:color w:val="auto"/>
        </w:rPr>
        <w:t>We pursue each acquisition with the expectation that the transaction will result in various benefits, including growth opportunities and synergies from increased efficiencies. However, even if we are able to successfully integrate an acquired business, we may not realize some or all of the anticipated benefits within the anticipated timeframes or at all. Furthermore, we may experience increased competition that limits our ability to expand our business, we may not be able to capitalize on expected business opportunities, and general industry and business conditions may deteriorate. If any of these or other factors limit our ability to achieve the anticipated benefits of a transaction, our business, financial condition and results of operations could be materially and adversely affected.</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17740" cy="368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ectPr>
          <w:pgSz w:w="11900" w:h="16838" w:orient="portrait"/>
          <w:cols w:equalWidth="0" w:num="1">
            <w:col w:w="11460"/>
          </w:cols>
          <w:pgMar w:left="220" w:top="347" w:right="219" w:bottom="1440" w:gutter="0" w:footer="0" w:header="0"/>
        </w:sectPr>
      </w:pPr>
    </w:p>
    <w:bookmarkStart w:id="18" w:name="page19"/>
    <w:bookmarkEnd w:id="18"/>
    <w:p>
      <w:pPr>
        <w:spacing w:after="0"/>
        <w:rPr>
          <w:sz w:val="20"/>
          <w:szCs w:val="20"/>
          <w:color w:val="auto"/>
        </w:rPr>
      </w:pPr>
      <w:r>
        <w:rPr>
          <w:rFonts w:ascii="Arial" w:cs="Arial" w:eastAsia="Arial" w:hAnsi="Arial"/>
          <w:sz w:val="12"/>
          <w:szCs w:val="12"/>
          <w:b w:val="1"/>
          <w:bCs w:val="1"/>
          <w:i w:val="1"/>
          <w:iCs w:val="1"/>
          <w:color w:val="auto"/>
        </w:rPr>
        <w:t>Unanticipated expenses and liabilities related to acquisitions could have a material adverse effect on our business.</w:t>
      </w:r>
    </w:p>
    <w:p>
      <w:pPr>
        <w:spacing w:after="0" w:line="78" w:lineRule="exact"/>
        <w:rPr>
          <w:sz w:val="20"/>
          <w:szCs w:val="20"/>
          <w:color w:val="auto"/>
        </w:rPr>
      </w:pPr>
    </w:p>
    <w:p>
      <w:pPr>
        <w:ind w:firstLine="602"/>
        <w:spacing w:after="0" w:line="255" w:lineRule="auto"/>
        <w:rPr>
          <w:sz w:val="20"/>
          <w:szCs w:val="20"/>
          <w:color w:val="auto"/>
        </w:rPr>
      </w:pPr>
      <w:r>
        <w:rPr>
          <w:rFonts w:ascii="Arial" w:cs="Arial" w:eastAsia="Arial" w:hAnsi="Arial"/>
          <w:sz w:val="12"/>
          <w:szCs w:val="12"/>
          <w:color w:val="auto"/>
        </w:rPr>
        <w:t>Acquisitions expose us to significant risks and costs, and business and operational overlaps may lead to hidden costs. These costs can include unforeseen pre-acquisition liabilities or the impairment of customer relationships or acquired assets, such as goodwill. We may also incur costs and inefficiencies to the extent an acquisition expands the industries, markets or geographies in which we operate due to our limited exposure to and experience in a given industry, market or region. Significant acquisitions may also require us to incur additional debt to finance the transactions, which could limit our flexibility in using our cash flow from operations for other purposes. Acquisitions often involve post-transaction disputes with the counterparty regarding a number of matters, including disagreements over the amount of a purchase price or other working capital adjustment or disputes regarding whether certain liabilities are covered by the indemnification provisions of the transaction agreement. We may underestimate the level of certain costs or the exposure we may face as a result of acquired liabilities. These and other unexpected transaction-related costs and liabilities could have a material adverse effect on our business, financial condition and results of operations.</w:t>
      </w:r>
    </w:p>
    <w:p>
      <w:pPr>
        <w:spacing w:after="0" w:line="20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The inability to successfully integrate our recent or future acquisitions could have a material adverse effect on our business.</w:t>
      </w:r>
    </w:p>
    <w:p>
      <w:pPr>
        <w:spacing w:after="0" w:line="78" w:lineRule="exact"/>
        <w:rPr>
          <w:sz w:val="20"/>
          <w:szCs w:val="20"/>
          <w:color w:val="auto"/>
        </w:rPr>
      </w:pPr>
    </w:p>
    <w:p>
      <w:pPr>
        <w:ind w:right="20" w:firstLine="602"/>
        <w:spacing w:after="0" w:line="263" w:lineRule="auto"/>
        <w:rPr>
          <w:sz w:val="20"/>
          <w:szCs w:val="20"/>
          <w:color w:val="auto"/>
        </w:rPr>
      </w:pPr>
      <w:r>
        <w:rPr>
          <w:rFonts w:ascii="Arial" w:cs="Arial" w:eastAsia="Arial" w:hAnsi="Arial"/>
          <w:sz w:val="12"/>
          <w:szCs w:val="12"/>
          <w:color w:val="auto"/>
        </w:rPr>
        <w:t>We recently acquired HTA, EPC and Pagatelia. The integration of acquired businesses requires significant time and exposes us to significant risks and additional costs. Integrating these and other acquired businesses may strain our resources. Further, we may have difficulty integrating the operations, systems, controls, procedures or products of acquired businesses and may not be able to do so in a timely, efficient and cost-effective manner. These difficulties could include:</w:t>
      </w:r>
    </w:p>
    <w:p>
      <w:pPr>
        <w:spacing w:after="0" w:line="51" w:lineRule="exact"/>
        <w:rPr>
          <w:sz w:val="20"/>
          <w:szCs w:val="20"/>
          <w:color w:val="auto"/>
        </w:rPr>
      </w:pPr>
    </w:p>
    <w:p>
      <w:pPr>
        <w:ind w:left="1180" w:hanging="593"/>
        <w:spacing w:after="0"/>
        <w:tabs>
          <w:tab w:leader="none" w:pos="1180" w:val="left"/>
        </w:tabs>
        <w:numPr>
          <w:ilvl w:val="0"/>
          <w:numId w:val="4"/>
        </w:numPr>
        <w:rPr>
          <w:rFonts w:ascii="Arial" w:cs="Arial" w:eastAsia="Arial" w:hAnsi="Arial"/>
          <w:sz w:val="12"/>
          <w:szCs w:val="12"/>
          <w:color w:val="auto"/>
        </w:rPr>
      </w:pPr>
      <w:r>
        <w:rPr>
          <w:rFonts w:ascii="Arial" w:cs="Arial" w:eastAsia="Arial" w:hAnsi="Arial"/>
          <w:sz w:val="12"/>
          <w:szCs w:val="12"/>
          <w:color w:val="auto"/>
        </w:rPr>
        <w:t>combining management teams, strategies and philosophies;</w:t>
      </w:r>
    </w:p>
    <w:p>
      <w:pPr>
        <w:spacing w:after="0" w:line="78" w:lineRule="exact"/>
        <w:rPr>
          <w:rFonts w:ascii="Arial" w:cs="Arial" w:eastAsia="Arial" w:hAnsi="Arial"/>
          <w:sz w:val="12"/>
          <w:szCs w:val="12"/>
          <w:color w:val="auto"/>
        </w:rPr>
      </w:pPr>
    </w:p>
    <w:p>
      <w:pPr>
        <w:ind w:left="1180" w:hanging="593"/>
        <w:spacing w:after="0"/>
        <w:tabs>
          <w:tab w:leader="none" w:pos="1180" w:val="left"/>
        </w:tabs>
        <w:numPr>
          <w:ilvl w:val="0"/>
          <w:numId w:val="4"/>
        </w:numPr>
        <w:rPr>
          <w:rFonts w:ascii="Arial" w:cs="Arial" w:eastAsia="Arial" w:hAnsi="Arial"/>
          <w:sz w:val="12"/>
          <w:szCs w:val="12"/>
          <w:color w:val="auto"/>
        </w:rPr>
      </w:pPr>
      <w:r>
        <w:rPr>
          <w:rFonts w:ascii="Arial" w:cs="Arial" w:eastAsia="Arial" w:hAnsi="Arial"/>
          <w:sz w:val="12"/>
          <w:szCs w:val="12"/>
          <w:color w:val="auto"/>
        </w:rPr>
        <w:t>merging or linking different accounting and financial reporting systems and systems of internal controls;</w:t>
      </w:r>
    </w:p>
    <w:p>
      <w:pPr>
        <w:spacing w:after="0" w:line="78" w:lineRule="exact"/>
        <w:rPr>
          <w:rFonts w:ascii="Arial" w:cs="Arial" w:eastAsia="Arial" w:hAnsi="Arial"/>
          <w:sz w:val="12"/>
          <w:szCs w:val="12"/>
          <w:color w:val="auto"/>
        </w:rPr>
      </w:pPr>
    </w:p>
    <w:p>
      <w:pPr>
        <w:ind w:left="1180" w:hanging="593"/>
        <w:spacing w:after="0"/>
        <w:tabs>
          <w:tab w:leader="none" w:pos="1180" w:val="left"/>
        </w:tabs>
        <w:numPr>
          <w:ilvl w:val="0"/>
          <w:numId w:val="4"/>
        </w:numPr>
        <w:rPr>
          <w:rFonts w:ascii="Arial" w:cs="Arial" w:eastAsia="Arial" w:hAnsi="Arial"/>
          <w:sz w:val="12"/>
          <w:szCs w:val="12"/>
          <w:color w:val="auto"/>
        </w:rPr>
      </w:pPr>
      <w:r>
        <w:rPr>
          <w:rFonts w:ascii="Arial" w:cs="Arial" w:eastAsia="Arial" w:hAnsi="Arial"/>
          <w:sz w:val="12"/>
          <w:szCs w:val="12"/>
          <w:color w:val="auto"/>
        </w:rPr>
        <w:t>assimilating personnel, human resources and other administrative departments and potentially contrasting corporate cultures;</w:t>
      </w:r>
    </w:p>
    <w:p>
      <w:pPr>
        <w:spacing w:after="0" w:line="78" w:lineRule="exact"/>
        <w:rPr>
          <w:rFonts w:ascii="Arial" w:cs="Arial" w:eastAsia="Arial" w:hAnsi="Arial"/>
          <w:sz w:val="12"/>
          <w:szCs w:val="12"/>
          <w:color w:val="auto"/>
        </w:rPr>
      </w:pPr>
    </w:p>
    <w:p>
      <w:pPr>
        <w:ind w:left="1180" w:hanging="593"/>
        <w:spacing w:after="0"/>
        <w:tabs>
          <w:tab w:leader="none" w:pos="1180" w:val="left"/>
        </w:tabs>
        <w:numPr>
          <w:ilvl w:val="0"/>
          <w:numId w:val="4"/>
        </w:numPr>
        <w:rPr>
          <w:rFonts w:ascii="Arial" w:cs="Arial" w:eastAsia="Arial" w:hAnsi="Arial"/>
          <w:sz w:val="12"/>
          <w:szCs w:val="12"/>
          <w:color w:val="auto"/>
        </w:rPr>
      </w:pPr>
      <w:r>
        <w:rPr>
          <w:rFonts w:ascii="Arial" w:cs="Arial" w:eastAsia="Arial" w:hAnsi="Arial"/>
          <w:sz w:val="12"/>
          <w:szCs w:val="12"/>
          <w:color w:val="auto"/>
        </w:rPr>
        <w:t>merging computer, technology and other information networks and systems;</w:t>
      </w:r>
    </w:p>
    <w:p>
      <w:pPr>
        <w:spacing w:after="0" w:line="78" w:lineRule="exact"/>
        <w:rPr>
          <w:rFonts w:ascii="Arial" w:cs="Arial" w:eastAsia="Arial" w:hAnsi="Arial"/>
          <w:sz w:val="12"/>
          <w:szCs w:val="12"/>
          <w:color w:val="auto"/>
        </w:rPr>
      </w:pPr>
    </w:p>
    <w:p>
      <w:pPr>
        <w:ind w:left="1180" w:hanging="593"/>
        <w:spacing w:after="0"/>
        <w:tabs>
          <w:tab w:leader="none" w:pos="1180" w:val="left"/>
        </w:tabs>
        <w:numPr>
          <w:ilvl w:val="0"/>
          <w:numId w:val="4"/>
        </w:numPr>
        <w:rPr>
          <w:rFonts w:ascii="Arial" w:cs="Arial" w:eastAsia="Arial" w:hAnsi="Arial"/>
          <w:sz w:val="12"/>
          <w:szCs w:val="12"/>
          <w:color w:val="auto"/>
        </w:rPr>
      </w:pPr>
      <w:r>
        <w:rPr>
          <w:rFonts w:ascii="Arial" w:cs="Arial" w:eastAsia="Arial" w:hAnsi="Arial"/>
          <w:sz w:val="12"/>
          <w:szCs w:val="12"/>
          <w:color w:val="auto"/>
        </w:rPr>
        <w:t>disrupting our relationship with or losing key customers, suppliers or personnel; and</w:t>
      </w:r>
    </w:p>
    <w:p>
      <w:pPr>
        <w:spacing w:after="0" w:line="78" w:lineRule="exact"/>
        <w:rPr>
          <w:rFonts w:ascii="Arial" w:cs="Arial" w:eastAsia="Arial" w:hAnsi="Arial"/>
          <w:sz w:val="12"/>
          <w:szCs w:val="12"/>
          <w:color w:val="auto"/>
        </w:rPr>
      </w:pPr>
    </w:p>
    <w:p>
      <w:pPr>
        <w:ind w:left="1180" w:hanging="593"/>
        <w:spacing w:after="0"/>
        <w:tabs>
          <w:tab w:leader="none" w:pos="1180" w:val="left"/>
        </w:tabs>
        <w:numPr>
          <w:ilvl w:val="0"/>
          <w:numId w:val="4"/>
        </w:numPr>
        <w:rPr>
          <w:rFonts w:ascii="Arial" w:cs="Arial" w:eastAsia="Arial" w:hAnsi="Arial"/>
          <w:sz w:val="12"/>
          <w:szCs w:val="12"/>
          <w:color w:val="auto"/>
        </w:rPr>
      </w:pPr>
      <w:r>
        <w:rPr>
          <w:rFonts w:ascii="Arial" w:cs="Arial" w:eastAsia="Arial" w:hAnsi="Arial"/>
          <w:sz w:val="12"/>
          <w:szCs w:val="12"/>
          <w:color w:val="auto"/>
        </w:rPr>
        <w:t>interference with, or loss of momentum in, our ongoing business or that of the acquired company.</w:t>
      </w:r>
    </w:p>
    <w:p>
      <w:pPr>
        <w:spacing w:after="0" w:line="150" w:lineRule="exact"/>
        <w:rPr>
          <w:sz w:val="20"/>
          <w:szCs w:val="20"/>
          <w:color w:val="auto"/>
        </w:rPr>
      </w:pPr>
    </w:p>
    <w:p>
      <w:pPr>
        <w:ind w:right="120" w:firstLine="602"/>
        <w:spacing w:after="0" w:line="340" w:lineRule="auto"/>
        <w:rPr>
          <w:sz w:val="20"/>
          <w:szCs w:val="20"/>
          <w:color w:val="auto"/>
        </w:rPr>
      </w:pPr>
      <w:r>
        <w:rPr>
          <w:rFonts w:ascii="Arial" w:cs="Arial" w:eastAsia="Arial" w:hAnsi="Arial"/>
          <w:sz w:val="10"/>
          <w:szCs w:val="10"/>
          <w:color w:val="auto"/>
        </w:rPr>
        <w:t>We have not fully integrated HTA, EPC or Pagatelia and may encounter one or more of the issues discussed above, or others of which we are not yet aware. We have determined not to fully integrate HTA’s operating systems onto our legacy information technology systems, which could lead to separate risks and inefficiencies. Any of these acquisition or other integration-related issues could cause significant disruption to our business, divert the attention of management and lead to substantial additional costs and delays. Our inability to successfully integrate acquired businesses could have a material adverse effect on our business, financial condition and results of operations.</w:t>
      </w:r>
    </w:p>
    <w:p>
      <w:pPr>
        <w:spacing w:after="0" w:line="16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inability to recover capital and other investments in connection with our contracts could have a material adverse effect on our business.</w:t>
      </w:r>
    </w:p>
    <w:p>
      <w:pPr>
        <w:spacing w:after="0" w:line="78" w:lineRule="exact"/>
        <w:rPr>
          <w:sz w:val="20"/>
          <w:szCs w:val="20"/>
          <w:color w:val="auto"/>
        </w:rPr>
      </w:pPr>
    </w:p>
    <w:p>
      <w:pPr>
        <w:ind w:right="60" w:firstLine="602"/>
        <w:spacing w:after="0" w:line="255" w:lineRule="auto"/>
        <w:rPr>
          <w:sz w:val="20"/>
          <w:szCs w:val="20"/>
          <w:color w:val="auto"/>
        </w:rPr>
      </w:pPr>
      <w:r>
        <w:rPr>
          <w:rFonts w:ascii="Arial" w:cs="Arial" w:eastAsia="Arial" w:hAnsi="Arial"/>
          <w:sz w:val="12"/>
          <w:szCs w:val="12"/>
          <w:color w:val="auto"/>
        </w:rPr>
        <w:t>We sometimes make significant capital and other investments to attract and retain certain contracts, such as the cost of purchasing information technology equipment, constructing and installing photo enforcement systems and developing and implementing software and labor resources. The net book value of certain assets recorded, including a portion of our intangible assets, could be impaired in the event of the early termination of some or all of a contract or a reduction in volume and services under the contract for any number of reasons, including the failure or deterioration of the customer’s business, a customer’s exercise of contract termination or program cancellation rights or a change in law or interpretation thereof that suspends or terminates photo enforcement activities. Any failure to recover our investments underlying customer agreements could have a material adverse effect on our business, financial condition and results of operations. For example, in June 2019, the state of Texas passed a law prohibiting red-light photo enforcement programs across the state, with certain carve-outs for some existing programs. The passage of this law resulted in a loss of revenue and a related impairment of assets for fiscal year 2019.</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17740" cy="368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ectPr>
          <w:pgSz w:w="11900" w:h="16838" w:orient="portrait"/>
          <w:cols w:equalWidth="0" w:num="1">
            <w:col w:w="11460"/>
          </w:cols>
          <w:pgMar w:left="220" w:top="347" w:right="219" w:bottom="1440" w:gutter="0" w:footer="0" w:header="0"/>
        </w:sectPr>
      </w:pPr>
    </w:p>
    <w:bookmarkStart w:id="19" w:name="page20"/>
    <w:bookmarkEnd w:id="19"/>
    <w:p>
      <w:pPr>
        <w:spacing w:after="0"/>
        <w:rPr>
          <w:sz w:val="20"/>
          <w:szCs w:val="20"/>
          <w:color w:val="auto"/>
        </w:rPr>
      </w:pPr>
      <w:r>
        <w:rPr>
          <w:rFonts w:ascii="Arial" w:cs="Arial" w:eastAsia="Arial" w:hAnsi="Arial"/>
          <w:sz w:val="10"/>
          <w:szCs w:val="10"/>
          <w:b w:val="1"/>
          <w:bCs w:val="1"/>
          <w:i w:val="1"/>
          <w:iCs w:val="1"/>
          <w:color w:val="auto"/>
        </w:rPr>
        <w:t>We regularly pursue contracts and contract renewals, particularly in our Government Solutions segment, that require competitive bidding, which can involve substantial costs and could have a material adverse effect on our business.</w:t>
      </w:r>
    </w:p>
    <w:p>
      <w:pPr>
        <w:spacing w:after="0" w:line="101" w:lineRule="exact"/>
        <w:rPr>
          <w:sz w:val="20"/>
          <w:szCs w:val="20"/>
          <w:color w:val="auto"/>
        </w:rPr>
      </w:pPr>
    </w:p>
    <w:p>
      <w:pPr>
        <w:ind w:right="120" w:firstLine="602"/>
        <w:spacing w:after="0" w:line="286" w:lineRule="auto"/>
        <w:rPr>
          <w:sz w:val="20"/>
          <w:szCs w:val="20"/>
          <w:color w:val="auto"/>
        </w:rPr>
      </w:pPr>
      <w:r>
        <w:rPr>
          <w:rFonts w:ascii="Arial" w:cs="Arial" w:eastAsia="Arial" w:hAnsi="Arial"/>
          <w:sz w:val="11"/>
          <w:szCs w:val="11"/>
          <w:color w:val="auto"/>
        </w:rPr>
        <w:t>Many of the government contracts and renewals for which we bid, particularly those for certain larger government customers, are extremely complex and require the investment of significant resources in order to prepare accurate bids and proposals. Further, a significant percentage of new customer growth opportunities in our Government Solutions and EPC businesses are only accessible through competitive bidding. Competitive bidding imposes substantial costs and presents a number of risks, including significant time and effort and the commitment of resources, regardless of whether the job is ultimately won. We may also be unable to meet the requirements of a solicitation, or would have to incur substantial costs to be able to do so. These and other unanticipated costs related to the competitive bidding process, including advancing or defending bid protests, and any failure to win renewals or new customer accounts through the competitive bidding process, could have a material adverse effect on our business, financial condition and results of operations.</w:t>
      </w:r>
    </w:p>
    <w:p>
      <w:pPr>
        <w:spacing w:after="0" w:line="183" w:lineRule="exact"/>
        <w:rPr>
          <w:sz w:val="20"/>
          <w:szCs w:val="20"/>
          <w:color w:val="auto"/>
        </w:rPr>
      </w:pPr>
    </w:p>
    <w:p>
      <w:pPr>
        <w:ind w:right="40"/>
        <w:spacing w:after="0" w:line="276" w:lineRule="auto"/>
        <w:rPr>
          <w:sz w:val="20"/>
          <w:szCs w:val="20"/>
          <w:color w:val="auto"/>
        </w:rPr>
      </w:pPr>
      <w:r>
        <w:rPr>
          <w:rFonts w:ascii="Arial" w:cs="Arial" w:eastAsia="Arial" w:hAnsi="Arial"/>
          <w:sz w:val="12"/>
          <w:szCs w:val="12"/>
          <w:b w:val="1"/>
          <w:bCs w:val="1"/>
          <w:i w:val="1"/>
          <w:iCs w:val="1"/>
          <w:color w:val="auto"/>
        </w:rPr>
        <w:t>We are subject to laws of the United States and foreign jurisdictions relating to privacy, data retention and individually identifiable information, and failure to comply with these laws, whether or not inadvertent, and changes to these laws, could have a material adverse effect on our business.</w:t>
      </w:r>
    </w:p>
    <w:p>
      <w:pPr>
        <w:spacing w:after="0" w:line="43" w:lineRule="exact"/>
        <w:rPr>
          <w:sz w:val="20"/>
          <w:szCs w:val="20"/>
          <w:color w:val="auto"/>
        </w:rPr>
      </w:pPr>
    </w:p>
    <w:p>
      <w:pPr>
        <w:ind w:right="40" w:firstLine="602"/>
        <w:spacing w:after="0" w:line="281" w:lineRule="auto"/>
        <w:rPr>
          <w:sz w:val="20"/>
          <w:szCs w:val="20"/>
          <w:color w:val="auto"/>
        </w:rPr>
      </w:pPr>
      <w:r>
        <w:rPr>
          <w:rFonts w:ascii="Arial" w:cs="Arial" w:eastAsia="Arial" w:hAnsi="Arial"/>
          <w:sz w:val="11"/>
          <w:szCs w:val="11"/>
          <w:color w:val="auto"/>
        </w:rPr>
        <w:t>We receive, process, transmit and store information relating to identifiable individuals, both in our role as a service provider and as an employer. In addition, we receive, process, transmit and store other sensitive data, such as photographs taken and video recorded, as part of our Government Solutions programs. As a result, we are subject to various laws and regulations regarding privacy and data retention, including regulations by government agencies, such as the FTC, and state, local and foreign agencies. Our data handling also is subject to contractual obligations and industry standards. In the United States, various laws and regulations apply to the collection, processing, disclosure, and security of certain types of data, including the use of contact information and other data for marketing, advertising and other communications with individuals and businesses. Additionally, the FTC and many state attorneys general are interpreting federal and state consumer protection laws as imposing standards for the online collection, use, dissemination and security of data. A number of foreign countries and governmental bodies, including the E.U., have laws and regulations dealing with the handling and processing of personal information obtained from their residents, which in certain cases are more restrictive than those in the United States. These laws often include obligations on companies to notify individuals of security breaches involving particular personal information, which could result from breaches experienced by us or our third-party service providers.</w:t>
      </w:r>
    </w:p>
    <w:p>
      <w:pPr>
        <w:spacing w:after="0" w:line="116" w:lineRule="exact"/>
        <w:rPr>
          <w:sz w:val="20"/>
          <w:szCs w:val="20"/>
          <w:color w:val="auto"/>
        </w:rPr>
      </w:pPr>
    </w:p>
    <w:p>
      <w:pPr>
        <w:ind w:right="40" w:firstLine="602"/>
        <w:spacing w:after="0" w:line="255" w:lineRule="auto"/>
        <w:rPr>
          <w:sz w:val="20"/>
          <w:szCs w:val="20"/>
          <w:color w:val="auto"/>
        </w:rPr>
      </w:pPr>
      <w:r>
        <w:rPr>
          <w:rFonts w:ascii="Arial" w:cs="Arial" w:eastAsia="Arial" w:hAnsi="Arial"/>
          <w:sz w:val="12"/>
          <w:szCs w:val="12"/>
          <w:color w:val="auto"/>
        </w:rPr>
        <w:t>These and other laws, regulations and standards relating to privacy are evolving, can be subject to significant change and may result in ever-increasing regulatory and public scrutiny and escalating levels of enforcement and sanctions. The laws and regulations may also be subject to new or different interpretations. For example, in May 2018, the GDPR replaced prior E.U. regulations, effectively extending the scope of E.U. data protection law to all non-E.U. companies processing data of E.U. residents when certain conditions are satisfied. The GDPR contains numerous, more stringent requirements and changes from prior E.U. law, including more robust obligations on data processors, greater rights for data subjects, and heavier documentation requirements for data protection compliance programs. The GDPR also provides for increased fines of the greater of up to €20 million or up to 4% of the annual global revenue of the noncompliant company. Further, certain of our U.S. customers have indicated they may implement the GDPR compliant protocols globally, and could require us to conform all aspects of our business to these more stringent regulations, regardless of whether all of our operations are actually subject to the GDPR.</w:t>
      </w:r>
    </w:p>
    <w:p>
      <w:pPr>
        <w:spacing w:after="0" w:line="129" w:lineRule="exact"/>
        <w:rPr>
          <w:sz w:val="20"/>
          <w:szCs w:val="20"/>
          <w:color w:val="auto"/>
        </w:rPr>
      </w:pPr>
    </w:p>
    <w:p>
      <w:pPr>
        <w:ind w:firstLine="602"/>
        <w:spacing w:after="0" w:line="259" w:lineRule="auto"/>
        <w:rPr>
          <w:sz w:val="20"/>
          <w:szCs w:val="20"/>
          <w:color w:val="auto"/>
        </w:rPr>
      </w:pPr>
      <w:r>
        <w:rPr>
          <w:rFonts w:ascii="Arial" w:cs="Arial" w:eastAsia="Arial" w:hAnsi="Arial"/>
          <w:sz w:val="12"/>
          <w:szCs w:val="12"/>
          <w:color w:val="auto"/>
        </w:rPr>
        <w:t>In the wake of the GDPR, in June 2018, California enacted the CCPA, which took effect in January 2020. The CCPA gives California residents expanded rights to access and delete their personal information, opt out of certain personal information sharing and receive detailed information about how their personal data is used. The law also provides for civil penalties against companies that fail to comply, and creates a private right of action for data breaches. Regulations to implement portions of the CCPA have not yet been finalized and could significantly impact compliance measures. Additionally, Congress is considering several privacy bills at the federal level, and other state legislatures are considering additional privacy laws.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17740" cy="368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ectPr>
          <w:pgSz w:w="11900" w:h="16838" w:orient="portrait"/>
          <w:cols w:equalWidth="0" w:num="1">
            <w:col w:w="11460"/>
          </w:cols>
          <w:pgMar w:left="220" w:top="347" w:right="219" w:bottom="1440" w:gutter="0" w:footer="0" w:header="0"/>
        </w:sectPr>
      </w:pPr>
    </w:p>
    <w:bookmarkStart w:id="20" w:name="page21"/>
    <w:bookmarkEnd w:id="20"/>
    <w:p>
      <w:pPr>
        <w:ind w:right="20" w:firstLine="602"/>
        <w:spacing w:after="0" w:line="286" w:lineRule="auto"/>
        <w:rPr>
          <w:sz w:val="20"/>
          <w:szCs w:val="20"/>
          <w:color w:val="auto"/>
        </w:rPr>
      </w:pPr>
      <w:r>
        <w:rPr>
          <w:rFonts w:ascii="Arial" w:cs="Arial" w:eastAsia="Arial" w:hAnsi="Arial"/>
          <w:sz w:val="11"/>
          <w:szCs w:val="11"/>
          <w:color w:val="auto"/>
        </w:rPr>
        <w:t>The costs of compliance with these privacy-related laws, regulations and standards may limit the use or adoption of our solutions, reduce overall demand for our solutions or slow the pace at which we generate revenues. Moreover, if our policies, procedures, or measures relating to these issues fail to comply with the applicable laws, regulations, or industry standards, we may be subject to governmental enforcement actions, litigation, regulatory investigations, fines, penalties and negative publicity, and our application providers, customers and partners may lose trust in or stop doing business with us entirely. We expect that there will continue to be new proposed laws, regulations and industry standards concerning privacy, data protection and information security in the United States, the E.U. and other jurisdictions, and we cannot yet determine the impact such future laws, regulations and standards may have on our business. Any of the foregoing could have a material adverse effect on our business, financial condition and results of operations.</w:t>
      </w:r>
    </w:p>
    <w:p>
      <w:pPr>
        <w:spacing w:after="0" w:line="111" w:lineRule="exact"/>
        <w:rPr>
          <w:sz w:val="20"/>
          <w:szCs w:val="20"/>
          <w:color w:val="auto"/>
        </w:rPr>
      </w:pPr>
    </w:p>
    <w:p>
      <w:pPr>
        <w:ind w:right="140" w:firstLine="602"/>
        <w:spacing w:after="0" w:line="263" w:lineRule="auto"/>
        <w:rPr>
          <w:sz w:val="20"/>
          <w:szCs w:val="20"/>
          <w:color w:val="auto"/>
        </w:rPr>
      </w:pPr>
      <w:r>
        <w:rPr>
          <w:rFonts w:ascii="Arial" w:cs="Arial" w:eastAsia="Arial" w:hAnsi="Arial"/>
          <w:sz w:val="12"/>
          <w:szCs w:val="12"/>
          <w:color w:val="auto"/>
        </w:rPr>
        <w:t>We publicly post our privacy policies and practices concerning our processing, use and disclosure of the personally identifiable information provided to us by our website visitors and mobile app users. Our publication of our privacy policies and other statements we publish that provide promises and assurances about privacy and security can subject us to potential liability if they are found to be insufficient, defective, deceptive or misrepresentative of our practices.</w:t>
      </w:r>
    </w:p>
    <w:p>
      <w:pPr>
        <w:spacing w:after="0" w:line="195" w:lineRule="exact"/>
        <w:rPr>
          <w:sz w:val="20"/>
          <w:szCs w:val="20"/>
          <w:color w:val="auto"/>
        </w:rPr>
      </w:pPr>
    </w:p>
    <w:p>
      <w:pPr>
        <w:ind w:right="160"/>
        <w:spacing w:after="0" w:line="276" w:lineRule="auto"/>
        <w:rPr>
          <w:sz w:val="20"/>
          <w:szCs w:val="20"/>
          <w:color w:val="auto"/>
        </w:rPr>
      </w:pPr>
      <w:r>
        <w:rPr>
          <w:rFonts w:ascii="Arial" w:cs="Arial" w:eastAsia="Arial" w:hAnsi="Arial"/>
          <w:sz w:val="12"/>
          <w:szCs w:val="12"/>
          <w:b w:val="1"/>
          <w:bCs w:val="1"/>
          <w:i w:val="1"/>
          <w:iCs w:val="1"/>
          <w:color w:val="auto"/>
        </w:rPr>
        <w:t>We are subject to domestic and foreign laws relating to processing certain financial transactions, including debit or credit card transactions, and failure to comply with those laws, even if inadvertent, could have a material adverse effect on our business.</w:t>
      </w:r>
    </w:p>
    <w:p>
      <w:pPr>
        <w:spacing w:after="0" w:line="43" w:lineRule="exact"/>
        <w:rPr>
          <w:sz w:val="20"/>
          <w:szCs w:val="20"/>
          <w:color w:val="auto"/>
        </w:rPr>
      </w:pPr>
    </w:p>
    <w:p>
      <w:pPr>
        <w:ind w:firstLine="602"/>
        <w:spacing w:after="0" w:line="259" w:lineRule="auto"/>
        <w:rPr>
          <w:sz w:val="20"/>
          <w:szCs w:val="20"/>
          <w:color w:val="auto"/>
        </w:rPr>
      </w:pPr>
      <w:r>
        <w:rPr>
          <w:rFonts w:ascii="Arial" w:cs="Arial" w:eastAsia="Arial" w:hAnsi="Arial"/>
          <w:sz w:val="12"/>
          <w:szCs w:val="12"/>
          <w:color w:val="auto"/>
        </w:rPr>
        <w:t>We process, support and execute financial transactions as part of our business and disburse funds on behalf of certain of our customers. This activity includes receiving debit and credit card information, processing payments for and due to our customers and disbursing funds on payment or debit cards to payees of our customers. As a result, we may be subject to numerous U.S. federal and state and foreign jurisdiction laws and regulations, including the Electronic Fund Transfer Act, the Currency and Foreign Transactions Reporting Act of 1970 (commonly known as the Bank Secrecy Act) and the Uniting and Strengthening America by Providing Appropriate Tools Required to Intercept and Obstruct Terrorism Act of 2001 (the “</w:t>
      </w:r>
      <w:r>
        <w:rPr>
          <w:rFonts w:ascii="Arial" w:cs="Arial" w:eastAsia="Arial" w:hAnsi="Arial"/>
          <w:sz w:val="12"/>
          <w:szCs w:val="12"/>
          <w:b w:val="1"/>
          <w:bCs w:val="1"/>
          <w:i w:val="1"/>
          <w:iCs w:val="1"/>
          <w:color w:val="auto"/>
        </w:rPr>
        <w:t>Patriot Act</w:t>
      </w:r>
      <w:r>
        <w:rPr>
          <w:rFonts w:ascii="Arial" w:cs="Arial" w:eastAsia="Arial" w:hAnsi="Arial"/>
          <w:sz w:val="12"/>
          <w:szCs w:val="12"/>
          <w:color w:val="auto"/>
        </w:rPr>
        <w:t>”).</w:t>
      </w:r>
    </w:p>
    <w:p>
      <w:pPr>
        <w:spacing w:after="0" w:line="125" w:lineRule="exact"/>
        <w:rPr>
          <w:sz w:val="20"/>
          <w:szCs w:val="20"/>
          <w:color w:val="auto"/>
        </w:rPr>
      </w:pPr>
    </w:p>
    <w:p>
      <w:pPr>
        <w:ind w:right="80" w:firstLine="602"/>
        <w:spacing w:after="0" w:line="263" w:lineRule="auto"/>
        <w:rPr>
          <w:sz w:val="20"/>
          <w:szCs w:val="20"/>
          <w:color w:val="auto"/>
        </w:rPr>
      </w:pPr>
      <w:r>
        <w:rPr>
          <w:rFonts w:ascii="Arial" w:cs="Arial" w:eastAsia="Arial" w:hAnsi="Arial"/>
          <w:sz w:val="12"/>
          <w:szCs w:val="12"/>
          <w:color w:val="auto"/>
        </w:rPr>
        <w:t>We are also subject to or voluntarily comply with a number of other laws and regulations relating to privacy and information security and electronic fund transfers. If we were found to be in violation of applicable laws and regulations, we could be subject to additional liability, including governmental fines or other sanctions, and we could be forced to otherwise change our business practices in certain jurisdictions, or be required to obtain additional licenses or regulatory approvals.</w:t>
      </w:r>
    </w:p>
    <w:p>
      <w:pPr>
        <w:spacing w:after="0" w:line="123" w:lineRule="exact"/>
        <w:rPr>
          <w:sz w:val="20"/>
          <w:szCs w:val="20"/>
          <w:color w:val="auto"/>
        </w:rPr>
      </w:pPr>
    </w:p>
    <w:p>
      <w:pPr>
        <w:ind w:right="40" w:firstLine="602"/>
        <w:spacing w:after="0" w:line="286" w:lineRule="auto"/>
        <w:rPr>
          <w:sz w:val="20"/>
          <w:szCs w:val="20"/>
          <w:color w:val="auto"/>
        </w:rPr>
      </w:pPr>
      <w:r>
        <w:rPr>
          <w:rFonts w:ascii="Arial" w:cs="Arial" w:eastAsia="Arial" w:hAnsi="Arial"/>
          <w:sz w:val="11"/>
          <w:szCs w:val="11"/>
          <w:color w:val="auto"/>
        </w:rPr>
        <w:t>We have implemented policies and procedures to preserve and protect credit card and other payment data against loss, corruption, misappropriation caused by systems failures, unauthorized access or misuse. Notwithstanding these policies and procedures, we could be subject to liability claims by individuals and customers whose data resides in our databases for the misuse of that information. If we fail to meet appropriate compliance levels, this could negatively impact our ability to utilize credit cards as a method of payment, or collect and store credit card information, which could disrupt our business. Failure to comply with these laws may subject us to, among other things, additional costs or changes to our business practices, liability for monetary damages, fines or criminal prosecution, unfavorable publicity, restrictions on our ability to process and support financial transactions and allegations by customers that we have not performed our contractual obligations, any of which could have a material adverse effect on our business, financial condition and results of operations.</w:t>
      </w:r>
    </w:p>
    <w:p>
      <w:pPr>
        <w:spacing w:after="0" w:line="183" w:lineRule="exact"/>
        <w:rPr>
          <w:sz w:val="20"/>
          <w:szCs w:val="20"/>
          <w:color w:val="auto"/>
        </w:rPr>
      </w:pPr>
    </w:p>
    <w:p>
      <w:pPr>
        <w:ind w:right="260"/>
        <w:spacing w:after="0" w:line="276" w:lineRule="auto"/>
        <w:rPr>
          <w:sz w:val="20"/>
          <w:szCs w:val="20"/>
          <w:color w:val="auto"/>
        </w:rPr>
      </w:pPr>
      <w:r>
        <w:rPr>
          <w:rFonts w:ascii="Arial" w:cs="Arial" w:eastAsia="Arial" w:hAnsi="Arial"/>
          <w:sz w:val="12"/>
          <w:szCs w:val="12"/>
          <w:b w:val="1"/>
          <w:bCs w:val="1"/>
          <w:i w:val="1"/>
          <w:iCs w:val="1"/>
          <w:color w:val="auto"/>
        </w:rPr>
        <w:t>Failure to comply with anticorruption and anti-money laundering laws, including the U.S. Foreign Corrupt Practices Act and similar laws associated with our activities outside of the United States, could have a material adverse effect on our business.</w:t>
      </w:r>
    </w:p>
    <w:p>
      <w:pPr>
        <w:spacing w:after="0" w:line="43" w:lineRule="exact"/>
        <w:rPr>
          <w:sz w:val="20"/>
          <w:szCs w:val="20"/>
          <w:color w:val="auto"/>
        </w:rPr>
      </w:pPr>
    </w:p>
    <w:p>
      <w:pPr>
        <w:jc w:val="both"/>
        <w:ind w:right="120" w:firstLine="602"/>
        <w:spacing w:after="0" w:line="298" w:lineRule="auto"/>
        <w:rPr>
          <w:sz w:val="20"/>
          <w:szCs w:val="20"/>
          <w:color w:val="auto"/>
        </w:rPr>
      </w:pPr>
      <w:r>
        <w:rPr>
          <w:rFonts w:ascii="Arial" w:cs="Arial" w:eastAsia="Arial" w:hAnsi="Arial"/>
          <w:sz w:val="11"/>
          <w:szCs w:val="11"/>
          <w:color w:val="auto"/>
        </w:rPr>
        <w:t>Our operations subject us to anticorruption and other similar laws and regulations of multiple jurisdictions, both within the United States and internationally, which are often evolving, including the Foreign Corrupt Practices Act (the “</w:t>
      </w:r>
      <w:r>
        <w:rPr>
          <w:rFonts w:ascii="Arial" w:cs="Arial" w:eastAsia="Arial" w:hAnsi="Arial"/>
          <w:sz w:val="11"/>
          <w:szCs w:val="11"/>
          <w:b w:val="1"/>
          <w:bCs w:val="1"/>
          <w:i w:val="1"/>
          <w:iCs w:val="1"/>
          <w:color w:val="auto"/>
        </w:rPr>
        <w:t>FCPA</w:t>
      </w:r>
      <w:r>
        <w:rPr>
          <w:rFonts w:ascii="Arial" w:cs="Arial" w:eastAsia="Arial" w:hAnsi="Arial"/>
          <w:sz w:val="11"/>
          <w:szCs w:val="11"/>
          <w:color w:val="auto"/>
        </w:rPr>
        <w:t>”), the U.S. domestic bribery statute contained in 18 U.S.C. § 201, the U.S. Travel Act, the Patriot Act, and comparable foreign anti-bribery and anti-money laundering laws and regulations, including the United Kingdom Bribery Act of 2010. Our domestic activities, particularly those related to our Government Solutions business, are also subject to a number of federal, state and local laws and regulations regarding similar matters.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17740" cy="368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ectPr>
          <w:pgSz w:w="11900" w:h="16838" w:orient="portrait"/>
          <w:cols w:equalWidth="0" w:num="1">
            <w:col w:w="11460"/>
          </w:cols>
          <w:pgMar w:left="220" w:top="275" w:right="219" w:bottom="1440" w:gutter="0" w:footer="0" w:header="0"/>
        </w:sectPr>
      </w:pPr>
    </w:p>
    <w:bookmarkStart w:id="21" w:name="page22"/>
    <w:bookmarkEnd w:id="21"/>
    <w:p>
      <w:pPr>
        <w:spacing w:after="0" w:line="276" w:lineRule="auto"/>
        <w:rPr>
          <w:sz w:val="20"/>
          <w:szCs w:val="20"/>
          <w:color w:val="auto"/>
        </w:rPr>
      </w:pPr>
      <w:r>
        <w:rPr>
          <w:rFonts w:ascii="Arial" w:cs="Arial" w:eastAsia="Arial" w:hAnsi="Arial"/>
          <w:sz w:val="12"/>
          <w:szCs w:val="12"/>
          <w:color w:val="auto"/>
        </w:rPr>
        <w:t>These laws and regulations prohibit companies and their employees and third-party intermediaries from authorizing, offering or providing, directly or indirectly, improper payments or other benefits to government officials, political parties and private-sector recipients for the purpose of obtaining or retaining business, directing business to any person or securing any advantage.</w:t>
      </w:r>
    </w:p>
    <w:p>
      <w:pPr>
        <w:spacing w:after="0" w:line="115" w:lineRule="exact"/>
        <w:rPr>
          <w:sz w:val="20"/>
          <w:szCs w:val="20"/>
          <w:color w:val="auto"/>
        </w:rPr>
      </w:pPr>
    </w:p>
    <w:p>
      <w:pPr>
        <w:ind w:right="60" w:firstLine="602"/>
        <w:spacing w:after="0" w:line="255" w:lineRule="auto"/>
        <w:rPr>
          <w:sz w:val="20"/>
          <w:szCs w:val="20"/>
          <w:color w:val="auto"/>
        </w:rPr>
      </w:pPr>
      <w:r>
        <w:rPr>
          <w:rFonts w:ascii="Arial" w:cs="Arial" w:eastAsia="Arial" w:hAnsi="Arial"/>
          <w:sz w:val="12"/>
          <w:szCs w:val="12"/>
          <w:color w:val="auto"/>
        </w:rPr>
        <w:t>We use various third parties to conduct our business, both domestically and abroad, and we can be held liable for the corrupt or other illegal activities of our employees, representatives, contractors or subcontractors, partners, and agents, those of the third parties with which we do business or those of any businesses we acquire, even if we do not explicitly authorize such activities or they occurred prior to our acquisition of the relevant business. Safeguards we implement to discourage these practices may prove to be ineffective and any internal investigations may not uncover any such practices that may exist. Violations of the FCPA or other applicable anti-bribery, anti-corruption, and anti-money laundering laws by us or any of these third parties can result in severe criminal or civil sanctions, or other liabilities or proceedings against us, including class action lawsuits, whistleblower complaints, enforcement actions by the SEC, Department of Justice, and U.S. state and local and foreign regulators, adverse media coverage, non-responsibility determinations by procuring agencies, and suspension or debarment from government contracts, any of which could have a material adverse effect on our business, financial condition and results of operations.</w:t>
      </w:r>
    </w:p>
    <w:p>
      <w:pPr>
        <w:spacing w:after="0" w:line="20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Risks related to laws and regulations and any changes in those laws could have a material adverse effect on our business.</w:t>
      </w:r>
    </w:p>
    <w:p>
      <w:pPr>
        <w:spacing w:after="0" w:line="78" w:lineRule="exact"/>
        <w:rPr>
          <w:sz w:val="20"/>
          <w:szCs w:val="20"/>
          <w:color w:val="auto"/>
        </w:rPr>
      </w:pPr>
    </w:p>
    <w:p>
      <w:pPr>
        <w:ind w:right="60" w:firstLine="602"/>
        <w:spacing w:after="0" w:line="283" w:lineRule="auto"/>
        <w:rPr>
          <w:sz w:val="20"/>
          <w:szCs w:val="20"/>
          <w:color w:val="auto"/>
        </w:rPr>
      </w:pPr>
      <w:r>
        <w:rPr>
          <w:rFonts w:ascii="Arial" w:cs="Arial" w:eastAsia="Arial" w:hAnsi="Arial"/>
          <w:sz w:val="11"/>
          <w:szCs w:val="11"/>
          <w:color w:val="auto"/>
        </w:rPr>
        <w:t>We are subject to multiple, and sometimes conflicting, laws and regulations in the countries, states and localities in which we operate. In addition to the laws and regulations discussed elsewhere in these risk factors regarding data privacy, foreign operations and other matters, we are subject to laws regarding transportation safety, consumer protection, procurement, anti-kickback, labor and employment matters, competition and antitrust, intellectual property, environmental matters, and other trade-related laws and regulations. Certain of our operations are also subject to oversight by the U.S. Department of Transportation, the Federal Communications Commission, the U.S. Consumer Product Safety Commission, and the Environmental Protection Agency, as well as comparable state and local agencies, including departments of transportation, departments of motor vehicles, professional licensing authorities and offices of inspector general. Our Government Solutions segment is also subject to laws related to the use of automated traffic enforcement, the capture, access and retention of data and matters related to government contracting. In connection with our European expansion, we are subject to laws, regulations and administrative practices addressing many of these and other matters in Europe.</w:t>
      </w:r>
    </w:p>
    <w:p>
      <w:pPr>
        <w:spacing w:after="0" w:line="114" w:lineRule="exact"/>
        <w:rPr>
          <w:sz w:val="20"/>
          <w:szCs w:val="20"/>
          <w:color w:val="auto"/>
        </w:rPr>
      </w:pPr>
    </w:p>
    <w:p>
      <w:pPr>
        <w:jc w:val="both"/>
        <w:ind w:right="20" w:firstLine="602"/>
        <w:spacing w:after="0" w:line="327" w:lineRule="auto"/>
        <w:rPr>
          <w:sz w:val="20"/>
          <w:szCs w:val="20"/>
          <w:color w:val="auto"/>
        </w:rPr>
      </w:pPr>
      <w:r>
        <w:rPr>
          <w:rFonts w:ascii="Arial" w:cs="Arial" w:eastAsia="Arial" w:hAnsi="Arial"/>
          <w:sz w:val="10"/>
          <w:szCs w:val="10"/>
          <w:color w:val="auto"/>
        </w:rPr>
        <w:t>Recent years have seen a substantial increase in the number of new laws and regulations and the rate of change and enforcement of many of these types of laws and regulations. We cannot predict the nature, scope or impact of future laws, regulatory requirements or similar standards may have on our business, whether implemented through changes to existing laws or the way they are administered or interpreted, or through entirely new regulations. Future laws, regulations, and standards or any changed interpretation or administration of existing laws or regulations could limit the use or adoption of one or more of our solutions or require us to incur additional cost or impact our ability to develop and market new solutions. However, we may not be able to respond in a reasonable or cost effective manner, or at all. Even if we make what we believe are appropriate changes, there is no certainty those actions will comply.</w:t>
      </w:r>
    </w:p>
    <w:p>
      <w:pPr>
        <w:spacing w:after="0" w:line="94" w:lineRule="exact"/>
        <w:rPr>
          <w:sz w:val="20"/>
          <w:szCs w:val="20"/>
          <w:color w:val="auto"/>
        </w:rPr>
      </w:pPr>
    </w:p>
    <w:p>
      <w:pPr>
        <w:ind w:right="80" w:firstLine="602"/>
        <w:spacing w:after="0" w:line="323" w:lineRule="auto"/>
        <w:rPr>
          <w:sz w:val="20"/>
          <w:szCs w:val="20"/>
          <w:color w:val="auto"/>
        </w:rPr>
      </w:pPr>
      <w:r>
        <w:rPr>
          <w:rFonts w:ascii="Arial" w:cs="Arial" w:eastAsia="Arial" w:hAnsi="Arial"/>
          <w:sz w:val="11"/>
          <w:szCs w:val="11"/>
          <w:color w:val="auto"/>
        </w:rPr>
        <w:t>Any alleged or actual violations of any law or regulation, change in law or regulation or changes in the interpretation of existing laws or regulations may subject us to government scrutiny, including government or regulatory investigations and enforcement actions, civil and criminal fines and penalties, and negative publicly, or otherwise have a material adverse effect on our business, financial condition and results of operations.</w:t>
      </w:r>
    </w:p>
    <w:p>
      <w:pPr>
        <w:spacing w:after="0" w:line="16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Changes in laws, regulations or rules, or a failure to comply with any laws, regulations or rules, may adversely affect our business, investments and results of operations.</w:t>
      </w:r>
    </w:p>
    <w:p>
      <w:pPr>
        <w:spacing w:after="0" w:line="78" w:lineRule="exact"/>
        <w:rPr>
          <w:sz w:val="20"/>
          <w:szCs w:val="20"/>
          <w:color w:val="auto"/>
        </w:rPr>
      </w:pPr>
    </w:p>
    <w:p>
      <w:pPr>
        <w:ind w:firstLine="602"/>
        <w:spacing w:after="0" w:line="259" w:lineRule="auto"/>
        <w:rPr>
          <w:sz w:val="20"/>
          <w:szCs w:val="20"/>
          <w:color w:val="auto"/>
        </w:rPr>
      </w:pPr>
      <w:r>
        <w:rPr>
          <w:rFonts w:ascii="Arial" w:cs="Arial" w:eastAsia="Arial" w:hAnsi="Arial"/>
          <w:sz w:val="12"/>
          <w:szCs w:val="12"/>
          <w:color w:val="auto"/>
        </w:rPr>
        <w:t>We are subject to laws, regulations and rules enacted by foreign, national, regional and local governments and Nasdaq. In particular, we are required to comply with certain SEC, Nasdaq, and other legal or regulatory requirements. Compliance with, and monitoring of, applicable laws, regulations and rules may be difficult, time consuming and costly. Those laws, regulations or rules and their interpretation and application may also change from time to time and those changes could have a material adverse effect on our business, investments and results of operations. In addition, a failure to comply with applicable laws, regulations or rules, as interpreted and applied, could have a material adverse effect on our business and results of operations.</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17740" cy="368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ectPr>
          <w:pgSz w:w="11900" w:h="16838" w:orient="portrait"/>
          <w:cols w:equalWidth="0" w:num="1">
            <w:col w:w="11420"/>
          </w:cols>
          <w:pgMar w:left="220" w:top="203" w:right="259" w:bottom="1440" w:gutter="0" w:footer="0" w:header="0"/>
        </w:sectPr>
      </w:pPr>
    </w:p>
    <w:bookmarkStart w:id="22" w:name="page23"/>
    <w:bookmarkEnd w:id="22"/>
    <w:p>
      <w:pPr>
        <w:spacing w:after="0"/>
        <w:rPr>
          <w:sz w:val="20"/>
          <w:szCs w:val="20"/>
          <w:color w:val="auto"/>
        </w:rPr>
      </w:pPr>
      <w:r>
        <w:rPr>
          <w:rFonts w:ascii="Arial" w:cs="Arial" w:eastAsia="Arial" w:hAnsi="Arial"/>
          <w:sz w:val="12"/>
          <w:szCs w:val="12"/>
          <w:b w:val="1"/>
          <w:bCs w:val="1"/>
          <w:i w:val="1"/>
          <w:iCs w:val="1"/>
          <w:color w:val="auto"/>
        </w:rPr>
        <w:t>Failure to acquire necessary intellectual property or adequately protect our intellectual property could have a material adverse effect on our business.</w:t>
      </w:r>
    </w:p>
    <w:p>
      <w:pPr>
        <w:spacing w:after="0" w:line="78" w:lineRule="exact"/>
        <w:rPr>
          <w:sz w:val="20"/>
          <w:szCs w:val="20"/>
          <w:color w:val="auto"/>
        </w:rPr>
      </w:pPr>
    </w:p>
    <w:p>
      <w:pPr>
        <w:ind w:right="20" w:firstLine="602"/>
        <w:spacing w:after="0" w:line="255" w:lineRule="auto"/>
        <w:rPr>
          <w:sz w:val="20"/>
          <w:szCs w:val="20"/>
          <w:color w:val="auto"/>
        </w:rPr>
      </w:pPr>
      <w:r>
        <w:rPr>
          <w:rFonts w:ascii="Arial" w:cs="Arial" w:eastAsia="Arial" w:hAnsi="Arial"/>
          <w:sz w:val="12"/>
          <w:szCs w:val="12"/>
          <w:color w:val="auto"/>
        </w:rPr>
        <w:t>Our success depends, in part, on our ability to protect and defend our intellectual property against infringement, misappropriation and dilution. To protect our intellectual property rights, we rely on a combination of patent, trademark, copyright, trade secret and unfair competition laws of the United States and other countries, as well as contract provisions. We have registered certain patents and trademarks and have applications pending in the United States and foreign jurisdictions for some inventions and trademarks, including the Verra Mobility word mark and logo, for which some applications have been filed but registrations have not yet been granted. However, not all of the trademarks and inventions we currently use have been registered in all of the countries in which we do business, and they may never be registered in all of those countries, and the applications we submit for these protections may not be granted. While we make efforts to acquire rights to intellectual property necessary for our operations, these measures may not adequately protect our rights in any given case, particularly in those countries where the laws do not protect proprietary rights as fully as in the United States.</w:t>
      </w:r>
    </w:p>
    <w:p>
      <w:pPr>
        <w:spacing w:after="0" w:line="129" w:lineRule="exact"/>
        <w:rPr>
          <w:sz w:val="20"/>
          <w:szCs w:val="20"/>
          <w:color w:val="auto"/>
        </w:rPr>
      </w:pPr>
    </w:p>
    <w:p>
      <w:pPr>
        <w:ind w:firstLine="602"/>
        <w:spacing w:after="0" w:line="283" w:lineRule="auto"/>
        <w:rPr>
          <w:sz w:val="20"/>
          <w:szCs w:val="20"/>
          <w:color w:val="auto"/>
        </w:rPr>
      </w:pPr>
      <w:r>
        <w:rPr>
          <w:rFonts w:ascii="Arial" w:cs="Arial" w:eastAsia="Arial" w:hAnsi="Arial"/>
          <w:sz w:val="11"/>
          <w:szCs w:val="11"/>
          <w:color w:val="auto"/>
        </w:rPr>
        <w:t>If we fail to acquire necessary intellectual property rights or adequately protect or assert our intellectual property rights, competitors may manufacture and market similar products and services, or dilute our brands, which could adversely affect our market share. It may be possible for third parties to reverse engineer, otherwise obtain, copy, and use software or information that we regard as proprietary. In addition, our competitors may avoid application of our existing or future intellectual property rights. Further, patent rights, copyrights and contractual provisions may not prevent our competitors from developing, using or selling products or services that are similar to or address the same market as our products and services. Failure to obtain registrations for the Verra Mobility word mark or logo may have a significant adverse impact on our brand. Moreover, some of our trademarks and services are descriptive or include descriptive elements, which may make it difficult to enforce our rights or prevent others from adopting and using similar marks. Competitive products and services could reduce the market value of our brands, products and services, inhibit attracting new customers or maintaining existing customers, lower our profits, and could have a material adverse effect on our business, financial condition and results of operations.</w:t>
      </w:r>
    </w:p>
    <w:p>
      <w:pPr>
        <w:spacing w:after="0" w:line="18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measures to monitor and protect our intellectual property may not be adequate to maintain or enforce our patents, trademarks or other intellectual property rights.</w:t>
      </w:r>
    </w:p>
    <w:p>
      <w:pPr>
        <w:spacing w:after="0" w:line="78" w:lineRule="exact"/>
        <w:rPr>
          <w:sz w:val="20"/>
          <w:szCs w:val="20"/>
          <w:color w:val="auto"/>
        </w:rPr>
      </w:pPr>
    </w:p>
    <w:p>
      <w:pPr>
        <w:ind w:right="20" w:firstLine="602"/>
        <w:spacing w:after="0" w:line="254" w:lineRule="auto"/>
        <w:rPr>
          <w:sz w:val="20"/>
          <w:szCs w:val="20"/>
          <w:color w:val="auto"/>
        </w:rPr>
      </w:pPr>
      <w:r>
        <w:rPr>
          <w:rFonts w:ascii="Arial" w:cs="Arial" w:eastAsia="Arial" w:hAnsi="Arial"/>
          <w:sz w:val="12"/>
          <w:szCs w:val="12"/>
          <w:color w:val="auto"/>
        </w:rPr>
        <w:t>Despite our efforts to monitor and protect our intellectual property, we may not be able to maintain or enforce our patents, trademarks or other intellectual property rights. Unauthorized third parties may use our trademarks and service marks, or marks that are similar thereto, to impinge on our goodwill, cause consumer confusion or dilute our rights in the marks. We are aware of products, software and marks similar to our intellectual property being used by other persons. Although we believe that such uses will not adversely affect us, further or currently unknown unauthorized uses or other infringement of our trademarks or service marks could diminish the value of our intellectual property and may adversely affect our business. Even where we have effectively secured protection for our intellectual property, our competitors may challenge, infringe, misappropriate or dilute our intellectual property and our employees, consultants, contractors, customers and suppliers may breach their contractual obligations not to reveal our confidential information, including trade secrets. Additionally, defending or enforcing our intellectual property rights and agreements, and seeking an injunction or compensation for infringements or misappropriations, could result in expending significant resources and diverting management attention, which in turn may have a material adverse effect on our business, financial condition and results of operations.</w:t>
      </w:r>
    </w:p>
    <w:p>
      <w:pPr>
        <w:spacing w:after="0" w:line="20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have been and may become subject to third-party infringement claims or challenges to the validity of our intellectual property that could have a material adverse effect on our business.</w:t>
      </w:r>
    </w:p>
    <w:p>
      <w:pPr>
        <w:spacing w:after="0" w:line="78" w:lineRule="exact"/>
        <w:rPr>
          <w:sz w:val="20"/>
          <w:szCs w:val="20"/>
          <w:color w:val="auto"/>
        </w:rPr>
      </w:pPr>
    </w:p>
    <w:p>
      <w:pPr>
        <w:ind w:right="20" w:firstLine="602"/>
        <w:spacing w:after="0" w:line="286" w:lineRule="auto"/>
        <w:rPr>
          <w:sz w:val="20"/>
          <w:szCs w:val="20"/>
          <w:color w:val="auto"/>
        </w:rPr>
      </w:pPr>
      <w:r>
        <w:rPr>
          <w:rFonts w:ascii="Arial" w:cs="Arial" w:eastAsia="Arial" w:hAnsi="Arial"/>
          <w:sz w:val="11"/>
          <w:szCs w:val="11"/>
          <w:color w:val="auto"/>
        </w:rPr>
        <w:t>We have faced, and may in the future face, claims for infringement, misappropriation or other violations of intellectual property rights from intellectual property owners in areas where we operate or intend to operate, including in foreign jurisdictions. Such claims may or may not be unfounded. Regardless of whether such claims have merit, our image, brands, competitive position and ability to expand our operations into other jurisdictions may be harmed and we may incur significant costs related to defense or settlement. If such claims were decided against us or a third party we indemnify pursuant to license terms, we could be required to pay damages, develop or adopt non-infringing products or services, or acquire a license to the intellectual property that is the subject of the asserted claim, which license may not be available on acceptable terms or at all. Defending or settling claims would require the expenditure of additional capital, and negative publicity could arise, even if the matter was ultimately decided in our favor. Any of the foregoing could have a material adverse effect on our business, financial condition and results of operations.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17740" cy="368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ectPr>
          <w:pgSz w:w="11900" w:h="16838" w:orient="portrait"/>
          <w:cols w:equalWidth="0" w:num="1">
            <w:col w:w="11480"/>
          </w:cols>
          <w:pgMar w:left="220" w:top="347" w:right="199" w:bottom="1440" w:gutter="0" w:footer="0" w:header="0"/>
        </w:sectPr>
      </w:pPr>
    </w:p>
    <w:bookmarkStart w:id="23" w:name="page24"/>
    <w:bookmarkEnd w:id="23"/>
    <w:p>
      <w:pPr>
        <w:spacing w:after="0"/>
        <w:rPr>
          <w:sz w:val="20"/>
          <w:szCs w:val="20"/>
          <w:color w:val="auto"/>
        </w:rPr>
      </w:pPr>
      <w:r>
        <w:rPr>
          <w:rFonts w:ascii="Arial" w:cs="Arial" w:eastAsia="Arial" w:hAnsi="Arial"/>
          <w:sz w:val="12"/>
          <w:szCs w:val="12"/>
          <w:b w:val="1"/>
          <w:bCs w:val="1"/>
          <w:i w:val="1"/>
          <w:iCs w:val="1"/>
          <w:color w:val="auto"/>
        </w:rPr>
        <w:t>Growth into new territories and technologies may be hindered or blocked by pre-existing third-party rights.</w:t>
      </w:r>
    </w:p>
    <w:p>
      <w:pPr>
        <w:spacing w:after="0" w:line="78" w:lineRule="exact"/>
        <w:rPr>
          <w:sz w:val="20"/>
          <w:szCs w:val="20"/>
          <w:color w:val="auto"/>
        </w:rPr>
      </w:pPr>
    </w:p>
    <w:p>
      <w:pPr>
        <w:ind w:right="220" w:firstLine="602"/>
        <w:spacing w:after="0" w:line="259" w:lineRule="auto"/>
        <w:rPr>
          <w:sz w:val="20"/>
          <w:szCs w:val="20"/>
          <w:color w:val="auto"/>
        </w:rPr>
      </w:pPr>
      <w:r>
        <w:rPr>
          <w:rFonts w:ascii="Arial" w:cs="Arial" w:eastAsia="Arial" w:hAnsi="Arial"/>
          <w:sz w:val="12"/>
          <w:szCs w:val="12"/>
          <w:color w:val="auto"/>
        </w:rPr>
        <w:t>We act to obtain and protect intellectual property rights to operate successfully in those territories where we operate and intend to expand. Certain intellectual property rights including rights in trademarks and patents are national in character, and are obtained on a country-by-country basis by the first person to obtain protection through use or registration in that country in connection with specified products and services. As our business grows, we continuously evaluate the potential for expansion into new territories and new products and services. There is a risk with each expansion, including for pending applications, that growth will be limited or unavailable due to pre-existing third-party intellectual property rights.</w:t>
      </w:r>
    </w:p>
    <w:p>
      <w:pPr>
        <w:spacing w:after="0" w:line="19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depend on the services of key executives and any inability to attract and retain key management personnel could have a material adverse effect on our business.</w:t>
      </w:r>
    </w:p>
    <w:p>
      <w:pPr>
        <w:spacing w:after="0" w:line="78" w:lineRule="exact"/>
        <w:rPr>
          <w:sz w:val="20"/>
          <w:szCs w:val="20"/>
          <w:color w:val="auto"/>
        </w:rPr>
      </w:pPr>
    </w:p>
    <w:p>
      <w:pPr>
        <w:ind w:right="40" w:firstLine="602"/>
        <w:spacing w:after="0" w:line="283" w:lineRule="auto"/>
        <w:rPr>
          <w:sz w:val="20"/>
          <w:szCs w:val="20"/>
          <w:color w:val="auto"/>
        </w:rPr>
      </w:pPr>
      <w:r>
        <w:rPr>
          <w:rFonts w:ascii="Arial" w:cs="Arial" w:eastAsia="Arial" w:hAnsi="Arial"/>
          <w:sz w:val="11"/>
          <w:szCs w:val="11"/>
          <w:color w:val="auto"/>
        </w:rPr>
        <w:t>Our future success depends upon the continued services of our executive officers, including our Chief Executive Officer and Chief Financial Officer, who have critical experience and relationships that we rely on to implement our business plan and growth strategy. Additionally, as our business grows, we may need to attract and hire additional management personnel. We have employment agreements with some members of senior management; however, we cannot prevent our executives from terminating their employment and competing with us following any departure. Moreover, we do not carry “key-man” life insurance on the lives of our executive officers, employees or advisors. Our ability to retain our key management personnel or to identify and attract additional management personnel or suitable replacements should any members of the management team leave or be terminated is dependent on a number of factors, including the competitive nature of the employment market and our industry. Any failure to retain key management personnel or to attract additional or suitable replacement personnel could cause uncertainty among investors, employees, customers and others concerning our future direction and performance and could have a material adverse effect on our business, financial condition and results of operations.</w:t>
      </w:r>
    </w:p>
    <w:p>
      <w:pPr>
        <w:spacing w:after="0" w:line="18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A failure to attract and retain necessary skilled personnel and qualified subcontractors could have a material adverse effect on our business.</w:t>
      </w:r>
    </w:p>
    <w:p>
      <w:pPr>
        <w:spacing w:after="0" w:line="78" w:lineRule="exact"/>
        <w:rPr>
          <w:sz w:val="20"/>
          <w:szCs w:val="20"/>
          <w:color w:val="auto"/>
        </w:rPr>
      </w:pPr>
    </w:p>
    <w:p>
      <w:pPr>
        <w:ind w:firstLine="602"/>
        <w:spacing w:after="0" w:line="312" w:lineRule="auto"/>
        <w:rPr>
          <w:sz w:val="20"/>
          <w:szCs w:val="20"/>
          <w:color w:val="auto"/>
        </w:rPr>
      </w:pPr>
      <w:r>
        <w:rPr>
          <w:rFonts w:ascii="Arial" w:cs="Arial" w:eastAsia="Arial" w:hAnsi="Arial"/>
          <w:sz w:val="10"/>
          <w:szCs w:val="10"/>
          <w:color w:val="auto"/>
        </w:rPr>
        <w:t>Our business depends on highly skilled technical, managerial, engineering, sales, marketing and customer support personnel and qualified and competent subcontractors. Competition for this personnel is intense, especially during times of low unemployment or economic recovery or growth. Any failure to attract, hire, assimilate in a timely manner and retain and motivate key qualified personnel, particularly software development, product development, analytics and other technical personnel, or inability to contract with qualified, competent subcontractors, could impair our success. Additionally, certain portions of our Government Solutions operations are dependent on employees who are subject to a collective bargaining agreement. When the collective bargaining agreement becomes subject to renegotiation or if we face union organizing drives, any disagreement between us and the union on important issues may lead to a strike, work slowdown or other job actions in one or more location we serve. A strike, work slowdown or other job action could disrupt our services, resulting in reduced revenues or contract cancellations. State or local law in some jurisdictions requires that subcontractors for our Government Solutions segment are certified by the jurisdiction, and the failure on the part of our subcontractors to obtain and maintain such certification could impact their ability to perform services for us. Further, our recent acquisition activity could increase the challenge of retaining our key employees and subcontractors and those of the acquired businesses. The loss of any key technical employee or the termination of a key subcontractor relationship, and any inability to identify suitable replacements or offer reasonable terms to these candidates could have a material and adverse effect on our business, financial condition and results of operations.</w:t>
      </w:r>
    </w:p>
    <w:p>
      <w:pPr>
        <w:spacing w:after="0" w:line="17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Litigation and other disputes and regulatory investigations could have a material adverse effect on our business.</w:t>
      </w:r>
    </w:p>
    <w:p>
      <w:pPr>
        <w:spacing w:after="0" w:line="78" w:lineRule="exact"/>
        <w:rPr>
          <w:sz w:val="20"/>
          <w:szCs w:val="20"/>
          <w:color w:val="auto"/>
        </w:rPr>
      </w:pPr>
    </w:p>
    <w:p>
      <w:pPr>
        <w:ind w:right="60" w:firstLine="602"/>
        <w:spacing w:after="0" w:line="259" w:lineRule="auto"/>
        <w:rPr>
          <w:sz w:val="20"/>
          <w:szCs w:val="20"/>
          <w:color w:val="auto"/>
        </w:rPr>
      </w:pPr>
      <w:r>
        <w:rPr>
          <w:rFonts w:ascii="Arial" w:cs="Arial" w:eastAsia="Arial" w:hAnsi="Arial"/>
          <w:sz w:val="12"/>
          <w:szCs w:val="12"/>
          <w:color w:val="auto"/>
        </w:rPr>
        <w:t>From time to time, we may be involved in litigation and other disputes or regulatory investigations that arise in and outside the ordinary course of business. We expect that the number, frequency and significance of these matters may increase as our business expands and we grow as a company. Disputes and litigation may relate to, among other things, intellectual property, commercial arrangements, negligence and fiduciary duty claims, vicarious liability based upon conduct of individuals or entities outside of our control, including our third-party service providers, antitrust claims, deceptive trade practices, general fraud claims and employment law claims, including compliance with wage and hour regulations. Like other companies that handle sensitive personal and payment</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17740" cy="368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ectPr>
          <w:pgSz w:w="11900" w:h="16838" w:orient="portrait"/>
          <w:cols w:equalWidth="0" w:num="1">
            <w:col w:w="11460"/>
          </w:cols>
          <w:pgMar w:left="220" w:top="347" w:right="219" w:bottom="1440" w:gutter="0" w:footer="0" w:header="0"/>
        </w:sectPr>
      </w:pPr>
    </w:p>
    <w:bookmarkStart w:id="24" w:name="page25"/>
    <w:bookmarkEnd w:id="24"/>
    <w:p>
      <w:pPr>
        <w:jc w:val="both"/>
        <w:ind w:right="260"/>
        <w:spacing w:after="0" w:line="263" w:lineRule="auto"/>
        <w:rPr>
          <w:sz w:val="20"/>
          <w:szCs w:val="20"/>
          <w:color w:val="auto"/>
        </w:rPr>
      </w:pPr>
      <w:r>
        <w:rPr>
          <w:rFonts w:ascii="Arial" w:cs="Arial" w:eastAsia="Arial" w:hAnsi="Arial"/>
          <w:sz w:val="12"/>
          <w:szCs w:val="12"/>
          <w:color w:val="auto"/>
        </w:rPr>
        <w:t>information, we also face the possibility of allegations regarding employee fraud or misconduct. In addition to more general litigation, at times we are also a named party in claims made against our customers, including putative class actions challenging the legality and constitutionality of automated photo enforcement and other similar programs of our Government Solutions customers and consumer fraud claims brought against our RAC customers alleging faulty disclosures regarding our services.</w:t>
      </w:r>
    </w:p>
    <w:p>
      <w:pPr>
        <w:spacing w:after="0" w:line="123" w:lineRule="exact"/>
        <w:rPr>
          <w:sz w:val="20"/>
          <w:szCs w:val="20"/>
          <w:color w:val="auto"/>
        </w:rPr>
      </w:pPr>
    </w:p>
    <w:p>
      <w:pPr>
        <w:ind w:right="20" w:firstLine="602"/>
        <w:spacing w:after="0" w:line="257" w:lineRule="auto"/>
        <w:rPr>
          <w:sz w:val="20"/>
          <w:szCs w:val="20"/>
          <w:color w:val="auto"/>
        </w:rPr>
      </w:pPr>
      <w:r>
        <w:rPr>
          <w:rFonts w:ascii="Arial" w:cs="Arial" w:eastAsia="Arial" w:hAnsi="Arial"/>
          <w:sz w:val="12"/>
          <w:szCs w:val="12"/>
          <w:color w:val="auto"/>
        </w:rPr>
        <w:t>As a public company, we may also be subject to securities class action and stockholder derivative lawsuits. From time to time, we may also be reviewed or investigated by U.S. federal, state, or local regulators or regulators in the foreign jurisdictions in which we operate regarding similar and other matters, including tax assessments. These investigations can be commenced at the initiative of the governmental authority or as a result of complaints by private citizens, regardless of whether the complaint has any merit. At times, we are also required to obtain licensing and permitting, including with respect to matters such as general contracting, performance of engineering services, performance of electrical work and performance of private investigative work. Although we carry general liability insurance coverage, our insurance may not cover all potential claims to which we are exposed, whether as a result of a dispute, litigation or governmental investigation, and it may not adequately indemnify us for all liability that may be imposed.</w:t>
      </w:r>
    </w:p>
    <w:p>
      <w:pPr>
        <w:spacing w:after="0" w:line="126" w:lineRule="exact"/>
        <w:rPr>
          <w:sz w:val="20"/>
          <w:szCs w:val="20"/>
          <w:color w:val="auto"/>
        </w:rPr>
      </w:pPr>
    </w:p>
    <w:p>
      <w:pPr>
        <w:ind w:right="20" w:firstLine="602"/>
        <w:spacing w:after="0" w:line="310" w:lineRule="auto"/>
        <w:rPr>
          <w:sz w:val="20"/>
          <w:szCs w:val="20"/>
          <w:color w:val="auto"/>
        </w:rPr>
      </w:pPr>
      <w:r>
        <w:rPr>
          <w:rFonts w:ascii="Arial" w:cs="Arial" w:eastAsia="Arial" w:hAnsi="Arial"/>
          <w:sz w:val="10"/>
          <w:szCs w:val="10"/>
          <w:color w:val="auto"/>
        </w:rPr>
        <w:t>Any claims against us or investigation into our business and activities, whether meritorious or not, could be time consuming, result in significant legal and other expenses, require significant amounts of management time and result in the diversion of significant operational resources. Class action lawsuits can often be particularly burdensome given the breadth of claims, large potential damages and significant costs of defense. In the case of intellectual property litigation and proceedings, adverse outcomes could include the cancellation, invalidation or other loss of material intellectual property rights used in our business and injunctions prohibiting our use of business processes or technology that is subject to third-party patents or other third-party intellectual property rights. Legal or regulatory matters involving our directors, officers or employees in their individual capacities can also create exposure for us because we may be obligated or may choose to indemnify the affected individuals against liabilities and expenses they incur in connection with such matters. Regulatory investigations, including with respect to proper licensing or permitting, can also lead to enforcement actions, fines and penalties, the loss of a license or permit or the assertion of private litigation claims. Risks associated with these liabilities are often difficult to assess or quantify and their existence and magnitude can remain unknown for significant periods of time, making the amount of any legal reserves related to these legal liabilities difficult to determine and, if a reserve is established, subject to future revision. Future results of operations could be adversely affected if any reserve that we establish for a legal liability is increased or the underlying legal proceeding, investigation or other contingency is resolved for an amount in excess of established reserves. Because litigation and other disputes and regulatory investigations are inherently unpredictable, the results of any of these matters may have a material adverse effect on our business, financial condition and results of operations.</w:t>
      </w:r>
    </w:p>
    <w:p>
      <w:pPr>
        <w:spacing w:after="0" w:line="17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recent expansion into international markets exposes us to additional risks, and failure to manage those risks could have a material adverse effect on our business.</w:t>
      </w:r>
    </w:p>
    <w:p>
      <w:pPr>
        <w:spacing w:after="0" w:line="78" w:lineRule="exact"/>
        <w:rPr>
          <w:sz w:val="20"/>
          <w:szCs w:val="20"/>
          <w:color w:val="auto"/>
        </w:rPr>
      </w:pPr>
    </w:p>
    <w:p>
      <w:pPr>
        <w:ind w:firstLine="602"/>
        <w:spacing w:after="0" w:line="259" w:lineRule="auto"/>
        <w:rPr>
          <w:sz w:val="20"/>
          <w:szCs w:val="20"/>
          <w:color w:val="auto"/>
        </w:rPr>
      </w:pPr>
      <w:r>
        <w:rPr>
          <w:rFonts w:ascii="Arial" w:cs="Arial" w:eastAsia="Arial" w:hAnsi="Arial"/>
          <w:sz w:val="12"/>
          <w:szCs w:val="12"/>
          <w:color w:val="auto"/>
        </w:rPr>
        <w:t>We did not have any history of conducting or overseeing international operations before our April 2018 acquisition of EPC. In addition to EPC, we now have subsidiaries in the Netherlands, France, Ireland and Spain (Pagatelia). The future success of our business will depend, in part, on our ability to successfully manage these foreign operations. Because of our limited experience with developing and managing relationships and sales and distribution channels in foreign markets, our international efforts may not be successful. Our international operations also subject us to new risks that could increase expenses, restrict our ability to operate, result in lost revenues or otherwise materially and adversely affect our business, including:</w:t>
      </w:r>
    </w:p>
    <w:p>
      <w:pPr>
        <w:spacing w:after="0" w:line="53" w:lineRule="exact"/>
        <w:rPr>
          <w:sz w:val="20"/>
          <w:szCs w:val="20"/>
          <w:color w:val="auto"/>
        </w:rPr>
      </w:pPr>
    </w:p>
    <w:p>
      <w:pPr>
        <w:ind w:left="1180" w:hanging="593"/>
        <w:spacing w:after="0"/>
        <w:tabs>
          <w:tab w:leader="none" w:pos="1180" w:val="left"/>
        </w:tabs>
        <w:numPr>
          <w:ilvl w:val="0"/>
          <w:numId w:val="5"/>
        </w:numPr>
        <w:rPr>
          <w:rFonts w:ascii="Arial" w:cs="Arial" w:eastAsia="Arial" w:hAnsi="Arial"/>
          <w:sz w:val="12"/>
          <w:szCs w:val="12"/>
          <w:color w:val="auto"/>
        </w:rPr>
      </w:pPr>
      <w:r>
        <w:rPr>
          <w:rFonts w:ascii="Arial" w:cs="Arial" w:eastAsia="Arial" w:hAnsi="Arial"/>
          <w:sz w:val="12"/>
          <w:szCs w:val="12"/>
          <w:color w:val="auto"/>
        </w:rPr>
        <w:t>political, social, and economic instability, including the on-going impact of Great Britain’s decision to exit the E.U. and European sovereign debt issues and tightening of government budgets;</w:t>
      </w:r>
    </w:p>
    <w:p>
      <w:pPr>
        <w:spacing w:after="0" w:line="78" w:lineRule="exact"/>
        <w:rPr>
          <w:rFonts w:ascii="Arial" w:cs="Arial" w:eastAsia="Arial" w:hAnsi="Arial"/>
          <w:sz w:val="12"/>
          <w:szCs w:val="12"/>
          <w:color w:val="auto"/>
        </w:rPr>
      </w:pPr>
    </w:p>
    <w:p>
      <w:pPr>
        <w:ind w:left="1180" w:hanging="593"/>
        <w:spacing w:after="0"/>
        <w:tabs>
          <w:tab w:leader="none" w:pos="1180" w:val="left"/>
        </w:tabs>
        <w:numPr>
          <w:ilvl w:val="0"/>
          <w:numId w:val="5"/>
        </w:numPr>
        <w:rPr>
          <w:rFonts w:ascii="Arial" w:cs="Arial" w:eastAsia="Arial" w:hAnsi="Arial"/>
          <w:sz w:val="12"/>
          <w:szCs w:val="12"/>
          <w:color w:val="auto"/>
        </w:rPr>
      </w:pPr>
      <w:r>
        <w:rPr>
          <w:rFonts w:ascii="Arial" w:cs="Arial" w:eastAsia="Arial" w:hAnsi="Arial"/>
          <w:sz w:val="12"/>
          <w:szCs w:val="12"/>
          <w:color w:val="auto"/>
        </w:rPr>
        <w:t>wars, civil unrest, acts of terrorism and other conflicts;</w:t>
      </w:r>
    </w:p>
    <w:p>
      <w:pPr>
        <w:spacing w:after="0" w:line="78" w:lineRule="exact"/>
        <w:rPr>
          <w:rFonts w:ascii="Arial" w:cs="Arial" w:eastAsia="Arial" w:hAnsi="Arial"/>
          <w:sz w:val="12"/>
          <w:szCs w:val="12"/>
          <w:color w:val="auto"/>
        </w:rPr>
      </w:pPr>
    </w:p>
    <w:p>
      <w:pPr>
        <w:ind w:left="1180" w:hanging="593"/>
        <w:spacing w:after="0"/>
        <w:tabs>
          <w:tab w:leader="none" w:pos="1180" w:val="left"/>
        </w:tabs>
        <w:numPr>
          <w:ilvl w:val="0"/>
          <w:numId w:val="5"/>
        </w:numPr>
        <w:rPr>
          <w:rFonts w:ascii="Arial" w:cs="Arial" w:eastAsia="Arial" w:hAnsi="Arial"/>
          <w:sz w:val="11"/>
          <w:szCs w:val="11"/>
          <w:color w:val="auto"/>
        </w:rPr>
      </w:pPr>
      <w:r>
        <w:rPr>
          <w:rFonts w:ascii="Arial" w:cs="Arial" w:eastAsia="Arial" w:hAnsi="Arial"/>
          <w:sz w:val="11"/>
          <w:szCs w:val="11"/>
          <w:color w:val="auto"/>
        </w:rPr>
        <w:t>increased complexity and costs of managing or overseeing foreign operations, including adapting and localizing our services to specific regions and countries and relying on different third-party service providers;</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17740" cy="368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ectPr>
          <w:pgSz w:w="11900" w:h="16838" w:orient="portrait"/>
          <w:cols w:equalWidth="0" w:num="1">
            <w:col w:w="11440"/>
          </w:cols>
          <w:pgMar w:left="220" w:top="203" w:right="239" w:bottom="1440" w:gutter="0" w:footer="0" w:header="0"/>
        </w:sectPr>
      </w:pPr>
    </w:p>
    <w:bookmarkStart w:id="25" w:name="page26"/>
    <w:bookmarkEnd w:id="25"/>
    <w:p>
      <w:pPr>
        <w:ind w:left="1180" w:hanging="593"/>
        <w:spacing w:after="0"/>
        <w:tabs>
          <w:tab w:leader="none" w:pos="1180" w:val="left"/>
        </w:tabs>
        <w:numPr>
          <w:ilvl w:val="0"/>
          <w:numId w:val="6"/>
        </w:numPr>
        <w:rPr>
          <w:rFonts w:ascii="Arial" w:cs="Arial" w:eastAsia="Arial" w:hAnsi="Arial"/>
          <w:sz w:val="12"/>
          <w:szCs w:val="12"/>
          <w:color w:val="auto"/>
        </w:rPr>
      </w:pPr>
      <w:r>
        <w:rPr>
          <w:rFonts w:ascii="Arial" w:cs="Arial" w:eastAsia="Arial" w:hAnsi="Arial"/>
          <w:sz w:val="12"/>
          <w:szCs w:val="12"/>
          <w:color w:val="auto"/>
        </w:rPr>
        <w:t>local business and cultural factors and customs that may differ from our normal standards and practices;</w:t>
      </w:r>
    </w:p>
    <w:p>
      <w:pPr>
        <w:spacing w:after="0" w:line="78" w:lineRule="exact"/>
        <w:rPr>
          <w:rFonts w:ascii="Arial" w:cs="Arial" w:eastAsia="Arial" w:hAnsi="Arial"/>
          <w:sz w:val="12"/>
          <w:szCs w:val="12"/>
          <w:color w:val="auto"/>
        </w:rPr>
      </w:pPr>
    </w:p>
    <w:p>
      <w:pPr>
        <w:ind w:left="1180" w:hanging="593"/>
        <w:spacing w:after="0"/>
        <w:tabs>
          <w:tab w:leader="none" w:pos="1180" w:val="left"/>
        </w:tabs>
        <w:numPr>
          <w:ilvl w:val="0"/>
          <w:numId w:val="6"/>
        </w:numPr>
        <w:rPr>
          <w:rFonts w:ascii="Arial" w:cs="Arial" w:eastAsia="Arial" w:hAnsi="Arial"/>
          <w:sz w:val="12"/>
          <w:szCs w:val="12"/>
          <w:color w:val="auto"/>
        </w:rPr>
      </w:pPr>
      <w:r>
        <w:rPr>
          <w:rFonts w:ascii="Arial" w:cs="Arial" w:eastAsia="Arial" w:hAnsi="Arial"/>
          <w:sz w:val="12"/>
          <w:szCs w:val="12"/>
          <w:color w:val="auto"/>
        </w:rPr>
        <w:t>complying with tariffs, trade restrictions, and trade agreements and any changes thereto;</w:t>
      </w:r>
    </w:p>
    <w:p>
      <w:pPr>
        <w:spacing w:after="0" w:line="78" w:lineRule="exact"/>
        <w:rPr>
          <w:rFonts w:ascii="Arial" w:cs="Arial" w:eastAsia="Arial" w:hAnsi="Arial"/>
          <w:sz w:val="12"/>
          <w:szCs w:val="12"/>
          <w:color w:val="auto"/>
        </w:rPr>
      </w:pPr>
    </w:p>
    <w:p>
      <w:pPr>
        <w:ind w:left="1180" w:hanging="593"/>
        <w:spacing w:after="0"/>
        <w:tabs>
          <w:tab w:leader="none" w:pos="1180" w:val="left"/>
        </w:tabs>
        <w:numPr>
          <w:ilvl w:val="0"/>
          <w:numId w:val="6"/>
        </w:numPr>
        <w:rPr>
          <w:rFonts w:ascii="Arial" w:cs="Arial" w:eastAsia="Arial" w:hAnsi="Arial"/>
          <w:sz w:val="12"/>
          <w:szCs w:val="12"/>
          <w:color w:val="auto"/>
        </w:rPr>
      </w:pPr>
      <w:r>
        <w:rPr>
          <w:rFonts w:ascii="Arial" w:cs="Arial" w:eastAsia="Arial" w:hAnsi="Arial"/>
          <w:sz w:val="12"/>
          <w:szCs w:val="12"/>
          <w:color w:val="auto"/>
        </w:rPr>
        <w:t>foreign exchange and other restrictions and limitations on the transfer or repatriation of funds;</w:t>
      </w:r>
    </w:p>
    <w:p>
      <w:pPr>
        <w:spacing w:after="0" w:line="78" w:lineRule="exact"/>
        <w:rPr>
          <w:rFonts w:ascii="Arial" w:cs="Arial" w:eastAsia="Arial" w:hAnsi="Arial"/>
          <w:sz w:val="12"/>
          <w:szCs w:val="12"/>
          <w:color w:val="auto"/>
        </w:rPr>
      </w:pPr>
    </w:p>
    <w:p>
      <w:pPr>
        <w:ind w:left="1180" w:hanging="593"/>
        <w:spacing w:after="0"/>
        <w:tabs>
          <w:tab w:leader="none" w:pos="1180" w:val="left"/>
        </w:tabs>
        <w:numPr>
          <w:ilvl w:val="0"/>
          <w:numId w:val="6"/>
        </w:numPr>
        <w:rPr>
          <w:rFonts w:ascii="Arial" w:cs="Arial" w:eastAsia="Arial" w:hAnsi="Arial"/>
          <w:sz w:val="12"/>
          <w:szCs w:val="12"/>
          <w:color w:val="auto"/>
        </w:rPr>
      </w:pPr>
      <w:r>
        <w:rPr>
          <w:rFonts w:ascii="Arial" w:cs="Arial" w:eastAsia="Arial" w:hAnsi="Arial"/>
          <w:sz w:val="12"/>
          <w:szCs w:val="12"/>
          <w:color w:val="auto"/>
        </w:rPr>
        <w:t>adverse tax consequences;</w:t>
      </w:r>
    </w:p>
    <w:p>
      <w:pPr>
        <w:spacing w:after="0" w:line="78" w:lineRule="exact"/>
        <w:rPr>
          <w:rFonts w:ascii="Arial" w:cs="Arial" w:eastAsia="Arial" w:hAnsi="Arial"/>
          <w:sz w:val="12"/>
          <w:szCs w:val="12"/>
          <w:color w:val="auto"/>
        </w:rPr>
      </w:pPr>
    </w:p>
    <w:p>
      <w:pPr>
        <w:ind w:left="1180" w:hanging="593"/>
        <w:spacing w:after="0"/>
        <w:tabs>
          <w:tab w:leader="none" w:pos="1180" w:val="left"/>
        </w:tabs>
        <w:numPr>
          <w:ilvl w:val="0"/>
          <w:numId w:val="6"/>
        </w:numPr>
        <w:rPr>
          <w:rFonts w:ascii="Arial" w:cs="Arial" w:eastAsia="Arial" w:hAnsi="Arial"/>
          <w:sz w:val="12"/>
          <w:szCs w:val="12"/>
          <w:color w:val="auto"/>
        </w:rPr>
      </w:pPr>
      <w:r>
        <w:rPr>
          <w:rFonts w:ascii="Arial" w:cs="Arial" w:eastAsia="Arial" w:hAnsi="Arial"/>
          <w:sz w:val="12"/>
          <w:szCs w:val="12"/>
          <w:color w:val="auto"/>
        </w:rPr>
        <w:t>fluctuations in currency exchange rates;</w:t>
      </w:r>
    </w:p>
    <w:p>
      <w:pPr>
        <w:spacing w:after="0" w:line="78" w:lineRule="exact"/>
        <w:rPr>
          <w:rFonts w:ascii="Arial" w:cs="Arial" w:eastAsia="Arial" w:hAnsi="Arial"/>
          <w:sz w:val="12"/>
          <w:szCs w:val="12"/>
          <w:color w:val="auto"/>
        </w:rPr>
      </w:pPr>
    </w:p>
    <w:p>
      <w:pPr>
        <w:ind w:left="1180" w:right="60" w:hanging="593"/>
        <w:spacing w:after="0" w:line="276" w:lineRule="auto"/>
        <w:tabs>
          <w:tab w:leader="none" w:pos="1180" w:val="left"/>
        </w:tabs>
        <w:numPr>
          <w:ilvl w:val="0"/>
          <w:numId w:val="6"/>
        </w:numPr>
        <w:rPr>
          <w:rFonts w:ascii="Arial" w:cs="Arial" w:eastAsia="Arial" w:hAnsi="Arial"/>
          <w:sz w:val="12"/>
          <w:szCs w:val="12"/>
          <w:color w:val="auto"/>
        </w:rPr>
      </w:pPr>
      <w:r>
        <w:rPr>
          <w:rFonts w:ascii="Arial" w:cs="Arial" w:eastAsia="Arial" w:hAnsi="Arial"/>
          <w:sz w:val="12"/>
          <w:szCs w:val="12"/>
          <w:color w:val="auto"/>
        </w:rPr>
        <w:t>complying with varying legal and regulatory environments in multiple foreign jurisdictions, including with respect to data and consumer privacy and payment processing, labor matters, and unexpected changes in these laws, regulatory requirements, and the enforcement thereof; and</w:t>
      </w:r>
    </w:p>
    <w:p>
      <w:pPr>
        <w:spacing w:after="0" w:line="42" w:lineRule="exact"/>
        <w:rPr>
          <w:rFonts w:ascii="Arial" w:cs="Arial" w:eastAsia="Arial" w:hAnsi="Arial"/>
          <w:sz w:val="12"/>
          <w:szCs w:val="12"/>
          <w:color w:val="auto"/>
        </w:rPr>
      </w:pPr>
    </w:p>
    <w:p>
      <w:pPr>
        <w:ind w:left="1180" w:hanging="593"/>
        <w:spacing w:after="0"/>
        <w:tabs>
          <w:tab w:leader="none" w:pos="1180" w:val="left"/>
        </w:tabs>
        <w:numPr>
          <w:ilvl w:val="0"/>
          <w:numId w:val="6"/>
        </w:numPr>
        <w:rPr>
          <w:rFonts w:ascii="Arial" w:cs="Arial" w:eastAsia="Arial" w:hAnsi="Arial"/>
          <w:sz w:val="12"/>
          <w:szCs w:val="12"/>
          <w:color w:val="auto"/>
        </w:rPr>
      </w:pPr>
      <w:r>
        <w:rPr>
          <w:rFonts w:ascii="Arial" w:cs="Arial" w:eastAsia="Arial" w:hAnsi="Arial"/>
          <w:sz w:val="12"/>
          <w:szCs w:val="12"/>
          <w:color w:val="auto"/>
        </w:rPr>
        <w:t>limited protection of our intellectual property and other assets as compared to the laws of the United States.</w:t>
      </w:r>
    </w:p>
    <w:p>
      <w:pPr>
        <w:spacing w:after="0" w:line="150" w:lineRule="exact"/>
        <w:rPr>
          <w:sz w:val="20"/>
          <w:szCs w:val="20"/>
          <w:color w:val="auto"/>
        </w:rPr>
      </w:pPr>
    </w:p>
    <w:p>
      <w:pPr>
        <w:ind w:firstLine="602"/>
        <w:spacing w:after="0" w:line="286" w:lineRule="auto"/>
        <w:rPr>
          <w:sz w:val="20"/>
          <w:szCs w:val="20"/>
          <w:color w:val="auto"/>
        </w:rPr>
      </w:pPr>
      <w:r>
        <w:rPr>
          <w:rFonts w:ascii="Arial" w:cs="Arial" w:eastAsia="Arial" w:hAnsi="Arial"/>
          <w:sz w:val="11"/>
          <w:szCs w:val="11"/>
          <w:color w:val="auto"/>
        </w:rPr>
        <w:t>Political instability and uncertainty in the E.U. and, in particular, Great Britain’s recent exit from the E.U., has slowed economic growth and created significant economic disruption and uncertainty in the region, including with respect to whether other nations may follow suit in withdrawing from the E.U. Great Britain formally exited the EU on January 31, 2020, and a transition period is in place until December 31 2020, during which time Great Britain will remain in both the EU customs union and single market and follow EU rules. There is a significant lack of clarity regarding the terms of Great Britain’s future relationship with the EU after this date. These uncertainties could continue to discourage near-term economic activity, including decisions regarding the continued use of our solutions or the willingness of European RACs or FMCs to adopt one of our solutions, until the final terms of Great Britain’s exit and its impact on other countries of the E.U. are resolved. The final terms of the withdrawal could also impact EPC’s ability to obtain information from vehicle licensing authorities that is necessary to our operations in certain parts of the E.U.</w:t>
      </w:r>
    </w:p>
    <w:p>
      <w:pPr>
        <w:spacing w:after="0" w:line="111" w:lineRule="exact"/>
        <w:rPr>
          <w:sz w:val="20"/>
          <w:szCs w:val="20"/>
          <w:color w:val="auto"/>
        </w:rPr>
      </w:pPr>
    </w:p>
    <w:p>
      <w:pPr>
        <w:ind w:right="300" w:firstLine="602"/>
        <w:spacing w:after="0" w:line="380" w:lineRule="auto"/>
        <w:rPr>
          <w:sz w:val="20"/>
          <w:szCs w:val="20"/>
          <w:color w:val="auto"/>
        </w:rPr>
      </w:pPr>
      <w:r>
        <w:rPr>
          <w:rFonts w:ascii="Arial" w:cs="Arial" w:eastAsia="Arial" w:hAnsi="Arial"/>
          <w:sz w:val="10"/>
          <w:szCs w:val="10"/>
          <w:color w:val="auto"/>
        </w:rPr>
        <w:t>We have limited or no control over these and other factors related to international operations and our strategies to address these risks may not correctly anticipate any problems that arise or be successful in expanding our solutions from the United States into new European markets. Any failure to successfully manage these and other similar risks could have a material adverse effect on our business, financial condition and results of operations.</w:t>
      </w:r>
    </w:p>
    <w:p>
      <w:pPr>
        <w:spacing w:after="0" w:line="14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growth is dependent on successfully implementing our international expansion strategy.</w:t>
      </w:r>
    </w:p>
    <w:p>
      <w:pPr>
        <w:spacing w:after="0" w:line="78" w:lineRule="exact"/>
        <w:rPr>
          <w:sz w:val="20"/>
          <w:szCs w:val="20"/>
          <w:color w:val="auto"/>
        </w:rPr>
      </w:pPr>
    </w:p>
    <w:p>
      <w:pPr>
        <w:ind w:right="40" w:firstLine="602"/>
        <w:spacing w:after="0" w:line="257" w:lineRule="auto"/>
        <w:rPr>
          <w:sz w:val="20"/>
          <w:szCs w:val="20"/>
          <w:color w:val="auto"/>
        </w:rPr>
      </w:pPr>
      <w:r>
        <w:rPr>
          <w:rFonts w:ascii="Arial" w:cs="Arial" w:eastAsia="Arial" w:hAnsi="Arial"/>
          <w:sz w:val="12"/>
          <w:szCs w:val="12"/>
          <w:color w:val="auto"/>
        </w:rPr>
        <w:t>Our growth strategy includes expanding our global footprint, which may involve moving into regions and countries beyond those in which we currently operate, and our success will depend, in part, on our ability to anticipate and effectively manage the risks related to this expansion. In order to achieve widespread acceptance in new markets we may enter, we may need to develop new products and services or tailor our existing products and services to that market’s unique customs, cultures and standards. We have offices in London and Budapest through EPC, and we have opened a location in the Netherlands to serve as the headquarters for our European business. Additionally, we have subsidiaries in France, Ireland and Spain (Pagatelia). The establishment of these and future European subsidiaries may divert our resources and require significant attention from management. In addition to the risks inherent in conducting international business, expanding into Europe with new and existing customers poses additional risks, including:</w:t>
      </w:r>
    </w:p>
    <w:p>
      <w:pPr>
        <w:spacing w:after="0" w:line="54" w:lineRule="exact"/>
        <w:rPr>
          <w:sz w:val="20"/>
          <w:szCs w:val="20"/>
          <w:color w:val="auto"/>
        </w:rPr>
      </w:pPr>
    </w:p>
    <w:p>
      <w:pPr>
        <w:ind w:left="1180" w:hanging="593"/>
        <w:spacing w:after="0"/>
        <w:tabs>
          <w:tab w:leader="none" w:pos="1180" w:val="left"/>
        </w:tabs>
        <w:numPr>
          <w:ilvl w:val="0"/>
          <w:numId w:val="7"/>
        </w:numPr>
        <w:rPr>
          <w:rFonts w:ascii="Arial" w:cs="Arial" w:eastAsia="Arial" w:hAnsi="Arial"/>
          <w:sz w:val="12"/>
          <w:szCs w:val="12"/>
          <w:color w:val="auto"/>
        </w:rPr>
      </w:pPr>
      <w:r>
        <w:rPr>
          <w:rFonts w:ascii="Arial" w:cs="Arial" w:eastAsia="Arial" w:hAnsi="Arial"/>
          <w:sz w:val="12"/>
          <w:szCs w:val="12"/>
          <w:color w:val="auto"/>
        </w:rPr>
        <w:t>lack of acceptance of our products and services;</w:t>
      </w:r>
    </w:p>
    <w:p>
      <w:pPr>
        <w:spacing w:after="0" w:line="78" w:lineRule="exact"/>
        <w:rPr>
          <w:rFonts w:ascii="Arial" w:cs="Arial" w:eastAsia="Arial" w:hAnsi="Arial"/>
          <w:sz w:val="12"/>
          <w:szCs w:val="12"/>
          <w:color w:val="auto"/>
        </w:rPr>
      </w:pPr>
    </w:p>
    <w:p>
      <w:pPr>
        <w:ind w:left="1180" w:hanging="593"/>
        <w:spacing w:after="0"/>
        <w:tabs>
          <w:tab w:leader="none" w:pos="1180" w:val="left"/>
        </w:tabs>
        <w:numPr>
          <w:ilvl w:val="0"/>
          <w:numId w:val="7"/>
        </w:numPr>
        <w:rPr>
          <w:rFonts w:ascii="Arial" w:cs="Arial" w:eastAsia="Arial" w:hAnsi="Arial"/>
          <w:sz w:val="12"/>
          <w:szCs w:val="12"/>
          <w:color w:val="auto"/>
        </w:rPr>
      </w:pPr>
      <w:r>
        <w:rPr>
          <w:rFonts w:ascii="Arial" w:cs="Arial" w:eastAsia="Arial" w:hAnsi="Arial"/>
          <w:sz w:val="12"/>
          <w:szCs w:val="12"/>
          <w:color w:val="auto"/>
        </w:rPr>
        <w:t>difficulties in and costs associated with staffing and managing our European operations;</w:t>
      </w:r>
    </w:p>
    <w:p>
      <w:pPr>
        <w:spacing w:after="0" w:line="78" w:lineRule="exact"/>
        <w:rPr>
          <w:rFonts w:ascii="Arial" w:cs="Arial" w:eastAsia="Arial" w:hAnsi="Arial"/>
          <w:sz w:val="12"/>
          <w:szCs w:val="12"/>
          <w:color w:val="auto"/>
        </w:rPr>
      </w:pPr>
    </w:p>
    <w:p>
      <w:pPr>
        <w:ind w:left="1180" w:hanging="593"/>
        <w:spacing w:after="0"/>
        <w:tabs>
          <w:tab w:leader="none" w:pos="1180" w:val="left"/>
        </w:tabs>
        <w:numPr>
          <w:ilvl w:val="0"/>
          <w:numId w:val="7"/>
        </w:numPr>
        <w:rPr>
          <w:rFonts w:ascii="Arial" w:cs="Arial" w:eastAsia="Arial" w:hAnsi="Arial"/>
          <w:sz w:val="12"/>
          <w:szCs w:val="12"/>
          <w:color w:val="auto"/>
        </w:rPr>
      </w:pPr>
      <w:r>
        <w:rPr>
          <w:rFonts w:ascii="Arial" w:cs="Arial" w:eastAsia="Arial" w:hAnsi="Arial"/>
          <w:sz w:val="12"/>
          <w:szCs w:val="12"/>
          <w:color w:val="auto"/>
        </w:rPr>
        <w:t>tax issues, including administration of value-added tax, restrictions on repatriating earnings, and with respect to our corporate operating structure and intercompany arrangements;</w:t>
      </w:r>
    </w:p>
    <w:p>
      <w:pPr>
        <w:spacing w:after="0" w:line="78" w:lineRule="exact"/>
        <w:rPr>
          <w:rFonts w:ascii="Arial" w:cs="Arial" w:eastAsia="Arial" w:hAnsi="Arial"/>
          <w:sz w:val="12"/>
          <w:szCs w:val="12"/>
          <w:color w:val="auto"/>
        </w:rPr>
      </w:pPr>
    </w:p>
    <w:p>
      <w:pPr>
        <w:ind w:left="1180" w:hanging="593"/>
        <w:spacing w:after="0"/>
        <w:tabs>
          <w:tab w:leader="none" w:pos="1180" w:val="left"/>
        </w:tabs>
        <w:numPr>
          <w:ilvl w:val="0"/>
          <w:numId w:val="7"/>
        </w:numPr>
        <w:rPr>
          <w:rFonts w:ascii="Arial" w:cs="Arial" w:eastAsia="Arial" w:hAnsi="Arial"/>
          <w:sz w:val="12"/>
          <w:szCs w:val="12"/>
          <w:color w:val="auto"/>
        </w:rPr>
      </w:pPr>
      <w:r>
        <w:rPr>
          <w:rFonts w:ascii="Arial" w:cs="Arial" w:eastAsia="Arial" w:hAnsi="Arial"/>
          <w:sz w:val="12"/>
          <w:szCs w:val="12"/>
          <w:color w:val="auto"/>
        </w:rPr>
        <w:t>our limited historical sale experience to RACs outside the United States;</w:t>
      </w:r>
    </w:p>
    <w:p>
      <w:pPr>
        <w:spacing w:after="0" w:line="78" w:lineRule="exact"/>
        <w:rPr>
          <w:rFonts w:ascii="Arial" w:cs="Arial" w:eastAsia="Arial" w:hAnsi="Arial"/>
          <w:sz w:val="12"/>
          <w:szCs w:val="12"/>
          <w:color w:val="auto"/>
        </w:rPr>
      </w:pPr>
    </w:p>
    <w:p>
      <w:pPr>
        <w:ind w:left="1180" w:hanging="593"/>
        <w:spacing w:after="0"/>
        <w:tabs>
          <w:tab w:leader="none" w:pos="1180" w:val="left"/>
        </w:tabs>
        <w:numPr>
          <w:ilvl w:val="0"/>
          <w:numId w:val="7"/>
        </w:numPr>
        <w:rPr>
          <w:rFonts w:ascii="Arial" w:cs="Arial" w:eastAsia="Arial" w:hAnsi="Arial"/>
          <w:sz w:val="12"/>
          <w:szCs w:val="12"/>
          <w:color w:val="auto"/>
        </w:rPr>
      </w:pPr>
      <w:r>
        <w:rPr>
          <w:rFonts w:ascii="Arial" w:cs="Arial" w:eastAsia="Arial" w:hAnsi="Arial"/>
          <w:sz w:val="12"/>
          <w:szCs w:val="12"/>
          <w:color w:val="auto"/>
        </w:rPr>
        <w:t>our ability to adapt our marketing and selling efforts to different cultures and customers; and</w:t>
      </w:r>
    </w:p>
    <w:p>
      <w:pPr>
        <w:spacing w:after="0" w:line="78" w:lineRule="exact"/>
        <w:rPr>
          <w:rFonts w:ascii="Arial" w:cs="Arial" w:eastAsia="Arial" w:hAnsi="Arial"/>
          <w:sz w:val="12"/>
          <w:szCs w:val="12"/>
          <w:color w:val="auto"/>
        </w:rPr>
      </w:pPr>
    </w:p>
    <w:p>
      <w:pPr>
        <w:ind w:left="1180" w:hanging="593"/>
        <w:spacing w:after="0"/>
        <w:tabs>
          <w:tab w:leader="none" w:pos="1180" w:val="left"/>
        </w:tabs>
        <w:numPr>
          <w:ilvl w:val="0"/>
          <w:numId w:val="7"/>
        </w:numPr>
        <w:rPr>
          <w:rFonts w:ascii="Arial" w:cs="Arial" w:eastAsia="Arial" w:hAnsi="Arial"/>
          <w:sz w:val="11"/>
          <w:szCs w:val="11"/>
          <w:color w:val="auto"/>
        </w:rPr>
      </w:pPr>
      <w:r>
        <w:rPr>
          <w:rFonts w:ascii="Arial" w:cs="Arial" w:eastAsia="Arial" w:hAnsi="Arial"/>
          <w:sz w:val="11"/>
          <w:szCs w:val="11"/>
          <w:color w:val="auto"/>
        </w:rPr>
        <w:t>a different competitive environment, including a number of smaller competitors and a more fragmented business model that allows RACs and FMCs to perform some of the services we offer for themselves.</w:t>
      </w:r>
    </w:p>
    <w:p>
      <w:pPr>
        <w:spacing w:after="0" w:line="162" w:lineRule="exact"/>
        <w:rPr>
          <w:sz w:val="20"/>
          <w:szCs w:val="20"/>
          <w:color w:val="auto"/>
        </w:rPr>
      </w:pPr>
    </w:p>
    <w:p>
      <w:pPr>
        <w:jc w:val="center"/>
        <w:ind w:right="-59"/>
        <w:spacing w:after="0"/>
        <w:rPr>
          <w:sz w:val="20"/>
          <w:szCs w:val="20"/>
          <w:color w:val="auto"/>
        </w:rPr>
      </w:pPr>
      <w:r>
        <w:rPr>
          <w:rFonts w:ascii="Arial" w:cs="Arial" w:eastAsia="Arial" w:hAnsi="Arial"/>
          <w:sz w:val="12"/>
          <w:szCs w:val="1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17740" cy="368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ectPr>
          <w:pgSz w:w="11900" w:h="16838" w:orient="portrait"/>
          <w:cols w:equalWidth="0" w:num="1">
            <w:col w:w="11420"/>
          </w:cols>
          <w:pgMar w:left="220" w:top="131" w:right="259" w:bottom="1440" w:gutter="0" w:footer="0" w:header="0"/>
        </w:sectPr>
      </w:pPr>
    </w:p>
    <w:bookmarkStart w:id="26" w:name="page27"/>
    <w:bookmarkEnd w:id="26"/>
    <w:p>
      <w:pPr>
        <w:ind w:left="600"/>
        <w:spacing w:after="0"/>
        <w:rPr>
          <w:sz w:val="20"/>
          <w:szCs w:val="20"/>
          <w:color w:val="auto"/>
        </w:rPr>
      </w:pPr>
      <w:r>
        <w:rPr>
          <w:rFonts w:ascii="Arial" w:cs="Arial" w:eastAsia="Arial" w:hAnsi="Arial"/>
          <w:sz w:val="11"/>
          <w:szCs w:val="11"/>
          <w:color w:val="auto"/>
        </w:rPr>
        <w:t>If we are unable to effectively manage these risks our relationships with our existing and prospective customers, strategic partners and employees and our operations outside the United States may be adversely affected.</w:t>
      </w:r>
    </w:p>
    <w:p>
      <w:pPr>
        <w:spacing w:after="0" w:line="162" w:lineRule="exact"/>
        <w:rPr>
          <w:sz w:val="20"/>
          <w:szCs w:val="20"/>
          <w:color w:val="auto"/>
        </w:rPr>
      </w:pPr>
    </w:p>
    <w:p>
      <w:pPr>
        <w:ind w:firstLine="602"/>
        <w:spacing w:after="0" w:line="283" w:lineRule="auto"/>
        <w:rPr>
          <w:sz w:val="20"/>
          <w:szCs w:val="20"/>
          <w:color w:val="auto"/>
        </w:rPr>
      </w:pPr>
      <w:r>
        <w:rPr>
          <w:rFonts w:ascii="Arial" w:cs="Arial" w:eastAsia="Arial" w:hAnsi="Arial"/>
          <w:sz w:val="11"/>
          <w:szCs w:val="11"/>
          <w:color w:val="auto"/>
        </w:rPr>
        <w:t>In many cases, we will have limited or no experience in the particular region or country. Moreover, learning the customs and cultures, particularly with respect to consumer preferences, differing technology standards and language barriers, is a difficult task. Our failure to do so could slow our growth there. In many of these markets, long-standing relationships between potential customers and their local partners and protective regulations, including local content requirements and approvals, and disparate networks and systems used by each country will create barriers to entry. Difficulties in foreign financial markets and economies and of foreign financial institutions, particularly in emerging markets, could also adversely affect demand in the affected areas. For this strategy to be successful, we must generate sufficient revenues and margins from the new markets to offset the expense of the expansion. Moreover, as the scale of our international operations increases, we will be more susceptible to the general risks related to our existing international operations discussed above. If we are unable to further expand internationally or if we are unable to effectively and efficiently manage the complexity of our expanded operations and compete in these new regions and countries, our business, financial condition and results of operations could be adversely affected.</w:t>
      </w:r>
    </w:p>
    <w:p>
      <w:pPr>
        <w:spacing w:after="0" w:line="18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Unanticipated changes in effective tax rates or adverse outcomes resulting from examination of our income or other tax returns could adversely affect our financial condition and results of operations.</w:t>
      </w:r>
    </w:p>
    <w:p>
      <w:pPr>
        <w:spacing w:after="0" w:line="78" w:lineRule="exact"/>
        <w:rPr>
          <w:sz w:val="20"/>
          <w:szCs w:val="20"/>
          <w:color w:val="auto"/>
        </w:rPr>
      </w:pPr>
    </w:p>
    <w:p>
      <w:pPr>
        <w:ind w:right="400" w:firstLine="602"/>
        <w:spacing w:after="0" w:line="276" w:lineRule="auto"/>
        <w:rPr>
          <w:sz w:val="20"/>
          <w:szCs w:val="20"/>
          <w:color w:val="auto"/>
        </w:rPr>
      </w:pPr>
      <w:r>
        <w:rPr>
          <w:rFonts w:ascii="Arial" w:cs="Arial" w:eastAsia="Arial" w:hAnsi="Arial"/>
          <w:sz w:val="12"/>
          <w:szCs w:val="12"/>
          <w:color w:val="auto"/>
        </w:rPr>
        <w:t>We will be subject to income taxes in the United States and Europe, and our domestic tax liabilities will be subject to the allocation of expenses in differing jurisdictions. Our future effective tax rates could be subject to volatility or adversely affected by a number of factors, including:</w:t>
      </w:r>
    </w:p>
    <w:p>
      <w:pPr>
        <w:spacing w:after="0" w:line="43" w:lineRule="exact"/>
        <w:rPr>
          <w:sz w:val="20"/>
          <w:szCs w:val="20"/>
          <w:color w:val="auto"/>
        </w:rPr>
      </w:pPr>
    </w:p>
    <w:p>
      <w:pPr>
        <w:ind w:left="1180" w:hanging="593"/>
        <w:spacing w:after="0"/>
        <w:tabs>
          <w:tab w:leader="none" w:pos="1180" w:val="left"/>
        </w:tabs>
        <w:numPr>
          <w:ilvl w:val="0"/>
          <w:numId w:val="8"/>
        </w:numPr>
        <w:rPr>
          <w:rFonts w:ascii="Arial" w:cs="Arial" w:eastAsia="Arial" w:hAnsi="Arial"/>
          <w:sz w:val="12"/>
          <w:szCs w:val="12"/>
          <w:color w:val="auto"/>
        </w:rPr>
      </w:pPr>
      <w:r>
        <w:rPr>
          <w:rFonts w:ascii="Arial" w:cs="Arial" w:eastAsia="Arial" w:hAnsi="Arial"/>
          <w:sz w:val="12"/>
          <w:szCs w:val="12"/>
          <w:color w:val="auto"/>
        </w:rPr>
        <w:t>changes in the valuation of our deferred tax assets and liabilities;</w:t>
      </w:r>
    </w:p>
    <w:p>
      <w:pPr>
        <w:spacing w:after="0" w:line="78" w:lineRule="exact"/>
        <w:rPr>
          <w:rFonts w:ascii="Arial" w:cs="Arial" w:eastAsia="Arial" w:hAnsi="Arial"/>
          <w:sz w:val="12"/>
          <w:szCs w:val="12"/>
          <w:color w:val="auto"/>
        </w:rPr>
      </w:pPr>
    </w:p>
    <w:p>
      <w:pPr>
        <w:ind w:left="1180" w:hanging="593"/>
        <w:spacing w:after="0"/>
        <w:tabs>
          <w:tab w:leader="none" w:pos="1180" w:val="left"/>
        </w:tabs>
        <w:numPr>
          <w:ilvl w:val="0"/>
          <w:numId w:val="8"/>
        </w:numPr>
        <w:rPr>
          <w:rFonts w:ascii="Arial" w:cs="Arial" w:eastAsia="Arial" w:hAnsi="Arial"/>
          <w:sz w:val="12"/>
          <w:szCs w:val="12"/>
          <w:color w:val="auto"/>
        </w:rPr>
      </w:pPr>
      <w:r>
        <w:rPr>
          <w:rFonts w:ascii="Arial" w:cs="Arial" w:eastAsia="Arial" w:hAnsi="Arial"/>
          <w:sz w:val="12"/>
          <w:szCs w:val="12"/>
          <w:color w:val="auto"/>
        </w:rPr>
        <w:t>expected timing and amount of the release of any tax valuation allowances;</w:t>
      </w:r>
    </w:p>
    <w:p>
      <w:pPr>
        <w:spacing w:after="0" w:line="78" w:lineRule="exact"/>
        <w:rPr>
          <w:rFonts w:ascii="Arial" w:cs="Arial" w:eastAsia="Arial" w:hAnsi="Arial"/>
          <w:sz w:val="12"/>
          <w:szCs w:val="12"/>
          <w:color w:val="auto"/>
        </w:rPr>
      </w:pPr>
    </w:p>
    <w:p>
      <w:pPr>
        <w:ind w:left="1180" w:hanging="593"/>
        <w:spacing w:after="0"/>
        <w:tabs>
          <w:tab w:leader="none" w:pos="1180" w:val="left"/>
        </w:tabs>
        <w:numPr>
          <w:ilvl w:val="0"/>
          <w:numId w:val="8"/>
        </w:numPr>
        <w:rPr>
          <w:rFonts w:ascii="Arial" w:cs="Arial" w:eastAsia="Arial" w:hAnsi="Arial"/>
          <w:sz w:val="12"/>
          <w:szCs w:val="12"/>
          <w:color w:val="auto"/>
        </w:rPr>
      </w:pPr>
      <w:r>
        <w:rPr>
          <w:rFonts w:ascii="Arial" w:cs="Arial" w:eastAsia="Arial" w:hAnsi="Arial"/>
          <w:sz w:val="12"/>
          <w:szCs w:val="12"/>
          <w:color w:val="auto"/>
        </w:rPr>
        <w:t>tax effects of stock-based compensation;</w:t>
      </w:r>
    </w:p>
    <w:p>
      <w:pPr>
        <w:spacing w:after="0" w:line="78" w:lineRule="exact"/>
        <w:rPr>
          <w:rFonts w:ascii="Arial" w:cs="Arial" w:eastAsia="Arial" w:hAnsi="Arial"/>
          <w:sz w:val="12"/>
          <w:szCs w:val="12"/>
          <w:color w:val="auto"/>
        </w:rPr>
      </w:pPr>
    </w:p>
    <w:p>
      <w:pPr>
        <w:ind w:left="1180" w:hanging="593"/>
        <w:spacing w:after="0"/>
        <w:tabs>
          <w:tab w:leader="none" w:pos="1180" w:val="left"/>
        </w:tabs>
        <w:numPr>
          <w:ilvl w:val="0"/>
          <w:numId w:val="8"/>
        </w:numPr>
        <w:rPr>
          <w:rFonts w:ascii="Arial" w:cs="Arial" w:eastAsia="Arial" w:hAnsi="Arial"/>
          <w:sz w:val="12"/>
          <w:szCs w:val="12"/>
          <w:color w:val="auto"/>
        </w:rPr>
      </w:pPr>
      <w:r>
        <w:rPr>
          <w:rFonts w:ascii="Arial" w:cs="Arial" w:eastAsia="Arial" w:hAnsi="Arial"/>
          <w:sz w:val="12"/>
          <w:szCs w:val="12"/>
          <w:color w:val="auto"/>
        </w:rPr>
        <w:t>costs related to intercompany restructurings;</w:t>
      </w:r>
    </w:p>
    <w:p>
      <w:pPr>
        <w:spacing w:after="0" w:line="78" w:lineRule="exact"/>
        <w:rPr>
          <w:rFonts w:ascii="Arial" w:cs="Arial" w:eastAsia="Arial" w:hAnsi="Arial"/>
          <w:sz w:val="12"/>
          <w:szCs w:val="12"/>
          <w:color w:val="auto"/>
        </w:rPr>
      </w:pPr>
    </w:p>
    <w:p>
      <w:pPr>
        <w:ind w:left="1180" w:hanging="593"/>
        <w:spacing w:after="0"/>
        <w:tabs>
          <w:tab w:leader="none" w:pos="1180" w:val="left"/>
        </w:tabs>
        <w:numPr>
          <w:ilvl w:val="0"/>
          <w:numId w:val="8"/>
        </w:numPr>
        <w:rPr>
          <w:rFonts w:ascii="Arial" w:cs="Arial" w:eastAsia="Arial" w:hAnsi="Arial"/>
          <w:sz w:val="12"/>
          <w:szCs w:val="12"/>
          <w:color w:val="auto"/>
        </w:rPr>
      </w:pPr>
      <w:r>
        <w:rPr>
          <w:rFonts w:ascii="Arial" w:cs="Arial" w:eastAsia="Arial" w:hAnsi="Arial"/>
          <w:sz w:val="12"/>
          <w:szCs w:val="12"/>
          <w:color w:val="auto"/>
        </w:rPr>
        <w:t>changes in tax laws, regulations or interpretations thereof; or</w:t>
      </w:r>
    </w:p>
    <w:p>
      <w:pPr>
        <w:spacing w:after="0" w:line="78" w:lineRule="exact"/>
        <w:rPr>
          <w:rFonts w:ascii="Arial" w:cs="Arial" w:eastAsia="Arial" w:hAnsi="Arial"/>
          <w:sz w:val="12"/>
          <w:szCs w:val="12"/>
          <w:color w:val="auto"/>
        </w:rPr>
      </w:pPr>
    </w:p>
    <w:p>
      <w:pPr>
        <w:ind w:left="1180" w:hanging="593"/>
        <w:spacing w:after="0"/>
        <w:tabs>
          <w:tab w:leader="none" w:pos="1180" w:val="left"/>
        </w:tabs>
        <w:numPr>
          <w:ilvl w:val="0"/>
          <w:numId w:val="8"/>
        </w:numPr>
        <w:rPr>
          <w:rFonts w:ascii="Arial" w:cs="Arial" w:eastAsia="Arial" w:hAnsi="Arial"/>
          <w:sz w:val="12"/>
          <w:szCs w:val="12"/>
          <w:color w:val="auto"/>
        </w:rPr>
      </w:pPr>
      <w:r>
        <w:rPr>
          <w:rFonts w:ascii="Arial" w:cs="Arial" w:eastAsia="Arial" w:hAnsi="Arial"/>
          <w:sz w:val="12"/>
          <w:szCs w:val="12"/>
          <w:color w:val="auto"/>
        </w:rPr>
        <w:t>lower than anticipated future earnings in jurisdictions where we have lower statutory tax rates and higher than anticipated future earnings in jurisdictions where we have higher statutory tax rates.</w:t>
      </w:r>
    </w:p>
    <w:p>
      <w:pPr>
        <w:spacing w:after="0" w:line="150" w:lineRule="exact"/>
        <w:rPr>
          <w:sz w:val="20"/>
          <w:szCs w:val="20"/>
          <w:color w:val="auto"/>
        </w:rPr>
      </w:pPr>
    </w:p>
    <w:p>
      <w:pPr>
        <w:ind w:left="600"/>
        <w:spacing w:after="0"/>
        <w:rPr>
          <w:sz w:val="20"/>
          <w:szCs w:val="20"/>
          <w:color w:val="auto"/>
        </w:rPr>
      </w:pPr>
      <w:r>
        <w:rPr>
          <w:rFonts w:ascii="Arial" w:cs="Arial" w:eastAsia="Arial" w:hAnsi="Arial"/>
          <w:sz w:val="10"/>
          <w:szCs w:val="10"/>
          <w:color w:val="auto"/>
        </w:rPr>
        <w:t>In addition, we may be subject to audits of our income, sales and other transaction taxes by U.S. federal and state authorities. Outcomes from these audits could have an adverse effect on our financial condition and results of</w:t>
      </w:r>
    </w:p>
    <w:p>
      <w:pPr>
        <w:spacing w:after="0" w:line="38" w:lineRule="exact"/>
        <w:rPr>
          <w:sz w:val="20"/>
          <w:szCs w:val="20"/>
          <w:color w:val="auto"/>
        </w:rPr>
      </w:pPr>
    </w:p>
    <w:p>
      <w:pPr>
        <w:spacing w:after="0"/>
        <w:rPr>
          <w:sz w:val="20"/>
          <w:szCs w:val="20"/>
          <w:color w:val="auto"/>
        </w:rPr>
      </w:pPr>
      <w:r>
        <w:rPr>
          <w:rFonts w:ascii="Arial" w:cs="Arial" w:eastAsia="Arial" w:hAnsi="Arial"/>
          <w:sz w:val="12"/>
          <w:szCs w:val="12"/>
          <w:color w:val="auto"/>
        </w:rPr>
        <w:t>operations.</w:t>
      </w:r>
    </w:p>
    <w:p>
      <w:pPr>
        <w:spacing w:after="0" w:line="213" w:lineRule="exact"/>
        <w:rPr>
          <w:sz w:val="20"/>
          <w:szCs w:val="20"/>
          <w:color w:val="auto"/>
        </w:rPr>
      </w:pPr>
    </w:p>
    <w:p>
      <w:pPr>
        <w:ind w:right="240"/>
        <w:spacing w:after="0" w:line="276" w:lineRule="auto"/>
        <w:rPr>
          <w:sz w:val="20"/>
          <w:szCs w:val="20"/>
          <w:color w:val="auto"/>
        </w:rPr>
      </w:pPr>
      <w:r>
        <w:rPr>
          <w:rFonts w:ascii="Arial" w:cs="Arial" w:eastAsia="Arial" w:hAnsi="Arial"/>
          <w:sz w:val="12"/>
          <w:szCs w:val="12"/>
          <w:b w:val="1"/>
          <w:bCs w:val="1"/>
          <w:i w:val="1"/>
          <w:iCs w:val="1"/>
          <w:color w:val="auto"/>
        </w:rPr>
        <w:t>Our quarterly operating results may fluctuate significantly and could fall below the expectations of securities analysts and investors due to certain factors, some of which are beyond our control, resulting in a decline in our stock price.</w:t>
      </w:r>
    </w:p>
    <w:p>
      <w:pPr>
        <w:spacing w:after="0" w:line="43" w:lineRule="exact"/>
        <w:rPr>
          <w:sz w:val="20"/>
          <w:szCs w:val="20"/>
          <w:color w:val="auto"/>
        </w:rPr>
      </w:pPr>
    </w:p>
    <w:p>
      <w:pPr>
        <w:ind w:left="600"/>
        <w:spacing w:after="0"/>
        <w:rPr>
          <w:sz w:val="20"/>
          <w:szCs w:val="20"/>
          <w:color w:val="auto"/>
        </w:rPr>
      </w:pPr>
      <w:r>
        <w:rPr>
          <w:rFonts w:ascii="Arial" w:cs="Arial" w:eastAsia="Arial" w:hAnsi="Arial"/>
          <w:sz w:val="12"/>
          <w:szCs w:val="12"/>
          <w:color w:val="auto"/>
        </w:rPr>
        <w:t>Our quarterly operating results may fluctuate significantly because of several factors, including:</w:t>
      </w:r>
    </w:p>
    <w:p>
      <w:pPr>
        <w:spacing w:after="0" w:line="78" w:lineRule="exact"/>
        <w:rPr>
          <w:sz w:val="20"/>
          <w:szCs w:val="20"/>
          <w:color w:val="auto"/>
        </w:rPr>
      </w:pPr>
    </w:p>
    <w:p>
      <w:pPr>
        <w:ind w:left="1180" w:hanging="593"/>
        <w:spacing w:after="0"/>
        <w:tabs>
          <w:tab w:leader="none" w:pos="1180" w:val="left"/>
        </w:tabs>
        <w:numPr>
          <w:ilvl w:val="0"/>
          <w:numId w:val="9"/>
        </w:numPr>
        <w:rPr>
          <w:rFonts w:ascii="Arial" w:cs="Arial" w:eastAsia="Arial" w:hAnsi="Arial"/>
          <w:sz w:val="12"/>
          <w:szCs w:val="12"/>
          <w:color w:val="auto"/>
        </w:rPr>
      </w:pPr>
      <w:r>
        <w:rPr>
          <w:rFonts w:ascii="Arial" w:cs="Arial" w:eastAsia="Arial" w:hAnsi="Arial"/>
          <w:sz w:val="12"/>
          <w:szCs w:val="12"/>
          <w:color w:val="auto"/>
        </w:rPr>
        <w:t>labor availability and costs for hourly and management personnel;</w:t>
      </w:r>
    </w:p>
    <w:p>
      <w:pPr>
        <w:spacing w:after="0" w:line="78" w:lineRule="exact"/>
        <w:rPr>
          <w:rFonts w:ascii="Arial" w:cs="Arial" w:eastAsia="Arial" w:hAnsi="Arial"/>
          <w:sz w:val="12"/>
          <w:szCs w:val="12"/>
          <w:color w:val="auto"/>
        </w:rPr>
      </w:pPr>
    </w:p>
    <w:p>
      <w:pPr>
        <w:ind w:left="1180" w:hanging="593"/>
        <w:spacing w:after="0"/>
        <w:tabs>
          <w:tab w:leader="none" w:pos="1180" w:val="left"/>
        </w:tabs>
        <w:numPr>
          <w:ilvl w:val="0"/>
          <w:numId w:val="9"/>
        </w:numPr>
        <w:rPr>
          <w:rFonts w:ascii="Arial" w:cs="Arial" w:eastAsia="Arial" w:hAnsi="Arial"/>
          <w:sz w:val="12"/>
          <w:szCs w:val="12"/>
          <w:color w:val="auto"/>
        </w:rPr>
      </w:pPr>
      <w:r>
        <w:rPr>
          <w:rFonts w:ascii="Arial" w:cs="Arial" w:eastAsia="Arial" w:hAnsi="Arial"/>
          <w:sz w:val="12"/>
          <w:szCs w:val="12"/>
          <w:color w:val="auto"/>
        </w:rPr>
        <w:t>profitability of our products and services, especially in new markets and due to seasonal fluctuations;</w:t>
      </w:r>
    </w:p>
    <w:p>
      <w:pPr>
        <w:spacing w:after="0" w:line="78" w:lineRule="exact"/>
        <w:rPr>
          <w:rFonts w:ascii="Arial" w:cs="Arial" w:eastAsia="Arial" w:hAnsi="Arial"/>
          <w:sz w:val="12"/>
          <w:szCs w:val="12"/>
          <w:color w:val="auto"/>
        </w:rPr>
      </w:pPr>
    </w:p>
    <w:p>
      <w:pPr>
        <w:ind w:left="1180" w:hanging="593"/>
        <w:spacing w:after="0"/>
        <w:tabs>
          <w:tab w:leader="none" w:pos="1180" w:val="left"/>
        </w:tabs>
        <w:numPr>
          <w:ilvl w:val="0"/>
          <w:numId w:val="9"/>
        </w:numPr>
        <w:rPr>
          <w:rFonts w:ascii="Arial" w:cs="Arial" w:eastAsia="Arial" w:hAnsi="Arial"/>
          <w:sz w:val="12"/>
          <w:szCs w:val="12"/>
          <w:color w:val="auto"/>
        </w:rPr>
      </w:pPr>
      <w:r>
        <w:rPr>
          <w:rFonts w:ascii="Arial" w:cs="Arial" w:eastAsia="Arial" w:hAnsi="Arial"/>
          <w:sz w:val="12"/>
          <w:szCs w:val="12"/>
          <w:color w:val="auto"/>
        </w:rPr>
        <w:t>changes in interest rates;</w:t>
      </w:r>
    </w:p>
    <w:p>
      <w:pPr>
        <w:spacing w:after="0" w:line="78" w:lineRule="exact"/>
        <w:rPr>
          <w:rFonts w:ascii="Arial" w:cs="Arial" w:eastAsia="Arial" w:hAnsi="Arial"/>
          <w:sz w:val="12"/>
          <w:szCs w:val="12"/>
          <w:color w:val="auto"/>
        </w:rPr>
      </w:pPr>
    </w:p>
    <w:p>
      <w:pPr>
        <w:ind w:left="1180" w:hanging="593"/>
        <w:spacing w:after="0"/>
        <w:tabs>
          <w:tab w:leader="none" w:pos="1180" w:val="left"/>
        </w:tabs>
        <w:numPr>
          <w:ilvl w:val="0"/>
          <w:numId w:val="9"/>
        </w:numPr>
        <w:rPr>
          <w:rFonts w:ascii="Arial" w:cs="Arial" w:eastAsia="Arial" w:hAnsi="Arial"/>
          <w:sz w:val="12"/>
          <w:szCs w:val="12"/>
          <w:color w:val="auto"/>
        </w:rPr>
      </w:pPr>
      <w:r>
        <w:rPr>
          <w:rFonts w:ascii="Arial" w:cs="Arial" w:eastAsia="Arial" w:hAnsi="Arial"/>
          <w:sz w:val="12"/>
          <w:szCs w:val="12"/>
          <w:color w:val="auto"/>
        </w:rPr>
        <w:t>impairment of long-lived assets;</w:t>
      </w:r>
    </w:p>
    <w:p>
      <w:pPr>
        <w:spacing w:after="0" w:line="78" w:lineRule="exact"/>
        <w:rPr>
          <w:rFonts w:ascii="Arial" w:cs="Arial" w:eastAsia="Arial" w:hAnsi="Arial"/>
          <w:sz w:val="12"/>
          <w:szCs w:val="12"/>
          <w:color w:val="auto"/>
        </w:rPr>
      </w:pPr>
    </w:p>
    <w:p>
      <w:pPr>
        <w:ind w:left="1180" w:hanging="593"/>
        <w:spacing w:after="0"/>
        <w:tabs>
          <w:tab w:leader="none" w:pos="1180" w:val="left"/>
        </w:tabs>
        <w:numPr>
          <w:ilvl w:val="0"/>
          <w:numId w:val="9"/>
        </w:numPr>
        <w:rPr>
          <w:rFonts w:ascii="Arial" w:cs="Arial" w:eastAsia="Arial" w:hAnsi="Arial"/>
          <w:sz w:val="12"/>
          <w:szCs w:val="12"/>
          <w:color w:val="auto"/>
        </w:rPr>
      </w:pPr>
      <w:r>
        <w:rPr>
          <w:rFonts w:ascii="Arial" w:cs="Arial" w:eastAsia="Arial" w:hAnsi="Arial"/>
          <w:sz w:val="12"/>
          <w:szCs w:val="12"/>
          <w:color w:val="auto"/>
        </w:rPr>
        <w:t>macroeconomic conditions, both nationally and locally;</w:t>
      </w:r>
    </w:p>
    <w:p>
      <w:pPr>
        <w:spacing w:after="0" w:line="78" w:lineRule="exact"/>
        <w:rPr>
          <w:rFonts w:ascii="Arial" w:cs="Arial" w:eastAsia="Arial" w:hAnsi="Arial"/>
          <w:sz w:val="12"/>
          <w:szCs w:val="12"/>
          <w:color w:val="auto"/>
        </w:rPr>
      </w:pPr>
    </w:p>
    <w:p>
      <w:pPr>
        <w:ind w:left="1180" w:hanging="593"/>
        <w:spacing w:after="0"/>
        <w:tabs>
          <w:tab w:leader="none" w:pos="1180" w:val="left"/>
        </w:tabs>
        <w:numPr>
          <w:ilvl w:val="0"/>
          <w:numId w:val="9"/>
        </w:numPr>
        <w:rPr>
          <w:rFonts w:ascii="Arial" w:cs="Arial" w:eastAsia="Arial" w:hAnsi="Arial"/>
          <w:sz w:val="12"/>
          <w:szCs w:val="12"/>
          <w:color w:val="auto"/>
        </w:rPr>
      </w:pPr>
      <w:r>
        <w:rPr>
          <w:rFonts w:ascii="Arial" w:cs="Arial" w:eastAsia="Arial" w:hAnsi="Arial"/>
          <w:sz w:val="12"/>
          <w:szCs w:val="12"/>
          <w:color w:val="auto"/>
        </w:rPr>
        <w:t>negative publicity relating to products and services we offer;</w:t>
      </w:r>
    </w:p>
    <w:p>
      <w:pPr>
        <w:spacing w:after="0" w:line="78" w:lineRule="exact"/>
        <w:rPr>
          <w:rFonts w:ascii="Arial" w:cs="Arial" w:eastAsia="Arial" w:hAnsi="Arial"/>
          <w:sz w:val="12"/>
          <w:szCs w:val="12"/>
          <w:color w:val="auto"/>
        </w:rPr>
      </w:pPr>
    </w:p>
    <w:p>
      <w:pPr>
        <w:ind w:left="1180" w:hanging="593"/>
        <w:spacing w:after="0"/>
        <w:tabs>
          <w:tab w:leader="none" w:pos="1180" w:val="left"/>
        </w:tabs>
        <w:numPr>
          <w:ilvl w:val="0"/>
          <w:numId w:val="9"/>
        </w:numPr>
        <w:rPr>
          <w:rFonts w:ascii="Arial" w:cs="Arial" w:eastAsia="Arial" w:hAnsi="Arial"/>
          <w:sz w:val="12"/>
          <w:szCs w:val="12"/>
          <w:color w:val="auto"/>
        </w:rPr>
      </w:pPr>
      <w:r>
        <w:rPr>
          <w:rFonts w:ascii="Arial" w:cs="Arial" w:eastAsia="Arial" w:hAnsi="Arial"/>
          <w:sz w:val="12"/>
          <w:szCs w:val="12"/>
          <w:color w:val="auto"/>
        </w:rPr>
        <w:t>changes in consumer preferences and competitive conditions;</w:t>
      </w:r>
    </w:p>
    <w:p>
      <w:pPr>
        <w:spacing w:after="0" w:line="78" w:lineRule="exact"/>
        <w:rPr>
          <w:rFonts w:ascii="Arial" w:cs="Arial" w:eastAsia="Arial" w:hAnsi="Arial"/>
          <w:sz w:val="12"/>
          <w:szCs w:val="12"/>
          <w:color w:val="auto"/>
        </w:rPr>
      </w:pPr>
    </w:p>
    <w:p>
      <w:pPr>
        <w:ind w:left="1180" w:hanging="593"/>
        <w:spacing w:after="0"/>
        <w:tabs>
          <w:tab w:leader="none" w:pos="1180" w:val="left"/>
        </w:tabs>
        <w:numPr>
          <w:ilvl w:val="0"/>
          <w:numId w:val="9"/>
        </w:numPr>
        <w:rPr>
          <w:rFonts w:ascii="Arial" w:cs="Arial" w:eastAsia="Arial" w:hAnsi="Arial"/>
          <w:sz w:val="12"/>
          <w:szCs w:val="12"/>
          <w:color w:val="auto"/>
        </w:rPr>
      </w:pPr>
      <w:r>
        <w:rPr>
          <w:rFonts w:ascii="Arial" w:cs="Arial" w:eastAsia="Arial" w:hAnsi="Arial"/>
          <w:sz w:val="12"/>
          <w:szCs w:val="12"/>
          <w:color w:val="auto"/>
        </w:rPr>
        <w:t>expansion to new markets;</w:t>
      </w:r>
    </w:p>
    <w:p>
      <w:pPr>
        <w:spacing w:after="0" w:line="78" w:lineRule="exact"/>
        <w:rPr>
          <w:rFonts w:ascii="Arial" w:cs="Arial" w:eastAsia="Arial" w:hAnsi="Arial"/>
          <w:sz w:val="12"/>
          <w:szCs w:val="12"/>
          <w:color w:val="auto"/>
        </w:rPr>
      </w:pPr>
    </w:p>
    <w:p>
      <w:pPr>
        <w:ind w:left="1180" w:hanging="593"/>
        <w:spacing w:after="0"/>
        <w:tabs>
          <w:tab w:leader="none" w:pos="1180" w:val="left"/>
        </w:tabs>
        <w:numPr>
          <w:ilvl w:val="0"/>
          <w:numId w:val="9"/>
        </w:numPr>
        <w:rPr>
          <w:rFonts w:ascii="Arial" w:cs="Arial" w:eastAsia="Arial" w:hAnsi="Arial"/>
          <w:sz w:val="12"/>
          <w:szCs w:val="12"/>
          <w:color w:val="auto"/>
        </w:rPr>
      </w:pPr>
      <w:r>
        <w:rPr>
          <w:rFonts w:ascii="Arial" w:cs="Arial" w:eastAsia="Arial" w:hAnsi="Arial"/>
          <w:sz w:val="12"/>
          <w:szCs w:val="12"/>
          <w:color w:val="auto"/>
        </w:rPr>
        <w:t>legislative changes impacting automated safety solutions or RAC toll pricing models; and</w:t>
      </w:r>
    </w:p>
    <w:p>
      <w:pPr>
        <w:spacing w:after="0" w:line="78" w:lineRule="exact"/>
        <w:rPr>
          <w:rFonts w:ascii="Arial" w:cs="Arial" w:eastAsia="Arial" w:hAnsi="Arial"/>
          <w:sz w:val="12"/>
          <w:szCs w:val="12"/>
          <w:color w:val="auto"/>
        </w:rPr>
      </w:pPr>
    </w:p>
    <w:p>
      <w:pPr>
        <w:ind w:left="1180" w:hanging="593"/>
        <w:spacing w:after="0"/>
        <w:tabs>
          <w:tab w:leader="none" w:pos="1180" w:val="left"/>
        </w:tabs>
        <w:numPr>
          <w:ilvl w:val="0"/>
          <w:numId w:val="9"/>
        </w:numPr>
        <w:rPr>
          <w:rFonts w:ascii="Arial" w:cs="Arial" w:eastAsia="Arial" w:hAnsi="Arial"/>
          <w:sz w:val="12"/>
          <w:szCs w:val="12"/>
          <w:color w:val="auto"/>
        </w:rPr>
      </w:pPr>
      <w:r>
        <w:rPr>
          <w:rFonts w:ascii="Arial" w:cs="Arial" w:eastAsia="Arial" w:hAnsi="Arial"/>
          <w:sz w:val="12"/>
          <w:szCs w:val="12"/>
          <w:color w:val="auto"/>
        </w:rPr>
        <w:t>fluctuations in commodity prices.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17740" cy="368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ectPr>
          <w:pgSz w:w="11900" w:h="16838" w:orient="portrait"/>
          <w:cols w:equalWidth="0" w:num="1">
            <w:col w:w="11460"/>
          </w:cols>
          <w:pgMar w:left="220" w:top="275" w:right="219" w:bottom="1440" w:gutter="0" w:footer="0" w:header="0"/>
        </w:sectPr>
      </w:pPr>
    </w:p>
    <w:bookmarkStart w:id="27" w:name="page28"/>
    <w:bookmarkEnd w:id="27"/>
    <w:p>
      <w:pPr>
        <w:spacing w:after="0"/>
        <w:rPr>
          <w:sz w:val="20"/>
          <w:szCs w:val="20"/>
          <w:color w:val="auto"/>
        </w:rPr>
      </w:pPr>
      <w:r>
        <w:rPr>
          <w:rFonts w:ascii="Arial" w:cs="Arial" w:eastAsia="Arial" w:hAnsi="Arial"/>
          <w:sz w:val="12"/>
          <w:szCs w:val="12"/>
          <w:b w:val="1"/>
          <w:bCs w:val="1"/>
          <w:i w:val="1"/>
          <w:iCs w:val="1"/>
          <w:color w:val="auto"/>
        </w:rPr>
        <w:t>Our substantial level of indebtedness could cause our business to suffer.</w:t>
      </w:r>
    </w:p>
    <w:p>
      <w:pPr>
        <w:spacing w:after="0" w:line="78" w:lineRule="exact"/>
        <w:rPr>
          <w:sz w:val="20"/>
          <w:szCs w:val="20"/>
          <w:color w:val="auto"/>
        </w:rPr>
      </w:pPr>
    </w:p>
    <w:p>
      <w:pPr>
        <w:ind w:left="600"/>
        <w:spacing w:after="0"/>
        <w:rPr>
          <w:sz w:val="20"/>
          <w:szCs w:val="20"/>
          <w:color w:val="auto"/>
        </w:rPr>
      </w:pPr>
      <w:r>
        <w:rPr>
          <w:rFonts w:ascii="Arial" w:cs="Arial" w:eastAsia="Arial" w:hAnsi="Arial"/>
          <w:sz w:val="10"/>
          <w:szCs w:val="10"/>
          <w:color w:val="auto"/>
        </w:rPr>
        <w:t>We have a substantial amount of debt, including approximately $894 million outstanding under our first lien term loan facility as of December 31, 2019. Our substantial debt could have important consequences. For example, it</w:t>
      </w:r>
    </w:p>
    <w:p>
      <w:pPr>
        <w:spacing w:after="0" w:line="38" w:lineRule="exact"/>
        <w:rPr>
          <w:sz w:val="20"/>
          <w:szCs w:val="20"/>
          <w:color w:val="auto"/>
        </w:rPr>
      </w:pPr>
    </w:p>
    <w:p>
      <w:pPr>
        <w:spacing w:after="0"/>
        <w:rPr>
          <w:sz w:val="20"/>
          <w:szCs w:val="20"/>
          <w:color w:val="auto"/>
        </w:rPr>
      </w:pPr>
      <w:r>
        <w:rPr>
          <w:rFonts w:ascii="Arial" w:cs="Arial" w:eastAsia="Arial" w:hAnsi="Arial"/>
          <w:sz w:val="12"/>
          <w:szCs w:val="12"/>
          <w:color w:val="auto"/>
        </w:rPr>
        <w:t>could:</w:t>
      </w:r>
    </w:p>
    <w:p>
      <w:pPr>
        <w:spacing w:after="0" w:line="69" w:lineRule="exact"/>
        <w:rPr>
          <w:sz w:val="20"/>
          <w:szCs w:val="20"/>
          <w:color w:val="auto"/>
        </w:rPr>
      </w:pPr>
    </w:p>
    <w:p>
      <w:pPr>
        <w:ind w:left="1180" w:hanging="593"/>
        <w:spacing w:after="0"/>
        <w:tabs>
          <w:tab w:leader="none" w:pos="1180" w:val="left"/>
        </w:tabs>
        <w:numPr>
          <w:ilvl w:val="0"/>
          <w:numId w:val="10"/>
        </w:numPr>
        <w:rPr>
          <w:rFonts w:ascii="Arial" w:cs="Arial" w:eastAsia="Arial" w:hAnsi="Arial"/>
          <w:sz w:val="12"/>
          <w:szCs w:val="12"/>
          <w:color w:val="auto"/>
        </w:rPr>
      </w:pPr>
      <w:r>
        <w:rPr>
          <w:rFonts w:ascii="Arial" w:cs="Arial" w:eastAsia="Arial" w:hAnsi="Arial"/>
          <w:sz w:val="12"/>
          <w:szCs w:val="12"/>
          <w:color w:val="auto"/>
        </w:rPr>
        <w:t>increase our vulnerability to adverse economic and industry conditions;</w:t>
      </w:r>
    </w:p>
    <w:p>
      <w:pPr>
        <w:spacing w:after="0" w:line="78" w:lineRule="exact"/>
        <w:rPr>
          <w:rFonts w:ascii="Arial" w:cs="Arial" w:eastAsia="Arial" w:hAnsi="Arial"/>
          <w:sz w:val="12"/>
          <w:szCs w:val="12"/>
          <w:color w:val="auto"/>
        </w:rPr>
      </w:pPr>
    </w:p>
    <w:p>
      <w:pPr>
        <w:ind w:left="1180" w:hanging="593"/>
        <w:spacing w:after="0"/>
        <w:tabs>
          <w:tab w:leader="none" w:pos="1180" w:val="left"/>
        </w:tabs>
        <w:numPr>
          <w:ilvl w:val="0"/>
          <w:numId w:val="10"/>
        </w:numPr>
        <w:rPr>
          <w:rFonts w:ascii="Arial" w:cs="Arial" w:eastAsia="Arial" w:hAnsi="Arial"/>
          <w:sz w:val="12"/>
          <w:szCs w:val="12"/>
          <w:color w:val="auto"/>
        </w:rPr>
      </w:pPr>
      <w:r>
        <w:rPr>
          <w:rFonts w:ascii="Arial" w:cs="Arial" w:eastAsia="Arial" w:hAnsi="Arial"/>
          <w:sz w:val="12"/>
          <w:szCs w:val="12"/>
          <w:color w:val="auto"/>
        </w:rPr>
        <w:t>limit our ability to obtain additional financing for future working capital, capital expenditures, strategic acquisitions and other general corporate requirements;</w:t>
      </w:r>
    </w:p>
    <w:p>
      <w:pPr>
        <w:spacing w:after="0" w:line="78" w:lineRule="exact"/>
        <w:rPr>
          <w:rFonts w:ascii="Arial" w:cs="Arial" w:eastAsia="Arial" w:hAnsi="Arial"/>
          <w:sz w:val="12"/>
          <w:szCs w:val="12"/>
          <w:color w:val="auto"/>
        </w:rPr>
      </w:pPr>
    </w:p>
    <w:p>
      <w:pPr>
        <w:ind w:left="1180" w:hanging="593"/>
        <w:spacing w:after="0"/>
        <w:tabs>
          <w:tab w:leader="none" w:pos="1180" w:val="left"/>
        </w:tabs>
        <w:numPr>
          <w:ilvl w:val="0"/>
          <w:numId w:val="10"/>
        </w:numPr>
        <w:rPr>
          <w:rFonts w:ascii="Arial" w:cs="Arial" w:eastAsia="Arial" w:hAnsi="Arial"/>
          <w:sz w:val="12"/>
          <w:szCs w:val="12"/>
          <w:color w:val="auto"/>
        </w:rPr>
      </w:pPr>
      <w:r>
        <w:rPr>
          <w:rFonts w:ascii="Arial" w:cs="Arial" w:eastAsia="Arial" w:hAnsi="Arial"/>
          <w:sz w:val="12"/>
          <w:szCs w:val="12"/>
          <w:color w:val="auto"/>
        </w:rPr>
        <w:t>expose us to interest rate fluctuations because the interest on certain of our debt is variable;</w:t>
      </w:r>
    </w:p>
    <w:p>
      <w:pPr>
        <w:spacing w:after="0" w:line="78" w:lineRule="exact"/>
        <w:rPr>
          <w:rFonts w:ascii="Arial" w:cs="Arial" w:eastAsia="Arial" w:hAnsi="Arial"/>
          <w:sz w:val="12"/>
          <w:szCs w:val="12"/>
          <w:color w:val="auto"/>
        </w:rPr>
      </w:pPr>
    </w:p>
    <w:p>
      <w:pPr>
        <w:ind w:left="1180" w:hanging="593"/>
        <w:spacing w:after="0"/>
        <w:tabs>
          <w:tab w:leader="none" w:pos="1180" w:val="left"/>
        </w:tabs>
        <w:numPr>
          <w:ilvl w:val="0"/>
          <w:numId w:val="10"/>
        </w:numPr>
        <w:rPr>
          <w:rFonts w:ascii="Arial" w:cs="Arial" w:eastAsia="Arial" w:hAnsi="Arial"/>
          <w:sz w:val="12"/>
          <w:szCs w:val="12"/>
          <w:color w:val="auto"/>
        </w:rPr>
      </w:pPr>
      <w:r>
        <w:rPr>
          <w:rFonts w:ascii="Arial" w:cs="Arial" w:eastAsia="Arial" w:hAnsi="Arial"/>
          <w:sz w:val="12"/>
          <w:szCs w:val="12"/>
          <w:color w:val="auto"/>
        </w:rPr>
        <w:t>require us to dedicate a substantial portion of our cash flow from operations to payments on our debt, thereby reducing the availability of our cash flow for operations and other purposes;</w:t>
      </w:r>
    </w:p>
    <w:p>
      <w:pPr>
        <w:spacing w:after="0" w:line="78" w:lineRule="exact"/>
        <w:rPr>
          <w:rFonts w:ascii="Arial" w:cs="Arial" w:eastAsia="Arial" w:hAnsi="Arial"/>
          <w:sz w:val="12"/>
          <w:szCs w:val="12"/>
          <w:color w:val="auto"/>
        </w:rPr>
      </w:pPr>
    </w:p>
    <w:p>
      <w:pPr>
        <w:ind w:left="1180" w:hanging="593"/>
        <w:spacing w:after="0"/>
        <w:tabs>
          <w:tab w:leader="none" w:pos="1180" w:val="left"/>
        </w:tabs>
        <w:numPr>
          <w:ilvl w:val="0"/>
          <w:numId w:val="10"/>
        </w:numPr>
        <w:rPr>
          <w:rFonts w:ascii="Arial" w:cs="Arial" w:eastAsia="Arial" w:hAnsi="Arial"/>
          <w:sz w:val="12"/>
          <w:szCs w:val="12"/>
          <w:color w:val="auto"/>
        </w:rPr>
      </w:pPr>
      <w:r>
        <w:rPr>
          <w:rFonts w:ascii="Arial" w:cs="Arial" w:eastAsia="Arial" w:hAnsi="Arial"/>
          <w:sz w:val="12"/>
          <w:szCs w:val="12"/>
          <w:color w:val="auto"/>
        </w:rPr>
        <w:t>make it more difficult for us to satisfy our general business obligations, including our obligations to our lenders, resulting in possible defaults on and acceleration of such indebtedness;</w:t>
      </w:r>
    </w:p>
    <w:p>
      <w:pPr>
        <w:spacing w:after="0" w:line="78" w:lineRule="exact"/>
        <w:rPr>
          <w:rFonts w:ascii="Arial" w:cs="Arial" w:eastAsia="Arial" w:hAnsi="Arial"/>
          <w:sz w:val="12"/>
          <w:szCs w:val="12"/>
          <w:color w:val="auto"/>
        </w:rPr>
      </w:pPr>
    </w:p>
    <w:p>
      <w:pPr>
        <w:ind w:left="1180" w:hanging="593"/>
        <w:spacing w:after="0"/>
        <w:tabs>
          <w:tab w:leader="none" w:pos="1180" w:val="left"/>
        </w:tabs>
        <w:numPr>
          <w:ilvl w:val="0"/>
          <w:numId w:val="10"/>
        </w:numPr>
        <w:rPr>
          <w:rFonts w:ascii="Arial" w:cs="Arial" w:eastAsia="Arial" w:hAnsi="Arial"/>
          <w:sz w:val="12"/>
          <w:szCs w:val="12"/>
          <w:color w:val="auto"/>
        </w:rPr>
      </w:pPr>
      <w:r>
        <w:rPr>
          <w:rFonts w:ascii="Arial" w:cs="Arial" w:eastAsia="Arial" w:hAnsi="Arial"/>
          <w:sz w:val="12"/>
          <w:szCs w:val="12"/>
          <w:color w:val="auto"/>
        </w:rPr>
        <w:t>limit our ability to refinance indebtedness or increase the associated costs;</w:t>
      </w:r>
    </w:p>
    <w:p>
      <w:pPr>
        <w:spacing w:after="0" w:line="78" w:lineRule="exact"/>
        <w:rPr>
          <w:rFonts w:ascii="Arial" w:cs="Arial" w:eastAsia="Arial" w:hAnsi="Arial"/>
          <w:sz w:val="12"/>
          <w:szCs w:val="12"/>
          <w:color w:val="auto"/>
        </w:rPr>
      </w:pPr>
    </w:p>
    <w:p>
      <w:pPr>
        <w:ind w:left="1180" w:hanging="593"/>
        <w:spacing w:after="0"/>
        <w:tabs>
          <w:tab w:leader="none" w:pos="1180" w:val="left"/>
        </w:tabs>
        <w:numPr>
          <w:ilvl w:val="0"/>
          <w:numId w:val="10"/>
        </w:numPr>
        <w:rPr>
          <w:rFonts w:ascii="Arial" w:cs="Arial" w:eastAsia="Arial" w:hAnsi="Arial"/>
          <w:sz w:val="12"/>
          <w:szCs w:val="12"/>
          <w:color w:val="auto"/>
        </w:rPr>
      </w:pPr>
      <w:r>
        <w:rPr>
          <w:rFonts w:ascii="Arial" w:cs="Arial" w:eastAsia="Arial" w:hAnsi="Arial"/>
          <w:sz w:val="12"/>
          <w:szCs w:val="12"/>
          <w:color w:val="auto"/>
        </w:rPr>
        <w:t>require us to sell assets to reduce debt or influence our decision about whether to do so;</w:t>
      </w:r>
    </w:p>
    <w:p>
      <w:pPr>
        <w:spacing w:after="0" w:line="78" w:lineRule="exact"/>
        <w:rPr>
          <w:rFonts w:ascii="Arial" w:cs="Arial" w:eastAsia="Arial" w:hAnsi="Arial"/>
          <w:sz w:val="12"/>
          <w:szCs w:val="12"/>
          <w:color w:val="auto"/>
        </w:rPr>
      </w:pPr>
    </w:p>
    <w:p>
      <w:pPr>
        <w:ind w:left="1180" w:right="20" w:hanging="593"/>
        <w:spacing w:after="0" w:line="276" w:lineRule="auto"/>
        <w:tabs>
          <w:tab w:leader="none" w:pos="1180" w:val="left"/>
        </w:tabs>
        <w:numPr>
          <w:ilvl w:val="0"/>
          <w:numId w:val="10"/>
        </w:numPr>
        <w:rPr>
          <w:rFonts w:ascii="Arial" w:cs="Arial" w:eastAsia="Arial" w:hAnsi="Arial"/>
          <w:sz w:val="12"/>
          <w:szCs w:val="12"/>
          <w:color w:val="auto"/>
        </w:rPr>
      </w:pPr>
      <w:r>
        <w:rPr>
          <w:rFonts w:ascii="Arial" w:cs="Arial" w:eastAsia="Arial" w:hAnsi="Arial"/>
          <w:sz w:val="12"/>
          <w:szCs w:val="12"/>
          <w:color w:val="auto"/>
        </w:rPr>
        <w:t>limit our flexibility in planning for, or reacting to, changes in our business and the industry in which we operate or prevent us from carrying out capital spending that is necessary or important to our growth strategy and efforts to improve operating margins; and</w:t>
      </w:r>
    </w:p>
    <w:p>
      <w:pPr>
        <w:spacing w:after="0" w:line="42" w:lineRule="exact"/>
        <w:rPr>
          <w:rFonts w:ascii="Arial" w:cs="Arial" w:eastAsia="Arial" w:hAnsi="Arial"/>
          <w:sz w:val="12"/>
          <w:szCs w:val="12"/>
          <w:color w:val="auto"/>
        </w:rPr>
      </w:pPr>
    </w:p>
    <w:p>
      <w:pPr>
        <w:ind w:left="1180" w:right="280" w:hanging="593"/>
        <w:spacing w:after="0" w:line="276" w:lineRule="auto"/>
        <w:tabs>
          <w:tab w:leader="none" w:pos="1180" w:val="left"/>
        </w:tabs>
        <w:numPr>
          <w:ilvl w:val="0"/>
          <w:numId w:val="10"/>
        </w:numPr>
        <w:rPr>
          <w:rFonts w:ascii="Arial" w:cs="Arial" w:eastAsia="Arial" w:hAnsi="Arial"/>
          <w:sz w:val="12"/>
          <w:szCs w:val="12"/>
          <w:color w:val="auto"/>
        </w:rPr>
      </w:pPr>
      <w:r>
        <w:rPr>
          <w:rFonts w:ascii="Arial" w:cs="Arial" w:eastAsia="Arial" w:hAnsi="Arial"/>
          <w:sz w:val="12"/>
          <w:szCs w:val="12"/>
          <w:color w:val="auto"/>
        </w:rPr>
        <w:t>place us at a competitive disadvantage compared to any competitors that have less debt or comparable debt at more favorable interest rates and that, as a result, may be better positioned to withstand economic downturns.</w:t>
      </w:r>
    </w:p>
    <w:p>
      <w:pPr>
        <w:spacing w:after="0" w:line="115" w:lineRule="exact"/>
        <w:rPr>
          <w:sz w:val="20"/>
          <w:szCs w:val="20"/>
          <w:color w:val="auto"/>
        </w:rPr>
      </w:pPr>
    </w:p>
    <w:p>
      <w:pPr>
        <w:ind w:left="600"/>
        <w:spacing w:after="0"/>
        <w:rPr>
          <w:sz w:val="20"/>
          <w:szCs w:val="20"/>
          <w:color w:val="auto"/>
        </w:rPr>
      </w:pPr>
      <w:r>
        <w:rPr>
          <w:rFonts w:ascii="Arial" w:cs="Arial" w:eastAsia="Arial" w:hAnsi="Arial"/>
          <w:sz w:val="11"/>
          <w:szCs w:val="11"/>
          <w:color w:val="auto"/>
        </w:rPr>
        <w:t>In addition, the agreements governing our indebtedness contain restrictive covenants that will limit our and our subsidiaries’ ability to engage in activities that may be in our and their long-term best interests.</w:t>
      </w:r>
    </w:p>
    <w:p>
      <w:pPr>
        <w:spacing w:after="0" w:line="23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The phase-out of LIBOR may adversely affect our outstanding debt.</w:t>
      </w:r>
    </w:p>
    <w:p>
      <w:pPr>
        <w:spacing w:after="0" w:line="78" w:lineRule="exact"/>
        <w:rPr>
          <w:sz w:val="20"/>
          <w:szCs w:val="20"/>
          <w:color w:val="auto"/>
        </w:rPr>
      </w:pPr>
    </w:p>
    <w:p>
      <w:pPr>
        <w:ind w:firstLine="602"/>
        <w:spacing w:after="0" w:line="257" w:lineRule="auto"/>
        <w:rPr>
          <w:sz w:val="20"/>
          <w:szCs w:val="20"/>
          <w:color w:val="auto"/>
        </w:rPr>
      </w:pPr>
      <w:r>
        <w:rPr>
          <w:rFonts w:ascii="Arial" w:cs="Arial" w:eastAsia="Arial" w:hAnsi="Arial"/>
          <w:sz w:val="12"/>
          <w:szCs w:val="12"/>
          <w:color w:val="auto"/>
        </w:rPr>
        <w:t>The London InterBank Offered Rate, or LIBOR, is scheduled to be phased out by the end of 2021. In the United States, the Alternative Reference Rates Committee (“</w:t>
      </w:r>
      <w:r>
        <w:rPr>
          <w:rFonts w:ascii="Arial" w:cs="Arial" w:eastAsia="Arial" w:hAnsi="Arial"/>
          <w:sz w:val="12"/>
          <w:szCs w:val="12"/>
          <w:b w:val="1"/>
          <w:bCs w:val="1"/>
          <w:i w:val="1"/>
          <w:iCs w:val="1"/>
          <w:color w:val="auto"/>
        </w:rPr>
        <w:t>ARRC</w:t>
      </w:r>
      <w:r>
        <w:rPr>
          <w:rFonts w:ascii="Arial" w:cs="Arial" w:eastAsia="Arial" w:hAnsi="Arial"/>
          <w:sz w:val="12"/>
          <w:szCs w:val="12"/>
          <w:color w:val="auto"/>
        </w:rPr>
        <w:t>”), the working group formed to recommend an alternative rate to LIBOR, has identified the Secured Overnight Financing Rate (“</w:t>
      </w:r>
      <w:r>
        <w:rPr>
          <w:rFonts w:ascii="Arial" w:cs="Arial" w:eastAsia="Arial" w:hAnsi="Arial"/>
          <w:sz w:val="12"/>
          <w:szCs w:val="12"/>
          <w:b w:val="1"/>
          <w:bCs w:val="1"/>
          <w:i w:val="1"/>
          <w:iCs w:val="1"/>
          <w:color w:val="auto"/>
        </w:rPr>
        <w:t>SOFR</w:t>
      </w:r>
      <w:r>
        <w:rPr>
          <w:rFonts w:ascii="Arial" w:cs="Arial" w:eastAsia="Arial" w:hAnsi="Arial"/>
          <w:sz w:val="12"/>
          <w:szCs w:val="12"/>
          <w:color w:val="auto"/>
        </w:rPr>
        <w:t>”) as its preferred alternative rate for USD LIBOR. Our debt instruments have interest rates that are based on LIBOR and will not have matured prior to the phase-out of LIBOR. Changes in the method of determining LIBOR, or the replacement of LIBOR with an alternative floating borrowing rate, may adversely affect our borrowing costs. We cannot predict the effect of the potential changes to LIBOR or the establishment and use of alternative floating borrowing rates on our outstanding debt that is based on LIBOR. Transitioning to a different borrowing rate may result in less favorable pricing on our debt instruments and could have an adverse effect on our financial results and cash flows.</w:t>
      </w:r>
    </w:p>
    <w:p>
      <w:pPr>
        <w:spacing w:after="0" w:line="19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Despite substantial levels of indebtedness, we have the ability to incur substantially more indebtedness, which could further intensify the risks described above.</w:t>
      </w:r>
    </w:p>
    <w:p>
      <w:pPr>
        <w:spacing w:after="0" w:line="78" w:lineRule="exact"/>
        <w:rPr>
          <w:sz w:val="20"/>
          <w:szCs w:val="20"/>
          <w:color w:val="auto"/>
        </w:rPr>
      </w:pPr>
    </w:p>
    <w:p>
      <w:pPr>
        <w:ind w:firstLine="602"/>
        <w:spacing w:after="0" w:line="257" w:lineRule="auto"/>
        <w:rPr>
          <w:sz w:val="20"/>
          <w:szCs w:val="20"/>
          <w:color w:val="auto"/>
        </w:rPr>
      </w:pPr>
      <w:r>
        <w:rPr>
          <w:rFonts w:ascii="Arial" w:cs="Arial" w:eastAsia="Arial" w:hAnsi="Arial"/>
          <w:sz w:val="12"/>
          <w:szCs w:val="12"/>
          <w:color w:val="auto"/>
        </w:rPr>
        <w:t>We may be able to incur substantial additional debt in the future. The terms of our existing indebtedness do not fully prohibit us from incurring substantial additional debt as they each permit additional borrowings. Depending on borrowing availability, we have the ability to draw up to $75.0 million of commitments under our revolving credit facility, which includes an option for an uncommitted accordion to increase commitments by up to $50.0 million, all of which will be secured. We also have the ability to draw upon the uncommitted accordion provided under the first lien term loan facility of up to $200.0 million, plus the sum of all voluntary prepayments of the first lien term loan facility and certain permitted indebtedness, plus an unlimited amount subject to the satisfaction of a maximum total net leverage ratio or minimum fixed charge coverage ratio, in each case, on a pro forma basis, all of which will be secured. If new debt is added to our current debt levels, the related risks that we now face could intensify.</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17740" cy="368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ectPr>
          <w:pgSz w:w="11900" w:h="16838" w:orient="portrait"/>
          <w:cols w:equalWidth="0" w:num="1">
            <w:col w:w="11440"/>
          </w:cols>
          <w:pgMar w:left="220" w:top="347" w:right="239" w:bottom="1440" w:gutter="0" w:footer="0" w:header="0"/>
        </w:sectPr>
      </w:pPr>
    </w:p>
    <w:bookmarkStart w:id="28" w:name="page29"/>
    <w:bookmarkEnd w:id="28"/>
    <w:p>
      <w:pPr>
        <w:spacing w:after="0"/>
        <w:rPr>
          <w:sz w:val="20"/>
          <w:szCs w:val="20"/>
          <w:color w:val="auto"/>
        </w:rPr>
      </w:pPr>
      <w:r>
        <w:rPr>
          <w:rFonts w:ascii="Arial" w:cs="Arial" w:eastAsia="Arial" w:hAnsi="Arial"/>
          <w:sz w:val="12"/>
          <w:szCs w:val="12"/>
          <w:b w:val="1"/>
          <w:bCs w:val="1"/>
          <w:i w:val="1"/>
          <w:iCs w:val="1"/>
          <w:color w:val="auto"/>
        </w:rPr>
        <w:t>Restrictive covenants in the agreements governing our indebtedness could restrict our operating flexibility.</w:t>
      </w:r>
    </w:p>
    <w:p>
      <w:pPr>
        <w:spacing w:after="0" w:line="78" w:lineRule="exact"/>
        <w:rPr>
          <w:sz w:val="20"/>
          <w:szCs w:val="20"/>
          <w:color w:val="auto"/>
        </w:rPr>
      </w:pPr>
    </w:p>
    <w:p>
      <w:pPr>
        <w:ind w:right="100" w:firstLine="602"/>
        <w:spacing w:after="0" w:line="276" w:lineRule="auto"/>
        <w:rPr>
          <w:sz w:val="20"/>
          <w:szCs w:val="20"/>
          <w:color w:val="auto"/>
        </w:rPr>
      </w:pPr>
      <w:r>
        <w:rPr>
          <w:rFonts w:ascii="Arial" w:cs="Arial" w:eastAsia="Arial" w:hAnsi="Arial"/>
          <w:sz w:val="12"/>
          <w:szCs w:val="12"/>
          <w:color w:val="auto"/>
        </w:rPr>
        <w:t>The agreements governing our indebtedness limit our ability to take certain actions. These restrictions may limit our ability to operate our businesses, prohibit or limit our ability to enhance our operations or take advantage of potential business opportunities as they arise and cause us to take actions that are not favorable to stockholders.</w:t>
      </w:r>
    </w:p>
    <w:p>
      <w:pPr>
        <w:spacing w:after="0" w:line="115" w:lineRule="exact"/>
        <w:rPr>
          <w:sz w:val="20"/>
          <w:szCs w:val="20"/>
          <w:color w:val="auto"/>
        </w:rPr>
      </w:pPr>
    </w:p>
    <w:p>
      <w:pPr>
        <w:ind w:left="600"/>
        <w:spacing w:after="0"/>
        <w:rPr>
          <w:sz w:val="20"/>
          <w:szCs w:val="20"/>
          <w:color w:val="auto"/>
        </w:rPr>
      </w:pPr>
      <w:r>
        <w:rPr>
          <w:rFonts w:ascii="Arial" w:cs="Arial" w:eastAsia="Arial" w:hAnsi="Arial"/>
          <w:sz w:val="12"/>
          <w:szCs w:val="12"/>
          <w:color w:val="auto"/>
        </w:rPr>
        <w:t>The agreements governing our indebtedness restrict, among other things and subject to certain exceptions, our and our restricted subsidiaries’ ability to:</w:t>
      </w:r>
    </w:p>
    <w:p>
      <w:pPr>
        <w:spacing w:after="0" w:line="78" w:lineRule="exact"/>
        <w:rPr>
          <w:sz w:val="20"/>
          <w:szCs w:val="20"/>
          <w:color w:val="auto"/>
        </w:rPr>
      </w:pPr>
    </w:p>
    <w:p>
      <w:pPr>
        <w:ind w:left="1180" w:hanging="593"/>
        <w:spacing w:after="0"/>
        <w:tabs>
          <w:tab w:leader="none" w:pos="1180" w:val="left"/>
        </w:tabs>
        <w:numPr>
          <w:ilvl w:val="0"/>
          <w:numId w:val="11"/>
        </w:numPr>
        <w:rPr>
          <w:rFonts w:ascii="Arial" w:cs="Arial" w:eastAsia="Arial" w:hAnsi="Arial"/>
          <w:sz w:val="12"/>
          <w:szCs w:val="12"/>
          <w:color w:val="auto"/>
        </w:rPr>
      </w:pPr>
      <w:r>
        <w:rPr>
          <w:rFonts w:ascii="Arial" w:cs="Arial" w:eastAsia="Arial" w:hAnsi="Arial"/>
          <w:sz w:val="12"/>
          <w:szCs w:val="12"/>
          <w:color w:val="auto"/>
        </w:rPr>
        <w:t>incur additional indebtedness;</w:t>
      </w:r>
    </w:p>
    <w:p>
      <w:pPr>
        <w:spacing w:after="0" w:line="78" w:lineRule="exact"/>
        <w:rPr>
          <w:rFonts w:ascii="Arial" w:cs="Arial" w:eastAsia="Arial" w:hAnsi="Arial"/>
          <w:sz w:val="12"/>
          <w:szCs w:val="12"/>
          <w:color w:val="auto"/>
        </w:rPr>
      </w:pPr>
    </w:p>
    <w:p>
      <w:pPr>
        <w:ind w:left="1180" w:hanging="593"/>
        <w:spacing w:after="0"/>
        <w:tabs>
          <w:tab w:leader="none" w:pos="1180" w:val="left"/>
        </w:tabs>
        <w:numPr>
          <w:ilvl w:val="0"/>
          <w:numId w:val="11"/>
        </w:numPr>
        <w:rPr>
          <w:rFonts w:ascii="Arial" w:cs="Arial" w:eastAsia="Arial" w:hAnsi="Arial"/>
          <w:sz w:val="12"/>
          <w:szCs w:val="12"/>
          <w:color w:val="auto"/>
        </w:rPr>
      </w:pPr>
      <w:r>
        <w:rPr>
          <w:rFonts w:ascii="Arial" w:cs="Arial" w:eastAsia="Arial" w:hAnsi="Arial"/>
          <w:sz w:val="12"/>
          <w:szCs w:val="12"/>
          <w:color w:val="auto"/>
        </w:rPr>
        <w:t>pay dividends or other payments on capital stock;</w:t>
      </w:r>
    </w:p>
    <w:p>
      <w:pPr>
        <w:spacing w:after="0" w:line="78" w:lineRule="exact"/>
        <w:rPr>
          <w:rFonts w:ascii="Arial" w:cs="Arial" w:eastAsia="Arial" w:hAnsi="Arial"/>
          <w:sz w:val="12"/>
          <w:szCs w:val="12"/>
          <w:color w:val="auto"/>
        </w:rPr>
      </w:pPr>
    </w:p>
    <w:p>
      <w:pPr>
        <w:ind w:left="1180" w:hanging="593"/>
        <w:spacing w:after="0"/>
        <w:tabs>
          <w:tab w:leader="none" w:pos="1180" w:val="left"/>
        </w:tabs>
        <w:numPr>
          <w:ilvl w:val="0"/>
          <w:numId w:val="11"/>
        </w:numPr>
        <w:rPr>
          <w:rFonts w:ascii="Arial" w:cs="Arial" w:eastAsia="Arial" w:hAnsi="Arial"/>
          <w:sz w:val="12"/>
          <w:szCs w:val="12"/>
          <w:color w:val="auto"/>
        </w:rPr>
      </w:pPr>
      <w:r>
        <w:rPr>
          <w:rFonts w:ascii="Arial" w:cs="Arial" w:eastAsia="Arial" w:hAnsi="Arial"/>
          <w:sz w:val="12"/>
          <w:szCs w:val="12"/>
          <w:color w:val="auto"/>
        </w:rPr>
        <w:t>guarantee other obligations;</w:t>
      </w:r>
    </w:p>
    <w:p>
      <w:pPr>
        <w:spacing w:after="0" w:line="78" w:lineRule="exact"/>
        <w:rPr>
          <w:rFonts w:ascii="Arial" w:cs="Arial" w:eastAsia="Arial" w:hAnsi="Arial"/>
          <w:sz w:val="12"/>
          <w:szCs w:val="12"/>
          <w:color w:val="auto"/>
        </w:rPr>
      </w:pPr>
    </w:p>
    <w:p>
      <w:pPr>
        <w:ind w:left="1180" w:hanging="593"/>
        <w:spacing w:after="0"/>
        <w:tabs>
          <w:tab w:leader="none" w:pos="1180" w:val="left"/>
        </w:tabs>
        <w:numPr>
          <w:ilvl w:val="0"/>
          <w:numId w:val="11"/>
        </w:numPr>
        <w:rPr>
          <w:rFonts w:ascii="Arial" w:cs="Arial" w:eastAsia="Arial" w:hAnsi="Arial"/>
          <w:sz w:val="12"/>
          <w:szCs w:val="12"/>
          <w:color w:val="auto"/>
        </w:rPr>
      </w:pPr>
      <w:r>
        <w:rPr>
          <w:rFonts w:ascii="Arial" w:cs="Arial" w:eastAsia="Arial" w:hAnsi="Arial"/>
          <w:sz w:val="12"/>
          <w:szCs w:val="12"/>
          <w:color w:val="auto"/>
        </w:rPr>
        <w:t>grant liens on assets;</w:t>
      </w:r>
    </w:p>
    <w:p>
      <w:pPr>
        <w:spacing w:after="0" w:line="78" w:lineRule="exact"/>
        <w:rPr>
          <w:rFonts w:ascii="Arial" w:cs="Arial" w:eastAsia="Arial" w:hAnsi="Arial"/>
          <w:sz w:val="12"/>
          <w:szCs w:val="12"/>
          <w:color w:val="auto"/>
        </w:rPr>
      </w:pPr>
    </w:p>
    <w:p>
      <w:pPr>
        <w:ind w:left="1180" w:hanging="593"/>
        <w:spacing w:after="0"/>
        <w:tabs>
          <w:tab w:leader="none" w:pos="1180" w:val="left"/>
        </w:tabs>
        <w:numPr>
          <w:ilvl w:val="0"/>
          <w:numId w:val="11"/>
        </w:numPr>
        <w:rPr>
          <w:rFonts w:ascii="Arial" w:cs="Arial" w:eastAsia="Arial" w:hAnsi="Arial"/>
          <w:sz w:val="12"/>
          <w:szCs w:val="12"/>
          <w:color w:val="auto"/>
        </w:rPr>
      </w:pPr>
      <w:r>
        <w:rPr>
          <w:rFonts w:ascii="Arial" w:cs="Arial" w:eastAsia="Arial" w:hAnsi="Arial"/>
          <w:sz w:val="12"/>
          <w:szCs w:val="12"/>
          <w:color w:val="auto"/>
        </w:rPr>
        <w:t>make loans, acquisitions or other investments;</w:t>
      </w:r>
    </w:p>
    <w:p>
      <w:pPr>
        <w:spacing w:after="0" w:line="78" w:lineRule="exact"/>
        <w:rPr>
          <w:rFonts w:ascii="Arial" w:cs="Arial" w:eastAsia="Arial" w:hAnsi="Arial"/>
          <w:sz w:val="12"/>
          <w:szCs w:val="12"/>
          <w:color w:val="auto"/>
        </w:rPr>
      </w:pPr>
    </w:p>
    <w:p>
      <w:pPr>
        <w:ind w:left="1180" w:hanging="593"/>
        <w:spacing w:after="0"/>
        <w:tabs>
          <w:tab w:leader="none" w:pos="1180" w:val="left"/>
        </w:tabs>
        <w:numPr>
          <w:ilvl w:val="0"/>
          <w:numId w:val="11"/>
        </w:numPr>
        <w:rPr>
          <w:rFonts w:ascii="Arial" w:cs="Arial" w:eastAsia="Arial" w:hAnsi="Arial"/>
          <w:sz w:val="12"/>
          <w:szCs w:val="12"/>
          <w:color w:val="auto"/>
        </w:rPr>
      </w:pPr>
      <w:r>
        <w:rPr>
          <w:rFonts w:ascii="Arial" w:cs="Arial" w:eastAsia="Arial" w:hAnsi="Arial"/>
          <w:sz w:val="12"/>
          <w:szCs w:val="12"/>
          <w:color w:val="auto"/>
        </w:rPr>
        <w:t>transfer or dispose of assets;</w:t>
      </w:r>
    </w:p>
    <w:p>
      <w:pPr>
        <w:spacing w:after="0" w:line="78" w:lineRule="exact"/>
        <w:rPr>
          <w:rFonts w:ascii="Arial" w:cs="Arial" w:eastAsia="Arial" w:hAnsi="Arial"/>
          <w:sz w:val="12"/>
          <w:szCs w:val="12"/>
          <w:color w:val="auto"/>
        </w:rPr>
      </w:pPr>
    </w:p>
    <w:p>
      <w:pPr>
        <w:ind w:left="1180" w:hanging="593"/>
        <w:spacing w:after="0"/>
        <w:tabs>
          <w:tab w:leader="none" w:pos="1180" w:val="left"/>
        </w:tabs>
        <w:numPr>
          <w:ilvl w:val="0"/>
          <w:numId w:val="11"/>
        </w:numPr>
        <w:rPr>
          <w:rFonts w:ascii="Arial" w:cs="Arial" w:eastAsia="Arial" w:hAnsi="Arial"/>
          <w:sz w:val="12"/>
          <w:szCs w:val="12"/>
          <w:color w:val="auto"/>
        </w:rPr>
      </w:pPr>
      <w:r>
        <w:rPr>
          <w:rFonts w:ascii="Arial" w:cs="Arial" w:eastAsia="Arial" w:hAnsi="Arial"/>
          <w:sz w:val="12"/>
          <w:szCs w:val="12"/>
          <w:color w:val="auto"/>
        </w:rPr>
        <w:t>make optional payments or modify certain debt instruments;</w:t>
      </w:r>
    </w:p>
    <w:p>
      <w:pPr>
        <w:spacing w:after="0" w:line="78" w:lineRule="exact"/>
        <w:rPr>
          <w:rFonts w:ascii="Arial" w:cs="Arial" w:eastAsia="Arial" w:hAnsi="Arial"/>
          <w:sz w:val="12"/>
          <w:szCs w:val="12"/>
          <w:color w:val="auto"/>
        </w:rPr>
      </w:pPr>
    </w:p>
    <w:p>
      <w:pPr>
        <w:ind w:left="1180" w:hanging="593"/>
        <w:spacing w:after="0"/>
        <w:tabs>
          <w:tab w:leader="none" w:pos="1180" w:val="left"/>
        </w:tabs>
        <w:numPr>
          <w:ilvl w:val="0"/>
          <w:numId w:val="11"/>
        </w:numPr>
        <w:rPr>
          <w:rFonts w:ascii="Arial" w:cs="Arial" w:eastAsia="Arial" w:hAnsi="Arial"/>
          <w:sz w:val="12"/>
          <w:szCs w:val="12"/>
          <w:color w:val="auto"/>
        </w:rPr>
      </w:pPr>
      <w:r>
        <w:rPr>
          <w:rFonts w:ascii="Arial" w:cs="Arial" w:eastAsia="Arial" w:hAnsi="Arial"/>
          <w:sz w:val="12"/>
          <w:szCs w:val="12"/>
          <w:color w:val="auto"/>
        </w:rPr>
        <w:t>engage in transactions with affiliates;</w:t>
      </w:r>
    </w:p>
    <w:p>
      <w:pPr>
        <w:spacing w:after="0" w:line="78" w:lineRule="exact"/>
        <w:rPr>
          <w:rFonts w:ascii="Arial" w:cs="Arial" w:eastAsia="Arial" w:hAnsi="Arial"/>
          <w:sz w:val="12"/>
          <w:szCs w:val="12"/>
          <w:color w:val="auto"/>
        </w:rPr>
      </w:pPr>
    </w:p>
    <w:p>
      <w:pPr>
        <w:ind w:left="1180" w:hanging="593"/>
        <w:spacing w:after="0"/>
        <w:tabs>
          <w:tab w:leader="none" w:pos="1180" w:val="left"/>
        </w:tabs>
        <w:numPr>
          <w:ilvl w:val="0"/>
          <w:numId w:val="11"/>
        </w:numPr>
        <w:rPr>
          <w:rFonts w:ascii="Arial" w:cs="Arial" w:eastAsia="Arial" w:hAnsi="Arial"/>
          <w:sz w:val="12"/>
          <w:szCs w:val="12"/>
          <w:color w:val="auto"/>
        </w:rPr>
      </w:pPr>
      <w:r>
        <w:rPr>
          <w:rFonts w:ascii="Arial" w:cs="Arial" w:eastAsia="Arial" w:hAnsi="Arial"/>
          <w:sz w:val="12"/>
          <w:szCs w:val="12"/>
          <w:color w:val="auto"/>
        </w:rPr>
        <w:t>amend organizational documents;</w:t>
      </w:r>
    </w:p>
    <w:p>
      <w:pPr>
        <w:spacing w:after="0" w:line="78" w:lineRule="exact"/>
        <w:rPr>
          <w:rFonts w:ascii="Arial" w:cs="Arial" w:eastAsia="Arial" w:hAnsi="Arial"/>
          <w:sz w:val="12"/>
          <w:szCs w:val="12"/>
          <w:color w:val="auto"/>
        </w:rPr>
      </w:pPr>
    </w:p>
    <w:p>
      <w:pPr>
        <w:ind w:left="1180" w:hanging="593"/>
        <w:spacing w:after="0"/>
        <w:tabs>
          <w:tab w:leader="none" w:pos="1180" w:val="left"/>
        </w:tabs>
        <w:numPr>
          <w:ilvl w:val="0"/>
          <w:numId w:val="11"/>
        </w:numPr>
        <w:rPr>
          <w:rFonts w:ascii="Arial" w:cs="Arial" w:eastAsia="Arial" w:hAnsi="Arial"/>
          <w:sz w:val="12"/>
          <w:szCs w:val="12"/>
          <w:color w:val="auto"/>
        </w:rPr>
      </w:pPr>
      <w:r>
        <w:rPr>
          <w:rFonts w:ascii="Arial" w:cs="Arial" w:eastAsia="Arial" w:hAnsi="Arial"/>
          <w:sz w:val="12"/>
          <w:szCs w:val="12"/>
          <w:color w:val="auto"/>
        </w:rPr>
        <w:t>engage in mergers or consolidations;</w:t>
      </w:r>
    </w:p>
    <w:p>
      <w:pPr>
        <w:spacing w:after="0" w:line="78" w:lineRule="exact"/>
        <w:rPr>
          <w:rFonts w:ascii="Arial" w:cs="Arial" w:eastAsia="Arial" w:hAnsi="Arial"/>
          <w:sz w:val="12"/>
          <w:szCs w:val="12"/>
          <w:color w:val="auto"/>
        </w:rPr>
      </w:pPr>
    </w:p>
    <w:p>
      <w:pPr>
        <w:ind w:left="1180" w:hanging="593"/>
        <w:spacing w:after="0"/>
        <w:tabs>
          <w:tab w:leader="none" w:pos="1180" w:val="left"/>
        </w:tabs>
        <w:numPr>
          <w:ilvl w:val="0"/>
          <w:numId w:val="11"/>
        </w:numPr>
        <w:rPr>
          <w:rFonts w:ascii="Arial" w:cs="Arial" w:eastAsia="Arial" w:hAnsi="Arial"/>
          <w:sz w:val="12"/>
          <w:szCs w:val="12"/>
          <w:color w:val="auto"/>
        </w:rPr>
      </w:pPr>
      <w:r>
        <w:rPr>
          <w:rFonts w:ascii="Arial" w:cs="Arial" w:eastAsia="Arial" w:hAnsi="Arial"/>
          <w:sz w:val="12"/>
          <w:szCs w:val="12"/>
          <w:color w:val="auto"/>
        </w:rPr>
        <w:t>enter into arrangements that restrict the ability to pay dividends;</w:t>
      </w:r>
    </w:p>
    <w:p>
      <w:pPr>
        <w:spacing w:after="0" w:line="78" w:lineRule="exact"/>
        <w:rPr>
          <w:rFonts w:ascii="Arial" w:cs="Arial" w:eastAsia="Arial" w:hAnsi="Arial"/>
          <w:sz w:val="12"/>
          <w:szCs w:val="12"/>
          <w:color w:val="auto"/>
        </w:rPr>
      </w:pPr>
    </w:p>
    <w:p>
      <w:pPr>
        <w:ind w:left="1180" w:hanging="593"/>
        <w:spacing w:after="0"/>
        <w:tabs>
          <w:tab w:leader="none" w:pos="1180" w:val="left"/>
        </w:tabs>
        <w:numPr>
          <w:ilvl w:val="0"/>
          <w:numId w:val="11"/>
        </w:numPr>
        <w:rPr>
          <w:rFonts w:ascii="Arial" w:cs="Arial" w:eastAsia="Arial" w:hAnsi="Arial"/>
          <w:sz w:val="12"/>
          <w:szCs w:val="12"/>
          <w:color w:val="auto"/>
        </w:rPr>
      </w:pPr>
      <w:r>
        <w:rPr>
          <w:rFonts w:ascii="Arial" w:cs="Arial" w:eastAsia="Arial" w:hAnsi="Arial"/>
          <w:sz w:val="12"/>
          <w:szCs w:val="12"/>
          <w:color w:val="auto"/>
        </w:rPr>
        <w:t>engage in business activities that are materially different from existing business activities;</w:t>
      </w:r>
    </w:p>
    <w:p>
      <w:pPr>
        <w:spacing w:after="0" w:line="78" w:lineRule="exact"/>
        <w:rPr>
          <w:rFonts w:ascii="Arial" w:cs="Arial" w:eastAsia="Arial" w:hAnsi="Arial"/>
          <w:sz w:val="12"/>
          <w:szCs w:val="12"/>
          <w:color w:val="auto"/>
        </w:rPr>
      </w:pPr>
    </w:p>
    <w:p>
      <w:pPr>
        <w:ind w:left="1180" w:hanging="593"/>
        <w:spacing w:after="0"/>
        <w:tabs>
          <w:tab w:leader="none" w:pos="1180" w:val="left"/>
        </w:tabs>
        <w:numPr>
          <w:ilvl w:val="0"/>
          <w:numId w:val="11"/>
        </w:numPr>
        <w:rPr>
          <w:rFonts w:ascii="Arial" w:cs="Arial" w:eastAsia="Arial" w:hAnsi="Arial"/>
          <w:sz w:val="12"/>
          <w:szCs w:val="12"/>
          <w:color w:val="auto"/>
        </w:rPr>
      </w:pPr>
      <w:r>
        <w:rPr>
          <w:rFonts w:ascii="Arial" w:cs="Arial" w:eastAsia="Arial" w:hAnsi="Arial"/>
          <w:sz w:val="12"/>
          <w:szCs w:val="12"/>
          <w:color w:val="auto"/>
        </w:rPr>
        <w:t>change the nature of the business we conduct; and</w:t>
      </w:r>
    </w:p>
    <w:p>
      <w:pPr>
        <w:spacing w:after="0" w:line="78" w:lineRule="exact"/>
        <w:rPr>
          <w:rFonts w:ascii="Arial" w:cs="Arial" w:eastAsia="Arial" w:hAnsi="Arial"/>
          <w:sz w:val="12"/>
          <w:szCs w:val="12"/>
          <w:color w:val="auto"/>
        </w:rPr>
      </w:pPr>
    </w:p>
    <w:p>
      <w:pPr>
        <w:ind w:left="1180" w:hanging="593"/>
        <w:spacing w:after="0"/>
        <w:tabs>
          <w:tab w:leader="none" w:pos="1180" w:val="left"/>
        </w:tabs>
        <w:numPr>
          <w:ilvl w:val="0"/>
          <w:numId w:val="11"/>
        </w:numPr>
        <w:rPr>
          <w:rFonts w:ascii="Arial" w:cs="Arial" w:eastAsia="Arial" w:hAnsi="Arial"/>
          <w:sz w:val="12"/>
          <w:szCs w:val="12"/>
          <w:color w:val="auto"/>
        </w:rPr>
      </w:pPr>
      <w:r>
        <w:rPr>
          <w:rFonts w:ascii="Arial" w:cs="Arial" w:eastAsia="Arial" w:hAnsi="Arial"/>
          <w:sz w:val="12"/>
          <w:szCs w:val="12"/>
          <w:color w:val="auto"/>
        </w:rPr>
        <w:t>designate subsidiaries as unrestricted subsidiaries.</w:t>
      </w:r>
    </w:p>
    <w:p>
      <w:pPr>
        <w:spacing w:after="0" w:line="150" w:lineRule="exact"/>
        <w:rPr>
          <w:sz w:val="20"/>
          <w:szCs w:val="20"/>
          <w:color w:val="auto"/>
        </w:rPr>
      </w:pPr>
    </w:p>
    <w:p>
      <w:pPr>
        <w:ind w:right="100" w:firstLine="602"/>
        <w:spacing w:after="0" w:line="257" w:lineRule="auto"/>
        <w:rPr>
          <w:sz w:val="20"/>
          <w:szCs w:val="20"/>
          <w:color w:val="auto"/>
        </w:rPr>
      </w:pPr>
      <w:r>
        <w:rPr>
          <w:rFonts w:ascii="Arial" w:cs="Arial" w:eastAsia="Arial" w:hAnsi="Arial"/>
          <w:sz w:val="12"/>
          <w:szCs w:val="12"/>
          <w:color w:val="auto"/>
        </w:rPr>
        <w:t>Under our first lien term loan facility, we could be required to make periodic prepayments based on excess cash flow (as defined by the first lien term loan facility) thereby limiting the amount of cash flow that can be reinvested in our business. For example, we expect to make a payment of approximately $19.7 million related to the mandatory prepayment of excess cash flow during the first quarter of 2020. In addition, under our revolving credit facility, if availability goes below a certain threshold, we will be required to comply with a minimum “consolidated fixed charge coverage ratio” financial covenant as calculated therein. Moreover, if availability falls below a certain threshold for a specified number of business days, we could be required to remit our cash funds to a dominion account maintained by the administrative agent to the revolving credit facility, which would require daily review and approval of operating disbursements by the administrative agent.</w:t>
      </w:r>
    </w:p>
    <w:p>
      <w:pPr>
        <w:spacing w:after="0" w:line="126" w:lineRule="exact"/>
        <w:rPr>
          <w:sz w:val="20"/>
          <w:szCs w:val="20"/>
          <w:color w:val="auto"/>
        </w:rPr>
      </w:pPr>
    </w:p>
    <w:p>
      <w:pPr>
        <w:ind w:firstLine="602"/>
        <w:spacing w:after="0" w:line="283" w:lineRule="auto"/>
        <w:rPr>
          <w:sz w:val="20"/>
          <w:szCs w:val="20"/>
          <w:color w:val="auto"/>
        </w:rPr>
      </w:pPr>
      <w:r>
        <w:rPr>
          <w:rFonts w:ascii="Arial" w:cs="Arial" w:eastAsia="Arial" w:hAnsi="Arial"/>
          <w:sz w:val="11"/>
          <w:szCs w:val="11"/>
          <w:color w:val="auto"/>
        </w:rPr>
        <w:t>Our ability to comply with the covenants and restrictions contained in agreements governing our indebtedness may be affected by economic conditions and by financial, market and competitive factors, many of which are beyond our control. Our ability to comply with these covenants in future periods will also depend substantially on the pricing and sales volume of our products, our success at implementing cost reduction initiatives and our ability to successfully implement our overall business strategy. The breach of any of these covenants or restrictions could result in a default under one or more of the agreements governing our indebtedness that would permit the applicable lenders to declare all amounts outstanding thereunder to be due and payable, together with accrued and unpaid interest. In that case, we may be unable to borrow under our revolving credit agreement or otherwise, may not be able to repay the amounts due under the agreements governing our indebtedness, and may not be able make cash available by dividend, debt repayment or otherwise. In addition, our lenders could proceed against the collateral securing that indebtedness. Any of the foregoing could have serious consequences to our financial position, results of operations or cash flows and could cause us to become bankrupt or insolvent.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17740" cy="368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ectPr>
          <w:pgSz w:w="11900" w:h="16838" w:orient="portrait"/>
          <w:cols w:equalWidth="0" w:num="1">
            <w:col w:w="11460"/>
          </w:cols>
          <w:pgMar w:left="220" w:top="347" w:right="219" w:bottom="1440" w:gutter="0" w:footer="0" w:header="0"/>
        </w:sectPr>
      </w:pPr>
    </w:p>
    <w:bookmarkStart w:id="29" w:name="page30"/>
    <w:bookmarkEnd w:id="29"/>
    <w:p>
      <w:pPr>
        <w:ind w:right="60"/>
        <w:spacing w:after="0" w:line="276" w:lineRule="auto"/>
        <w:rPr>
          <w:sz w:val="20"/>
          <w:szCs w:val="20"/>
          <w:color w:val="auto"/>
        </w:rPr>
      </w:pPr>
      <w:r>
        <w:rPr>
          <w:rFonts w:ascii="Arial" w:cs="Arial" w:eastAsia="Arial" w:hAnsi="Arial"/>
          <w:sz w:val="12"/>
          <w:szCs w:val="12"/>
          <w:b w:val="1"/>
          <w:bCs w:val="1"/>
          <w:i w:val="1"/>
          <w:iCs w:val="1"/>
          <w:color w:val="auto"/>
        </w:rPr>
        <w:t>The agreements governing our indebtedness contain cross default or cross acceleration provisions that may cause all of the debt issued under those instruments to become immediately due and payable because of a default under an unrelated debt instrument.</w:t>
      </w:r>
    </w:p>
    <w:p>
      <w:pPr>
        <w:spacing w:after="0" w:line="43" w:lineRule="exact"/>
        <w:rPr>
          <w:sz w:val="20"/>
          <w:szCs w:val="20"/>
          <w:color w:val="auto"/>
        </w:rPr>
      </w:pPr>
    </w:p>
    <w:p>
      <w:pPr>
        <w:ind w:right="60" w:firstLine="602"/>
        <w:spacing w:after="0" w:line="286" w:lineRule="auto"/>
        <w:rPr>
          <w:sz w:val="20"/>
          <w:szCs w:val="20"/>
          <w:color w:val="auto"/>
        </w:rPr>
      </w:pPr>
      <w:r>
        <w:rPr>
          <w:rFonts w:ascii="Arial" w:cs="Arial" w:eastAsia="Arial" w:hAnsi="Arial"/>
          <w:sz w:val="11"/>
          <w:szCs w:val="11"/>
          <w:color w:val="auto"/>
        </w:rPr>
        <w:t>The agreements governing our indebtedness contain numerous covenants and require us, if availability goes below a certain threshold, to comply with a minimum “consolidated fixed charge coverage ratio” financial covenant as calculated in the revolving credit agreement. Our failure to comply with the obligations contained in these agreements or other instruments governing our indebtedness could result in an event of default under the applicable instrument, which could result in the related debt and the debt issued under other instruments (together with accrued and unpaid interest and other fees) becoming immediately due and payable. In such event, we would need to raise funds from alternative sources, which funds may not be available to us on favorable terms, on a timely basis or at all. Alternatively, such a default could require us to sell assets and otherwise curtail our operations in order to pay our creditors. These alternative measures could have a material adverse effect on our business, financial position, results of operations or cash flows.</w:t>
      </w:r>
    </w:p>
    <w:p>
      <w:pPr>
        <w:spacing w:after="0" w:line="18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If we do not generate sufficient cash flows, we may not be able to service all of our indebtedness.</w:t>
      </w:r>
    </w:p>
    <w:p>
      <w:pPr>
        <w:spacing w:after="0" w:line="78" w:lineRule="exact"/>
        <w:rPr>
          <w:sz w:val="20"/>
          <w:szCs w:val="20"/>
          <w:color w:val="auto"/>
        </w:rPr>
      </w:pPr>
    </w:p>
    <w:p>
      <w:pPr>
        <w:ind w:right="500" w:firstLine="602"/>
        <w:spacing w:after="0" w:line="276" w:lineRule="auto"/>
        <w:rPr>
          <w:sz w:val="20"/>
          <w:szCs w:val="20"/>
          <w:color w:val="auto"/>
        </w:rPr>
      </w:pPr>
      <w:r>
        <w:rPr>
          <w:rFonts w:ascii="Arial" w:cs="Arial" w:eastAsia="Arial" w:hAnsi="Arial"/>
          <w:sz w:val="12"/>
          <w:szCs w:val="12"/>
          <w:color w:val="auto"/>
        </w:rPr>
        <w:t>To service our indebtedness, we will require a significant amount of cash. Our ability to generate cash, make scheduled payments or to refinance our debt obligations depends on our successful financial and operating performance, which will be affected by a range of economic, competitive and business factors, many of which are outside of our control.</w:t>
      </w:r>
    </w:p>
    <w:p>
      <w:pPr>
        <w:spacing w:after="0" w:line="115" w:lineRule="exact"/>
        <w:rPr>
          <w:sz w:val="20"/>
          <w:szCs w:val="20"/>
          <w:color w:val="auto"/>
        </w:rPr>
      </w:pPr>
    </w:p>
    <w:p>
      <w:pPr>
        <w:ind w:firstLine="602"/>
        <w:spacing w:after="0" w:line="280" w:lineRule="auto"/>
        <w:rPr>
          <w:sz w:val="20"/>
          <w:szCs w:val="20"/>
          <w:color w:val="auto"/>
        </w:rPr>
      </w:pPr>
      <w:r>
        <w:rPr>
          <w:rFonts w:ascii="Arial" w:cs="Arial" w:eastAsia="Arial" w:hAnsi="Arial"/>
          <w:sz w:val="11"/>
          <w:szCs w:val="11"/>
          <w:color w:val="auto"/>
        </w:rPr>
        <w:t>If our cash flow and capital resources are insufficient to fund our debt service obligations or to repay indebtedness when it matures, we may have to undertake alternative financing plans, such as refinancing or restructuring our debt, selling assets or operations, reducing or delaying capital investments or seeking to raise additional capital. We may not be able to refinance our debt and any refinancing of our debt could be at higher interest rates and may require us to comply with more restrictive covenants that could further restrict our business operations and our ability to make cash available for dividends and distributions and payments on our other debt obligations (if any). Our ability to implement successfully any such alternative financing plans will be dependent on a range of factors, including general economic conditions, the level of activity in mergers and acquisitions and capital markets generally, and the terms of our various debt instruments then in effect. In addition, a significant portion of our outstanding indebtedness is secured by substantially all of our assets including our subsidiaries’ assets, and any successor credit facilities are likely to be secured on a similar basis. As such, our ability to seek additional financing or our ability to make cash available for dividends and distributions and payments on our other debt obligations (if any) could be impaired as a result of such security interests and the agreements governing such security interests. Moreover, as a result of these security interests, the underlying assets would only be available to satisfy claims of our general creditors or holders of our equity securities if we were to become insolvent to the extent the value of such assets exceeded the amount of our indebtedness and other obligations.</w:t>
      </w:r>
    </w:p>
    <w:p>
      <w:pPr>
        <w:spacing w:after="0" w:line="116" w:lineRule="exact"/>
        <w:rPr>
          <w:sz w:val="20"/>
          <w:szCs w:val="20"/>
          <w:color w:val="auto"/>
        </w:rPr>
      </w:pPr>
    </w:p>
    <w:p>
      <w:pPr>
        <w:ind w:right="380" w:firstLine="602"/>
        <w:spacing w:after="0" w:line="276" w:lineRule="auto"/>
        <w:rPr>
          <w:sz w:val="20"/>
          <w:szCs w:val="20"/>
          <w:color w:val="auto"/>
        </w:rPr>
      </w:pPr>
      <w:r>
        <w:rPr>
          <w:rFonts w:ascii="Arial" w:cs="Arial" w:eastAsia="Arial" w:hAnsi="Arial"/>
          <w:sz w:val="12"/>
          <w:szCs w:val="12"/>
          <w:color w:val="auto"/>
        </w:rPr>
        <w:t>Our inability to generate sufficient cash flow to satisfy our debt obligations or to refinance our obligations on commercially reasonable terms could have a material adverse effect on our business, including our financial condition and results of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may be unable to obtain additional financing to fund operations and growth.</w:t>
      </w:r>
    </w:p>
    <w:p>
      <w:pPr>
        <w:spacing w:after="0" w:line="78" w:lineRule="exact"/>
        <w:rPr>
          <w:sz w:val="20"/>
          <w:szCs w:val="20"/>
          <w:color w:val="auto"/>
        </w:rPr>
      </w:pPr>
    </w:p>
    <w:p>
      <w:pPr>
        <w:ind w:right="100" w:firstLine="602"/>
        <w:spacing w:after="0" w:line="276" w:lineRule="auto"/>
        <w:rPr>
          <w:sz w:val="20"/>
          <w:szCs w:val="20"/>
          <w:color w:val="auto"/>
        </w:rPr>
      </w:pPr>
      <w:r>
        <w:rPr>
          <w:rFonts w:ascii="Arial" w:cs="Arial" w:eastAsia="Arial" w:hAnsi="Arial"/>
          <w:sz w:val="12"/>
          <w:szCs w:val="12"/>
          <w:color w:val="auto"/>
        </w:rPr>
        <w:t>We may require additional financing to fund our operations or growth, whether organic or through acquisitions. Our failure to secure additional financing could have a material adverse effect on our continued development or growth. None of our officers, directors or stockholders is required to provide any future financing to us.</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17740" cy="368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ectPr>
          <w:pgSz w:w="11900" w:h="16838" w:orient="portrait"/>
          <w:cols w:equalWidth="0" w:num="1">
            <w:col w:w="11440"/>
          </w:cols>
          <w:pgMar w:left="220" w:top="347" w:right="239" w:bottom="1440" w:gutter="0" w:footer="0" w:header="0"/>
        </w:sectPr>
      </w:pPr>
    </w:p>
    <w:bookmarkStart w:id="30" w:name="page31"/>
    <w:bookmarkEnd w:id="30"/>
    <w:p>
      <w:pPr>
        <w:spacing w:after="0"/>
        <w:rPr>
          <w:sz w:val="20"/>
          <w:szCs w:val="20"/>
          <w:color w:val="auto"/>
        </w:rPr>
      </w:pPr>
      <w:r>
        <w:rPr>
          <w:rFonts w:ascii="Arial" w:cs="Arial" w:eastAsia="Arial" w:hAnsi="Arial"/>
          <w:sz w:val="12"/>
          <w:szCs w:val="12"/>
          <w:b w:val="1"/>
          <w:bCs w:val="1"/>
          <w:i w:val="1"/>
          <w:iCs w:val="1"/>
          <w:color w:val="auto"/>
        </w:rPr>
        <w:t>If we fail to maintain an effective system of internal controls, we may not be able to accurately report our financial results.</w:t>
      </w:r>
    </w:p>
    <w:p>
      <w:pPr>
        <w:spacing w:after="0" w:line="78" w:lineRule="exact"/>
        <w:rPr>
          <w:sz w:val="20"/>
          <w:szCs w:val="20"/>
          <w:color w:val="auto"/>
        </w:rPr>
      </w:pPr>
    </w:p>
    <w:p>
      <w:pPr>
        <w:ind w:right="80" w:firstLine="602"/>
        <w:spacing w:after="0" w:line="255" w:lineRule="auto"/>
        <w:rPr>
          <w:sz w:val="20"/>
          <w:szCs w:val="20"/>
          <w:color w:val="auto"/>
        </w:rPr>
      </w:pPr>
      <w:r>
        <w:rPr>
          <w:rFonts w:ascii="Arial" w:cs="Arial" w:eastAsia="Arial" w:hAnsi="Arial"/>
          <w:sz w:val="12"/>
          <w:szCs w:val="12"/>
          <w:color w:val="auto"/>
        </w:rPr>
        <w:t>As a public company, we are required to comply with Section 404 of the Sarbanes Oxley Act of 2002 (“</w:t>
      </w:r>
      <w:r>
        <w:rPr>
          <w:rFonts w:ascii="Arial" w:cs="Arial" w:eastAsia="Arial" w:hAnsi="Arial"/>
          <w:sz w:val="12"/>
          <w:szCs w:val="12"/>
          <w:b w:val="1"/>
          <w:bCs w:val="1"/>
          <w:i w:val="1"/>
          <w:iCs w:val="1"/>
          <w:color w:val="auto"/>
        </w:rPr>
        <w:t>SOX</w:t>
      </w:r>
      <w:r>
        <w:rPr>
          <w:rFonts w:ascii="Arial" w:cs="Arial" w:eastAsia="Arial" w:hAnsi="Arial"/>
          <w:sz w:val="12"/>
          <w:szCs w:val="12"/>
          <w:color w:val="auto"/>
        </w:rPr>
        <w:t>”), which requires, among other things, that companies maintain disclosure controls and procedures to ensure timely disclosure of material information, and that management review the effectiveness of those controls on a quarterly basis. Because we ceased to be an “emerging growth company” as defined in the Jumpstart Our Business Startups Act of 2012 (the “</w:t>
      </w:r>
      <w:r>
        <w:rPr>
          <w:rFonts w:ascii="Arial" w:cs="Arial" w:eastAsia="Arial" w:hAnsi="Arial"/>
          <w:sz w:val="12"/>
          <w:szCs w:val="12"/>
          <w:b w:val="1"/>
          <w:bCs w:val="1"/>
          <w:i w:val="1"/>
          <w:iCs w:val="1"/>
          <w:color w:val="auto"/>
        </w:rPr>
        <w:t>JOBS Act</w:t>
      </w:r>
      <w:r>
        <w:rPr>
          <w:rFonts w:ascii="Arial" w:cs="Arial" w:eastAsia="Arial" w:hAnsi="Arial"/>
          <w:sz w:val="12"/>
          <w:szCs w:val="12"/>
          <w:color w:val="auto"/>
        </w:rPr>
        <w:t>”) with our transition to large accelerated filer status as of December 31, 2019, we are also now subject to Section 404(b) of SOX, which requires that our independent registered public accounting firm provide an attestation report on the effectiveness of our internal control over financial reporting for the first time in this Annual Report on Form 10-K, among other additional requirements. Effective internal controls are necessary for us to provide reliable financial reports and to help prevent fraud, and our management and other personnel devote a substantial amount of time to these compliance requirements. These rules and regulations also increase our legal and financial compliance costs and make some activities more time-consuming and costly.</w:t>
      </w:r>
    </w:p>
    <w:p>
      <w:pPr>
        <w:spacing w:after="0" w:line="129" w:lineRule="exact"/>
        <w:rPr>
          <w:sz w:val="20"/>
          <w:szCs w:val="20"/>
          <w:color w:val="auto"/>
        </w:rPr>
      </w:pPr>
    </w:p>
    <w:p>
      <w:pPr>
        <w:ind w:right="80" w:firstLine="602"/>
        <w:spacing w:after="0" w:line="255" w:lineRule="auto"/>
        <w:rPr>
          <w:sz w:val="20"/>
          <w:szCs w:val="20"/>
          <w:color w:val="auto"/>
        </w:rPr>
      </w:pPr>
      <w:r>
        <w:rPr>
          <w:rFonts w:ascii="Arial" w:cs="Arial" w:eastAsia="Arial" w:hAnsi="Arial"/>
          <w:sz w:val="12"/>
          <w:szCs w:val="12"/>
          <w:color w:val="auto"/>
        </w:rPr>
        <w:t>As disclosed in Part II – Item 9A, “</w:t>
      </w:r>
      <w:r>
        <w:rPr>
          <w:rFonts w:ascii="Arial" w:cs="Arial" w:eastAsia="Arial" w:hAnsi="Arial"/>
          <w:sz w:val="12"/>
          <w:szCs w:val="12"/>
          <w:i w:val="1"/>
          <w:iCs w:val="1"/>
          <w:color w:val="auto"/>
        </w:rPr>
        <w:t>Controls and Procedures</w:t>
      </w:r>
      <w:r>
        <w:rPr>
          <w:rFonts w:ascii="Arial" w:cs="Arial" w:eastAsia="Arial" w:hAnsi="Arial"/>
          <w:sz w:val="12"/>
          <w:szCs w:val="12"/>
          <w:color w:val="auto"/>
        </w:rPr>
        <w:t>”, of this Annual Report on Form 10-K, we identified a material weakness in our internal control over financial reporting related to ineffective information technology general controls in the area of user access over certain systems that support our financial reporting process. As a result, management concluded that our internal control over financial reporting was not effective as of December 31, 2019. A material weakness is a deficiency, or a combination of deficiencies, in internal control over financial reporting, such that there is a reasonable possibility that a material misstatement or a company’s annual or interim financial statements will not be prevented or detected on a timely basis. The material weakness identified in Item 9A did not result in any misstatement of our financial statements for any period presented. We have designed and have begun implementation of a remediation plan for this material weakness and expect it to be remediated during fiscal year 2020. However, our remediation efforts may be inadequate, and we may in the future discover other areas of our internal controls that require remediation.</w:t>
      </w:r>
    </w:p>
    <w:p>
      <w:pPr>
        <w:spacing w:after="0" w:line="129" w:lineRule="exact"/>
        <w:rPr>
          <w:sz w:val="20"/>
          <w:szCs w:val="20"/>
          <w:color w:val="auto"/>
        </w:rPr>
      </w:pPr>
    </w:p>
    <w:p>
      <w:pPr>
        <w:ind w:right="120" w:firstLine="602"/>
        <w:spacing w:after="0" w:line="290" w:lineRule="auto"/>
        <w:rPr>
          <w:sz w:val="20"/>
          <w:szCs w:val="20"/>
          <w:color w:val="auto"/>
        </w:rPr>
      </w:pPr>
      <w:r>
        <w:rPr>
          <w:rFonts w:ascii="Arial" w:cs="Arial" w:eastAsia="Arial" w:hAnsi="Arial"/>
          <w:sz w:val="11"/>
          <w:szCs w:val="11"/>
          <w:color w:val="auto"/>
        </w:rPr>
        <w:t>We cannot be certain that we will be able to maintain adequate controls over our financial processes and reporting in the future or that we will be able to comply with our obligations under Section 404 of SOX. If we fail to maintain the adequacy of our internal controls, we cannot assure our stockholders that we will be able to conclude in the future that we have effective internal control over financial reporting, and/or we may encounter difficulties in implementing or improving our internal controls, which could harm our operating results or cause us to fail to meet our reporting obligations. If we fail to maintain effective internal controls, investors may lose confidence in the accuracy and completeness or our financial reports, the market price of our securities may be negatively affected, and we could be subject to sanctions or investigation by regulatory authorities, such as the SEC or Nasdaq.</w:t>
      </w:r>
    </w:p>
    <w:p>
      <w:pPr>
        <w:spacing w:after="0" w:line="18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Compliance and reporting requirements related to being a public company may strain our resources and divert management’s attention.</w:t>
      </w:r>
    </w:p>
    <w:p>
      <w:pPr>
        <w:spacing w:after="0" w:line="78" w:lineRule="exact"/>
        <w:rPr>
          <w:sz w:val="20"/>
          <w:szCs w:val="20"/>
          <w:color w:val="auto"/>
        </w:rPr>
      </w:pPr>
    </w:p>
    <w:p>
      <w:pPr>
        <w:ind w:firstLine="602"/>
        <w:spacing w:after="0" w:line="286" w:lineRule="auto"/>
        <w:rPr>
          <w:sz w:val="20"/>
          <w:szCs w:val="20"/>
          <w:color w:val="auto"/>
        </w:rPr>
      </w:pPr>
      <w:r>
        <w:rPr>
          <w:rFonts w:ascii="Arial" w:cs="Arial" w:eastAsia="Arial" w:hAnsi="Arial"/>
          <w:sz w:val="11"/>
          <w:szCs w:val="11"/>
          <w:color w:val="auto"/>
        </w:rPr>
        <w:t>The requirements of being a public company may strain our resources, divert management’s attention and affect our ability to attract and retain executive management and qualified board members. As a public company, we are subject to the reporting requirements of the Exchange Act, SOX, the Dodd-Frank Wall Street Reform and Consumer Protection Act, the listing requirements of Nasdaq and other applicable securities rules and regulations. Compliance with these rules and regulations will increase our legal and financial compliance costs, make some activities more difficult, time-consuming or costly, and increase demand on our systems and resources. We ceased to be an “emerging growth company” as defined in the JOBS Act with our transition to large accelerated filer status as of December 31, 2019. As a result, we have experienced, and expect to continue to experience, additional costs associated with being a public company going forward, including costs associated with compliance with the auditor attestation requirement of Section 404 of SOX.</w:t>
      </w:r>
    </w:p>
    <w:p>
      <w:pPr>
        <w:spacing w:after="0" w:line="111" w:lineRule="exact"/>
        <w:rPr>
          <w:sz w:val="20"/>
          <w:szCs w:val="20"/>
          <w:color w:val="auto"/>
        </w:rPr>
      </w:pPr>
    </w:p>
    <w:p>
      <w:pPr>
        <w:ind w:right="120" w:firstLine="602"/>
        <w:spacing w:after="0" w:line="259" w:lineRule="auto"/>
        <w:rPr>
          <w:sz w:val="20"/>
          <w:szCs w:val="20"/>
          <w:color w:val="auto"/>
        </w:rPr>
      </w:pPr>
      <w:r>
        <w:rPr>
          <w:rFonts w:ascii="Arial" w:cs="Arial" w:eastAsia="Arial" w:hAnsi="Arial"/>
          <w:sz w:val="12"/>
          <w:szCs w:val="12"/>
          <w:color w:val="auto"/>
        </w:rPr>
        <w:t>Moreover, the demands on management in operating a publicly traded company, interacting with public company investors and complying with the increasingly complex laws pertaining to public companies, are significant. Our management team may not successfully or efficiently manage us as a public company subject to significant regulatory oversight and reporting obligations under the federal securities laws and the continuous scrutiny of securities analysts and investors. These obligations and constituents require significant attention from our senior management and could divert their attention away from the day-to-day management of our business, which could adversely affect our business, results of operations and financial condition.</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17740" cy="368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ectPr>
          <w:pgSz w:w="11900" w:h="16838" w:orient="portrait"/>
          <w:cols w:equalWidth="0" w:num="1">
            <w:col w:w="11480"/>
          </w:cols>
          <w:pgMar w:left="220" w:top="347" w:right="199" w:bottom="1440" w:gutter="0" w:footer="0" w:header="0"/>
        </w:sectPr>
      </w:pPr>
    </w:p>
    <w:bookmarkStart w:id="31" w:name="page32"/>
    <w:bookmarkEnd w:id="31"/>
    <w:p>
      <w:pPr>
        <w:spacing w:after="0"/>
        <w:rPr>
          <w:sz w:val="20"/>
          <w:szCs w:val="20"/>
          <w:color w:val="auto"/>
        </w:rPr>
      </w:pPr>
      <w:r>
        <w:rPr>
          <w:rFonts w:ascii="Arial" w:cs="Arial" w:eastAsia="Arial" w:hAnsi="Arial"/>
          <w:sz w:val="12"/>
          <w:szCs w:val="12"/>
          <w:b w:val="1"/>
          <w:bCs w:val="1"/>
          <w:i w:val="1"/>
          <w:iCs w:val="1"/>
          <w:color w:val="auto"/>
        </w:rPr>
        <w:t>We are required to pay PE Greenlight Holdings, LLC for a significant portion of the tax benefit relating to pre-Business Combination tax attributes of Verra Mobility.</w:t>
      </w:r>
    </w:p>
    <w:p>
      <w:pPr>
        <w:spacing w:after="0" w:line="78" w:lineRule="exact"/>
        <w:rPr>
          <w:sz w:val="20"/>
          <w:szCs w:val="20"/>
          <w:color w:val="auto"/>
        </w:rPr>
      </w:pPr>
    </w:p>
    <w:p>
      <w:pPr>
        <w:ind w:right="60" w:firstLine="602"/>
        <w:spacing w:after="0" w:line="259" w:lineRule="auto"/>
        <w:rPr>
          <w:sz w:val="20"/>
          <w:szCs w:val="20"/>
          <w:color w:val="auto"/>
        </w:rPr>
      </w:pPr>
      <w:r>
        <w:rPr>
          <w:rFonts w:ascii="Arial" w:cs="Arial" w:eastAsia="Arial" w:hAnsi="Arial"/>
          <w:sz w:val="12"/>
          <w:szCs w:val="12"/>
          <w:color w:val="auto"/>
        </w:rPr>
        <w:t>At the closing of the Business Combination, we entered into the Tax Receivable Agreement with the PE Greenlight Holdings, LLC (the “</w:t>
      </w:r>
      <w:r>
        <w:rPr>
          <w:rFonts w:ascii="Arial" w:cs="Arial" w:eastAsia="Arial" w:hAnsi="Arial"/>
          <w:sz w:val="12"/>
          <w:szCs w:val="12"/>
          <w:b w:val="1"/>
          <w:bCs w:val="1"/>
          <w:i w:val="1"/>
          <w:iCs w:val="1"/>
          <w:color w:val="auto"/>
        </w:rPr>
        <w:t>Platinum Stockholder</w:t>
      </w:r>
      <w:r>
        <w:rPr>
          <w:rFonts w:ascii="Arial" w:cs="Arial" w:eastAsia="Arial" w:hAnsi="Arial"/>
          <w:sz w:val="12"/>
          <w:szCs w:val="12"/>
          <w:color w:val="auto"/>
        </w:rPr>
        <w:t>”) and the stockholder representative (as may be amended from time to time, the “</w:t>
      </w:r>
      <w:r>
        <w:rPr>
          <w:rFonts w:ascii="Arial" w:cs="Arial" w:eastAsia="Arial" w:hAnsi="Arial"/>
          <w:sz w:val="12"/>
          <w:szCs w:val="12"/>
          <w:b w:val="1"/>
          <w:bCs w:val="1"/>
          <w:i w:val="1"/>
          <w:iCs w:val="1"/>
          <w:color w:val="auto"/>
        </w:rPr>
        <w:t>Tax Receivable Agreement</w:t>
      </w:r>
      <w:r>
        <w:rPr>
          <w:rFonts w:ascii="Arial" w:cs="Arial" w:eastAsia="Arial" w:hAnsi="Arial"/>
          <w:sz w:val="12"/>
          <w:szCs w:val="12"/>
          <w:color w:val="auto"/>
        </w:rPr>
        <w:t>”). The Tax Receivable Agreement provides for the payment by us to the Platinum Stockholder of 50% of the net cash savings, if any, in U.S. federal, state and local income tax that we actually realize (or are deemed to realize in certain circumstances) in periods after the closing of the Business Combination as a result of the increase in the tax basis of the intangible assets of HTA resulting from the acquisition of HTA by Verra Mobility prior to the Business Combination. We will generally retain the benefit of the remaining 50% of these cash savings.</w:t>
      </w:r>
    </w:p>
    <w:p>
      <w:pPr>
        <w:spacing w:after="0" w:line="125" w:lineRule="exact"/>
        <w:rPr>
          <w:sz w:val="20"/>
          <w:szCs w:val="20"/>
          <w:color w:val="auto"/>
        </w:rPr>
      </w:pPr>
    </w:p>
    <w:p>
      <w:pPr>
        <w:jc w:val="both"/>
        <w:ind w:right="20" w:firstLine="602"/>
        <w:spacing w:after="0" w:line="263" w:lineRule="auto"/>
        <w:rPr>
          <w:sz w:val="20"/>
          <w:szCs w:val="20"/>
          <w:color w:val="auto"/>
        </w:rPr>
      </w:pPr>
      <w:r>
        <w:rPr>
          <w:rFonts w:ascii="Arial" w:cs="Arial" w:eastAsia="Arial" w:hAnsi="Arial"/>
          <w:sz w:val="12"/>
          <w:szCs w:val="12"/>
          <w:color w:val="auto"/>
        </w:rPr>
        <w:t>Under certain circumstances (including an election by us, a material breach of our obligations under the Tax Receivable Agreement, or certain transactions constituting a change in control or divestiture of the HTA assets under the Tax Receivable Agreement), payments under the Tax Receivable Agreement may accelerate, and we may be required to make such payments in a lump sum based on certain valuation assumptions, including that we and our subsidiaries will generate sufficient taxable income to fully utilize the applicable deductions generated by the intangible assets of HTA.</w:t>
      </w:r>
    </w:p>
    <w:p>
      <w:pPr>
        <w:spacing w:after="0" w:line="19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Risks Related to Our Class A Common Stock and Warrants</w:t>
      </w:r>
    </w:p>
    <w:p>
      <w:pPr>
        <w:spacing w:after="0" w:line="8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Platinum Equity has significant influence over us.</w:t>
      </w:r>
    </w:p>
    <w:p>
      <w:pPr>
        <w:spacing w:after="0" w:line="78" w:lineRule="exact"/>
        <w:rPr>
          <w:sz w:val="20"/>
          <w:szCs w:val="20"/>
          <w:color w:val="auto"/>
        </w:rPr>
      </w:pPr>
    </w:p>
    <w:p>
      <w:pPr>
        <w:ind w:firstLine="602"/>
        <w:spacing w:after="0" w:line="280" w:lineRule="auto"/>
        <w:rPr>
          <w:sz w:val="20"/>
          <w:szCs w:val="20"/>
          <w:color w:val="auto"/>
        </w:rPr>
      </w:pPr>
      <w:r>
        <w:rPr>
          <w:rFonts w:ascii="Arial" w:cs="Arial" w:eastAsia="Arial" w:hAnsi="Arial"/>
          <w:sz w:val="11"/>
          <w:szCs w:val="11"/>
          <w:color w:val="auto"/>
        </w:rPr>
        <w:t>Platinum Equity, LLC, its sponsored funds and affiliated private equity investment vehicles (collectively, “</w:t>
      </w:r>
      <w:r>
        <w:rPr>
          <w:rFonts w:ascii="Arial" w:cs="Arial" w:eastAsia="Arial" w:hAnsi="Arial"/>
          <w:sz w:val="11"/>
          <w:szCs w:val="11"/>
          <w:b w:val="1"/>
          <w:bCs w:val="1"/>
          <w:i w:val="1"/>
          <w:iCs w:val="1"/>
          <w:color w:val="auto"/>
        </w:rPr>
        <w:t>Platinum Equity</w:t>
      </w:r>
      <w:r>
        <w:rPr>
          <w:rFonts w:ascii="Arial" w:cs="Arial" w:eastAsia="Arial" w:hAnsi="Arial"/>
          <w:sz w:val="11"/>
          <w:szCs w:val="11"/>
          <w:color w:val="auto"/>
        </w:rPr>
        <w:t>”) beneficially owned approximately 16% of our Class A Common Stock as of December 31, 2019. As long as Platinum Equity owns or controls a significant percentage of our outstanding voting power, it will have the ability to influence corporate actions requiring stockholder approval, including the election and removal of directors and the size of our Board, any amendment to our certificate of incorporation or bylaws, or the approval of any merger or other significant corporate transaction, including a sale of substantially all of our assets. Platinum Equity’s influence over our management could have the effect of delaying or preventing a change in control or otherwise discouraging a potential acquirer from attempting to obtain control of us, which could cause the market price of our securities to decline or prevent security holders from realizing a premium over the market price for such securities. Under the Merger Agreement, Platinum Equity is entitled to receive additional shares of our Class A Common Stock if the volume weighted average closing price of our Class A Common Stock exceeds certain thresholds, as described in Part II, Item 5, below. Additionally, the earn-out shares issuable to the Platinum Stockholder accelerate upon a qualifying change of control. Finally, because our certificate of incorporation opts out of Section 203 of the DGCL regulating certain business combinations with interested stockholders, Platinum Equity may transfer shares to a third party by transferring their securities without the approval of our Board or other stockholders, which may limit the price that investors are willing to pay in the future for our securities.</w:t>
      </w:r>
    </w:p>
    <w:p>
      <w:pPr>
        <w:spacing w:after="0" w:line="116" w:lineRule="exact"/>
        <w:rPr>
          <w:sz w:val="20"/>
          <w:szCs w:val="20"/>
          <w:color w:val="auto"/>
        </w:rPr>
      </w:pPr>
    </w:p>
    <w:p>
      <w:pPr>
        <w:ind w:firstLine="602"/>
        <w:spacing w:after="0" w:line="280" w:lineRule="auto"/>
        <w:rPr>
          <w:sz w:val="20"/>
          <w:szCs w:val="20"/>
          <w:color w:val="auto"/>
        </w:rPr>
      </w:pPr>
      <w:r>
        <w:rPr>
          <w:rFonts w:ascii="Arial" w:cs="Arial" w:eastAsia="Arial" w:hAnsi="Arial"/>
          <w:sz w:val="11"/>
          <w:szCs w:val="11"/>
          <w:color w:val="auto"/>
        </w:rPr>
        <w:t>Pursuant to the Investor Rights Agreement, the Platinum Stockholder has the right to nominate up to three directors to the Board, depending on its ownership percentage. If one of the Platinum Stockholder’s nominees is elected, one of the Platinum Stockholder’s nominees will serve as the chairman of the Board, and the Platinum Stockholder will have the right to appoint one representative to each committee of the Board. The Platinum Stockholder’s right to nominate directors to the Board is subject to its ownership percentage of the total outstanding shares of Class A Common Stock. If the Platinum Stockholder holds: (i) 25% or greater of the outstanding Class A Common Stock, it has the right to nominate three directors; (ii) less than 25% but greater than or equal to 15% of the outstanding Class A Common Stock, it has the right to nominate two directors; (iii) less than 15% but greater than or equal to 5% of the outstanding Class A Common Stock, it has the right to nominate one director; and (iv) less than 5% of the outstanding Class A Common Stock, it has no right to nominate any directors. Jacob Kotzubei, the Chairman of our Board, Bryan Kelln and David Roberts, our President and Chief Executive Officer, are the current Platinum Stockholder nominees serving on our Board. David Roberts’ current term runs through our 2020 annual stockholder meeting, and Jacob Kotzubei and Bryan Kelln’s terms run through our 2021 annual stockholder meeting. Changes in the Platinum Stockholder’s ownership percentage during its respective nominees’ terms do not require any director, including the Platinum Stockholder’s nominees, to resign from the Board.</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17740" cy="368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ectPr>
          <w:pgSz w:w="11900" w:h="16838" w:orient="portrait"/>
          <w:cols w:equalWidth="0" w:num="1">
            <w:col w:w="11480"/>
          </w:cols>
          <w:pgMar w:left="220" w:top="347" w:right="199" w:bottom="1440" w:gutter="0" w:footer="0" w:header="0"/>
        </w:sectPr>
      </w:pPr>
    </w:p>
    <w:bookmarkStart w:id="32" w:name="page33"/>
    <w:bookmarkEnd w:id="32"/>
    <w:p>
      <w:pPr>
        <w:ind w:firstLine="602"/>
        <w:spacing w:after="0" w:line="279" w:lineRule="auto"/>
        <w:rPr>
          <w:sz w:val="20"/>
          <w:szCs w:val="20"/>
          <w:color w:val="auto"/>
        </w:rPr>
      </w:pPr>
      <w:r>
        <w:rPr>
          <w:rFonts w:ascii="Arial" w:cs="Arial" w:eastAsia="Arial" w:hAnsi="Arial"/>
          <w:sz w:val="11"/>
          <w:szCs w:val="11"/>
          <w:color w:val="auto"/>
        </w:rPr>
        <w:t>Platinum Equity’s interests may not align with the interests of our other security holders. Accordingly, Platinum Equity could cause us to enter into transactions or agreements of which our stockholders would not approve or make decisions with which they would not agree. Further, Platinum Equity is in the business of making investments in companies and may acquire and hold interests in businesses that compete directly or indirectly with us. Platinum Equity may also pursue acquisition opportunities that may be complementary to our business, and, as a result, those acquisition opportunities may not be available to us. In recognition that principals, members, directors, managers, partners, stockholders, officers, employees and other representatives of Platinum Equity and its affiliates and investment funds may serve as our directors or officers, our certificate of incorporation provides, among other things, that none of Platinum Equity or any principal, member, director, manager, partner, stockholder, officer, employee or other representative of Platinum Equity has any duty to refrain from engaging directly or indirectly in the same or similar business activities or lines of business that we do. In the event that any of these persons or entities acquires knowledge of a potential transaction or matter which may be a corporate opportunity for itself and us, we will not have any expectancy in such corporate opportunity, and these persons and entities will not have any duty to communicate or offer such corporate opportunity to us and may pursue or acquire such corporate opportunity for themselves or direct such opportunity to another person. We are also party to a corporate advisory services agreement with Platinum Equity Advisors, LLC (“</w:t>
      </w:r>
      <w:r>
        <w:rPr>
          <w:rFonts w:ascii="Arial" w:cs="Arial" w:eastAsia="Arial" w:hAnsi="Arial"/>
          <w:sz w:val="11"/>
          <w:szCs w:val="11"/>
          <w:b w:val="1"/>
          <w:bCs w:val="1"/>
          <w:i w:val="1"/>
          <w:iCs w:val="1"/>
          <w:color w:val="auto"/>
        </w:rPr>
        <w:t>Advisors</w:t>
      </w:r>
      <w:r>
        <w:rPr>
          <w:rFonts w:ascii="Arial" w:cs="Arial" w:eastAsia="Arial" w:hAnsi="Arial"/>
          <w:sz w:val="11"/>
          <w:szCs w:val="11"/>
          <w:color w:val="auto"/>
        </w:rPr>
        <w:t>”), pursuant to which Advisors will provide us with certain transactional and corporate advisory services as mutually agreed between us and Advisors. These potential conflicts of interest could have a material adverse effect on our business, financial condition and results of operations if, among other things, attractive corporate opportunities are allocated by Platinum Equity to themselves or their other affiliates.</w:t>
      </w:r>
    </w:p>
    <w:p>
      <w:pPr>
        <w:spacing w:after="0" w:line="18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Anti-takeover provisions contained in our certificate of incorporation and bylaws, as well as provisions of Delaware law, could impair a takeover attempt.</w:t>
      </w:r>
    </w:p>
    <w:p>
      <w:pPr>
        <w:spacing w:after="0" w:line="78" w:lineRule="exact"/>
        <w:rPr>
          <w:sz w:val="20"/>
          <w:szCs w:val="20"/>
          <w:color w:val="auto"/>
        </w:rPr>
      </w:pPr>
    </w:p>
    <w:p>
      <w:pPr>
        <w:ind w:right="20" w:firstLine="602"/>
        <w:spacing w:after="0" w:line="263" w:lineRule="auto"/>
        <w:rPr>
          <w:sz w:val="20"/>
          <w:szCs w:val="20"/>
          <w:color w:val="auto"/>
        </w:rPr>
      </w:pPr>
      <w:r>
        <w:rPr>
          <w:rFonts w:ascii="Arial" w:cs="Arial" w:eastAsia="Arial" w:hAnsi="Arial"/>
          <w:sz w:val="12"/>
          <w:szCs w:val="12"/>
          <w:color w:val="auto"/>
        </w:rPr>
        <w:t>Our certificate of incorporation contains provisions that may discourage unsolicited takeover proposals that stockholders may consider to be in their best interests. We are also subject to anti-takeover provisions under Delaware law, which could delay or prevent a change of control. Together, these provisions may make the removal of management more difficult and may discourage transactions that otherwise could involve payment of a premium over prevailing market prices for our securities. These provisions will include:</w:t>
      </w:r>
    </w:p>
    <w:p>
      <w:pPr>
        <w:spacing w:after="0" w:line="51" w:lineRule="exact"/>
        <w:rPr>
          <w:sz w:val="20"/>
          <w:szCs w:val="20"/>
          <w:color w:val="auto"/>
        </w:rPr>
      </w:pPr>
    </w:p>
    <w:p>
      <w:pPr>
        <w:ind w:left="1180" w:hanging="593"/>
        <w:spacing w:after="0"/>
        <w:tabs>
          <w:tab w:leader="none" w:pos="1180" w:val="left"/>
        </w:tabs>
        <w:numPr>
          <w:ilvl w:val="0"/>
          <w:numId w:val="12"/>
        </w:numPr>
        <w:rPr>
          <w:rFonts w:ascii="Arial" w:cs="Arial" w:eastAsia="Arial" w:hAnsi="Arial"/>
          <w:sz w:val="12"/>
          <w:szCs w:val="12"/>
          <w:color w:val="auto"/>
        </w:rPr>
      </w:pPr>
      <w:r>
        <w:rPr>
          <w:rFonts w:ascii="Arial" w:cs="Arial" w:eastAsia="Arial" w:hAnsi="Arial"/>
          <w:sz w:val="12"/>
          <w:szCs w:val="12"/>
          <w:color w:val="auto"/>
        </w:rPr>
        <w:t>no cumulative voting in the election of directors, which limits the ability of minority stockholders to elect director candidates;</w:t>
      </w:r>
    </w:p>
    <w:p>
      <w:pPr>
        <w:spacing w:after="0" w:line="78" w:lineRule="exact"/>
        <w:rPr>
          <w:rFonts w:ascii="Arial" w:cs="Arial" w:eastAsia="Arial" w:hAnsi="Arial"/>
          <w:sz w:val="12"/>
          <w:szCs w:val="12"/>
          <w:color w:val="auto"/>
        </w:rPr>
      </w:pPr>
    </w:p>
    <w:p>
      <w:pPr>
        <w:ind w:left="1180" w:hanging="593"/>
        <w:spacing w:after="0"/>
        <w:tabs>
          <w:tab w:leader="none" w:pos="1180" w:val="left"/>
        </w:tabs>
        <w:numPr>
          <w:ilvl w:val="0"/>
          <w:numId w:val="12"/>
        </w:numPr>
        <w:rPr>
          <w:rFonts w:ascii="Arial" w:cs="Arial" w:eastAsia="Arial" w:hAnsi="Arial"/>
          <w:sz w:val="12"/>
          <w:szCs w:val="12"/>
          <w:color w:val="auto"/>
        </w:rPr>
      </w:pPr>
      <w:r>
        <w:rPr>
          <w:rFonts w:ascii="Arial" w:cs="Arial" w:eastAsia="Arial" w:hAnsi="Arial"/>
          <w:sz w:val="12"/>
          <w:szCs w:val="12"/>
          <w:color w:val="auto"/>
        </w:rPr>
        <w:t>a classified board of directors with three-year staggered terms, which could delay the ability of stockholders to change the membership of a majority of the Board;</w:t>
      </w:r>
    </w:p>
    <w:p>
      <w:pPr>
        <w:spacing w:after="0" w:line="78" w:lineRule="exact"/>
        <w:rPr>
          <w:rFonts w:ascii="Arial" w:cs="Arial" w:eastAsia="Arial" w:hAnsi="Arial"/>
          <w:sz w:val="12"/>
          <w:szCs w:val="12"/>
          <w:color w:val="auto"/>
        </w:rPr>
      </w:pPr>
    </w:p>
    <w:p>
      <w:pPr>
        <w:ind w:left="1180" w:hanging="593"/>
        <w:spacing w:after="0"/>
        <w:tabs>
          <w:tab w:leader="none" w:pos="1180" w:val="left"/>
        </w:tabs>
        <w:numPr>
          <w:ilvl w:val="0"/>
          <w:numId w:val="12"/>
        </w:numPr>
        <w:rPr>
          <w:rFonts w:ascii="Arial" w:cs="Arial" w:eastAsia="Arial" w:hAnsi="Arial"/>
          <w:sz w:val="12"/>
          <w:szCs w:val="12"/>
          <w:color w:val="auto"/>
        </w:rPr>
      </w:pPr>
      <w:r>
        <w:rPr>
          <w:rFonts w:ascii="Arial" w:cs="Arial" w:eastAsia="Arial" w:hAnsi="Arial"/>
          <w:sz w:val="12"/>
          <w:szCs w:val="12"/>
          <w:color w:val="auto"/>
        </w:rPr>
        <w:t>the requirement that directors may only be removed from the Board for cause;</w:t>
      </w:r>
    </w:p>
    <w:p>
      <w:pPr>
        <w:spacing w:after="0" w:line="78" w:lineRule="exact"/>
        <w:rPr>
          <w:rFonts w:ascii="Arial" w:cs="Arial" w:eastAsia="Arial" w:hAnsi="Arial"/>
          <w:sz w:val="12"/>
          <w:szCs w:val="12"/>
          <w:color w:val="auto"/>
        </w:rPr>
      </w:pPr>
    </w:p>
    <w:p>
      <w:pPr>
        <w:ind w:left="1180" w:right="180" w:hanging="593"/>
        <w:spacing w:after="0" w:line="276" w:lineRule="auto"/>
        <w:tabs>
          <w:tab w:leader="none" w:pos="1180" w:val="left"/>
        </w:tabs>
        <w:numPr>
          <w:ilvl w:val="0"/>
          <w:numId w:val="12"/>
        </w:numPr>
        <w:rPr>
          <w:rFonts w:ascii="Arial" w:cs="Arial" w:eastAsia="Arial" w:hAnsi="Arial"/>
          <w:sz w:val="12"/>
          <w:szCs w:val="12"/>
          <w:color w:val="auto"/>
        </w:rPr>
      </w:pPr>
      <w:r>
        <w:rPr>
          <w:rFonts w:ascii="Arial" w:cs="Arial" w:eastAsia="Arial" w:hAnsi="Arial"/>
          <w:sz w:val="12"/>
          <w:szCs w:val="12"/>
          <w:color w:val="auto"/>
        </w:rPr>
        <w:t>the right of our Board to elect a director to fill a vacancy created by the expansion of our Board or the resignation, death or removal of a director in certain circumstances, which prevents stockholders from being able to fill vacancies on our Board;</w:t>
      </w:r>
    </w:p>
    <w:p>
      <w:pPr>
        <w:spacing w:after="0" w:line="42" w:lineRule="exact"/>
        <w:rPr>
          <w:rFonts w:ascii="Arial" w:cs="Arial" w:eastAsia="Arial" w:hAnsi="Arial"/>
          <w:sz w:val="12"/>
          <w:szCs w:val="12"/>
          <w:color w:val="auto"/>
        </w:rPr>
      </w:pPr>
    </w:p>
    <w:p>
      <w:pPr>
        <w:ind w:left="1180" w:hanging="593"/>
        <w:spacing w:after="0"/>
        <w:tabs>
          <w:tab w:leader="none" w:pos="1180" w:val="left"/>
        </w:tabs>
        <w:numPr>
          <w:ilvl w:val="0"/>
          <w:numId w:val="12"/>
        </w:numPr>
        <w:rPr>
          <w:rFonts w:ascii="Arial" w:cs="Arial" w:eastAsia="Arial" w:hAnsi="Arial"/>
          <w:sz w:val="12"/>
          <w:szCs w:val="12"/>
          <w:color w:val="auto"/>
        </w:rPr>
      </w:pPr>
      <w:r>
        <w:rPr>
          <w:rFonts w:ascii="Arial" w:cs="Arial" w:eastAsia="Arial" w:hAnsi="Arial"/>
          <w:sz w:val="12"/>
          <w:szCs w:val="12"/>
          <w:color w:val="auto"/>
        </w:rPr>
        <w:t>a prohibition on stockholder action by written consent, which forces stockholder action to be taken at an annual or special meeting of our stockholders;</w:t>
      </w:r>
    </w:p>
    <w:p>
      <w:pPr>
        <w:spacing w:after="0" w:line="78" w:lineRule="exact"/>
        <w:rPr>
          <w:rFonts w:ascii="Arial" w:cs="Arial" w:eastAsia="Arial" w:hAnsi="Arial"/>
          <w:sz w:val="12"/>
          <w:szCs w:val="12"/>
          <w:color w:val="auto"/>
        </w:rPr>
      </w:pPr>
    </w:p>
    <w:p>
      <w:pPr>
        <w:ind w:left="1180" w:right="120" w:hanging="593"/>
        <w:spacing w:after="0" w:line="276" w:lineRule="auto"/>
        <w:tabs>
          <w:tab w:leader="none" w:pos="1180" w:val="left"/>
        </w:tabs>
        <w:numPr>
          <w:ilvl w:val="0"/>
          <w:numId w:val="12"/>
        </w:numPr>
        <w:rPr>
          <w:rFonts w:ascii="Arial" w:cs="Arial" w:eastAsia="Arial" w:hAnsi="Arial"/>
          <w:sz w:val="12"/>
          <w:szCs w:val="12"/>
          <w:color w:val="auto"/>
        </w:rPr>
      </w:pPr>
      <w:r>
        <w:rPr>
          <w:rFonts w:ascii="Arial" w:cs="Arial" w:eastAsia="Arial" w:hAnsi="Arial"/>
          <w:sz w:val="12"/>
          <w:szCs w:val="12"/>
          <w:color w:val="auto"/>
        </w:rPr>
        <w:t>a prohibition on stockholders calling a special meeting and the requirement that a meeting of stockholders may only be called by members of our Board or our Chief Executive Officer, which may delay the ability of our stockholders to force consideration of a proposal or to take action, including the removal of directors;</w:t>
      </w:r>
    </w:p>
    <w:p>
      <w:pPr>
        <w:spacing w:after="0" w:line="42" w:lineRule="exact"/>
        <w:rPr>
          <w:rFonts w:ascii="Arial" w:cs="Arial" w:eastAsia="Arial" w:hAnsi="Arial"/>
          <w:sz w:val="12"/>
          <w:szCs w:val="12"/>
          <w:color w:val="auto"/>
        </w:rPr>
      </w:pPr>
    </w:p>
    <w:p>
      <w:pPr>
        <w:ind w:left="1180" w:hanging="593"/>
        <w:spacing w:after="0"/>
        <w:tabs>
          <w:tab w:leader="none" w:pos="1180" w:val="left"/>
        </w:tabs>
        <w:numPr>
          <w:ilvl w:val="0"/>
          <w:numId w:val="12"/>
        </w:numPr>
        <w:rPr>
          <w:rFonts w:ascii="Arial" w:cs="Arial" w:eastAsia="Arial" w:hAnsi="Arial"/>
          <w:sz w:val="12"/>
          <w:szCs w:val="12"/>
          <w:color w:val="auto"/>
        </w:rPr>
      </w:pPr>
      <w:r>
        <w:rPr>
          <w:rFonts w:ascii="Arial" w:cs="Arial" w:eastAsia="Arial" w:hAnsi="Arial"/>
          <w:sz w:val="12"/>
          <w:szCs w:val="12"/>
          <w:color w:val="auto"/>
        </w:rPr>
        <w:t>the requirement that changes or amendments to certain provisions of our certificate of incorporation or bylaws must be approved by holders of at least two-thirds of our Common Stock; and</w:t>
      </w:r>
    </w:p>
    <w:p>
      <w:pPr>
        <w:spacing w:after="0" w:line="78" w:lineRule="exact"/>
        <w:rPr>
          <w:rFonts w:ascii="Arial" w:cs="Arial" w:eastAsia="Arial" w:hAnsi="Arial"/>
          <w:sz w:val="12"/>
          <w:szCs w:val="12"/>
          <w:color w:val="auto"/>
        </w:rPr>
      </w:pPr>
    </w:p>
    <w:p>
      <w:pPr>
        <w:ind w:left="1180" w:right="220" w:hanging="593"/>
        <w:spacing w:after="0" w:line="276" w:lineRule="auto"/>
        <w:tabs>
          <w:tab w:leader="none" w:pos="1180" w:val="left"/>
        </w:tabs>
        <w:numPr>
          <w:ilvl w:val="0"/>
          <w:numId w:val="12"/>
        </w:numPr>
        <w:rPr>
          <w:rFonts w:ascii="Arial" w:cs="Arial" w:eastAsia="Arial" w:hAnsi="Arial"/>
          <w:sz w:val="12"/>
          <w:szCs w:val="12"/>
          <w:color w:val="auto"/>
        </w:rPr>
      </w:pPr>
      <w:r>
        <w:rPr>
          <w:rFonts w:ascii="Arial" w:cs="Arial" w:eastAsia="Arial" w:hAnsi="Arial"/>
          <w:sz w:val="12"/>
          <w:szCs w:val="12"/>
          <w:color w:val="auto"/>
        </w:rPr>
        <w:t>advance notice procedures that stockholders must comply with in order to nominate candidates to our Board or to propose matters to be acted upon at a meeting of stockholders, which may discourage or deter a potential acquirer from conducting a solicitation of proxies to elect the acquirer’s own slate of directors or otherwise attempting to obtain control of us.</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17740" cy="368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ectPr>
          <w:pgSz w:w="11900" w:h="16838" w:orient="portrait"/>
          <w:cols w:equalWidth="0" w:num="1">
            <w:col w:w="11480"/>
          </w:cols>
          <w:pgMar w:left="220" w:top="275" w:right="199" w:bottom="1440" w:gutter="0" w:footer="0" w:header="0"/>
        </w:sectPr>
      </w:pPr>
    </w:p>
    <w:bookmarkStart w:id="33" w:name="page34"/>
    <w:bookmarkEnd w:id="33"/>
    <w:p>
      <w:pPr>
        <w:spacing w:after="0"/>
        <w:rPr>
          <w:sz w:val="20"/>
          <w:szCs w:val="20"/>
          <w:color w:val="auto"/>
        </w:rPr>
      </w:pPr>
      <w:r>
        <w:rPr>
          <w:rFonts w:ascii="Arial" w:cs="Arial" w:eastAsia="Arial" w:hAnsi="Arial"/>
          <w:sz w:val="12"/>
          <w:szCs w:val="12"/>
          <w:b w:val="1"/>
          <w:bCs w:val="1"/>
          <w:i w:val="1"/>
          <w:iCs w:val="1"/>
          <w:color w:val="auto"/>
        </w:rPr>
        <w:t>Our bylaws include a forum selection clause, which may impact the ability of our stockholders to bring actions against us.</w:t>
      </w:r>
    </w:p>
    <w:p>
      <w:pPr>
        <w:spacing w:after="0" w:line="78" w:lineRule="exact"/>
        <w:rPr>
          <w:sz w:val="20"/>
          <w:szCs w:val="20"/>
          <w:color w:val="auto"/>
        </w:rPr>
      </w:pPr>
    </w:p>
    <w:p>
      <w:pPr>
        <w:ind w:firstLine="602"/>
        <w:spacing w:after="0" w:line="281" w:lineRule="auto"/>
        <w:rPr>
          <w:sz w:val="20"/>
          <w:szCs w:val="20"/>
          <w:color w:val="auto"/>
        </w:rPr>
      </w:pPr>
      <w:r>
        <w:rPr>
          <w:rFonts w:ascii="Arial" w:cs="Arial" w:eastAsia="Arial" w:hAnsi="Arial"/>
          <w:sz w:val="11"/>
          <w:szCs w:val="11"/>
          <w:color w:val="auto"/>
        </w:rPr>
        <w:t>Subject to certain limitations, our bylaws provide that, unless we consent in writing to the selection of an alternative forum, the Court of Chancery in the State of Delaware will be the sole and exclusive forum for any stockholder (including a beneficial owner) to bring: (a) any derivative action or proceeding brought on our behalf; (b) any action asserting a claim of breach of fiduciary duty owed by any of our directors, officers or other employees or our stockholders; (c) any action asserting a claim arising pursuant to any provision of the DGCL or our certificate of incorporation or bylaws; or (d) any action asserting a claims governed by the internal affairs doctrine. In addition, our bylaws provide that unless consent in writing to the selection of an alternative forum, the federal district courts of the United States will be the exclusive forum for resolving any complaint asserting a cause of action arising under the federal securities laws of the United States against us, our officers, directors, employees or underwriters. These limitations on the forum in which stockholders may initiate action against us could create costs, inconvenience or otherwise adversely affect our stockholders’ ability to seek legal redress. If a court were to find the forum-selection provisions contained in our bylaws to be unenforceable, we may incur additional costs associated with resolving proceedings in forums other than the Court of Chancery in the State of Delaware and the federal district courts of the United States.</w:t>
      </w:r>
    </w:p>
    <w:p>
      <w:pPr>
        <w:spacing w:after="0" w:line="18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Resales of the shares of our securities could depress the market price of our securities.</w:t>
      </w:r>
    </w:p>
    <w:p>
      <w:pPr>
        <w:spacing w:after="0" w:line="78" w:lineRule="exact"/>
        <w:rPr>
          <w:sz w:val="20"/>
          <w:szCs w:val="20"/>
          <w:color w:val="auto"/>
        </w:rPr>
      </w:pPr>
    </w:p>
    <w:p>
      <w:pPr>
        <w:jc w:val="both"/>
        <w:ind w:right="140" w:firstLine="602"/>
        <w:spacing w:after="0" w:line="298" w:lineRule="auto"/>
        <w:rPr>
          <w:sz w:val="20"/>
          <w:szCs w:val="20"/>
          <w:color w:val="auto"/>
        </w:rPr>
      </w:pPr>
      <w:r>
        <w:rPr>
          <w:rFonts w:ascii="Arial" w:cs="Arial" w:eastAsia="Arial" w:hAnsi="Arial"/>
          <w:sz w:val="11"/>
          <w:szCs w:val="11"/>
          <w:color w:val="auto"/>
        </w:rPr>
        <w:t>Platinum Equity beneficially owned approximately 16% of our Class A Common Stock as of December 31, 2019. All such shares of Class A Common Stock held by Platinum Equity have been registered for resale under the Securities Act. Pursuant to a registration rights agreement that we entered into with Platinum Equity and certain other stockholders in connection with the Business Combination, such stockholders are entitled to make up to six demands, excluding short form demands, that we register shares of our Class A Common Stock held by these parties, in addition to certain “piggy-back” registration rights such stockholders have.</w:t>
      </w:r>
    </w:p>
    <w:p>
      <w:pPr>
        <w:spacing w:after="0" w:line="105" w:lineRule="exact"/>
        <w:rPr>
          <w:sz w:val="20"/>
          <w:szCs w:val="20"/>
          <w:color w:val="auto"/>
        </w:rPr>
      </w:pPr>
    </w:p>
    <w:p>
      <w:pPr>
        <w:ind w:right="180" w:firstLine="602"/>
        <w:spacing w:after="0" w:line="276" w:lineRule="auto"/>
        <w:rPr>
          <w:sz w:val="20"/>
          <w:szCs w:val="20"/>
          <w:color w:val="auto"/>
        </w:rPr>
      </w:pPr>
      <w:r>
        <w:rPr>
          <w:rFonts w:ascii="Arial" w:cs="Arial" w:eastAsia="Arial" w:hAnsi="Arial"/>
          <w:sz w:val="12"/>
          <w:szCs w:val="12"/>
          <w:color w:val="auto"/>
        </w:rPr>
        <w:t>We had approximately 159,150,055 shares of Class A Common Stock outstanding as of December 31, 2019. We have registered the 10,864,000 shares of Class A Common Stock that we may issue under the Verra Mobility Corporation 2018 Equity Incentive Plan so that they may be freely sold in the public market upon issuance, subject to volume limitations applicable to affiliates.</w:t>
      </w:r>
    </w:p>
    <w:p>
      <w:pPr>
        <w:spacing w:after="0" w:line="115" w:lineRule="exact"/>
        <w:rPr>
          <w:sz w:val="20"/>
          <w:szCs w:val="20"/>
          <w:color w:val="auto"/>
        </w:rPr>
      </w:pPr>
    </w:p>
    <w:p>
      <w:pPr>
        <w:ind w:right="160" w:firstLine="602"/>
        <w:spacing w:after="0" w:line="276" w:lineRule="auto"/>
        <w:rPr>
          <w:sz w:val="20"/>
          <w:szCs w:val="20"/>
          <w:color w:val="auto"/>
        </w:rPr>
      </w:pPr>
      <w:r>
        <w:rPr>
          <w:rFonts w:ascii="Arial" w:cs="Arial" w:eastAsia="Arial" w:hAnsi="Arial"/>
          <w:sz w:val="12"/>
          <w:szCs w:val="12"/>
          <w:color w:val="auto"/>
        </w:rPr>
        <w:t>There may be a large number of our securities sold in the market in the near future. These sales, or the perception in the market that the holders of a large number of securities intend to sell securities, could reduce the market price of our securities. Such sales of our securities or the perception of such sales may depress the market price of our securities.</w:t>
      </w:r>
    </w:p>
    <w:p>
      <w:pPr>
        <w:spacing w:after="0" w:line="187" w:lineRule="exact"/>
        <w:rPr>
          <w:sz w:val="20"/>
          <w:szCs w:val="20"/>
          <w:color w:val="auto"/>
        </w:rPr>
      </w:pPr>
    </w:p>
    <w:p>
      <w:pPr>
        <w:ind w:right="160"/>
        <w:spacing w:after="0" w:line="276" w:lineRule="auto"/>
        <w:rPr>
          <w:sz w:val="20"/>
          <w:szCs w:val="20"/>
          <w:color w:val="auto"/>
        </w:rPr>
      </w:pPr>
      <w:r>
        <w:rPr>
          <w:rFonts w:ascii="Arial" w:cs="Arial" w:eastAsia="Arial" w:hAnsi="Arial"/>
          <w:sz w:val="12"/>
          <w:szCs w:val="12"/>
          <w:b w:val="1"/>
          <w:bCs w:val="1"/>
          <w:i w:val="1"/>
          <w:iCs w:val="1"/>
          <w:color w:val="auto"/>
        </w:rPr>
        <w:t>Our only significant asset is our ownership interest in our operating subsidiaries and such ownership may not be sufficient to pay dividends or make distributions or loans to enable us to pay any dividends on our Class A Common Stock or satisfy our other financial obligations, including our obligations under the Tax Receivable Agreement.</w:t>
      </w:r>
    </w:p>
    <w:p>
      <w:pPr>
        <w:spacing w:after="0" w:line="43" w:lineRule="exact"/>
        <w:rPr>
          <w:sz w:val="20"/>
          <w:szCs w:val="20"/>
          <w:color w:val="auto"/>
        </w:rPr>
      </w:pPr>
    </w:p>
    <w:p>
      <w:pPr>
        <w:ind w:right="120" w:firstLine="602"/>
        <w:spacing w:after="0" w:line="327" w:lineRule="auto"/>
        <w:rPr>
          <w:sz w:val="20"/>
          <w:szCs w:val="20"/>
          <w:color w:val="auto"/>
        </w:rPr>
      </w:pPr>
      <w:r>
        <w:rPr>
          <w:rFonts w:ascii="Arial" w:cs="Arial" w:eastAsia="Arial" w:hAnsi="Arial"/>
          <w:sz w:val="10"/>
          <w:szCs w:val="10"/>
          <w:color w:val="auto"/>
        </w:rPr>
        <w:t>We have no direct operations and no significant assets other than our ownership interest in our operating subsidiaries. We depend on our operating subsidiaries for distributions, loans and other payments to generate the funds necessary to meet our financial obligations, including our expenses as a publicly traded company, to pay any dividends with respect to our Class A Common Stock, and to satisfy our obligations under the Tax Receivable Agreement. The financial condition and operating requirements of our operating subsidiaries may limit our ability to obtain cash from our operating subsidiaries. The earnings from, or other available assets of, our operating subsidiaries may not be sufficient to pay dividends or make distributions or loans to enable us to pay any dividends on our Common Stock or satisfy our other financial obligations, including our obligations under the Tax Receivable Agreement.</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17740" cy="368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ectPr>
          <w:pgSz w:w="11900" w:h="16838" w:orient="portrait"/>
          <w:cols w:equalWidth="0" w:num="1">
            <w:col w:w="11460"/>
          </w:cols>
          <w:pgMar w:left="220" w:top="347" w:right="219" w:bottom="1440" w:gutter="0" w:footer="0" w:header="0"/>
        </w:sectPr>
      </w:pPr>
    </w:p>
    <w:bookmarkStart w:id="34" w:name="page35"/>
    <w:bookmarkEnd w:id="34"/>
    <w:p>
      <w:pPr>
        <w:ind w:firstLine="602"/>
        <w:spacing w:after="0" w:line="281" w:lineRule="auto"/>
        <w:rPr>
          <w:sz w:val="20"/>
          <w:szCs w:val="20"/>
          <w:color w:val="auto"/>
        </w:rPr>
      </w:pPr>
      <w:r>
        <w:rPr>
          <w:rFonts w:ascii="Arial" w:cs="Arial" w:eastAsia="Arial" w:hAnsi="Arial"/>
          <w:sz w:val="11"/>
          <w:szCs w:val="11"/>
          <w:color w:val="auto"/>
        </w:rPr>
        <w:t>The ability of our operating subsidiaries (other than subsidiaries which have been designated as unrestricted pursuant to our ability to do so in certain limited circumstances) to make distributions, loans and other payments to us for the purposes described above and for any other purpose are governed by the terms of the Rollover Credit Agreements, and will be subject to the negative covenants set forth therein. Any loans or other extensions of credit will be subject to the investment covenants under the Rollover Credit Agreements. The “</w:t>
      </w:r>
      <w:r>
        <w:rPr>
          <w:rFonts w:ascii="Arial" w:cs="Arial" w:eastAsia="Arial" w:hAnsi="Arial"/>
          <w:sz w:val="11"/>
          <w:szCs w:val="11"/>
          <w:b w:val="1"/>
          <w:bCs w:val="1"/>
          <w:i w:val="1"/>
          <w:iCs w:val="1"/>
          <w:color w:val="auto"/>
        </w:rPr>
        <w:t>Rollover Credit Agreements</w:t>
      </w:r>
      <w:r>
        <w:rPr>
          <w:rFonts w:ascii="Arial" w:cs="Arial" w:eastAsia="Arial" w:hAnsi="Arial"/>
          <w:sz w:val="11"/>
          <w:szCs w:val="11"/>
          <w:color w:val="auto"/>
        </w:rPr>
        <w:t>” means, collectively: (i) the First Lien Term Loan Credit Agreement, dated as of March 1, 2018, among Greenlight Acquisition Corporation, a Delaware corporation, VM Consolidated, Inc. (formerly known as ATS Consolidated, Inc.), a Delaware corporation, American Traffic Solutions, Inc., a Kansas corporation, and Lasercraft, Inc., a Georgia corporation, the lenders party thereto from time to time, and Bank of America, as the administrative agent and the collateral agent; and (ii) the Revolving Credit Agreement, dated as of March 1, 2018, among Greenlight Acquisition Corporation, a Delaware corporation, VM Consolidated, Inc., a Delaware corporation, the other Borrowers (for this purpose only, as defined therein) party thereto from time to time, the lenders party thereto from time to time, and Bank of America, as the administrative agent and the collateral agent, in the case of each of the foregoing (i) and (ii), as amended or otherwise modified from time to time.</w:t>
      </w:r>
    </w:p>
    <w:p>
      <w:pPr>
        <w:spacing w:after="0" w:line="18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A market for our securities may not continue, which would adversely affect the liquidity and price of our securities.</w:t>
      </w:r>
    </w:p>
    <w:p>
      <w:pPr>
        <w:spacing w:after="0" w:line="78" w:lineRule="exact"/>
        <w:rPr>
          <w:sz w:val="20"/>
          <w:szCs w:val="20"/>
          <w:color w:val="auto"/>
        </w:rPr>
      </w:pPr>
    </w:p>
    <w:p>
      <w:pPr>
        <w:ind w:right="20" w:firstLine="602"/>
        <w:spacing w:after="0" w:line="286" w:lineRule="auto"/>
        <w:rPr>
          <w:sz w:val="20"/>
          <w:szCs w:val="20"/>
          <w:color w:val="auto"/>
        </w:rPr>
      </w:pPr>
      <w:r>
        <w:rPr>
          <w:rFonts w:ascii="Arial" w:cs="Arial" w:eastAsia="Arial" w:hAnsi="Arial"/>
          <w:sz w:val="11"/>
          <w:szCs w:val="11"/>
          <w:color w:val="auto"/>
        </w:rPr>
        <w:t>The price of our securities may vary due to general economic conditions and forecasts, our general business condition and the release of our financial reports. Additionally, if our securities are not listed on, or become delisted from, Nasdaq for any reason, and are quoted on the OTC Bulletin Board or OTC Pink, an inter-dealer automated quotation system for equity securities that is not a national securities exchange, the liquidity and price of our securities may be more limited than if we were quoted or listed on Nasdaq or another national securities exchange. Our warrants using the trading symbol “VRRMW” were removed from listing by Nasdaq on December 14, 2018, due to an insufficient number of round lot holders following completion of the Business Combination. Those warrants are now quoted on OTC Pink under the symbol “VRRMW.” Accordingly, the liquidity of our warrants may be more limited than if they were quoted or listed on Nasdaq or another national securities exchange. Our securities holders may be unable to sell their securities unless a market can be sustained.</w:t>
      </w:r>
    </w:p>
    <w:p>
      <w:pPr>
        <w:spacing w:after="0" w:line="183" w:lineRule="exact"/>
        <w:rPr>
          <w:sz w:val="20"/>
          <w:szCs w:val="20"/>
          <w:color w:val="auto"/>
        </w:rPr>
      </w:pPr>
    </w:p>
    <w:p>
      <w:pPr>
        <w:ind w:right="320"/>
        <w:spacing w:after="0" w:line="276" w:lineRule="auto"/>
        <w:rPr>
          <w:sz w:val="20"/>
          <w:szCs w:val="20"/>
          <w:color w:val="auto"/>
        </w:rPr>
      </w:pPr>
      <w:r>
        <w:rPr>
          <w:rFonts w:ascii="Arial" w:cs="Arial" w:eastAsia="Arial" w:hAnsi="Arial"/>
          <w:sz w:val="12"/>
          <w:szCs w:val="12"/>
          <w:b w:val="1"/>
          <w:bCs w:val="1"/>
          <w:i w:val="1"/>
          <w:iCs w:val="1"/>
          <w:color w:val="auto"/>
        </w:rPr>
        <w:t>If securities or industry analysts cease publishing research or reports about us, our business, or our market, or if they change their recommendations regarding our securities adversely, then the price and trading volume of our securities could decline.</w:t>
      </w:r>
    </w:p>
    <w:p>
      <w:pPr>
        <w:spacing w:after="0" w:line="43" w:lineRule="exact"/>
        <w:rPr>
          <w:sz w:val="20"/>
          <w:szCs w:val="20"/>
          <w:color w:val="auto"/>
        </w:rPr>
      </w:pPr>
    </w:p>
    <w:p>
      <w:pPr>
        <w:jc w:val="both"/>
        <w:ind w:right="40" w:firstLine="602"/>
        <w:spacing w:after="0" w:line="263" w:lineRule="auto"/>
        <w:rPr>
          <w:sz w:val="20"/>
          <w:szCs w:val="20"/>
          <w:color w:val="auto"/>
        </w:rPr>
      </w:pPr>
      <w:r>
        <w:rPr>
          <w:rFonts w:ascii="Arial" w:cs="Arial" w:eastAsia="Arial" w:hAnsi="Arial"/>
          <w:sz w:val="12"/>
          <w:szCs w:val="12"/>
          <w:color w:val="auto"/>
        </w:rPr>
        <w:t>The trading market for our securities will be influenced by the research and reports that industry or securities analysts may publish about us, our business, our market, or our competitors. If any of the analysts that may cover us change their recommendation regarding our securities adversely, or provide more favorable relative recommendations about our competitors, the price of our securities would likely decline. If any analyst that may cover us ceases covering us or fails to regularly publish reports on us, we could lose visibility in the financial markets, which could cause the price or trading volume of our securities to decline.</w:t>
      </w:r>
    </w:p>
    <w:p>
      <w:pPr>
        <w:spacing w:after="0" w:line="19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1B. Unresolved Staff Comments</w:t>
      </w:r>
    </w:p>
    <w:p>
      <w:pPr>
        <w:spacing w:after="0" w:line="82" w:lineRule="exact"/>
        <w:rPr>
          <w:sz w:val="20"/>
          <w:szCs w:val="20"/>
          <w:color w:val="auto"/>
        </w:rPr>
      </w:pPr>
    </w:p>
    <w:p>
      <w:pPr>
        <w:ind w:left="600"/>
        <w:spacing w:after="0"/>
        <w:rPr>
          <w:sz w:val="20"/>
          <w:szCs w:val="20"/>
          <w:color w:val="auto"/>
        </w:rPr>
      </w:pPr>
      <w:r>
        <w:rPr>
          <w:rFonts w:ascii="Arial" w:cs="Arial" w:eastAsia="Arial" w:hAnsi="Arial"/>
          <w:sz w:val="12"/>
          <w:szCs w:val="12"/>
          <w:color w:val="auto"/>
        </w:rPr>
        <w:t>None.</w:t>
      </w:r>
    </w:p>
    <w:p>
      <w:pPr>
        <w:spacing w:after="0" w:line="21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2. Properties</w:t>
      </w:r>
    </w:p>
    <w:p>
      <w:pPr>
        <w:spacing w:after="0" w:line="82" w:lineRule="exact"/>
        <w:rPr>
          <w:sz w:val="20"/>
          <w:szCs w:val="20"/>
          <w:color w:val="auto"/>
        </w:rPr>
      </w:pPr>
    </w:p>
    <w:p>
      <w:pPr>
        <w:ind w:right="320" w:firstLine="602"/>
        <w:spacing w:after="0" w:line="276" w:lineRule="auto"/>
        <w:rPr>
          <w:sz w:val="20"/>
          <w:szCs w:val="20"/>
          <w:color w:val="auto"/>
        </w:rPr>
      </w:pPr>
      <w:r>
        <w:rPr>
          <w:rFonts w:ascii="Arial" w:cs="Arial" w:eastAsia="Arial" w:hAnsi="Arial"/>
          <w:sz w:val="12"/>
          <w:szCs w:val="12"/>
          <w:color w:val="auto"/>
        </w:rPr>
        <w:t>We lease all of the properties used in our business, including 108,460 square feet of office space for our corporate headquarters in Mesa, AZ. In addition to the corporate headquarters, we also lease office space in various locations for corporate and administrative purposes and lease several small warehouse locations. We do not consider any of these properties to be material to our business.</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17740" cy="368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ectPr>
          <w:pgSz w:w="11900" w:h="16838" w:orient="portrait"/>
          <w:cols w:equalWidth="0" w:num="1">
            <w:col w:w="11460"/>
          </w:cols>
          <w:pgMar w:left="220" w:top="275" w:right="219" w:bottom="1440" w:gutter="0" w:footer="0" w:header="0"/>
        </w:sectPr>
      </w:pPr>
    </w:p>
    <w:bookmarkStart w:id="35" w:name="page36"/>
    <w:bookmarkEnd w:id="35"/>
    <w:p>
      <w:pPr>
        <w:spacing w:after="0"/>
        <w:rPr>
          <w:sz w:val="20"/>
          <w:szCs w:val="20"/>
          <w:color w:val="auto"/>
        </w:rPr>
      </w:pPr>
      <w:r>
        <w:rPr>
          <w:rFonts w:ascii="Arial" w:cs="Arial" w:eastAsia="Arial" w:hAnsi="Arial"/>
          <w:sz w:val="12"/>
          <w:szCs w:val="12"/>
          <w:b w:val="1"/>
          <w:bCs w:val="1"/>
          <w:color w:val="auto"/>
        </w:rPr>
        <w:t>Item 3. Legal Proceedings</w:t>
      </w:r>
    </w:p>
    <w:p>
      <w:pPr>
        <w:spacing w:after="0" w:line="82" w:lineRule="exact"/>
        <w:rPr>
          <w:sz w:val="20"/>
          <w:szCs w:val="20"/>
          <w:color w:val="auto"/>
        </w:rPr>
      </w:pPr>
    </w:p>
    <w:p>
      <w:pPr>
        <w:ind w:firstLine="602"/>
        <w:spacing w:after="0" w:line="254" w:lineRule="auto"/>
        <w:rPr>
          <w:sz w:val="20"/>
          <w:szCs w:val="20"/>
          <w:color w:val="auto"/>
        </w:rPr>
      </w:pPr>
      <w:r>
        <w:rPr>
          <w:rFonts w:ascii="Arial" w:cs="Arial" w:eastAsia="Arial" w:hAnsi="Arial"/>
          <w:sz w:val="12"/>
          <w:szCs w:val="12"/>
          <w:color w:val="auto"/>
        </w:rPr>
        <w:t>We are subject to legal and regulatory actions that arise from time to time in the ordinary course of business, and may be subject to similar or other claims in the future. Legal disputes and other claims and proceedings may relate to, among other things, intellectual property, commercial arrangements, negligence and fiduciary duty claims, vicarious liability based on conduct of individuals or entities outside of our control, including our third-party service providers, antitrust claims, deceptive trade practices, general fraud claims and employment law claims, including compliance with wage and hour regulations. In addition to more general litigation, at times we have also been a named party in claims made against our customers, including putative class actions challenging the legality and constitutionality of automated photo enforcement and other similar programs of our Government Solutions customers, and consumer fraud claims brought against us and our Commercial Services customers alleging faulty disclosures regarding our services. From time to time, we may also be reviewed or investigated by U.S. federal, state or local regulators or regulators in the foreign jurisdictions in which we operate regarding these and other matters, including proper licensing and tax assessments. All litigation is inherently unpredictable and we could incur judgments or enter into settlements or claims in the future that could materially impact our results.</w:t>
      </w:r>
    </w:p>
    <w:p>
      <w:pPr>
        <w:spacing w:after="0" w:line="19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4. Mine Safety Disclosures</w:t>
      </w:r>
    </w:p>
    <w:p>
      <w:pPr>
        <w:spacing w:after="0" w:line="82" w:lineRule="exact"/>
        <w:rPr>
          <w:sz w:val="20"/>
          <w:szCs w:val="20"/>
          <w:color w:val="auto"/>
        </w:rPr>
      </w:pPr>
    </w:p>
    <w:p>
      <w:pPr>
        <w:ind w:left="600"/>
        <w:spacing w:after="0"/>
        <w:rPr>
          <w:sz w:val="20"/>
          <w:szCs w:val="20"/>
          <w:color w:val="auto"/>
        </w:rPr>
      </w:pPr>
      <w:r>
        <w:rPr>
          <w:rFonts w:ascii="Arial" w:cs="Arial" w:eastAsia="Arial" w:hAnsi="Arial"/>
          <w:sz w:val="12"/>
          <w:szCs w:val="12"/>
          <w:color w:val="auto"/>
        </w:rPr>
        <w:t>None.</w:t>
      </w:r>
    </w:p>
    <w:p>
      <w:pPr>
        <w:spacing w:after="0" w:line="150"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17740" cy="368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ectPr>
          <w:pgSz w:w="11900" w:h="16838" w:orient="portrait"/>
          <w:cols w:equalWidth="0" w:num="1">
            <w:col w:w="11440"/>
          </w:cols>
          <w:pgMar w:left="220" w:top="343" w:right="239" w:bottom="1440" w:gutter="0" w:footer="0" w:header="0"/>
        </w:sectPr>
      </w:pPr>
    </w:p>
    <w:bookmarkStart w:id="36" w:name="page37"/>
    <w:bookmarkEnd w:id="36"/>
    <w:p>
      <w:pPr>
        <w:spacing w:after="0"/>
        <w:rPr>
          <w:sz w:val="20"/>
          <w:szCs w:val="20"/>
          <w:color w:val="auto"/>
        </w:rPr>
      </w:pPr>
      <w:r>
        <w:rPr>
          <w:rFonts w:ascii="Arial" w:cs="Arial" w:eastAsia="Arial" w:hAnsi="Arial"/>
          <w:sz w:val="12"/>
          <w:szCs w:val="12"/>
          <w:b w:val="1"/>
          <w:bCs w:val="1"/>
          <w:color w:val="auto"/>
        </w:rPr>
        <w:t>PART II</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5. Market for Registrant’s Common Equity, Related Stockholder Matters and Issuer Purchases of Equity Securities</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Market Information</w:t>
      </w:r>
    </w:p>
    <w:p>
      <w:pPr>
        <w:spacing w:after="0" w:line="82" w:lineRule="exact"/>
        <w:rPr>
          <w:sz w:val="20"/>
          <w:szCs w:val="20"/>
          <w:color w:val="auto"/>
        </w:rPr>
      </w:pPr>
    </w:p>
    <w:p>
      <w:pPr>
        <w:ind w:right="40" w:firstLine="602"/>
        <w:spacing w:after="0" w:line="263" w:lineRule="auto"/>
        <w:rPr>
          <w:sz w:val="20"/>
          <w:szCs w:val="20"/>
          <w:color w:val="auto"/>
        </w:rPr>
      </w:pPr>
      <w:r>
        <w:rPr>
          <w:rFonts w:ascii="Arial" w:cs="Arial" w:eastAsia="Arial" w:hAnsi="Arial"/>
          <w:sz w:val="12"/>
          <w:szCs w:val="12"/>
          <w:color w:val="auto"/>
        </w:rPr>
        <w:t>Our Class A Common Stock is currently quoted on Nasdaq under the symbol “VRRM” and our warrants are currently quoted on OTC Pink under the symbol “VRRMW.” Our warrants were previously quoted on Nasdaq under the symbol “VRRMW”; however, our warrants were removed from listing on December 14, 2018, due to an insufficient number of round lot holders following completion of our Business Combination. From March 6, 2017, through the completion of our Business Combination, our Class A Common Stock and warrants were quoted under the symbols “GSHT,” and “GSHTW,” respectively.</w:t>
      </w:r>
    </w:p>
    <w:p>
      <w:pPr>
        <w:spacing w:after="0" w:line="123" w:lineRule="exact"/>
        <w:rPr>
          <w:sz w:val="20"/>
          <w:szCs w:val="20"/>
          <w:color w:val="auto"/>
        </w:rPr>
      </w:pPr>
    </w:p>
    <w:p>
      <w:pPr>
        <w:ind w:left="600"/>
        <w:spacing w:after="0"/>
        <w:rPr>
          <w:sz w:val="20"/>
          <w:szCs w:val="20"/>
          <w:color w:val="auto"/>
        </w:rPr>
      </w:pPr>
      <w:r>
        <w:rPr>
          <w:rFonts w:ascii="Arial" w:cs="Arial" w:eastAsia="Arial" w:hAnsi="Arial"/>
          <w:sz w:val="12"/>
          <w:szCs w:val="12"/>
          <w:color w:val="auto"/>
        </w:rPr>
        <w:t>The following table sets forth the high and low sales prices per share of our Class A Common Stock as reported on Nasdaq for the two most recent fiscal years: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6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2340" w:type="dxa"/>
            <w:vAlign w:val="bottom"/>
            <w:tcBorders>
              <w:bottom w:val="single" w:sz="8" w:color="auto"/>
            </w:tcBorders>
            <w:gridSpan w:val="3"/>
          </w:tcPr>
          <w:p>
            <w:pPr>
              <w:jc w:val="right"/>
              <w:ind w:right="360"/>
              <w:spacing w:after="0"/>
              <w:rPr>
                <w:sz w:val="20"/>
                <w:szCs w:val="20"/>
                <w:color w:val="auto"/>
              </w:rPr>
            </w:pPr>
            <w:r>
              <w:rPr>
                <w:rFonts w:ascii="Arial" w:cs="Arial" w:eastAsia="Arial" w:hAnsi="Arial"/>
                <w:sz w:val="10"/>
                <w:szCs w:val="10"/>
                <w:b w:val="1"/>
                <w:bCs w:val="1"/>
                <w:color w:val="auto"/>
              </w:rPr>
              <w:t>Fiscal Year 2019</w:t>
            </w:r>
          </w:p>
        </w:tc>
        <w:tc>
          <w:tcPr>
            <w:tcW w:w="1440" w:type="dxa"/>
            <w:vAlign w:val="bottom"/>
            <w:tcBorders>
              <w:bottom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2340" w:type="dxa"/>
            <w:vAlign w:val="bottom"/>
            <w:tcBorders>
              <w:bottom w:val="single" w:sz="8" w:color="auto"/>
            </w:tcBorders>
            <w:gridSpan w:val="3"/>
          </w:tcPr>
          <w:p>
            <w:pPr>
              <w:jc w:val="right"/>
              <w:ind w:right="310"/>
              <w:spacing w:after="0"/>
              <w:rPr>
                <w:sz w:val="20"/>
                <w:szCs w:val="20"/>
                <w:color w:val="auto"/>
              </w:rPr>
            </w:pPr>
            <w:r>
              <w:rPr>
                <w:rFonts w:ascii="Arial" w:cs="Arial" w:eastAsia="Arial" w:hAnsi="Arial"/>
                <w:sz w:val="10"/>
                <w:szCs w:val="10"/>
                <w:b w:val="1"/>
                <w:bCs w:val="1"/>
                <w:color w:val="auto"/>
              </w:rPr>
              <w:t>Fiscal Year 2018</w:t>
            </w:r>
          </w:p>
        </w:tc>
        <w:tc>
          <w:tcPr>
            <w:tcW w:w="144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r>
      <w:tr>
        <w:trPr>
          <w:trHeight w:val="97"/>
        </w:trPr>
        <w:tc>
          <w:tcPr>
            <w:tcW w:w="1660" w:type="dxa"/>
            <w:vAlign w:val="bottom"/>
            <w:tcBorders>
              <w:bottom w:val="single" w:sz="8" w:color="CFF0FC"/>
            </w:tcBorders>
          </w:tcPr>
          <w:p>
            <w:pPr>
              <w:spacing w:after="0"/>
              <w:rPr>
                <w:sz w:val="8"/>
                <w:szCs w:val="8"/>
                <w:color w:val="auto"/>
              </w:rPr>
            </w:pPr>
          </w:p>
        </w:tc>
        <w:tc>
          <w:tcPr>
            <w:tcW w:w="900" w:type="dxa"/>
            <w:vAlign w:val="bottom"/>
            <w:tcBorders>
              <w:bottom w:val="single" w:sz="8" w:color="CFF0FC"/>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jc w:val="right"/>
              <w:ind w:right="824"/>
              <w:spacing w:after="0" w:line="97" w:lineRule="exact"/>
              <w:rPr>
                <w:sz w:val="20"/>
                <w:szCs w:val="20"/>
                <w:color w:val="auto"/>
              </w:rPr>
            </w:pPr>
            <w:r>
              <w:rPr>
                <w:rFonts w:ascii="Arial" w:cs="Arial" w:eastAsia="Arial" w:hAnsi="Arial"/>
                <w:sz w:val="10"/>
                <w:szCs w:val="10"/>
                <w:b w:val="1"/>
                <w:bCs w:val="1"/>
                <w:color w:val="auto"/>
              </w:rPr>
              <w:t>High</w:t>
            </w:r>
          </w:p>
        </w:tc>
        <w:tc>
          <w:tcPr>
            <w:tcW w:w="320" w:type="dxa"/>
            <w:vAlign w:val="bottom"/>
            <w:tcBorders>
              <w:bottom w:val="single" w:sz="8" w:color="CFF0FC"/>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440" w:type="dxa"/>
            <w:vAlign w:val="bottom"/>
            <w:tcBorders>
              <w:bottom w:val="single" w:sz="8" w:color="auto"/>
            </w:tcBorders>
          </w:tcPr>
          <w:p>
            <w:pPr>
              <w:jc w:val="right"/>
              <w:ind w:right="842"/>
              <w:spacing w:after="0" w:line="97" w:lineRule="exact"/>
              <w:rPr>
                <w:sz w:val="20"/>
                <w:szCs w:val="20"/>
                <w:color w:val="auto"/>
              </w:rPr>
            </w:pPr>
            <w:r>
              <w:rPr>
                <w:rFonts w:ascii="Arial" w:cs="Arial" w:eastAsia="Arial" w:hAnsi="Arial"/>
                <w:sz w:val="10"/>
                <w:szCs w:val="10"/>
                <w:b w:val="1"/>
                <w:bCs w:val="1"/>
                <w:color w:val="auto"/>
              </w:rPr>
              <w:t>Low</w:t>
            </w:r>
          </w:p>
        </w:tc>
        <w:tc>
          <w:tcPr>
            <w:tcW w:w="320" w:type="dxa"/>
            <w:vAlign w:val="bottom"/>
            <w:tcBorders>
              <w:bottom w:val="single" w:sz="8" w:color="CFF0FC"/>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jc w:val="right"/>
              <w:ind w:right="824"/>
              <w:spacing w:after="0" w:line="97" w:lineRule="exact"/>
              <w:rPr>
                <w:sz w:val="20"/>
                <w:szCs w:val="20"/>
                <w:color w:val="auto"/>
              </w:rPr>
            </w:pPr>
            <w:r>
              <w:rPr>
                <w:rFonts w:ascii="Arial" w:cs="Arial" w:eastAsia="Arial" w:hAnsi="Arial"/>
                <w:sz w:val="10"/>
                <w:szCs w:val="10"/>
                <w:b w:val="1"/>
                <w:bCs w:val="1"/>
                <w:color w:val="auto"/>
              </w:rPr>
              <w:t>High</w:t>
            </w:r>
          </w:p>
        </w:tc>
        <w:tc>
          <w:tcPr>
            <w:tcW w:w="320" w:type="dxa"/>
            <w:vAlign w:val="bottom"/>
            <w:tcBorders>
              <w:bottom w:val="single" w:sz="8" w:color="CFF0FC"/>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440" w:type="dxa"/>
            <w:vAlign w:val="bottom"/>
            <w:tcBorders>
              <w:bottom w:val="single" w:sz="8" w:color="auto"/>
            </w:tcBorders>
          </w:tcPr>
          <w:p>
            <w:pPr>
              <w:jc w:val="right"/>
              <w:ind w:right="842"/>
              <w:spacing w:after="0" w:line="97" w:lineRule="exact"/>
              <w:rPr>
                <w:sz w:val="20"/>
                <w:szCs w:val="20"/>
                <w:color w:val="auto"/>
              </w:rPr>
            </w:pPr>
            <w:r>
              <w:rPr>
                <w:rFonts w:ascii="Arial" w:cs="Arial" w:eastAsia="Arial" w:hAnsi="Arial"/>
                <w:sz w:val="10"/>
                <w:szCs w:val="10"/>
                <w:b w:val="1"/>
                <w:bCs w:val="1"/>
                <w:color w:val="auto"/>
              </w:rPr>
              <w:t>Low</w:t>
            </w:r>
          </w:p>
        </w:tc>
        <w:tc>
          <w:tcPr>
            <w:tcW w:w="120" w:type="dxa"/>
            <w:vAlign w:val="bottom"/>
            <w:tcBorders>
              <w:bottom w:val="single" w:sz="8" w:color="CFF0FC"/>
            </w:tcBorders>
          </w:tcPr>
          <w:p>
            <w:pPr>
              <w:spacing w:after="0"/>
              <w:rPr>
                <w:sz w:val="8"/>
                <w:szCs w:val="8"/>
                <w:color w:val="auto"/>
              </w:rPr>
            </w:pPr>
          </w:p>
        </w:tc>
      </w:tr>
      <w:tr>
        <w:trPr>
          <w:trHeight w:val="142"/>
        </w:trPr>
        <w:tc>
          <w:tcPr>
            <w:tcW w:w="1660" w:type="dxa"/>
            <w:vAlign w:val="bottom"/>
            <w:shd w:val="clear" w:color="auto" w:fill="CFF0FC"/>
          </w:tcPr>
          <w:p>
            <w:pPr>
              <w:spacing w:after="0"/>
              <w:rPr>
                <w:sz w:val="20"/>
                <w:szCs w:val="20"/>
                <w:color w:val="auto"/>
              </w:rPr>
            </w:pPr>
            <w:r>
              <w:rPr>
                <w:rFonts w:ascii="Arial" w:cs="Arial" w:eastAsia="Arial" w:hAnsi="Arial"/>
                <w:sz w:val="12"/>
                <w:szCs w:val="12"/>
                <w:color w:val="auto"/>
              </w:rPr>
              <w:t>First Quarter</w:t>
            </w:r>
          </w:p>
        </w:tc>
        <w:tc>
          <w:tcPr>
            <w:tcW w:w="1360" w:type="dxa"/>
            <w:vAlign w:val="bottom"/>
            <w:gridSpan w:val="2"/>
            <w:shd w:val="clear" w:color="auto" w:fill="CFF0FC"/>
          </w:tcPr>
          <w:p>
            <w:pPr>
              <w:jc w:val="right"/>
              <w:ind w:right="400"/>
              <w:spacing w:after="0"/>
              <w:rPr>
                <w:sz w:val="20"/>
                <w:szCs w:val="20"/>
                <w:color w:val="auto"/>
              </w:rPr>
            </w:pPr>
            <w:r>
              <w:rPr>
                <w:rFonts w:ascii="Arial" w:cs="Arial" w:eastAsia="Arial" w:hAnsi="Arial"/>
                <w:sz w:val="12"/>
                <w:szCs w:val="12"/>
                <w:color w:val="auto"/>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11.91</w:t>
            </w:r>
          </w:p>
        </w:tc>
        <w:tc>
          <w:tcPr>
            <w:tcW w:w="840" w:type="dxa"/>
            <w:vAlign w:val="bottom"/>
            <w:gridSpan w:val="2"/>
            <w:shd w:val="clear" w:color="auto" w:fill="CFF0FC"/>
          </w:tcPr>
          <w:p>
            <w:pPr>
              <w:jc w:val="right"/>
              <w:ind w:right="460"/>
              <w:spacing w:after="0"/>
              <w:rPr>
                <w:sz w:val="20"/>
                <w:szCs w:val="20"/>
                <w:color w:val="auto"/>
              </w:rPr>
            </w:pPr>
            <w:r>
              <w:rPr>
                <w:rFonts w:ascii="Arial" w:cs="Arial" w:eastAsia="Arial" w:hAnsi="Arial"/>
                <w:sz w:val="12"/>
                <w:szCs w:val="12"/>
                <w:color w:val="auto"/>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9.00</w:t>
            </w:r>
          </w:p>
        </w:tc>
        <w:tc>
          <w:tcPr>
            <w:tcW w:w="320" w:type="dxa"/>
            <w:vAlign w:val="bottom"/>
            <w:shd w:val="clear" w:color="auto" w:fill="CFF0FC"/>
          </w:tcPr>
          <w:p>
            <w:pPr>
              <w:spacing w:after="0"/>
              <w:rPr>
                <w:sz w:val="12"/>
                <w:szCs w:val="12"/>
                <w:color w:val="auto"/>
              </w:rPr>
            </w:pPr>
          </w:p>
        </w:tc>
        <w:tc>
          <w:tcPr>
            <w:tcW w:w="460" w:type="dxa"/>
            <w:vAlign w:val="bottom"/>
            <w:shd w:val="clear" w:color="auto" w:fill="CFF0FC"/>
          </w:tcPr>
          <w:p>
            <w:pPr>
              <w:jc w:val="right"/>
              <w:ind w:right="350"/>
              <w:spacing w:after="0"/>
              <w:rPr>
                <w:sz w:val="20"/>
                <w:szCs w:val="20"/>
                <w:color w:val="auto"/>
              </w:rPr>
            </w:pPr>
            <w:r>
              <w:rPr>
                <w:rFonts w:ascii="Arial" w:cs="Arial" w:eastAsia="Arial" w:hAnsi="Arial"/>
                <w:sz w:val="10"/>
                <w:szCs w:val="10"/>
                <w:color w:val="auto"/>
                <w:w w:val="71"/>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10.05</w:t>
            </w:r>
          </w:p>
        </w:tc>
        <w:tc>
          <w:tcPr>
            <w:tcW w:w="320" w:type="dxa"/>
            <w:vAlign w:val="bottom"/>
            <w:shd w:val="clear" w:color="auto" w:fill="CFF0FC"/>
          </w:tcPr>
          <w:p>
            <w:pPr>
              <w:spacing w:after="0"/>
              <w:rPr>
                <w:sz w:val="12"/>
                <w:szCs w:val="12"/>
                <w:color w:val="auto"/>
              </w:rPr>
            </w:pPr>
          </w:p>
        </w:tc>
        <w:tc>
          <w:tcPr>
            <w:tcW w:w="520" w:type="dxa"/>
            <w:vAlign w:val="bottom"/>
            <w:shd w:val="clear" w:color="auto" w:fill="CFF0FC"/>
          </w:tcPr>
          <w:p>
            <w:pPr>
              <w:jc w:val="right"/>
              <w:ind w:right="410"/>
              <w:spacing w:after="0"/>
              <w:rPr>
                <w:sz w:val="20"/>
                <w:szCs w:val="20"/>
                <w:color w:val="auto"/>
              </w:rPr>
            </w:pPr>
            <w:r>
              <w:rPr>
                <w:rFonts w:ascii="Arial" w:cs="Arial" w:eastAsia="Arial" w:hAnsi="Arial"/>
                <w:sz w:val="10"/>
                <w:szCs w:val="10"/>
                <w:color w:val="auto"/>
                <w:w w:val="71"/>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9.86</w:t>
            </w:r>
          </w:p>
        </w:tc>
        <w:tc>
          <w:tcPr>
            <w:tcW w:w="120" w:type="dxa"/>
            <w:vAlign w:val="bottom"/>
            <w:shd w:val="clear" w:color="auto" w:fill="CFF0FC"/>
          </w:tcPr>
          <w:p>
            <w:pPr>
              <w:spacing w:after="0"/>
              <w:rPr>
                <w:sz w:val="12"/>
                <w:szCs w:val="12"/>
                <w:color w:val="auto"/>
              </w:rPr>
            </w:pPr>
          </w:p>
        </w:tc>
      </w:tr>
      <w:tr>
        <w:trPr>
          <w:trHeight w:val="153"/>
        </w:trPr>
        <w:tc>
          <w:tcPr>
            <w:tcW w:w="1660" w:type="dxa"/>
            <w:vAlign w:val="bottom"/>
          </w:tcPr>
          <w:p>
            <w:pPr>
              <w:spacing w:after="0"/>
              <w:rPr>
                <w:sz w:val="20"/>
                <w:szCs w:val="20"/>
                <w:color w:val="auto"/>
              </w:rPr>
            </w:pPr>
            <w:r>
              <w:rPr>
                <w:rFonts w:ascii="Arial" w:cs="Arial" w:eastAsia="Arial" w:hAnsi="Arial"/>
                <w:sz w:val="12"/>
                <w:szCs w:val="12"/>
                <w:color w:val="auto"/>
              </w:rPr>
              <w:t>Second Quarter</w:t>
            </w:r>
          </w:p>
        </w:tc>
        <w:tc>
          <w:tcPr>
            <w:tcW w:w="1360" w:type="dxa"/>
            <w:vAlign w:val="bottom"/>
            <w:gridSpan w:val="2"/>
          </w:tcPr>
          <w:p>
            <w:pPr>
              <w:jc w:val="right"/>
              <w:ind w:right="400"/>
              <w:spacing w:after="0"/>
              <w:rPr>
                <w:sz w:val="20"/>
                <w:szCs w:val="20"/>
                <w:color w:val="auto"/>
              </w:rPr>
            </w:pPr>
            <w:r>
              <w:rPr>
                <w:rFonts w:ascii="Arial" w:cs="Arial" w:eastAsia="Arial" w:hAnsi="Arial"/>
                <w:sz w:val="12"/>
                <w:szCs w:val="12"/>
                <w:color w:val="auto"/>
              </w:rPr>
              <w:t>$</w:t>
            </w:r>
          </w:p>
        </w:tc>
        <w:tc>
          <w:tcPr>
            <w:tcW w:w="1500" w:type="dxa"/>
            <w:vAlign w:val="bottom"/>
          </w:tcPr>
          <w:p>
            <w:pPr>
              <w:jc w:val="right"/>
              <w:spacing w:after="0"/>
              <w:rPr>
                <w:sz w:val="20"/>
                <w:szCs w:val="20"/>
                <w:color w:val="auto"/>
              </w:rPr>
            </w:pPr>
            <w:r>
              <w:rPr>
                <w:rFonts w:ascii="Arial" w:cs="Arial" w:eastAsia="Arial" w:hAnsi="Arial"/>
                <w:sz w:val="12"/>
                <w:szCs w:val="12"/>
                <w:color w:val="auto"/>
              </w:rPr>
              <w:t>15.07</w:t>
            </w:r>
          </w:p>
        </w:tc>
        <w:tc>
          <w:tcPr>
            <w:tcW w:w="840" w:type="dxa"/>
            <w:vAlign w:val="bottom"/>
            <w:gridSpan w:val="2"/>
          </w:tcPr>
          <w:p>
            <w:pPr>
              <w:jc w:val="right"/>
              <w:ind w:right="460"/>
              <w:spacing w:after="0"/>
              <w:rPr>
                <w:sz w:val="20"/>
                <w:szCs w:val="20"/>
                <w:color w:val="auto"/>
              </w:rPr>
            </w:pPr>
            <w:r>
              <w:rPr>
                <w:rFonts w:ascii="Arial" w:cs="Arial" w:eastAsia="Arial" w:hAnsi="Arial"/>
                <w:sz w:val="12"/>
                <w:szCs w:val="12"/>
                <w:color w:val="auto"/>
              </w:rPr>
              <w:t>$</w:t>
            </w:r>
          </w:p>
        </w:tc>
        <w:tc>
          <w:tcPr>
            <w:tcW w:w="1440" w:type="dxa"/>
            <w:vAlign w:val="bottom"/>
          </w:tcPr>
          <w:p>
            <w:pPr>
              <w:jc w:val="right"/>
              <w:spacing w:after="0"/>
              <w:rPr>
                <w:sz w:val="20"/>
                <w:szCs w:val="20"/>
                <w:color w:val="auto"/>
              </w:rPr>
            </w:pPr>
            <w:r>
              <w:rPr>
                <w:rFonts w:ascii="Arial" w:cs="Arial" w:eastAsia="Arial" w:hAnsi="Arial"/>
                <w:sz w:val="12"/>
                <w:szCs w:val="12"/>
                <w:color w:val="auto"/>
              </w:rPr>
              <w:t>11.73</w:t>
            </w:r>
          </w:p>
        </w:tc>
        <w:tc>
          <w:tcPr>
            <w:tcW w:w="320" w:type="dxa"/>
            <w:vAlign w:val="bottom"/>
          </w:tcPr>
          <w:p>
            <w:pPr>
              <w:spacing w:after="0"/>
              <w:rPr>
                <w:sz w:val="13"/>
                <w:szCs w:val="13"/>
                <w:color w:val="auto"/>
              </w:rPr>
            </w:pPr>
          </w:p>
        </w:tc>
        <w:tc>
          <w:tcPr>
            <w:tcW w:w="460" w:type="dxa"/>
            <w:vAlign w:val="bottom"/>
          </w:tcPr>
          <w:p>
            <w:pPr>
              <w:jc w:val="right"/>
              <w:ind w:right="350"/>
              <w:spacing w:after="0"/>
              <w:rPr>
                <w:sz w:val="20"/>
                <w:szCs w:val="20"/>
                <w:color w:val="auto"/>
              </w:rPr>
            </w:pPr>
            <w:r>
              <w:rPr>
                <w:rFonts w:ascii="Arial" w:cs="Arial" w:eastAsia="Arial" w:hAnsi="Arial"/>
                <w:sz w:val="10"/>
                <w:szCs w:val="10"/>
                <w:color w:val="auto"/>
                <w:w w:val="71"/>
              </w:rPr>
              <w:t>$</w:t>
            </w:r>
          </w:p>
        </w:tc>
        <w:tc>
          <w:tcPr>
            <w:tcW w:w="1500" w:type="dxa"/>
            <w:vAlign w:val="bottom"/>
          </w:tcPr>
          <w:p>
            <w:pPr>
              <w:jc w:val="right"/>
              <w:spacing w:after="0"/>
              <w:rPr>
                <w:sz w:val="20"/>
                <w:szCs w:val="20"/>
                <w:color w:val="auto"/>
              </w:rPr>
            </w:pPr>
            <w:r>
              <w:rPr>
                <w:rFonts w:ascii="Arial" w:cs="Arial" w:eastAsia="Arial" w:hAnsi="Arial"/>
                <w:sz w:val="12"/>
                <w:szCs w:val="12"/>
                <w:color w:val="auto"/>
              </w:rPr>
              <w:t>10.40</w:t>
            </w:r>
          </w:p>
        </w:tc>
        <w:tc>
          <w:tcPr>
            <w:tcW w:w="320" w:type="dxa"/>
            <w:vAlign w:val="bottom"/>
          </w:tcPr>
          <w:p>
            <w:pPr>
              <w:spacing w:after="0"/>
              <w:rPr>
                <w:sz w:val="13"/>
                <w:szCs w:val="13"/>
                <w:color w:val="auto"/>
              </w:rPr>
            </w:pPr>
          </w:p>
        </w:tc>
        <w:tc>
          <w:tcPr>
            <w:tcW w:w="520" w:type="dxa"/>
            <w:vAlign w:val="bottom"/>
          </w:tcPr>
          <w:p>
            <w:pPr>
              <w:jc w:val="right"/>
              <w:ind w:right="410"/>
              <w:spacing w:after="0"/>
              <w:rPr>
                <w:sz w:val="20"/>
                <w:szCs w:val="20"/>
                <w:color w:val="auto"/>
              </w:rPr>
            </w:pPr>
            <w:r>
              <w:rPr>
                <w:rFonts w:ascii="Arial" w:cs="Arial" w:eastAsia="Arial" w:hAnsi="Arial"/>
                <w:sz w:val="10"/>
                <w:szCs w:val="10"/>
                <w:color w:val="auto"/>
                <w:w w:val="71"/>
              </w:rPr>
              <w:t>$</w:t>
            </w:r>
          </w:p>
        </w:tc>
        <w:tc>
          <w:tcPr>
            <w:tcW w:w="1440" w:type="dxa"/>
            <w:vAlign w:val="bottom"/>
          </w:tcPr>
          <w:p>
            <w:pPr>
              <w:jc w:val="right"/>
              <w:spacing w:after="0"/>
              <w:rPr>
                <w:sz w:val="20"/>
                <w:szCs w:val="20"/>
                <w:color w:val="auto"/>
              </w:rPr>
            </w:pPr>
            <w:r>
              <w:rPr>
                <w:rFonts w:ascii="Arial" w:cs="Arial" w:eastAsia="Arial" w:hAnsi="Arial"/>
                <w:sz w:val="12"/>
                <w:szCs w:val="12"/>
                <w:color w:val="auto"/>
              </w:rPr>
              <w:t>9.98</w:t>
            </w:r>
          </w:p>
        </w:tc>
        <w:tc>
          <w:tcPr>
            <w:tcW w:w="120" w:type="dxa"/>
            <w:vAlign w:val="bottom"/>
          </w:tcPr>
          <w:p>
            <w:pPr>
              <w:spacing w:after="0"/>
              <w:rPr>
                <w:sz w:val="13"/>
                <w:szCs w:val="13"/>
                <w:color w:val="auto"/>
              </w:rPr>
            </w:pPr>
          </w:p>
        </w:tc>
      </w:tr>
      <w:tr>
        <w:trPr>
          <w:trHeight w:val="153"/>
        </w:trPr>
        <w:tc>
          <w:tcPr>
            <w:tcW w:w="1660" w:type="dxa"/>
            <w:vAlign w:val="bottom"/>
            <w:shd w:val="clear" w:color="auto" w:fill="CFF0FC"/>
          </w:tcPr>
          <w:p>
            <w:pPr>
              <w:spacing w:after="0"/>
              <w:rPr>
                <w:sz w:val="20"/>
                <w:szCs w:val="20"/>
                <w:color w:val="auto"/>
              </w:rPr>
            </w:pPr>
            <w:r>
              <w:rPr>
                <w:rFonts w:ascii="Arial" w:cs="Arial" w:eastAsia="Arial" w:hAnsi="Arial"/>
                <w:sz w:val="12"/>
                <w:szCs w:val="12"/>
                <w:color w:val="auto"/>
              </w:rPr>
              <w:t>Third Quarter</w:t>
            </w:r>
          </w:p>
        </w:tc>
        <w:tc>
          <w:tcPr>
            <w:tcW w:w="1360" w:type="dxa"/>
            <w:vAlign w:val="bottom"/>
            <w:gridSpan w:val="2"/>
            <w:shd w:val="clear" w:color="auto" w:fill="CFF0FC"/>
          </w:tcPr>
          <w:p>
            <w:pPr>
              <w:jc w:val="right"/>
              <w:ind w:right="400"/>
              <w:spacing w:after="0"/>
              <w:rPr>
                <w:sz w:val="20"/>
                <w:szCs w:val="20"/>
                <w:color w:val="auto"/>
              </w:rPr>
            </w:pPr>
            <w:r>
              <w:rPr>
                <w:rFonts w:ascii="Arial" w:cs="Arial" w:eastAsia="Arial" w:hAnsi="Arial"/>
                <w:sz w:val="12"/>
                <w:szCs w:val="12"/>
                <w:color w:val="auto"/>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15.10</w:t>
            </w:r>
          </w:p>
        </w:tc>
        <w:tc>
          <w:tcPr>
            <w:tcW w:w="840" w:type="dxa"/>
            <w:vAlign w:val="bottom"/>
            <w:gridSpan w:val="2"/>
            <w:shd w:val="clear" w:color="auto" w:fill="CFF0FC"/>
          </w:tcPr>
          <w:p>
            <w:pPr>
              <w:jc w:val="right"/>
              <w:ind w:right="460"/>
              <w:spacing w:after="0"/>
              <w:rPr>
                <w:sz w:val="20"/>
                <w:szCs w:val="20"/>
                <w:color w:val="auto"/>
              </w:rPr>
            </w:pPr>
            <w:r>
              <w:rPr>
                <w:rFonts w:ascii="Arial" w:cs="Arial" w:eastAsia="Arial" w:hAnsi="Arial"/>
                <w:sz w:val="12"/>
                <w:szCs w:val="12"/>
                <w:color w:val="auto"/>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12.70</w:t>
            </w:r>
          </w:p>
        </w:tc>
        <w:tc>
          <w:tcPr>
            <w:tcW w:w="320" w:type="dxa"/>
            <w:vAlign w:val="bottom"/>
            <w:shd w:val="clear" w:color="auto" w:fill="CFF0FC"/>
          </w:tcPr>
          <w:p>
            <w:pPr>
              <w:spacing w:after="0"/>
              <w:rPr>
                <w:sz w:val="13"/>
                <w:szCs w:val="13"/>
                <w:color w:val="auto"/>
              </w:rPr>
            </w:pPr>
          </w:p>
        </w:tc>
        <w:tc>
          <w:tcPr>
            <w:tcW w:w="460" w:type="dxa"/>
            <w:vAlign w:val="bottom"/>
            <w:shd w:val="clear" w:color="auto" w:fill="CFF0FC"/>
          </w:tcPr>
          <w:p>
            <w:pPr>
              <w:jc w:val="right"/>
              <w:ind w:right="350"/>
              <w:spacing w:after="0"/>
              <w:rPr>
                <w:sz w:val="20"/>
                <w:szCs w:val="20"/>
                <w:color w:val="auto"/>
              </w:rPr>
            </w:pPr>
            <w:r>
              <w:rPr>
                <w:rFonts w:ascii="Arial" w:cs="Arial" w:eastAsia="Arial" w:hAnsi="Arial"/>
                <w:sz w:val="10"/>
                <w:szCs w:val="10"/>
                <w:color w:val="auto"/>
                <w:w w:val="71"/>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10.65</w:t>
            </w:r>
          </w:p>
        </w:tc>
        <w:tc>
          <w:tcPr>
            <w:tcW w:w="320" w:type="dxa"/>
            <w:vAlign w:val="bottom"/>
            <w:shd w:val="clear" w:color="auto" w:fill="CFF0FC"/>
          </w:tcPr>
          <w:p>
            <w:pPr>
              <w:spacing w:after="0"/>
              <w:rPr>
                <w:sz w:val="13"/>
                <w:szCs w:val="13"/>
                <w:color w:val="auto"/>
              </w:rPr>
            </w:pPr>
          </w:p>
        </w:tc>
        <w:tc>
          <w:tcPr>
            <w:tcW w:w="520" w:type="dxa"/>
            <w:vAlign w:val="bottom"/>
            <w:shd w:val="clear" w:color="auto" w:fill="CFF0FC"/>
          </w:tcPr>
          <w:p>
            <w:pPr>
              <w:jc w:val="right"/>
              <w:ind w:right="410"/>
              <w:spacing w:after="0"/>
              <w:rPr>
                <w:sz w:val="20"/>
                <w:szCs w:val="20"/>
                <w:color w:val="auto"/>
              </w:rPr>
            </w:pPr>
            <w:r>
              <w:rPr>
                <w:rFonts w:ascii="Arial" w:cs="Arial" w:eastAsia="Arial" w:hAnsi="Arial"/>
                <w:sz w:val="10"/>
                <w:szCs w:val="10"/>
                <w:color w:val="auto"/>
                <w:w w:val="71"/>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10.10</w:t>
            </w:r>
          </w:p>
        </w:tc>
        <w:tc>
          <w:tcPr>
            <w:tcW w:w="120" w:type="dxa"/>
            <w:vAlign w:val="bottom"/>
            <w:shd w:val="clear" w:color="auto" w:fill="CFF0FC"/>
          </w:tcPr>
          <w:p>
            <w:pPr>
              <w:spacing w:after="0"/>
              <w:rPr>
                <w:sz w:val="13"/>
                <w:szCs w:val="13"/>
                <w:color w:val="auto"/>
              </w:rPr>
            </w:pPr>
          </w:p>
        </w:tc>
      </w:tr>
      <w:tr>
        <w:trPr>
          <w:trHeight w:val="153"/>
        </w:trPr>
        <w:tc>
          <w:tcPr>
            <w:tcW w:w="1660" w:type="dxa"/>
            <w:vAlign w:val="bottom"/>
          </w:tcPr>
          <w:p>
            <w:pPr>
              <w:spacing w:after="0"/>
              <w:rPr>
                <w:sz w:val="20"/>
                <w:szCs w:val="20"/>
                <w:color w:val="auto"/>
              </w:rPr>
            </w:pPr>
            <w:r>
              <w:rPr>
                <w:rFonts w:ascii="Arial" w:cs="Arial" w:eastAsia="Arial" w:hAnsi="Arial"/>
                <w:sz w:val="12"/>
                <w:szCs w:val="12"/>
                <w:color w:val="auto"/>
              </w:rPr>
              <w:t>Fourth Quarter</w:t>
            </w:r>
          </w:p>
        </w:tc>
        <w:tc>
          <w:tcPr>
            <w:tcW w:w="1360" w:type="dxa"/>
            <w:vAlign w:val="bottom"/>
            <w:gridSpan w:val="2"/>
          </w:tcPr>
          <w:p>
            <w:pPr>
              <w:jc w:val="right"/>
              <w:ind w:right="400"/>
              <w:spacing w:after="0"/>
              <w:rPr>
                <w:sz w:val="20"/>
                <w:szCs w:val="20"/>
                <w:color w:val="auto"/>
              </w:rPr>
            </w:pPr>
            <w:r>
              <w:rPr>
                <w:rFonts w:ascii="Arial" w:cs="Arial" w:eastAsia="Arial" w:hAnsi="Arial"/>
                <w:sz w:val="12"/>
                <w:szCs w:val="12"/>
                <w:color w:val="auto"/>
              </w:rPr>
              <w:t>$</w:t>
            </w:r>
          </w:p>
        </w:tc>
        <w:tc>
          <w:tcPr>
            <w:tcW w:w="1500" w:type="dxa"/>
            <w:vAlign w:val="bottom"/>
          </w:tcPr>
          <w:p>
            <w:pPr>
              <w:jc w:val="right"/>
              <w:spacing w:after="0"/>
              <w:rPr>
                <w:sz w:val="20"/>
                <w:szCs w:val="20"/>
                <w:color w:val="auto"/>
              </w:rPr>
            </w:pPr>
            <w:r>
              <w:rPr>
                <w:rFonts w:ascii="Arial" w:cs="Arial" w:eastAsia="Arial" w:hAnsi="Arial"/>
                <w:sz w:val="12"/>
                <w:szCs w:val="12"/>
                <w:color w:val="auto"/>
              </w:rPr>
              <w:t>15.36</w:t>
            </w:r>
          </w:p>
        </w:tc>
        <w:tc>
          <w:tcPr>
            <w:tcW w:w="840" w:type="dxa"/>
            <w:vAlign w:val="bottom"/>
            <w:gridSpan w:val="2"/>
          </w:tcPr>
          <w:p>
            <w:pPr>
              <w:jc w:val="right"/>
              <w:ind w:right="460"/>
              <w:spacing w:after="0"/>
              <w:rPr>
                <w:sz w:val="20"/>
                <w:szCs w:val="20"/>
                <w:color w:val="auto"/>
              </w:rPr>
            </w:pPr>
            <w:r>
              <w:rPr>
                <w:rFonts w:ascii="Arial" w:cs="Arial" w:eastAsia="Arial" w:hAnsi="Arial"/>
                <w:sz w:val="12"/>
                <w:szCs w:val="12"/>
                <w:color w:val="auto"/>
              </w:rPr>
              <w:t>$</w:t>
            </w:r>
          </w:p>
        </w:tc>
        <w:tc>
          <w:tcPr>
            <w:tcW w:w="1440" w:type="dxa"/>
            <w:vAlign w:val="bottom"/>
          </w:tcPr>
          <w:p>
            <w:pPr>
              <w:jc w:val="right"/>
              <w:spacing w:after="0"/>
              <w:rPr>
                <w:sz w:val="20"/>
                <w:szCs w:val="20"/>
                <w:color w:val="auto"/>
              </w:rPr>
            </w:pPr>
            <w:r>
              <w:rPr>
                <w:rFonts w:ascii="Arial" w:cs="Arial" w:eastAsia="Arial" w:hAnsi="Arial"/>
                <w:sz w:val="12"/>
                <w:szCs w:val="12"/>
                <w:color w:val="auto"/>
              </w:rPr>
              <w:t>13.42</w:t>
            </w:r>
          </w:p>
        </w:tc>
        <w:tc>
          <w:tcPr>
            <w:tcW w:w="320" w:type="dxa"/>
            <w:vAlign w:val="bottom"/>
          </w:tcPr>
          <w:p>
            <w:pPr>
              <w:spacing w:after="0"/>
              <w:rPr>
                <w:sz w:val="13"/>
                <w:szCs w:val="13"/>
                <w:color w:val="auto"/>
              </w:rPr>
            </w:pPr>
          </w:p>
        </w:tc>
        <w:tc>
          <w:tcPr>
            <w:tcW w:w="460" w:type="dxa"/>
            <w:vAlign w:val="bottom"/>
          </w:tcPr>
          <w:p>
            <w:pPr>
              <w:jc w:val="right"/>
              <w:ind w:right="350"/>
              <w:spacing w:after="0"/>
              <w:rPr>
                <w:sz w:val="20"/>
                <w:szCs w:val="20"/>
                <w:color w:val="auto"/>
              </w:rPr>
            </w:pPr>
            <w:r>
              <w:rPr>
                <w:rFonts w:ascii="Arial" w:cs="Arial" w:eastAsia="Arial" w:hAnsi="Arial"/>
                <w:sz w:val="10"/>
                <w:szCs w:val="10"/>
                <w:color w:val="auto"/>
                <w:w w:val="71"/>
              </w:rPr>
              <w:t>$</w:t>
            </w:r>
          </w:p>
        </w:tc>
        <w:tc>
          <w:tcPr>
            <w:tcW w:w="1500" w:type="dxa"/>
            <w:vAlign w:val="bottom"/>
          </w:tcPr>
          <w:p>
            <w:pPr>
              <w:jc w:val="right"/>
              <w:spacing w:after="0"/>
              <w:rPr>
                <w:sz w:val="20"/>
                <w:szCs w:val="20"/>
                <w:color w:val="auto"/>
              </w:rPr>
            </w:pPr>
            <w:r>
              <w:rPr>
                <w:rFonts w:ascii="Arial" w:cs="Arial" w:eastAsia="Arial" w:hAnsi="Arial"/>
                <w:sz w:val="12"/>
                <w:szCs w:val="12"/>
                <w:color w:val="auto"/>
              </w:rPr>
              <w:t>11.14</w:t>
            </w:r>
          </w:p>
        </w:tc>
        <w:tc>
          <w:tcPr>
            <w:tcW w:w="320" w:type="dxa"/>
            <w:vAlign w:val="bottom"/>
          </w:tcPr>
          <w:p>
            <w:pPr>
              <w:spacing w:after="0"/>
              <w:rPr>
                <w:sz w:val="13"/>
                <w:szCs w:val="13"/>
                <w:color w:val="auto"/>
              </w:rPr>
            </w:pPr>
          </w:p>
        </w:tc>
        <w:tc>
          <w:tcPr>
            <w:tcW w:w="520" w:type="dxa"/>
            <w:vAlign w:val="bottom"/>
          </w:tcPr>
          <w:p>
            <w:pPr>
              <w:jc w:val="right"/>
              <w:ind w:right="410"/>
              <w:spacing w:after="0"/>
              <w:rPr>
                <w:sz w:val="20"/>
                <w:szCs w:val="20"/>
                <w:color w:val="auto"/>
              </w:rPr>
            </w:pPr>
            <w:r>
              <w:rPr>
                <w:rFonts w:ascii="Arial" w:cs="Arial" w:eastAsia="Arial" w:hAnsi="Arial"/>
                <w:sz w:val="10"/>
                <w:szCs w:val="10"/>
                <w:color w:val="auto"/>
                <w:w w:val="71"/>
              </w:rPr>
              <w:t>$</w:t>
            </w:r>
          </w:p>
        </w:tc>
        <w:tc>
          <w:tcPr>
            <w:tcW w:w="1440" w:type="dxa"/>
            <w:vAlign w:val="bottom"/>
          </w:tcPr>
          <w:p>
            <w:pPr>
              <w:jc w:val="right"/>
              <w:spacing w:after="0"/>
              <w:rPr>
                <w:sz w:val="20"/>
                <w:szCs w:val="20"/>
                <w:color w:val="auto"/>
              </w:rPr>
            </w:pPr>
            <w:r>
              <w:rPr>
                <w:rFonts w:ascii="Arial" w:cs="Arial" w:eastAsia="Arial" w:hAnsi="Arial"/>
                <w:sz w:val="12"/>
                <w:szCs w:val="12"/>
                <w:color w:val="auto"/>
              </w:rPr>
              <w:t>9.14</w:t>
            </w:r>
          </w:p>
        </w:tc>
        <w:tc>
          <w:tcPr>
            <w:tcW w:w="120" w:type="dxa"/>
            <w:vAlign w:val="bottom"/>
          </w:tcPr>
          <w:p>
            <w:pPr>
              <w:spacing w:after="0"/>
              <w:rPr>
                <w:sz w:val="13"/>
                <w:szCs w:val="13"/>
                <w:color w:val="auto"/>
              </w:rPr>
            </w:pPr>
          </w:p>
        </w:tc>
      </w:tr>
    </w:tbl>
    <w:p>
      <w:pPr>
        <w:spacing w:after="0" w:line="23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Holders of Record</w:t>
      </w:r>
    </w:p>
    <w:p>
      <w:pPr>
        <w:spacing w:after="0" w:line="82" w:lineRule="exact"/>
        <w:rPr>
          <w:sz w:val="20"/>
          <w:szCs w:val="20"/>
          <w:color w:val="auto"/>
        </w:rPr>
      </w:pPr>
    </w:p>
    <w:p>
      <w:pPr>
        <w:ind w:right="40" w:firstLine="602"/>
        <w:spacing w:after="0" w:line="276" w:lineRule="auto"/>
        <w:rPr>
          <w:sz w:val="20"/>
          <w:szCs w:val="20"/>
          <w:color w:val="auto"/>
        </w:rPr>
      </w:pPr>
      <w:r>
        <w:rPr>
          <w:rFonts w:ascii="Arial" w:cs="Arial" w:eastAsia="Arial" w:hAnsi="Arial"/>
          <w:sz w:val="12"/>
          <w:szCs w:val="12"/>
          <w:color w:val="auto"/>
        </w:rPr>
        <w:t>As of December 31, 2019, we had 24 holders of record of our Class A Common Stock. Because many of our shares of Class A Common Stock are held by brokers and other institutions on behalf of stockholders, we are unable to estimate the total number of stockholders represented by these record holders.</w:t>
      </w:r>
    </w:p>
    <w:p>
      <w:pPr>
        <w:spacing w:after="0" w:line="18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Warrants</w:t>
      </w:r>
    </w:p>
    <w:p>
      <w:pPr>
        <w:spacing w:after="0" w:line="82" w:lineRule="exact"/>
        <w:rPr>
          <w:sz w:val="20"/>
          <w:szCs w:val="20"/>
          <w:color w:val="auto"/>
        </w:rPr>
      </w:pPr>
    </w:p>
    <w:p>
      <w:pPr>
        <w:jc w:val="both"/>
        <w:ind w:right="220" w:firstLine="602"/>
        <w:spacing w:after="0" w:line="263" w:lineRule="auto"/>
        <w:rPr>
          <w:sz w:val="20"/>
          <w:szCs w:val="20"/>
          <w:color w:val="auto"/>
        </w:rPr>
      </w:pPr>
      <w:r>
        <w:rPr>
          <w:rFonts w:ascii="Arial" w:cs="Arial" w:eastAsia="Arial" w:hAnsi="Arial"/>
          <w:sz w:val="12"/>
          <w:szCs w:val="12"/>
          <w:color w:val="auto"/>
        </w:rPr>
        <w:t>As of December 31, 2019, there were warrants outstanding to acquire 19,999,967 shares of our Class A Common Stock including: (i) 6,666,666 warrants originally issued to Gores Sponsor II, LLC in a private placement in connection with our IPO (the “</w:t>
      </w:r>
      <w:r>
        <w:rPr>
          <w:rFonts w:ascii="Arial" w:cs="Arial" w:eastAsia="Arial" w:hAnsi="Arial"/>
          <w:sz w:val="12"/>
          <w:szCs w:val="12"/>
          <w:b w:val="1"/>
          <w:bCs w:val="1"/>
          <w:i w:val="1"/>
          <w:iCs w:val="1"/>
          <w:color w:val="auto"/>
        </w:rPr>
        <w:t>Private Placement Warrants</w:t>
      </w:r>
      <w:r>
        <w:rPr>
          <w:rFonts w:ascii="Arial" w:cs="Arial" w:eastAsia="Arial" w:hAnsi="Arial"/>
          <w:sz w:val="12"/>
          <w:szCs w:val="12"/>
          <w:color w:val="auto"/>
        </w:rPr>
        <w:t>”); and (ii) 13,333,301 warrants issued in connection with our IPO (the “</w:t>
      </w:r>
      <w:r>
        <w:rPr>
          <w:rFonts w:ascii="Arial" w:cs="Arial" w:eastAsia="Arial" w:hAnsi="Arial"/>
          <w:sz w:val="12"/>
          <w:szCs w:val="12"/>
          <w:b w:val="1"/>
          <w:bCs w:val="1"/>
          <w:i w:val="1"/>
          <w:iCs w:val="1"/>
          <w:color w:val="auto"/>
        </w:rPr>
        <w:t>Public Warrants</w:t>
      </w:r>
      <w:r>
        <w:rPr>
          <w:rFonts w:ascii="Arial" w:cs="Arial" w:eastAsia="Arial" w:hAnsi="Arial"/>
          <w:sz w:val="12"/>
          <w:szCs w:val="12"/>
          <w:color w:val="auto"/>
        </w:rPr>
        <w:t>” and, together with the Private Placement Warrants, the “</w:t>
      </w:r>
      <w:r>
        <w:rPr>
          <w:rFonts w:ascii="Arial" w:cs="Arial" w:eastAsia="Arial" w:hAnsi="Arial"/>
          <w:sz w:val="12"/>
          <w:szCs w:val="12"/>
          <w:b w:val="1"/>
          <w:bCs w:val="1"/>
          <w:i w:val="1"/>
          <w:iCs w:val="1"/>
          <w:color w:val="auto"/>
        </w:rPr>
        <w:t>Warrants</w:t>
      </w:r>
      <w:r>
        <w:rPr>
          <w:rFonts w:ascii="Arial" w:cs="Arial" w:eastAsia="Arial" w:hAnsi="Arial"/>
          <w:sz w:val="12"/>
          <w:szCs w:val="12"/>
          <w:color w:val="auto"/>
        </w:rPr>
        <w:t>”). The Warrants entitle the registered holder to purchase one share of our Class A Common Stock at a price of $11.50 per share, subject to certain adjustments.</w:t>
      </w:r>
    </w:p>
    <w:p>
      <w:pPr>
        <w:spacing w:after="0" w:line="123" w:lineRule="exact"/>
        <w:rPr>
          <w:sz w:val="20"/>
          <w:szCs w:val="20"/>
          <w:color w:val="auto"/>
        </w:rPr>
      </w:pPr>
    </w:p>
    <w:p>
      <w:pPr>
        <w:ind w:right="80" w:firstLine="602"/>
        <w:spacing w:after="0" w:line="298" w:lineRule="auto"/>
        <w:rPr>
          <w:sz w:val="20"/>
          <w:szCs w:val="20"/>
          <w:color w:val="auto"/>
        </w:rPr>
      </w:pPr>
      <w:r>
        <w:rPr>
          <w:rFonts w:ascii="Arial" w:cs="Arial" w:eastAsia="Arial" w:hAnsi="Arial"/>
          <w:sz w:val="11"/>
          <w:szCs w:val="11"/>
          <w:color w:val="auto"/>
        </w:rPr>
        <w:t>The Warrants became exercisable on November 16, 2018, 30 days following the completion of the Business Combination, and expire five years after that date, or earlier upon redemption or liquidation. We may redeem the outstanding Warrants at a price of $0.01 per warrant, if the last sale price of our Class A Common Stock equals or exceeds $18.00 per share for any 20 trading days within a 30 trading day period ending on the third business day before we send the notice of redemption to the Warrant holders. The Private Placement Warrants, however, are nonredeemable so long as they are held by Gores Sponsor II, LLC or its permitted transferees.</w:t>
      </w:r>
    </w:p>
    <w:p>
      <w:pPr>
        <w:spacing w:after="0" w:line="17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Dividends</w:t>
      </w:r>
    </w:p>
    <w:p>
      <w:pPr>
        <w:spacing w:after="0" w:line="82" w:lineRule="exact"/>
        <w:rPr>
          <w:sz w:val="20"/>
          <w:szCs w:val="20"/>
          <w:color w:val="auto"/>
        </w:rPr>
      </w:pPr>
    </w:p>
    <w:p>
      <w:pPr>
        <w:ind w:right="20" w:firstLine="602"/>
        <w:spacing w:after="0" w:line="263" w:lineRule="auto"/>
        <w:rPr>
          <w:sz w:val="20"/>
          <w:szCs w:val="20"/>
          <w:color w:val="auto"/>
        </w:rPr>
      </w:pPr>
      <w:r>
        <w:rPr>
          <w:rFonts w:ascii="Arial" w:cs="Arial" w:eastAsia="Arial" w:hAnsi="Arial"/>
          <w:sz w:val="12"/>
          <w:szCs w:val="12"/>
          <w:color w:val="auto"/>
        </w:rPr>
        <w:t>We have not paid any cash dividends on our Class A Common Stock to date. The payment of cash dividends in the future will be dependent upon our revenues and earnings, if any, capital requirements and general financial condition. The payment of any cash dividends is within the discretion of our Board. In addition, our Board is not currently contemplating and does not anticipate declaring any stock dividends in the foreseeable future. Further, our ability to declare dividends is limited by restrictive covenants in the agreements governing our indebtedness.</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17740" cy="368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ectPr>
          <w:pgSz w:w="11900" w:h="16838" w:orient="portrait"/>
          <w:cols w:equalWidth="0" w:num="1">
            <w:col w:w="11480"/>
          </w:cols>
          <w:pgMar w:left="220" w:top="127" w:right="199" w:bottom="1440" w:gutter="0" w:footer="0" w:header="0"/>
        </w:sectPr>
      </w:pPr>
    </w:p>
    <w:bookmarkStart w:id="37" w:name="page38"/>
    <w:bookmarkEnd w:id="37"/>
    <w:p>
      <w:pPr>
        <w:spacing w:after="0"/>
        <w:rPr>
          <w:sz w:val="20"/>
          <w:szCs w:val="20"/>
          <w:color w:val="auto"/>
        </w:rPr>
      </w:pPr>
      <w:r>
        <w:rPr>
          <w:rFonts w:ascii="Arial" w:cs="Arial" w:eastAsia="Arial" w:hAnsi="Arial"/>
          <w:sz w:val="12"/>
          <w:szCs w:val="12"/>
          <w:b w:val="1"/>
          <w:bCs w:val="1"/>
          <w:color w:val="auto"/>
        </w:rPr>
        <w:t>Securities Authorized for Issuance Under Equity Compensation Plans</w:t>
      </w:r>
    </w:p>
    <w:p>
      <w:pPr>
        <w:spacing w:after="0" w:line="82" w:lineRule="exact"/>
        <w:rPr>
          <w:sz w:val="20"/>
          <w:szCs w:val="20"/>
          <w:color w:val="auto"/>
        </w:rPr>
      </w:pPr>
    </w:p>
    <w:p>
      <w:pPr>
        <w:ind w:left="600"/>
        <w:spacing w:after="0"/>
        <w:rPr>
          <w:sz w:val="20"/>
          <w:szCs w:val="20"/>
          <w:color w:val="auto"/>
        </w:rPr>
      </w:pPr>
      <w:r>
        <w:rPr>
          <w:rFonts w:ascii="Arial" w:cs="Arial" w:eastAsia="Arial" w:hAnsi="Arial"/>
          <w:sz w:val="12"/>
          <w:szCs w:val="12"/>
          <w:color w:val="auto"/>
        </w:rPr>
        <w:t>The information required by this item with respect to our equity compensation plans is incorporated by reference to our Proxy Statement for the 2020 annual meeting of stockholders.</w:t>
      </w:r>
    </w:p>
    <w:p>
      <w:pPr>
        <w:spacing w:after="0" w:line="21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Stock Performance Graph</w:t>
      </w:r>
    </w:p>
    <w:p>
      <w:pPr>
        <w:spacing w:after="0" w:line="82" w:lineRule="exact"/>
        <w:rPr>
          <w:sz w:val="20"/>
          <w:szCs w:val="20"/>
          <w:color w:val="auto"/>
        </w:rPr>
      </w:pPr>
    </w:p>
    <w:p>
      <w:pPr>
        <w:ind w:right="120" w:firstLine="602"/>
        <w:spacing w:after="0" w:line="263" w:lineRule="auto"/>
        <w:rPr>
          <w:sz w:val="20"/>
          <w:szCs w:val="20"/>
          <w:color w:val="auto"/>
        </w:rPr>
      </w:pPr>
      <w:r>
        <w:rPr>
          <w:rFonts w:ascii="Arial" w:cs="Arial" w:eastAsia="Arial" w:hAnsi="Arial"/>
          <w:sz w:val="12"/>
          <w:szCs w:val="12"/>
          <w:color w:val="auto"/>
        </w:rPr>
        <w:t>The graph below compares the cumulative total return on our Class A Common Stock with that of the S&amp;P 500 Index and the S&amp;P Composite 1500 Data Processing &amp; Outsourced Services Index. The period shown commences on October 18, 2018, and ends on December 31, 2019, the end of our last fiscal year. The graph assumes an investment of $100 in each of the above on the close of market on October 18, 2018. We did not declare or pay any dividends on our Class A Common Stock during the comparison period. The stock performance graph is not necessarily indicative of future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2117090</wp:posOffset>
            </wp:positionH>
            <wp:positionV relativeFrom="paragraph">
              <wp:posOffset>175260</wp:posOffset>
            </wp:positionV>
            <wp:extent cx="3054350" cy="14643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054350" cy="1464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600"/>
        <w:spacing w:after="0"/>
        <w:rPr>
          <w:sz w:val="20"/>
          <w:szCs w:val="20"/>
          <w:color w:val="auto"/>
        </w:rPr>
      </w:pPr>
      <w:r>
        <w:rPr>
          <w:rFonts w:ascii="Arial" w:cs="Arial" w:eastAsia="Arial" w:hAnsi="Arial"/>
          <w:sz w:val="10"/>
          <w:szCs w:val="10"/>
          <w:color w:val="auto"/>
        </w:rPr>
        <w:t>This performance graph is not deemed to be incorporated by reference into any of our other filings under the Exchange Act, or the Securities Act, except to the extent we specifically incorporate it by reference into such filings.</w:t>
      </w:r>
    </w:p>
    <w:p>
      <w:pPr>
        <w:spacing w:after="0" w:line="24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Recent Sales of Unregistered Securities and Use of Proceeds</w:t>
      </w:r>
    </w:p>
    <w:p>
      <w:pPr>
        <w:spacing w:after="0" w:line="82" w:lineRule="exact"/>
        <w:rPr>
          <w:sz w:val="20"/>
          <w:szCs w:val="20"/>
          <w:color w:val="auto"/>
        </w:rPr>
      </w:pPr>
    </w:p>
    <w:p>
      <w:pPr>
        <w:ind w:left="600"/>
        <w:spacing w:after="0"/>
        <w:rPr>
          <w:sz w:val="20"/>
          <w:szCs w:val="20"/>
          <w:color w:val="auto"/>
        </w:rPr>
      </w:pPr>
      <w:r>
        <w:rPr>
          <w:rFonts w:ascii="Arial" w:cs="Arial" w:eastAsia="Arial" w:hAnsi="Arial"/>
          <w:sz w:val="12"/>
          <w:szCs w:val="12"/>
          <w:color w:val="auto"/>
        </w:rPr>
        <w:t>None.</w:t>
      </w:r>
    </w:p>
    <w:p>
      <w:pPr>
        <w:spacing w:after="0" w:line="21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Purchases of Equity Securities by the Issuer and Affiliated Purchasers</w:t>
      </w:r>
    </w:p>
    <w:p>
      <w:pPr>
        <w:spacing w:after="0" w:line="82" w:lineRule="exact"/>
        <w:rPr>
          <w:sz w:val="20"/>
          <w:szCs w:val="20"/>
          <w:color w:val="auto"/>
        </w:rPr>
      </w:pPr>
    </w:p>
    <w:p>
      <w:pPr>
        <w:ind w:left="600"/>
        <w:spacing w:after="0"/>
        <w:rPr>
          <w:sz w:val="20"/>
          <w:szCs w:val="20"/>
          <w:color w:val="auto"/>
        </w:rPr>
      </w:pPr>
      <w:r>
        <w:rPr>
          <w:rFonts w:ascii="Arial" w:cs="Arial" w:eastAsia="Arial" w:hAnsi="Arial"/>
          <w:sz w:val="12"/>
          <w:szCs w:val="12"/>
          <w:color w:val="auto"/>
        </w:rPr>
        <w:t>None.</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17740" cy="368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ectPr>
          <w:pgSz w:w="11900" w:h="16838" w:orient="portrait"/>
          <w:cols w:equalWidth="0" w:num="1">
            <w:col w:w="11440"/>
          </w:cols>
          <w:pgMar w:left="220" w:top="343" w:right="239" w:bottom="1440" w:gutter="0" w:footer="0" w:header="0"/>
        </w:sectPr>
      </w:pPr>
    </w:p>
    <w:bookmarkStart w:id="38" w:name="page39"/>
    <w:bookmarkEnd w:id="38"/>
    <w:p>
      <w:pPr>
        <w:spacing w:after="0"/>
        <w:rPr>
          <w:sz w:val="20"/>
          <w:szCs w:val="20"/>
          <w:color w:val="auto"/>
        </w:rPr>
      </w:pPr>
      <w:r>
        <w:rPr>
          <w:rFonts w:ascii="Arial" w:cs="Arial" w:eastAsia="Arial" w:hAnsi="Arial"/>
          <w:sz w:val="12"/>
          <w:szCs w:val="12"/>
          <w:b w:val="1"/>
          <w:bCs w:val="1"/>
          <w:color w:val="auto"/>
        </w:rPr>
        <w:t>Earn-Out Agreement</w:t>
      </w:r>
    </w:p>
    <w:p>
      <w:pPr>
        <w:spacing w:after="0" w:line="82" w:lineRule="exact"/>
        <w:rPr>
          <w:sz w:val="20"/>
          <w:szCs w:val="20"/>
          <w:color w:val="auto"/>
        </w:rPr>
      </w:pPr>
    </w:p>
    <w:p>
      <w:pPr>
        <w:ind w:right="160" w:firstLine="602"/>
        <w:spacing w:after="0" w:line="263" w:lineRule="auto"/>
        <w:rPr>
          <w:sz w:val="20"/>
          <w:szCs w:val="20"/>
          <w:color w:val="auto"/>
        </w:rPr>
      </w:pPr>
      <w:r>
        <w:rPr>
          <w:rFonts w:ascii="Arial" w:cs="Arial" w:eastAsia="Arial" w:hAnsi="Arial"/>
          <w:sz w:val="12"/>
          <w:szCs w:val="12"/>
          <w:color w:val="auto"/>
        </w:rPr>
        <w:t>Under the Merger Agreement, the Platinum Stockholder is entitled to receive additional shares of Class A Common Stock (the “</w:t>
      </w:r>
      <w:r>
        <w:rPr>
          <w:rFonts w:ascii="Arial" w:cs="Arial" w:eastAsia="Arial" w:hAnsi="Arial"/>
          <w:sz w:val="12"/>
          <w:szCs w:val="12"/>
          <w:b w:val="1"/>
          <w:bCs w:val="1"/>
          <w:i w:val="1"/>
          <w:iCs w:val="1"/>
          <w:color w:val="auto"/>
        </w:rPr>
        <w:t>Earn-Out Shares</w:t>
      </w:r>
      <w:r>
        <w:rPr>
          <w:rFonts w:ascii="Arial" w:cs="Arial" w:eastAsia="Arial" w:hAnsi="Arial"/>
          <w:sz w:val="12"/>
          <w:szCs w:val="12"/>
          <w:color w:val="auto"/>
        </w:rPr>
        <w:t>”) if the volume weighted average closing sale price of one share of Class A Common Stock on the Nasdaq exceeds certain thresholds for a period of at least 10 days out of 20 consecutive trading days at any time during the five-year period following the closing of the Business Combination (the “</w:t>
      </w:r>
      <w:r>
        <w:rPr>
          <w:rFonts w:ascii="Arial" w:cs="Arial" w:eastAsia="Arial" w:hAnsi="Arial"/>
          <w:sz w:val="12"/>
          <w:szCs w:val="12"/>
          <w:b w:val="1"/>
          <w:bCs w:val="1"/>
          <w:i w:val="1"/>
          <w:iCs w:val="1"/>
          <w:color w:val="auto"/>
        </w:rPr>
        <w:t>Common Stock</w:t>
      </w:r>
      <w:r>
        <w:rPr>
          <w:rFonts w:ascii="Arial" w:cs="Arial" w:eastAsia="Arial" w:hAnsi="Arial"/>
          <w:sz w:val="12"/>
          <w:szCs w:val="12"/>
          <w:color w:val="auto"/>
        </w:rPr>
        <w:t xml:space="preserve"> </w:t>
      </w:r>
      <w:r>
        <w:rPr>
          <w:rFonts w:ascii="Arial" w:cs="Arial" w:eastAsia="Arial" w:hAnsi="Arial"/>
          <w:sz w:val="12"/>
          <w:szCs w:val="12"/>
          <w:b w:val="1"/>
          <w:bCs w:val="1"/>
          <w:i w:val="1"/>
          <w:iCs w:val="1"/>
          <w:color w:val="auto"/>
        </w:rPr>
        <w:t>Price</w:t>
      </w:r>
      <w:r>
        <w:rPr>
          <w:rFonts w:ascii="Arial" w:cs="Arial" w:eastAsia="Arial" w:hAnsi="Arial"/>
          <w:sz w:val="12"/>
          <w:szCs w:val="12"/>
          <w:color w:val="auto"/>
        </w:rPr>
        <w:t>”). The Earn-Out Shares are issued to the Platinum Stockholder as follows: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7140" w:type="dxa"/>
            <w:vAlign w:val="bottom"/>
            <w:gridSpan w:val="2"/>
          </w:tcPr>
          <w:p>
            <w:pPr>
              <w:jc w:val="center"/>
              <w:ind w:right="580"/>
              <w:spacing w:after="0"/>
              <w:rPr>
                <w:sz w:val="20"/>
                <w:szCs w:val="20"/>
                <w:color w:val="auto"/>
              </w:rPr>
            </w:pPr>
            <w:r>
              <w:rPr>
                <w:rFonts w:ascii="Arial" w:cs="Arial" w:eastAsia="Arial" w:hAnsi="Arial"/>
                <w:sz w:val="10"/>
                <w:szCs w:val="10"/>
                <w:b w:val="1"/>
                <w:bCs w:val="1"/>
                <w:color w:val="auto"/>
                <w:w w:val="85"/>
              </w:rPr>
              <w:t>Common Stock Price thresholds</w:t>
            </w:r>
          </w:p>
        </w:tc>
        <w:tc>
          <w:tcPr>
            <w:tcW w:w="4340" w:type="dxa"/>
            <w:vAlign w:val="bottom"/>
            <w:gridSpan w:val="2"/>
          </w:tcPr>
          <w:p>
            <w:pPr>
              <w:ind w:left="1540"/>
              <w:spacing w:after="0"/>
              <w:rPr>
                <w:sz w:val="20"/>
                <w:szCs w:val="20"/>
                <w:color w:val="auto"/>
              </w:rPr>
            </w:pPr>
            <w:r>
              <w:rPr>
                <w:rFonts w:ascii="Arial" w:cs="Arial" w:eastAsia="Arial" w:hAnsi="Arial"/>
                <w:sz w:val="10"/>
                <w:szCs w:val="10"/>
                <w:b w:val="1"/>
                <w:bCs w:val="1"/>
                <w:color w:val="auto"/>
              </w:rPr>
              <w:t>One-time issuance of shares</w:t>
            </w:r>
          </w:p>
        </w:tc>
      </w:tr>
      <w:tr>
        <w:trPr>
          <w:trHeight w:val="142"/>
        </w:trPr>
        <w:tc>
          <w:tcPr>
            <w:tcW w:w="66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2"/>
                <w:szCs w:val="12"/>
                <w:color w:val="auto"/>
                <w:w w:val="89"/>
              </w:rPr>
              <w:t>&gt; $13.00</w:t>
            </w:r>
          </w:p>
        </w:tc>
        <w:tc>
          <w:tcPr>
            <w:tcW w:w="540" w:type="dxa"/>
            <w:vAlign w:val="bottom"/>
            <w:tcBorders>
              <w:top w:val="single" w:sz="8" w:color="CFF0FC"/>
            </w:tcBorders>
            <w:shd w:val="clear" w:color="auto" w:fill="CFF0FC"/>
          </w:tcPr>
          <w:p>
            <w:pPr>
              <w:spacing w:after="0"/>
              <w:rPr>
                <w:sz w:val="12"/>
                <w:szCs w:val="12"/>
                <w:color w:val="auto"/>
              </w:rPr>
            </w:pPr>
          </w:p>
        </w:tc>
        <w:tc>
          <w:tcPr>
            <w:tcW w:w="4220" w:type="dxa"/>
            <w:vAlign w:val="bottom"/>
            <w:tcBorders>
              <w:top w:val="single" w:sz="8" w:color="auto"/>
            </w:tcBorders>
            <w:shd w:val="clear" w:color="auto" w:fill="CFF0FC"/>
          </w:tcPr>
          <w:p>
            <w:pPr>
              <w:jc w:val="right"/>
              <w:ind w:right="1762"/>
              <w:spacing w:after="0"/>
              <w:rPr>
                <w:sz w:val="20"/>
                <w:szCs w:val="20"/>
                <w:color w:val="auto"/>
              </w:rPr>
            </w:pPr>
            <w:r>
              <w:rPr>
                <w:rFonts w:ascii="Arial" w:cs="Arial" w:eastAsia="Arial" w:hAnsi="Arial"/>
                <w:sz w:val="12"/>
                <w:szCs w:val="12"/>
                <w:color w:val="auto"/>
              </w:rPr>
              <w:t>2,500,000</w:t>
            </w:r>
          </w:p>
        </w:tc>
        <w:tc>
          <w:tcPr>
            <w:tcW w:w="120" w:type="dxa"/>
            <w:vAlign w:val="bottom"/>
            <w:tcBorders>
              <w:top w:val="single" w:sz="8" w:color="CFF0FC"/>
            </w:tcBorders>
            <w:shd w:val="clear" w:color="auto" w:fill="CFF0FC"/>
          </w:tcPr>
          <w:p>
            <w:pPr>
              <w:spacing w:after="0"/>
              <w:rPr>
                <w:sz w:val="12"/>
                <w:szCs w:val="12"/>
                <w:color w:val="auto"/>
              </w:rPr>
            </w:pPr>
          </w:p>
        </w:tc>
      </w:tr>
      <w:tr>
        <w:trPr>
          <w:trHeight w:val="153"/>
        </w:trPr>
        <w:tc>
          <w:tcPr>
            <w:tcW w:w="6600" w:type="dxa"/>
            <w:vAlign w:val="bottom"/>
          </w:tcPr>
          <w:p>
            <w:pPr>
              <w:jc w:val="center"/>
              <w:spacing w:after="0"/>
              <w:rPr>
                <w:sz w:val="20"/>
                <w:szCs w:val="20"/>
                <w:color w:val="auto"/>
              </w:rPr>
            </w:pPr>
            <w:r>
              <w:rPr>
                <w:rFonts w:ascii="Arial" w:cs="Arial" w:eastAsia="Arial" w:hAnsi="Arial"/>
                <w:sz w:val="12"/>
                <w:szCs w:val="12"/>
                <w:color w:val="auto"/>
                <w:w w:val="89"/>
              </w:rPr>
              <w:t>&gt; $15.50</w:t>
            </w:r>
          </w:p>
        </w:tc>
        <w:tc>
          <w:tcPr>
            <w:tcW w:w="540" w:type="dxa"/>
            <w:vAlign w:val="bottom"/>
          </w:tcPr>
          <w:p>
            <w:pPr>
              <w:spacing w:after="0"/>
              <w:rPr>
                <w:sz w:val="13"/>
                <w:szCs w:val="13"/>
                <w:color w:val="auto"/>
              </w:rPr>
            </w:pPr>
          </w:p>
        </w:tc>
        <w:tc>
          <w:tcPr>
            <w:tcW w:w="4220" w:type="dxa"/>
            <w:vAlign w:val="bottom"/>
          </w:tcPr>
          <w:p>
            <w:pPr>
              <w:jc w:val="right"/>
              <w:ind w:right="1762"/>
              <w:spacing w:after="0"/>
              <w:rPr>
                <w:sz w:val="20"/>
                <w:szCs w:val="20"/>
                <w:color w:val="auto"/>
              </w:rPr>
            </w:pPr>
            <w:r>
              <w:rPr>
                <w:rFonts w:ascii="Arial" w:cs="Arial" w:eastAsia="Arial" w:hAnsi="Arial"/>
                <w:sz w:val="12"/>
                <w:szCs w:val="12"/>
                <w:color w:val="auto"/>
              </w:rPr>
              <w:t>2,500,000</w:t>
            </w:r>
          </w:p>
        </w:tc>
        <w:tc>
          <w:tcPr>
            <w:tcW w:w="120" w:type="dxa"/>
            <w:vAlign w:val="bottom"/>
          </w:tcPr>
          <w:p>
            <w:pPr>
              <w:spacing w:after="0"/>
              <w:rPr>
                <w:sz w:val="13"/>
                <w:szCs w:val="13"/>
                <w:color w:val="auto"/>
              </w:rPr>
            </w:pPr>
          </w:p>
        </w:tc>
      </w:tr>
      <w:tr>
        <w:trPr>
          <w:trHeight w:val="153"/>
        </w:trPr>
        <w:tc>
          <w:tcPr>
            <w:tcW w:w="6600" w:type="dxa"/>
            <w:vAlign w:val="bottom"/>
            <w:shd w:val="clear" w:color="auto" w:fill="CFF0FC"/>
          </w:tcPr>
          <w:p>
            <w:pPr>
              <w:jc w:val="center"/>
              <w:spacing w:after="0"/>
              <w:rPr>
                <w:sz w:val="20"/>
                <w:szCs w:val="20"/>
                <w:color w:val="auto"/>
              </w:rPr>
            </w:pPr>
            <w:r>
              <w:rPr>
                <w:rFonts w:ascii="Arial" w:cs="Arial" w:eastAsia="Arial" w:hAnsi="Arial"/>
                <w:sz w:val="12"/>
                <w:szCs w:val="12"/>
                <w:color w:val="auto"/>
                <w:w w:val="89"/>
              </w:rPr>
              <w:t>&gt; $18.00</w:t>
            </w:r>
          </w:p>
        </w:tc>
        <w:tc>
          <w:tcPr>
            <w:tcW w:w="540" w:type="dxa"/>
            <w:vAlign w:val="bottom"/>
            <w:shd w:val="clear" w:color="auto" w:fill="CFF0FC"/>
          </w:tcPr>
          <w:p>
            <w:pPr>
              <w:spacing w:after="0"/>
              <w:rPr>
                <w:sz w:val="13"/>
                <w:szCs w:val="13"/>
                <w:color w:val="auto"/>
              </w:rPr>
            </w:pPr>
          </w:p>
        </w:tc>
        <w:tc>
          <w:tcPr>
            <w:tcW w:w="4220" w:type="dxa"/>
            <w:vAlign w:val="bottom"/>
            <w:shd w:val="clear" w:color="auto" w:fill="CFF0FC"/>
          </w:tcPr>
          <w:p>
            <w:pPr>
              <w:jc w:val="right"/>
              <w:ind w:right="1762"/>
              <w:spacing w:after="0"/>
              <w:rPr>
                <w:sz w:val="20"/>
                <w:szCs w:val="20"/>
                <w:color w:val="auto"/>
              </w:rPr>
            </w:pPr>
            <w:r>
              <w:rPr>
                <w:rFonts w:ascii="Arial" w:cs="Arial" w:eastAsia="Arial" w:hAnsi="Arial"/>
                <w:sz w:val="12"/>
                <w:szCs w:val="12"/>
                <w:color w:val="auto"/>
              </w:rPr>
              <w:t>2,500,000</w:t>
            </w:r>
          </w:p>
        </w:tc>
        <w:tc>
          <w:tcPr>
            <w:tcW w:w="120" w:type="dxa"/>
            <w:vAlign w:val="bottom"/>
            <w:shd w:val="clear" w:color="auto" w:fill="CFF0FC"/>
          </w:tcPr>
          <w:p>
            <w:pPr>
              <w:spacing w:after="0"/>
              <w:rPr>
                <w:sz w:val="13"/>
                <w:szCs w:val="13"/>
                <w:color w:val="auto"/>
              </w:rPr>
            </w:pPr>
          </w:p>
        </w:tc>
      </w:tr>
      <w:tr>
        <w:trPr>
          <w:trHeight w:val="153"/>
        </w:trPr>
        <w:tc>
          <w:tcPr>
            <w:tcW w:w="6600" w:type="dxa"/>
            <w:vAlign w:val="bottom"/>
          </w:tcPr>
          <w:p>
            <w:pPr>
              <w:jc w:val="center"/>
              <w:spacing w:after="0"/>
              <w:rPr>
                <w:sz w:val="20"/>
                <w:szCs w:val="20"/>
                <w:color w:val="auto"/>
              </w:rPr>
            </w:pPr>
            <w:r>
              <w:rPr>
                <w:rFonts w:ascii="Arial" w:cs="Arial" w:eastAsia="Arial" w:hAnsi="Arial"/>
                <w:sz w:val="12"/>
                <w:szCs w:val="12"/>
                <w:color w:val="auto"/>
                <w:w w:val="89"/>
              </w:rPr>
              <w:t>&gt; $20.50</w:t>
            </w:r>
          </w:p>
        </w:tc>
        <w:tc>
          <w:tcPr>
            <w:tcW w:w="540" w:type="dxa"/>
            <w:vAlign w:val="bottom"/>
          </w:tcPr>
          <w:p>
            <w:pPr>
              <w:spacing w:after="0"/>
              <w:rPr>
                <w:sz w:val="13"/>
                <w:szCs w:val="13"/>
                <w:color w:val="auto"/>
              </w:rPr>
            </w:pPr>
          </w:p>
        </w:tc>
        <w:tc>
          <w:tcPr>
            <w:tcW w:w="4220" w:type="dxa"/>
            <w:vAlign w:val="bottom"/>
          </w:tcPr>
          <w:p>
            <w:pPr>
              <w:jc w:val="right"/>
              <w:ind w:right="1762"/>
              <w:spacing w:after="0"/>
              <w:rPr>
                <w:sz w:val="20"/>
                <w:szCs w:val="20"/>
                <w:color w:val="auto"/>
              </w:rPr>
            </w:pPr>
            <w:r>
              <w:rPr>
                <w:rFonts w:ascii="Arial" w:cs="Arial" w:eastAsia="Arial" w:hAnsi="Arial"/>
                <w:sz w:val="12"/>
                <w:szCs w:val="12"/>
                <w:color w:val="auto"/>
              </w:rPr>
              <w:t>2,500,000</w:t>
            </w:r>
          </w:p>
        </w:tc>
        <w:tc>
          <w:tcPr>
            <w:tcW w:w="120" w:type="dxa"/>
            <w:vAlign w:val="bottom"/>
          </w:tcPr>
          <w:p>
            <w:pPr>
              <w:spacing w:after="0"/>
              <w:rPr>
                <w:sz w:val="13"/>
                <w:szCs w:val="13"/>
                <w:color w:val="auto"/>
              </w:rPr>
            </w:pPr>
          </w:p>
        </w:tc>
      </w:tr>
    </w:tbl>
    <w:p>
      <w:pPr>
        <w:spacing w:after="0" w:line="135" w:lineRule="exact"/>
        <w:rPr>
          <w:sz w:val="20"/>
          <w:szCs w:val="20"/>
          <w:color w:val="auto"/>
        </w:rPr>
      </w:pPr>
    </w:p>
    <w:p>
      <w:pPr>
        <w:ind w:right="160" w:firstLine="602"/>
        <w:spacing w:after="0" w:line="263" w:lineRule="auto"/>
        <w:rPr>
          <w:sz w:val="20"/>
          <w:szCs w:val="20"/>
          <w:color w:val="auto"/>
        </w:rPr>
      </w:pPr>
      <w:r>
        <w:rPr>
          <w:rFonts w:ascii="Arial" w:cs="Arial" w:eastAsia="Arial" w:hAnsi="Arial"/>
          <w:sz w:val="12"/>
          <w:szCs w:val="12"/>
          <w:color w:val="auto"/>
        </w:rPr>
        <w:t>If any of the Common Stock Price thresholds above (each, a “</w:t>
      </w:r>
      <w:r>
        <w:rPr>
          <w:rFonts w:ascii="Arial" w:cs="Arial" w:eastAsia="Arial" w:hAnsi="Arial"/>
          <w:sz w:val="12"/>
          <w:szCs w:val="12"/>
          <w:b w:val="1"/>
          <w:bCs w:val="1"/>
          <w:i w:val="1"/>
          <w:iCs w:val="1"/>
          <w:color w:val="auto"/>
        </w:rPr>
        <w:t>Triggering Event</w:t>
      </w:r>
      <w:r>
        <w:rPr>
          <w:rFonts w:ascii="Arial" w:cs="Arial" w:eastAsia="Arial" w:hAnsi="Arial"/>
          <w:sz w:val="12"/>
          <w:szCs w:val="12"/>
          <w:color w:val="auto"/>
        </w:rPr>
        <w:t>”) are not achieved within the five-year period following the closing of the Business Combination, we will not be required to issue the Earn-Out Shares in respect of such Common Stock Price threshold. The Platinum Stockholder will also be entitled to Earn-Out Shares upon a change of control transaction for which the per share price is equal to or in excess of the applicable Common Stock Price required in connection with any Triggering Event described above.</w:t>
      </w:r>
    </w:p>
    <w:p>
      <w:pPr>
        <w:spacing w:after="0" w:line="123" w:lineRule="exact"/>
        <w:rPr>
          <w:sz w:val="20"/>
          <w:szCs w:val="20"/>
          <w:color w:val="auto"/>
        </w:rPr>
      </w:pPr>
    </w:p>
    <w:p>
      <w:pPr>
        <w:ind w:right="40" w:firstLine="602"/>
        <w:spacing w:after="0" w:line="257" w:lineRule="auto"/>
        <w:rPr>
          <w:sz w:val="20"/>
          <w:szCs w:val="20"/>
          <w:color w:val="auto"/>
        </w:rPr>
      </w:pPr>
      <w:r>
        <w:rPr>
          <w:rFonts w:ascii="Arial" w:cs="Arial" w:eastAsia="Arial" w:hAnsi="Arial"/>
          <w:sz w:val="12"/>
          <w:szCs w:val="12"/>
          <w:color w:val="auto"/>
        </w:rPr>
        <w:t>The Company estimated the original fair value of the contingently issuable shares to be $73.15 million, of which $54.9 million remains contingently issuable as of December 31, 2019. The Company used a Monte Carlo simulation option-pricing model to arrive at its original estimate. Each tranche was valued separately giving specific consideration to the tranche’s price target. The simulation considered volatility and risk free rates utilizing a peer group based on a five year term. This estimate was initially recorded as a distribution to shareholders and was presented as Common stock contingent consideration. Upon the occurrence of a Triggering Event, any issuable shares would be transferred from Common stock contingent consideration to Common stock and Additional paid-in capital accounts. Any contingently issuable shares not issued as a result of a Triggering Event not being attained by the end of the earn-out period will be cancelled.</w:t>
      </w:r>
    </w:p>
    <w:p>
      <w:pPr>
        <w:spacing w:after="0" w:line="126" w:lineRule="exact"/>
        <w:rPr>
          <w:sz w:val="20"/>
          <w:szCs w:val="20"/>
          <w:color w:val="auto"/>
        </w:rPr>
      </w:pPr>
    </w:p>
    <w:p>
      <w:pPr>
        <w:ind w:right="140" w:firstLine="602"/>
        <w:spacing w:after="0" w:line="298" w:lineRule="auto"/>
        <w:rPr>
          <w:sz w:val="20"/>
          <w:szCs w:val="20"/>
          <w:color w:val="auto"/>
        </w:rPr>
      </w:pPr>
      <w:r>
        <w:rPr>
          <w:rFonts w:ascii="Arial" w:cs="Arial" w:eastAsia="Arial" w:hAnsi="Arial"/>
          <w:sz w:val="11"/>
          <w:szCs w:val="11"/>
          <w:color w:val="auto"/>
        </w:rPr>
        <w:t>On April 26, 2019, the Triggering Event for the issuance of the first tranche of Earn-Out Shares occurred, as the volume weighted average closing sale price per share of the Company’s Class A Common Stock as of that date had been greater than $13.00 for 10 out of 20 consecutive trading days. This Triggering Event resulted in the issuance of 2,500,000 shares of the Company’s Class A Common Stock. At December 31, 2019, the potential future shares issuable pursuant to the earn-out are between zero and 7.5 million. For additional information, refer to our Notes to Consolidated Financial Statements in Item 8 of Part II of this Annual Report on Form 10-K.</w:t>
      </w:r>
    </w:p>
    <w:p>
      <w:pPr>
        <w:spacing w:after="0" w:line="105" w:lineRule="exact"/>
        <w:rPr>
          <w:sz w:val="20"/>
          <w:szCs w:val="20"/>
          <w:color w:val="auto"/>
        </w:rPr>
      </w:pPr>
    </w:p>
    <w:p>
      <w:pPr>
        <w:ind w:right="120" w:firstLine="602"/>
        <w:spacing w:after="0" w:line="263" w:lineRule="auto"/>
        <w:rPr>
          <w:sz w:val="20"/>
          <w:szCs w:val="20"/>
          <w:color w:val="auto"/>
        </w:rPr>
      </w:pPr>
      <w:r>
        <w:rPr>
          <w:rFonts w:ascii="Arial" w:cs="Arial" w:eastAsia="Arial" w:hAnsi="Arial"/>
          <w:sz w:val="12"/>
          <w:szCs w:val="12"/>
          <w:color w:val="auto"/>
        </w:rPr>
        <w:t>On January 27, 2020, the Triggering Event for the issuance of the second tranche of Earn-Out Shares occurred, as the volume weighted average closing sale price per share of the Company’s Class A Common Stock as of that date had been greater than $15.50 for 10 out of 20 consecutive trading days. This Triggering Event resulted in the issuance of 2,500,000 shares of the Company’s Class A Common Stock. See Note 21</w:t>
      </w:r>
      <w:r>
        <w:rPr>
          <w:rFonts w:ascii="Arial" w:cs="Arial" w:eastAsia="Arial" w:hAnsi="Arial"/>
          <w:sz w:val="12"/>
          <w:szCs w:val="12"/>
          <w:i w:val="1"/>
          <w:iCs w:val="1"/>
          <w:color w:val="auto"/>
        </w:rPr>
        <w:t>, Subsequent Events</w:t>
      </w:r>
      <w:r>
        <w:rPr>
          <w:rFonts w:ascii="Arial" w:cs="Arial" w:eastAsia="Arial" w:hAnsi="Arial"/>
          <w:sz w:val="12"/>
          <w:szCs w:val="12"/>
          <w:color w:val="auto"/>
        </w:rPr>
        <w:t>, in Item 8. Financial Statements and Supplementary Data, for more information on the issuance of the second tranche of Earn-Out Shares.</w:t>
      </w:r>
    </w:p>
    <w:p>
      <w:pPr>
        <w:spacing w:after="0" w:line="19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6. Selected Financial Data</w:t>
      </w:r>
    </w:p>
    <w:p>
      <w:pPr>
        <w:spacing w:after="0" w:line="82" w:lineRule="exact"/>
        <w:rPr>
          <w:sz w:val="20"/>
          <w:szCs w:val="20"/>
          <w:color w:val="auto"/>
        </w:rPr>
      </w:pPr>
    </w:p>
    <w:p>
      <w:pPr>
        <w:jc w:val="both"/>
        <w:ind w:right="300" w:firstLine="602"/>
        <w:spacing w:after="0" w:line="263" w:lineRule="auto"/>
        <w:rPr>
          <w:sz w:val="20"/>
          <w:szCs w:val="20"/>
          <w:color w:val="auto"/>
        </w:rPr>
      </w:pPr>
      <w:r>
        <w:rPr>
          <w:rFonts w:ascii="Arial" w:cs="Arial" w:eastAsia="Arial" w:hAnsi="Arial"/>
          <w:sz w:val="12"/>
          <w:szCs w:val="12"/>
          <w:color w:val="auto"/>
        </w:rPr>
        <w:t>As a result of the Business Combination, for accounting purposes, Greenlight is considered the acquirer and Gores is considered the acquired party. Our financial statement presentation includes the financial statements of Greenlight and its subsidiaries as Predecessor for periods prior to the completion of the Business Combination and of Verra Mobility Corporation, including the consolidation of Verra Mobility Holdings, LLC and its subsidiaries, for periods from and after the Closing Date.</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17740" cy="368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ectPr>
          <w:pgSz w:w="11900" w:h="16838" w:orient="portrait"/>
          <w:cols w:equalWidth="0" w:num="1">
            <w:col w:w="11480"/>
          </w:cols>
          <w:pgMar w:left="220" w:top="343" w:right="199" w:bottom="1440" w:gutter="0" w:footer="0" w:header="0"/>
        </w:sectPr>
      </w:pPr>
    </w:p>
    <w:bookmarkStart w:id="39" w:name="page40"/>
    <w:bookmarkEnd w:id="39"/>
    <w:p>
      <w:pPr>
        <w:spacing w:after="0"/>
        <w:rPr>
          <w:sz w:val="20"/>
          <w:szCs w:val="20"/>
          <w:color w:val="auto"/>
        </w:rPr>
      </w:pPr>
      <w:r>
        <w:rPr>
          <w:rFonts w:ascii="Arial" w:cs="Arial" w:eastAsia="Arial" w:hAnsi="Arial"/>
          <w:sz w:val="12"/>
          <w:szCs w:val="12"/>
          <w:b w:val="1"/>
          <w:bCs w:val="1"/>
          <w:color w:val="auto"/>
        </w:rPr>
        <w:t>Consolidated Statements of Operations Data</w:t>
      </w:r>
    </w:p>
    <w:p>
      <w:pPr>
        <w:spacing w:after="0" w:line="82" w:lineRule="exact"/>
        <w:rPr>
          <w:sz w:val="20"/>
          <w:szCs w:val="20"/>
          <w:color w:val="auto"/>
        </w:rPr>
      </w:pPr>
    </w:p>
    <w:p>
      <w:pPr>
        <w:ind w:left="600"/>
        <w:spacing w:after="0"/>
        <w:rPr>
          <w:sz w:val="20"/>
          <w:szCs w:val="20"/>
          <w:color w:val="auto"/>
        </w:rPr>
      </w:pPr>
      <w:r>
        <w:rPr>
          <w:rFonts w:ascii="Arial" w:cs="Arial" w:eastAsia="Arial" w:hAnsi="Arial"/>
          <w:sz w:val="12"/>
          <w:szCs w:val="12"/>
          <w:color w:val="auto"/>
        </w:rPr>
        <w:t>The following table sets forth our consolidated statements of operations for the respective periods: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318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gridSpan w:val="2"/>
          </w:tcPr>
          <w:p>
            <w:pPr>
              <w:jc w:val="right"/>
              <w:ind w:right="520"/>
              <w:spacing w:after="0"/>
              <w:rPr>
                <w:sz w:val="20"/>
                <w:szCs w:val="20"/>
                <w:color w:val="auto"/>
              </w:rPr>
            </w:pPr>
            <w:r>
              <w:rPr>
                <w:rFonts w:ascii="Arial" w:cs="Arial" w:eastAsia="Arial" w:hAnsi="Arial"/>
                <w:sz w:val="10"/>
                <w:szCs w:val="10"/>
                <w:b w:val="1"/>
                <w:bCs w:val="1"/>
                <w:color w:val="auto"/>
                <w:w w:val="82"/>
              </w:rPr>
              <w:t>Successor</w:t>
            </w: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28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2"/>
          </w:tcPr>
          <w:p>
            <w:pPr>
              <w:jc w:val="right"/>
              <w:ind w:right="560"/>
              <w:spacing w:after="0"/>
              <w:rPr>
                <w:sz w:val="20"/>
                <w:szCs w:val="20"/>
                <w:color w:val="auto"/>
              </w:rPr>
            </w:pPr>
            <w:r>
              <w:rPr>
                <w:rFonts w:ascii="Arial" w:cs="Arial" w:eastAsia="Arial" w:hAnsi="Arial"/>
                <w:sz w:val="10"/>
                <w:szCs w:val="10"/>
                <w:b w:val="1"/>
                <w:bCs w:val="1"/>
                <w:color w:val="auto"/>
                <w:w w:val="99"/>
              </w:rPr>
              <w:t>Predecessor</w:t>
            </w:r>
          </w:p>
        </w:tc>
        <w:tc>
          <w:tcPr>
            <w:tcW w:w="3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3"/>
        </w:trPr>
        <w:tc>
          <w:tcPr>
            <w:tcW w:w="3180" w:type="dxa"/>
            <w:vAlign w:val="bottom"/>
          </w:tcPr>
          <w:p>
            <w:pPr>
              <w:spacing w:after="0"/>
              <w:rPr>
                <w:sz w:val="7"/>
                <w:szCs w:val="7"/>
                <w:color w:val="auto"/>
              </w:rPr>
            </w:pPr>
          </w:p>
        </w:tc>
        <w:tc>
          <w:tcPr>
            <w:tcW w:w="260" w:type="dxa"/>
            <w:vAlign w:val="bottom"/>
          </w:tcPr>
          <w:p>
            <w:pPr>
              <w:spacing w:after="0"/>
              <w:rPr>
                <w:sz w:val="7"/>
                <w:szCs w:val="7"/>
                <w:color w:val="auto"/>
              </w:rPr>
            </w:pPr>
          </w:p>
        </w:tc>
        <w:tc>
          <w:tcPr>
            <w:tcW w:w="860" w:type="dxa"/>
            <w:vAlign w:val="bottom"/>
          </w:tcPr>
          <w:p>
            <w:pPr>
              <w:spacing w:after="0"/>
              <w:rPr>
                <w:sz w:val="7"/>
                <w:szCs w:val="7"/>
                <w:color w:val="auto"/>
              </w:rPr>
            </w:pPr>
          </w:p>
        </w:tc>
        <w:tc>
          <w:tcPr>
            <w:tcW w:w="26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960" w:type="dxa"/>
            <w:vAlign w:val="bottom"/>
          </w:tcPr>
          <w:p>
            <w:pPr>
              <w:jc w:val="center"/>
              <w:ind w:right="122"/>
              <w:spacing w:after="0" w:line="83" w:lineRule="exact"/>
              <w:rPr>
                <w:sz w:val="20"/>
                <w:szCs w:val="20"/>
                <w:color w:val="auto"/>
              </w:rPr>
            </w:pPr>
            <w:r>
              <w:rPr>
                <w:rFonts w:ascii="Arial" w:cs="Arial" w:eastAsia="Arial" w:hAnsi="Arial"/>
                <w:sz w:val="8"/>
                <w:szCs w:val="8"/>
                <w:b w:val="1"/>
                <w:bCs w:val="1"/>
                <w:color w:val="auto"/>
              </w:rPr>
              <w:t>Period from</w:t>
            </w:r>
          </w:p>
        </w:tc>
        <w:tc>
          <w:tcPr>
            <w:tcW w:w="280" w:type="dxa"/>
            <w:vAlign w:val="bottom"/>
            <w:tcBorders>
              <w:right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40" w:type="dxa"/>
            <w:vAlign w:val="bottom"/>
            <w:gridSpan w:val="2"/>
          </w:tcPr>
          <w:p>
            <w:pPr>
              <w:jc w:val="center"/>
              <w:ind w:right="420"/>
              <w:spacing w:after="0" w:line="83" w:lineRule="exact"/>
              <w:rPr>
                <w:sz w:val="20"/>
                <w:szCs w:val="20"/>
                <w:color w:val="auto"/>
              </w:rPr>
            </w:pPr>
            <w:r>
              <w:rPr>
                <w:rFonts w:ascii="Arial" w:cs="Arial" w:eastAsia="Arial" w:hAnsi="Arial"/>
                <w:sz w:val="8"/>
                <w:szCs w:val="8"/>
                <w:b w:val="1"/>
                <w:bCs w:val="1"/>
                <w:color w:val="auto"/>
              </w:rPr>
              <w:t>Period from</w:t>
            </w:r>
          </w:p>
        </w:tc>
        <w:tc>
          <w:tcPr>
            <w:tcW w:w="200" w:type="dxa"/>
            <w:vAlign w:val="bottom"/>
          </w:tcPr>
          <w:p>
            <w:pPr>
              <w:spacing w:after="0"/>
              <w:rPr>
                <w:sz w:val="7"/>
                <w:szCs w:val="7"/>
                <w:color w:val="auto"/>
              </w:rPr>
            </w:pPr>
          </w:p>
        </w:tc>
        <w:tc>
          <w:tcPr>
            <w:tcW w:w="940" w:type="dxa"/>
            <w:vAlign w:val="bottom"/>
          </w:tcPr>
          <w:p>
            <w:pPr>
              <w:spacing w:after="0"/>
              <w:rPr>
                <w:sz w:val="7"/>
                <w:szCs w:val="7"/>
                <w:color w:val="auto"/>
              </w:rPr>
            </w:pPr>
          </w:p>
        </w:tc>
        <w:tc>
          <w:tcPr>
            <w:tcW w:w="240" w:type="dxa"/>
            <w:vAlign w:val="bottom"/>
          </w:tcPr>
          <w:p>
            <w:pPr>
              <w:spacing w:after="0"/>
              <w:rPr>
                <w:sz w:val="7"/>
                <w:szCs w:val="7"/>
                <w:color w:val="auto"/>
              </w:rPr>
            </w:pPr>
          </w:p>
        </w:tc>
        <w:tc>
          <w:tcPr>
            <w:tcW w:w="3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3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40" w:type="dxa"/>
            <w:vAlign w:val="bottom"/>
            <w:gridSpan w:val="3"/>
          </w:tcPr>
          <w:p>
            <w:pPr>
              <w:jc w:val="right"/>
              <w:spacing w:after="0" w:line="99" w:lineRule="exact"/>
              <w:rPr>
                <w:sz w:val="20"/>
                <w:szCs w:val="20"/>
                <w:color w:val="auto"/>
              </w:rPr>
            </w:pPr>
            <w:r>
              <w:rPr>
                <w:rFonts w:ascii="Arial" w:cs="Arial" w:eastAsia="Arial" w:hAnsi="Arial"/>
                <w:sz w:val="10"/>
                <w:szCs w:val="10"/>
                <w:b w:val="1"/>
                <w:bCs w:val="1"/>
                <w:color w:val="auto"/>
              </w:rPr>
              <w:t>For the Year Ended</w:t>
            </w:r>
          </w:p>
        </w:tc>
        <w:tc>
          <w:tcPr>
            <w:tcW w:w="8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40" w:type="dxa"/>
            <w:vAlign w:val="bottom"/>
            <w:tcBorders>
              <w:right w:val="single" w:sz="8" w:color="auto"/>
            </w:tcBorders>
            <w:gridSpan w:val="2"/>
          </w:tcPr>
          <w:p>
            <w:pPr>
              <w:jc w:val="center"/>
              <w:ind w:right="460"/>
              <w:spacing w:after="0" w:line="99" w:lineRule="exact"/>
              <w:rPr>
                <w:sz w:val="20"/>
                <w:szCs w:val="20"/>
                <w:color w:val="auto"/>
              </w:rPr>
            </w:pPr>
            <w:r>
              <w:rPr>
                <w:rFonts w:ascii="Arial" w:cs="Arial" w:eastAsia="Arial" w:hAnsi="Arial"/>
                <w:sz w:val="10"/>
                <w:szCs w:val="10"/>
                <w:b w:val="1"/>
                <w:bCs w:val="1"/>
                <w:color w:val="auto"/>
                <w:w w:val="86"/>
              </w:rPr>
              <w:t>June 1, 2017 to</w:t>
            </w: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40" w:type="dxa"/>
            <w:vAlign w:val="bottom"/>
            <w:gridSpan w:val="2"/>
          </w:tcPr>
          <w:p>
            <w:pPr>
              <w:jc w:val="center"/>
              <w:ind w:right="400"/>
              <w:spacing w:after="0" w:line="99" w:lineRule="exact"/>
              <w:rPr>
                <w:sz w:val="20"/>
                <w:szCs w:val="20"/>
                <w:color w:val="auto"/>
              </w:rPr>
            </w:pPr>
            <w:r>
              <w:rPr>
                <w:rFonts w:ascii="Arial" w:cs="Arial" w:eastAsia="Arial" w:hAnsi="Arial"/>
                <w:sz w:val="10"/>
                <w:szCs w:val="10"/>
                <w:b w:val="1"/>
                <w:bCs w:val="1"/>
                <w:color w:val="auto"/>
                <w:w w:val="85"/>
              </w:rPr>
              <w:t>January 1, 2017</w:t>
            </w:r>
          </w:p>
        </w:tc>
        <w:tc>
          <w:tcPr>
            <w:tcW w:w="200" w:type="dxa"/>
            <w:vAlign w:val="bottom"/>
          </w:tcPr>
          <w:p>
            <w:pPr>
              <w:spacing w:after="0"/>
              <w:rPr>
                <w:sz w:val="8"/>
                <w:szCs w:val="8"/>
                <w:color w:val="auto"/>
              </w:rPr>
            </w:pPr>
          </w:p>
        </w:tc>
        <w:tc>
          <w:tcPr>
            <w:tcW w:w="1560" w:type="dxa"/>
            <w:vAlign w:val="bottom"/>
            <w:gridSpan w:val="3"/>
          </w:tcPr>
          <w:p>
            <w:pPr>
              <w:jc w:val="right"/>
              <w:ind w:right="50"/>
              <w:spacing w:after="0" w:line="99" w:lineRule="exact"/>
              <w:rPr>
                <w:sz w:val="20"/>
                <w:szCs w:val="20"/>
                <w:color w:val="auto"/>
              </w:rPr>
            </w:pPr>
            <w:r>
              <w:rPr>
                <w:rFonts w:ascii="Arial" w:cs="Arial" w:eastAsia="Arial" w:hAnsi="Arial"/>
                <w:sz w:val="10"/>
                <w:szCs w:val="10"/>
                <w:b w:val="1"/>
                <w:bCs w:val="1"/>
                <w:color w:val="auto"/>
              </w:rPr>
              <w:t>For the Year Ended</w:t>
            </w:r>
          </w:p>
        </w:tc>
        <w:tc>
          <w:tcPr>
            <w:tcW w:w="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318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440" w:type="dxa"/>
            <w:vAlign w:val="bottom"/>
            <w:tcBorders>
              <w:bottom w:val="single" w:sz="8" w:color="auto"/>
            </w:tcBorders>
            <w:gridSpan w:val="3"/>
          </w:tcPr>
          <w:p>
            <w:pPr>
              <w:jc w:val="right"/>
              <w:ind w:right="130"/>
              <w:spacing w:after="0" w:line="114" w:lineRule="exact"/>
              <w:rPr>
                <w:sz w:val="20"/>
                <w:szCs w:val="20"/>
                <w:color w:val="auto"/>
              </w:rPr>
            </w:pPr>
            <w:r>
              <w:rPr>
                <w:rFonts w:ascii="Arial" w:cs="Arial" w:eastAsia="Arial" w:hAnsi="Arial"/>
                <w:sz w:val="10"/>
                <w:szCs w:val="10"/>
                <w:b w:val="1"/>
                <w:bCs w:val="1"/>
                <w:color w:val="auto"/>
              </w:rPr>
              <w:t>December 31,</w:t>
            </w:r>
          </w:p>
        </w:tc>
        <w:tc>
          <w:tcPr>
            <w:tcW w:w="80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40" w:type="dxa"/>
            <w:vAlign w:val="bottom"/>
            <w:tcBorders>
              <w:right w:val="single" w:sz="8" w:color="auto"/>
            </w:tcBorders>
            <w:gridSpan w:val="2"/>
          </w:tcPr>
          <w:p>
            <w:pPr>
              <w:jc w:val="center"/>
              <w:ind w:right="440"/>
              <w:spacing w:after="0" w:line="114" w:lineRule="exact"/>
              <w:rPr>
                <w:sz w:val="20"/>
                <w:szCs w:val="20"/>
                <w:color w:val="auto"/>
              </w:rPr>
            </w:pPr>
            <w:r>
              <w:rPr>
                <w:rFonts w:ascii="Arial" w:cs="Arial" w:eastAsia="Arial" w:hAnsi="Arial"/>
                <w:sz w:val="10"/>
                <w:szCs w:val="10"/>
                <w:b w:val="1"/>
                <w:bCs w:val="1"/>
                <w:color w:val="auto"/>
                <w:w w:val="86"/>
              </w:rPr>
              <w:t>December 31,</w:t>
            </w: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40" w:type="dxa"/>
            <w:vAlign w:val="bottom"/>
            <w:gridSpan w:val="2"/>
          </w:tcPr>
          <w:p>
            <w:pPr>
              <w:jc w:val="center"/>
              <w:ind w:right="400"/>
              <w:spacing w:after="0" w:line="114" w:lineRule="exact"/>
              <w:rPr>
                <w:sz w:val="20"/>
                <w:szCs w:val="20"/>
                <w:color w:val="auto"/>
              </w:rPr>
            </w:pPr>
            <w:r>
              <w:rPr>
                <w:rFonts w:ascii="Arial" w:cs="Arial" w:eastAsia="Arial" w:hAnsi="Arial"/>
                <w:sz w:val="10"/>
                <w:szCs w:val="10"/>
                <w:b w:val="1"/>
                <w:bCs w:val="1"/>
                <w:color w:val="auto"/>
                <w:w w:val="90"/>
              </w:rPr>
              <w:t>to May 31,</w:t>
            </w:r>
          </w:p>
        </w:tc>
        <w:tc>
          <w:tcPr>
            <w:tcW w:w="200" w:type="dxa"/>
            <w:vAlign w:val="bottom"/>
            <w:tcBorders>
              <w:bottom w:val="single" w:sz="8" w:color="auto"/>
            </w:tcBorders>
          </w:tcPr>
          <w:p>
            <w:pPr>
              <w:spacing w:after="0"/>
              <w:rPr>
                <w:sz w:val="9"/>
                <w:szCs w:val="9"/>
                <w:color w:val="auto"/>
              </w:rPr>
            </w:pPr>
          </w:p>
        </w:tc>
        <w:tc>
          <w:tcPr>
            <w:tcW w:w="1560" w:type="dxa"/>
            <w:vAlign w:val="bottom"/>
            <w:tcBorders>
              <w:bottom w:val="single" w:sz="8" w:color="auto"/>
            </w:tcBorders>
            <w:gridSpan w:val="3"/>
          </w:tcPr>
          <w:p>
            <w:pPr>
              <w:jc w:val="right"/>
              <w:ind w:right="170"/>
              <w:spacing w:after="0" w:line="114" w:lineRule="exact"/>
              <w:rPr>
                <w:sz w:val="20"/>
                <w:szCs w:val="20"/>
                <w:color w:val="auto"/>
              </w:rPr>
            </w:pPr>
            <w:r>
              <w:rPr>
                <w:rFonts w:ascii="Arial" w:cs="Arial" w:eastAsia="Arial" w:hAnsi="Arial"/>
                <w:sz w:val="10"/>
                <w:szCs w:val="10"/>
                <w:b w:val="1"/>
                <w:bCs w:val="1"/>
                <w:color w:val="auto"/>
              </w:rPr>
              <w:t>December 31,</w:t>
            </w:r>
          </w:p>
        </w:tc>
        <w:tc>
          <w:tcPr>
            <w:tcW w:w="76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7"/>
        </w:trPr>
        <w:tc>
          <w:tcPr>
            <w:tcW w:w="3180" w:type="dxa"/>
            <w:vAlign w:val="bottom"/>
            <w:tcBorders>
              <w:bottom w:val="single" w:sz="8" w:color="CFF0FC"/>
            </w:tcBorders>
          </w:tcPr>
          <w:p>
            <w:pPr>
              <w:spacing w:after="0" w:line="97" w:lineRule="exact"/>
              <w:rPr>
                <w:sz w:val="20"/>
                <w:szCs w:val="20"/>
                <w:color w:val="auto"/>
              </w:rPr>
            </w:pPr>
            <w:r>
              <w:rPr>
                <w:rFonts w:ascii="Arial" w:cs="Arial" w:eastAsia="Arial" w:hAnsi="Arial"/>
                <w:sz w:val="10"/>
                <w:szCs w:val="10"/>
                <w:b w:val="1"/>
                <w:bCs w:val="1"/>
                <w:color w:val="auto"/>
              </w:rPr>
              <w:t>($ in thousands)</w:t>
            </w:r>
          </w:p>
        </w:tc>
        <w:tc>
          <w:tcPr>
            <w:tcW w:w="26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jc w:val="right"/>
              <w:ind w:right="402"/>
              <w:spacing w:after="0" w:line="97" w:lineRule="exact"/>
              <w:rPr>
                <w:sz w:val="20"/>
                <w:szCs w:val="20"/>
                <w:color w:val="auto"/>
              </w:rPr>
            </w:pPr>
            <w:r>
              <w:rPr>
                <w:rFonts w:ascii="Arial" w:cs="Arial" w:eastAsia="Arial" w:hAnsi="Arial"/>
                <w:sz w:val="10"/>
                <w:szCs w:val="10"/>
                <w:b w:val="1"/>
                <w:bCs w:val="1"/>
                <w:color w:val="auto"/>
              </w:rPr>
              <w:t>2019</w:t>
            </w:r>
          </w:p>
        </w:tc>
        <w:tc>
          <w:tcPr>
            <w:tcW w:w="260" w:type="dxa"/>
            <w:vAlign w:val="bottom"/>
            <w:tcBorders>
              <w:bottom w:val="single" w:sz="8" w:color="CFF0FC"/>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jc w:val="right"/>
              <w:ind w:right="401"/>
              <w:spacing w:after="0" w:line="97" w:lineRule="exact"/>
              <w:rPr>
                <w:sz w:val="20"/>
                <w:szCs w:val="20"/>
                <w:color w:val="auto"/>
              </w:rPr>
            </w:pPr>
            <w:r>
              <w:rPr>
                <w:rFonts w:ascii="Arial" w:cs="Arial" w:eastAsia="Arial" w:hAnsi="Arial"/>
                <w:sz w:val="10"/>
                <w:szCs w:val="10"/>
                <w:b w:val="1"/>
                <w:bCs w:val="1"/>
                <w:color w:val="auto"/>
              </w:rPr>
              <w:t>2018</w:t>
            </w:r>
          </w:p>
        </w:tc>
        <w:tc>
          <w:tcPr>
            <w:tcW w:w="160" w:type="dxa"/>
            <w:vAlign w:val="bottom"/>
            <w:tcBorders>
              <w:bottom w:val="single" w:sz="8" w:color="CFF0FC"/>
            </w:tcBorders>
          </w:tcPr>
          <w:p>
            <w:pPr>
              <w:spacing w:after="0"/>
              <w:rPr>
                <w:sz w:val="8"/>
                <w:szCs w:val="8"/>
                <w:color w:val="auto"/>
              </w:rPr>
            </w:pPr>
          </w:p>
        </w:tc>
        <w:tc>
          <w:tcPr>
            <w:tcW w:w="100" w:type="dxa"/>
            <w:vAlign w:val="bottom"/>
            <w:tcBorders>
              <w:bottom w:val="single" w:sz="8" w:color="CFF0FC"/>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jc w:val="center"/>
              <w:ind w:right="102"/>
              <w:spacing w:after="0" w:line="97" w:lineRule="exact"/>
              <w:rPr>
                <w:sz w:val="20"/>
                <w:szCs w:val="20"/>
                <w:color w:val="auto"/>
              </w:rPr>
            </w:pPr>
            <w:r>
              <w:rPr>
                <w:rFonts w:ascii="Arial" w:cs="Arial" w:eastAsia="Arial" w:hAnsi="Arial"/>
                <w:sz w:val="10"/>
                <w:szCs w:val="10"/>
                <w:b w:val="1"/>
                <w:bCs w:val="1"/>
                <w:color w:val="auto"/>
                <w:w w:val="89"/>
              </w:rPr>
              <w:t>2017</w:t>
            </w:r>
          </w:p>
        </w:tc>
        <w:tc>
          <w:tcPr>
            <w:tcW w:w="280" w:type="dxa"/>
            <w:vAlign w:val="bottom"/>
            <w:tcBorders>
              <w:bottom w:val="single" w:sz="8" w:color="CFF0FC"/>
              <w:right w:val="single" w:sz="8" w:color="auto"/>
            </w:tcBorders>
          </w:tcPr>
          <w:p>
            <w:pPr>
              <w:spacing w:after="0"/>
              <w:rPr>
                <w:sz w:val="8"/>
                <w:szCs w:val="8"/>
                <w:color w:val="auto"/>
              </w:rPr>
            </w:pPr>
          </w:p>
        </w:tc>
        <w:tc>
          <w:tcPr>
            <w:tcW w:w="120" w:type="dxa"/>
            <w:vAlign w:val="bottom"/>
            <w:tcBorders>
              <w:bottom w:val="single" w:sz="8" w:color="CFF0FC"/>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jc w:val="center"/>
              <w:ind w:right="82"/>
              <w:spacing w:after="0" w:line="97" w:lineRule="exact"/>
              <w:rPr>
                <w:sz w:val="20"/>
                <w:szCs w:val="20"/>
                <w:color w:val="auto"/>
              </w:rPr>
            </w:pPr>
            <w:r>
              <w:rPr>
                <w:rFonts w:ascii="Arial" w:cs="Arial" w:eastAsia="Arial" w:hAnsi="Arial"/>
                <w:sz w:val="10"/>
                <w:szCs w:val="10"/>
                <w:b w:val="1"/>
                <w:bCs w:val="1"/>
                <w:color w:val="auto"/>
                <w:w w:val="89"/>
              </w:rPr>
              <w:t>2017</w:t>
            </w:r>
          </w:p>
        </w:tc>
        <w:tc>
          <w:tcPr>
            <w:tcW w:w="260" w:type="dxa"/>
            <w:vAlign w:val="bottom"/>
            <w:tcBorders>
              <w:bottom w:val="single" w:sz="8" w:color="CFF0FC"/>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jc w:val="right"/>
              <w:ind w:right="422"/>
              <w:spacing w:after="0" w:line="97" w:lineRule="exact"/>
              <w:rPr>
                <w:sz w:val="20"/>
                <w:szCs w:val="20"/>
                <w:color w:val="auto"/>
              </w:rPr>
            </w:pPr>
            <w:r>
              <w:rPr>
                <w:rFonts w:ascii="Arial" w:cs="Arial" w:eastAsia="Arial" w:hAnsi="Arial"/>
                <w:sz w:val="10"/>
                <w:szCs w:val="10"/>
                <w:b w:val="1"/>
                <w:bCs w:val="1"/>
                <w:color w:val="auto"/>
              </w:rPr>
              <w:t>2016</w:t>
            </w:r>
          </w:p>
        </w:tc>
        <w:tc>
          <w:tcPr>
            <w:tcW w:w="240" w:type="dxa"/>
            <w:vAlign w:val="bottom"/>
            <w:tcBorders>
              <w:bottom w:val="single" w:sz="8" w:color="CFF0FC"/>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jc w:val="right"/>
              <w:ind w:right="421"/>
              <w:spacing w:after="0" w:line="97" w:lineRule="exact"/>
              <w:rPr>
                <w:sz w:val="20"/>
                <w:szCs w:val="20"/>
                <w:color w:val="auto"/>
              </w:rPr>
            </w:pPr>
            <w:r>
              <w:rPr>
                <w:rFonts w:ascii="Arial" w:cs="Arial" w:eastAsia="Arial" w:hAnsi="Arial"/>
                <w:sz w:val="10"/>
                <w:szCs w:val="10"/>
                <w:b w:val="1"/>
                <w:bCs w:val="1"/>
                <w:color w:val="auto"/>
              </w:rPr>
              <w:t>2015</w:t>
            </w:r>
          </w:p>
        </w:tc>
        <w:tc>
          <w:tcPr>
            <w:tcW w:w="120" w:type="dxa"/>
            <w:vAlign w:val="bottom"/>
            <w:tcBorders>
              <w:bottom w:val="single" w:sz="8" w:color="CFF0FC"/>
            </w:tcBorders>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3180" w:type="dxa"/>
            <w:vAlign w:val="bottom"/>
            <w:shd w:val="clear" w:color="auto" w:fill="CFF0FC"/>
          </w:tcPr>
          <w:p>
            <w:pPr>
              <w:spacing w:after="0"/>
              <w:rPr>
                <w:sz w:val="20"/>
                <w:szCs w:val="20"/>
                <w:color w:val="auto"/>
              </w:rPr>
            </w:pPr>
            <w:r>
              <w:rPr>
                <w:rFonts w:ascii="Arial" w:cs="Arial" w:eastAsia="Arial" w:hAnsi="Arial"/>
                <w:sz w:val="12"/>
                <w:szCs w:val="12"/>
                <w:color w:val="auto"/>
              </w:rPr>
              <w:t>Service revenue</w:t>
            </w:r>
          </w:p>
        </w:tc>
        <w:tc>
          <w:tcPr>
            <w:tcW w:w="260" w:type="dxa"/>
            <w:vAlign w:val="bottom"/>
            <w:shd w:val="clear" w:color="auto" w:fill="CFF0FC"/>
          </w:tcPr>
          <w:p>
            <w:pPr>
              <w:jc w:val="right"/>
              <w:ind w:right="150"/>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416,723</w:t>
            </w:r>
          </w:p>
        </w:tc>
        <w:tc>
          <w:tcPr>
            <w:tcW w:w="260" w:type="dxa"/>
            <w:vAlign w:val="bottom"/>
            <w:shd w:val="clear" w:color="auto" w:fill="CFF0FC"/>
          </w:tcPr>
          <w:p>
            <w:pPr>
              <w:spacing w:after="0"/>
              <w:rPr>
                <w:sz w:val="12"/>
                <w:szCs w:val="12"/>
                <w:color w:val="auto"/>
              </w:rPr>
            </w:pPr>
          </w:p>
        </w:tc>
        <w:tc>
          <w:tcPr>
            <w:tcW w:w="320" w:type="dxa"/>
            <w:vAlign w:val="bottom"/>
            <w:shd w:val="clear" w:color="auto" w:fill="CFF0FC"/>
          </w:tcPr>
          <w:p>
            <w:pPr>
              <w:jc w:val="right"/>
              <w:ind w:right="210"/>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365,076</w:t>
            </w:r>
          </w:p>
        </w:tc>
        <w:tc>
          <w:tcPr>
            <w:tcW w:w="160" w:type="dxa"/>
            <w:vAlign w:val="bottom"/>
            <w:shd w:val="clear" w:color="auto" w:fill="CFF0FC"/>
          </w:tcPr>
          <w:p>
            <w:pPr>
              <w:spacing w:after="0"/>
              <w:rPr>
                <w:sz w:val="12"/>
                <w:szCs w:val="12"/>
                <w:color w:val="auto"/>
              </w:rPr>
            </w:pPr>
          </w:p>
        </w:tc>
        <w:tc>
          <w:tcPr>
            <w:tcW w:w="26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135,655</w:t>
            </w:r>
          </w:p>
        </w:tc>
        <w:tc>
          <w:tcPr>
            <w:tcW w:w="280" w:type="dxa"/>
            <w:vAlign w:val="bottom"/>
            <w:tcBorders>
              <w:right w:val="single" w:sz="8" w:color="auto"/>
            </w:tcBorders>
            <w:shd w:val="clear" w:color="auto" w:fill="CFF0FC"/>
          </w:tcPr>
          <w:p>
            <w:pPr>
              <w:spacing w:after="0"/>
              <w:rPr>
                <w:sz w:val="12"/>
                <w:szCs w:val="12"/>
                <w:color w:val="auto"/>
              </w:rPr>
            </w:pPr>
          </w:p>
        </w:tc>
        <w:tc>
          <w:tcPr>
            <w:tcW w:w="26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92,531</w:t>
            </w:r>
          </w:p>
        </w:tc>
        <w:tc>
          <w:tcPr>
            <w:tcW w:w="260" w:type="dxa"/>
            <w:vAlign w:val="bottom"/>
            <w:shd w:val="clear" w:color="auto" w:fill="CFF0FC"/>
          </w:tcPr>
          <w:p>
            <w:pPr>
              <w:spacing w:after="0"/>
              <w:rPr>
                <w:sz w:val="12"/>
                <w:szCs w:val="12"/>
                <w:color w:val="auto"/>
              </w:rPr>
            </w:pPr>
          </w:p>
        </w:tc>
        <w:tc>
          <w:tcPr>
            <w:tcW w:w="200" w:type="dxa"/>
            <w:vAlign w:val="bottom"/>
            <w:shd w:val="clear" w:color="auto" w:fill="CFF0FC"/>
          </w:tcPr>
          <w:p>
            <w:pPr>
              <w:jc w:val="right"/>
              <w:ind w:right="90"/>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212,515</w:t>
            </w:r>
          </w:p>
        </w:tc>
        <w:tc>
          <w:tcPr>
            <w:tcW w:w="240" w:type="dxa"/>
            <w:vAlign w:val="bottom"/>
            <w:shd w:val="clear" w:color="auto" w:fill="CFF0FC"/>
          </w:tcPr>
          <w:p>
            <w:pPr>
              <w:spacing w:after="0"/>
              <w:rPr>
                <w:sz w:val="12"/>
                <w:szCs w:val="12"/>
                <w:color w:val="auto"/>
              </w:rPr>
            </w:pPr>
          </w:p>
        </w:tc>
        <w:tc>
          <w:tcPr>
            <w:tcW w:w="380" w:type="dxa"/>
            <w:vAlign w:val="bottom"/>
            <w:shd w:val="clear" w:color="auto" w:fill="CFF0FC"/>
          </w:tcPr>
          <w:p>
            <w:pPr>
              <w:jc w:val="right"/>
              <w:ind w:right="270"/>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193,314</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180" w:type="dxa"/>
            <w:vAlign w:val="bottom"/>
            <w:tcBorders>
              <w:bottom w:val="single" w:sz="8" w:color="CFF0FC"/>
            </w:tcBorders>
          </w:tcPr>
          <w:p>
            <w:pPr>
              <w:spacing w:after="0"/>
              <w:rPr>
                <w:sz w:val="20"/>
                <w:szCs w:val="20"/>
                <w:color w:val="auto"/>
              </w:rPr>
            </w:pPr>
            <w:r>
              <w:rPr>
                <w:rFonts w:ascii="Arial" w:cs="Arial" w:eastAsia="Arial" w:hAnsi="Arial"/>
                <w:sz w:val="12"/>
                <w:szCs w:val="12"/>
                <w:color w:val="auto"/>
              </w:rPr>
              <w:t xml:space="preserve">Product sales </w:t>
            </w:r>
            <w:r>
              <w:rPr>
                <w:rFonts w:ascii="Arial" w:cs="Arial" w:eastAsia="Arial" w:hAnsi="Arial"/>
                <w:sz w:val="10"/>
                <w:szCs w:val="10"/>
                <w:color w:val="auto"/>
              </w:rPr>
              <w:t>(1)</w:t>
            </w:r>
          </w:p>
        </w:tc>
        <w:tc>
          <w:tcPr>
            <w:tcW w:w="2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32,014</w:t>
            </w:r>
          </w:p>
        </w:tc>
        <w:tc>
          <w:tcPr>
            <w:tcW w:w="26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5,070</w:t>
            </w:r>
          </w:p>
        </w:tc>
        <w:tc>
          <w:tcPr>
            <w:tcW w:w="16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2,584</w:t>
            </w:r>
          </w:p>
        </w:tc>
        <w:tc>
          <w:tcPr>
            <w:tcW w:w="280" w:type="dxa"/>
            <w:vAlign w:val="bottom"/>
            <w:tcBorders>
              <w:bottom w:val="single" w:sz="8" w:color="CFF0FC"/>
              <w:right w:val="single" w:sz="8" w:color="auto"/>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1,340</w:t>
            </w:r>
          </w:p>
        </w:tc>
        <w:tc>
          <w:tcPr>
            <w:tcW w:w="26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18,235</w:t>
            </w:r>
          </w:p>
        </w:tc>
        <w:tc>
          <w:tcPr>
            <w:tcW w:w="240" w:type="dxa"/>
            <w:vAlign w:val="bottom"/>
            <w:tcBorders>
              <w:bottom w:val="single" w:sz="8" w:color="CFF0FC"/>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10,280</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3180" w:type="dxa"/>
            <w:vAlign w:val="bottom"/>
            <w:shd w:val="clear" w:color="auto" w:fill="CFF0FC"/>
          </w:tcPr>
          <w:p>
            <w:pPr>
              <w:ind w:left="160"/>
              <w:spacing w:after="0"/>
              <w:rPr>
                <w:sz w:val="20"/>
                <w:szCs w:val="20"/>
                <w:color w:val="auto"/>
              </w:rPr>
            </w:pPr>
            <w:r>
              <w:rPr>
                <w:rFonts w:ascii="Arial" w:cs="Arial" w:eastAsia="Arial" w:hAnsi="Arial"/>
                <w:sz w:val="12"/>
                <w:szCs w:val="12"/>
                <w:b w:val="1"/>
                <w:bCs w:val="1"/>
                <w:color w:val="auto"/>
              </w:rPr>
              <w:t>Total revenue</w:t>
            </w:r>
          </w:p>
        </w:tc>
        <w:tc>
          <w:tcPr>
            <w:tcW w:w="26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448,737</w:t>
            </w:r>
          </w:p>
        </w:tc>
        <w:tc>
          <w:tcPr>
            <w:tcW w:w="26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370,146</w:t>
            </w: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138,239</w:t>
            </w:r>
          </w:p>
        </w:tc>
        <w:tc>
          <w:tcPr>
            <w:tcW w:w="280" w:type="dxa"/>
            <w:vAlign w:val="bottom"/>
            <w:tcBorders>
              <w:right w:val="single" w:sz="8" w:color="auto"/>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93,871</w:t>
            </w:r>
          </w:p>
        </w:tc>
        <w:tc>
          <w:tcPr>
            <w:tcW w:w="2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230,750</w:t>
            </w:r>
          </w:p>
        </w:tc>
        <w:tc>
          <w:tcPr>
            <w:tcW w:w="24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203,594</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180" w:type="dxa"/>
            <w:vAlign w:val="bottom"/>
          </w:tcPr>
          <w:p>
            <w:pPr>
              <w:spacing w:after="0"/>
              <w:rPr>
                <w:sz w:val="20"/>
                <w:szCs w:val="20"/>
                <w:color w:val="auto"/>
              </w:rPr>
            </w:pPr>
            <w:r>
              <w:rPr>
                <w:rFonts w:ascii="Arial" w:cs="Arial" w:eastAsia="Arial" w:hAnsi="Arial"/>
                <w:sz w:val="12"/>
                <w:szCs w:val="12"/>
                <w:color w:val="auto"/>
              </w:rPr>
              <w:t>Cost of service revenue</w:t>
            </w:r>
          </w:p>
        </w:tc>
        <w:tc>
          <w:tcPr>
            <w:tcW w:w="2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5,561</w:t>
            </w:r>
          </w:p>
        </w:tc>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5,788</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1,936</w:t>
            </w:r>
          </w:p>
        </w:tc>
        <w:tc>
          <w:tcPr>
            <w:tcW w:w="28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1,369</w:t>
            </w: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2,638</w:t>
            </w: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3,192</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180" w:type="dxa"/>
            <w:vAlign w:val="bottom"/>
            <w:shd w:val="clear" w:color="auto" w:fill="CFF0FC"/>
          </w:tcPr>
          <w:p>
            <w:pPr>
              <w:spacing w:after="0"/>
              <w:rPr>
                <w:sz w:val="20"/>
                <w:szCs w:val="20"/>
                <w:color w:val="auto"/>
              </w:rPr>
            </w:pPr>
            <w:r>
              <w:rPr>
                <w:rFonts w:ascii="Arial" w:cs="Arial" w:eastAsia="Arial" w:hAnsi="Arial"/>
                <w:sz w:val="12"/>
                <w:szCs w:val="12"/>
                <w:color w:val="auto"/>
              </w:rPr>
              <w:t xml:space="preserve">Cost of product sales </w:t>
            </w:r>
            <w:r>
              <w:rPr>
                <w:rFonts w:ascii="Arial" w:cs="Arial" w:eastAsia="Arial" w:hAnsi="Arial"/>
                <w:sz w:val="10"/>
                <w:szCs w:val="10"/>
                <w:color w:val="auto"/>
              </w:rPr>
              <w:t>(1)</w:t>
            </w:r>
          </w:p>
        </w:tc>
        <w:tc>
          <w:tcPr>
            <w:tcW w:w="260" w:type="dxa"/>
            <w:vAlign w:val="bottom"/>
            <w:shd w:val="clear" w:color="auto" w:fill="CFF0FC"/>
          </w:tcPr>
          <w:p>
            <w:pPr>
              <w:spacing w:after="0"/>
              <w:rPr>
                <w:sz w:val="13"/>
                <w:szCs w:val="13"/>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13,919</w:t>
            </w:r>
          </w:p>
        </w:tc>
        <w:tc>
          <w:tcPr>
            <w:tcW w:w="26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3,447</w:t>
            </w: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1,590</w:t>
            </w:r>
          </w:p>
        </w:tc>
        <w:tc>
          <w:tcPr>
            <w:tcW w:w="280" w:type="dxa"/>
            <w:vAlign w:val="bottom"/>
            <w:tcBorders>
              <w:right w:val="single" w:sz="8" w:color="auto"/>
            </w:tcBorders>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964</w:t>
            </w:r>
          </w:p>
        </w:tc>
        <w:tc>
          <w:tcPr>
            <w:tcW w:w="2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9,505</w:t>
            </w:r>
          </w:p>
        </w:tc>
        <w:tc>
          <w:tcPr>
            <w:tcW w:w="24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6,267</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180" w:type="dxa"/>
            <w:vAlign w:val="bottom"/>
          </w:tcPr>
          <w:p>
            <w:pPr>
              <w:spacing w:after="0"/>
              <w:rPr>
                <w:sz w:val="20"/>
                <w:szCs w:val="20"/>
                <w:color w:val="auto"/>
              </w:rPr>
            </w:pPr>
            <w:r>
              <w:rPr>
                <w:rFonts w:ascii="Arial" w:cs="Arial" w:eastAsia="Arial" w:hAnsi="Arial"/>
                <w:sz w:val="12"/>
                <w:szCs w:val="12"/>
                <w:color w:val="auto"/>
              </w:rPr>
              <w:t>Operating expenses</w:t>
            </w:r>
          </w:p>
        </w:tc>
        <w:tc>
          <w:tcPr>
            <w:tcW w:w="2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125,640</w:t>
            </w:r>
          </w:p>
        </w:tc>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108,883</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50,471</w:t>
            </w:r>
          </w:p>
        </w:tc>
        <w:tc>
          <w:tcPr>
            <w:tcW w:w="28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35,968</w:t>
            </w: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83,762</w:t>
            </w: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82,170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180" w:type="dxa"/>
            <w:vAlign w:val="bottom"/>
            <w:shd w:val="clear" w:color="auto" w:fill="CFF0FC"/>
          </w:tcPr>
          <w:p>
            <w:pPr>
              <w:spacing w:after="0"/>
              <w:rPr>
                <w:sz w:val="20"/>
                <w:szCs w:val="20"/>
                <w:color w:val="auto"/>
              </w:rPr>
            </w:pPr>
            <w:r>
              <w:rPr>
                <w:rFonts w:ascii="Arial" w:cs="Arial" w:eastAsia="Arial" w:hAnsi="Arial"/>
                <w:sz w:val="12"/>
                <w:szCs w:val="12"/>
                <w:color w:val="auto"/>
              </w:rPr>
              <w:t>Selling, general and administrative expenses</w:t>
            </w:r>
          </w:p>
        </w:tc>
        <w:tc>
          <w:tcPr>
            <w:tcW w:w="260" w:type="dxa"/>
            <w:vAlign w:val="bottom"/>
            <w:shd w:val="clear" w:color="auto" w:fill="CFF0FC"/>
          </w:tcPr>
          <w:p>
            <w:pPr>
              <w:spacing w:after="0"/>
              <w:rPr>
                <w:sz w:val="13"/>
                <w:szCs w:val="13"/>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85,493</w:t>
            </w:r>
          </w:p>
        </w:tc>
        <w:tc>
          <w:tcPr>
            <w:tcW w:w="26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136,069</w:t>
            </w: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44,882</w:t>
            </w:r>
          </w:p>
        </w:tc>
        <w:tc>
          <w:tcPr>
            <w:tcW w:w="280" w:type="dxa"/>
            <w:vAlign w:val="bottom"/>
            <w:tcBorders>
              <w:right w:val="single" w:sz="8" w:color="auto"/>
            </w:tcBorders>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40,884</w:t>
            </w:r>
          </w:p>
        </w:tc>
        <w:tc>
          <w:tcPr>
            <w:tcW w:w="2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53,034</w:t>
            </w:r>
          </w:p>
        </w:tc>
        <w:tc>
          <w:tcPr>
            <w:tcW w:w="24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52,730</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180" w:type="dxa"/>
            <w:vAlign w:val="bottom"/>
          </w:tcPr>
          <w:p>
            <w:pPr>
              <w:spacing w:after="0"/>
              <w:rPr>
                <w:sz w:val="20"/>
                <w:szCs w:val="20"/>
                <w:color w:val="auto"/>
              </w:rPr>
            </w:pPr>
            <w:r>
              <w:rPr>
                <w:rFonts w:ascii="Arial" w:cs="Arial" w:eastAsia="Arial" w:hAnsi="Arial"/>
                <w:sz w:val="12"/>
                <w:szCs w:val="12"/>
                <w:color w:val="auto"/>
              </w:rPr>
              <w:t>Depreciation, amortization, and (gain) loss on disposal of</w:t>
            </w: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8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180" w:type="dxa"/>
            <w:vAlign w:val="bottom"/>
          </w:tcPr>
          <w:p>
            <w:pPr>
              <w:spacing w:after="0"/>
              <w:rPr>
                <w:sz w:val="20"/>
                <w:szCs w:val="20"/>
                <w:color w:val="auto"/>
              </w:rPr>
            </w:pPr>
            <w:r>
              <w:rPr>
                <w:rFonts w:ascii="Arial" w:cs="Arial" w:eastAsia="Arial" w:hAnsi="Arial"/>
                <w:sz w:val="12"/>
                <w:szCs w:val="12"/>
                <w:color w:val="auto"/>
              </w:rPr>
              <w:t xml:space="preserve">assets, net </w:t>
            </w:r>
            <w:r>
              <w:rPr>
                <w:rFonts w:ascii="Arial" w:cs="Arial" w:eastAsia="Arial" w:hAnsi="Arial"/>
                <w:sz w:val="10"/>
                <w:szCs w:val="10"/>
                <w:color w:val="auto"/>
              </w:rPr>
              <w:t>(2)</w:t>
            </w:r>
          </w:p>
        </w:tc>
        <w:tc>
          <w:tcPr>
            <w:tcW w:w="2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115,771</w:t>
            </w:r>
          </w:p>
        </w:tc>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103,353</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33,113</w:t>
            </w:r>
          </w:p>
        </w:tc>
        <w:tc>
          <w:tcPr>
            <w:tcW w:w="28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12,613</w:t>
            </w: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33,395</w:t>
            </w: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35,810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180" w:type="dxa"/>
            <w:vAlign w:val="bottom"/>
            <w:shd w:val="clear" w:color="auto" w:fill="CFF0FC"/>
          </w:tcPr>
          <w:p>
            <w:pPr>
              <w:spacing w:after="0"/>
              <w:rPr>
                <w:sz w:val="20"/>
                <w:szCs w:val="20"/>
                <w:color w:val="auto"/>
              </w:rPr>
            </w:pPr>
            <w:r>
              <w:rPr>
                <w:rFonts w:ascii="Arial" w:cs="Arial" w:eastAsia="Arial" w:hAnsi="Arial"/>
                <w:sz w:val="12"/>
                <w:szCs w:val="12"/>
                <w:color w:val="auto"/>
              </w:rPr>
              <w:t>Impairment of property and equipment</w:t>
            </w:r>
          </w:p>
        </w:tc>
        <w:tc>
          <w:tcPr>
            <w:tcW w:w="260" w:type="dxa"/>
            <w:vAlign w:val="bottom"/>
            <w:shd w:val="clear" w:color="auto" w:fill="CFF0FC"/>
          </w:tcPr>
          <w:p>
            <w:pPr>
              <w:spacing w:after="0"/>
              <w:rPr>
                <w:sz w:val="13"/>
                <w:szCs w:val="13"/>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5,898</w:t>
            </w:r>
          </w:p>
        </w:tc>
        <w:tc>
          <w:tcPr>
            <w:tcW w:w="26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96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240" w:type="dxa"/>
            <w:vAlign w:val="bottom"/>
            <w:tcBorders>
              <w:right w:val="single" w:sz="8" w:color="auto"/>
            </w:tcBorders>
            <w:gridSpan w:val="2"/>
            <w:shd w:val="clear" w:color="auto" w:fill="CFF0FC"/>
          </w:tcPr>
          <w:p>
            <w:pPr>
              <w:jc w:val="right"/>
              <w:ind w:right="280"/>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240" w:type="dxa"/>
            <w:vAlign w:val="bottom"/>
            <w:gridSpan w:val="2"/>
            <w:shd w:val="clear" w:color="auto" w:fill="CFF0FC"/>
          </w:tcPr>
          <w:p>
            <w:pPr>
              <w:jc w:val="right"/>
              <w:ind w:right="260"/>
              <w:spacing w:after="0"/>
              <w:rPr>
                <w:sz w:val="20"/>
                <w:szCs w:val="20"/>
                <w:color w:val="auto"/>
              </w:rPr>
            </w:pPr>
            <w:r>
              <w:rPr>
                <w:rFonts w:ascii="Arial" w:cs="Arial" w:eastAsia="Arial" w:hAnsi="Arial"/>
                <w:sz w:val="12"/>
                <w:szCs w:val="12"/>
                <w:color w:val="auto"/>
              </w:rPr>
              <w:t>—</w:t>
            </w:r>
          </w:p>
        </w:tc>
        <w:tc>
          <w:tcPr>
            <w:tcW w:w="200" w:type="dxa"/>
            <w:vAlign w:val="bottom"/>
            <w:shd w:val="clear" w:color="auto" w:fill="CFF0FC"/>
          </w:tcPr>
          <w:p>
            <w:pPr>
              <w:spacing w:after="0"/>
              <w:rPr>
                <w:sz w:val="13"/>
                <w:szCs w:val="13"/>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522</w:t>
            </w:r>
          </w:p>
        </w:tc>
        <w:tc>
          <w:tcPr>
            <w:tcW w:w="24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3,926</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3180" w:type="dxa"/>
            <w:vAlign w:val="bottom"/>
            <w:tcBorders>
              <w:bottom w:val="single" w:sz="8" w:color="CFF0FC"/>
            </w:tcBorders>
          </w:tcPr>
          <w:p>
            <w:pPr>
              <w:ind w:left="160"/>
              <w:spacing w:after="0"/>
              <w:rPr>
                <w:sz w:val="20"/>
                <w:szCs w:val="20"/>
                <w:color w:val="auto"/>
              </w:rPr>
            </w:pPr>
            <w:r>
              <w:rPr>
                <w:rFonts w:ascii="Arial" w:cs="Arial" w:eastAsia="Arial" w:hAnsi="Arial"/>
                <w:sz w:val="12"/>
                <w:szCs w:val="12"/>
                <w:color w:val="auto"/>
              </w:rPr>
              <w:t>Total cost and expenses</w:t>
            </w:r>
          </w:p>
        </w:tc>
        <w:tc>
          <w:tcPr>
            <w:tcW w:w="26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352,282</w:t>
            </w:r>
          </w:p>
        </w:tc>
        <w:tc>
          <w:tcPr>
            <w:tcW w:w="260" w:type="dxa"/>
            <w:vAlign w:val="bottom"/>
            <w:tcBorders>
              <w:bottom w:val="single" w:sz="8" w:color="CFF0FC"/>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357,540</w:t>
            </w:r>
          </w:p>
        </w:tc>
        <w:tc>
          <w:tcPr>
            <w:tcW w:w="160" w:type="dxa"/>
            <w:vAlign w:val="bottom"/>
            <w:tcBorders>
              <w:bottom w:val="single" w:sz="8" w:color="CFF0FC"/>
            </w:tcBorders>
          </w:tcPr>
          <w:p>
            <w:pPr>
              <w:spacing w:after="0"/>
              <w:rPr>
                <w:sz w:val="12"/>
                <w:szCs w:val="12"/>
                <w:color w:val="auto"/>
              </w:rPr>
            </w:pPr>
          </w:p>
        </w:tc>
        <w:tc>
          <w:tcPr>
            <w:tcW w:w="100" w:type="dxa"/>
            <w:vAlign w:val="bottom"/>
            <w:tcBorders>
              <w:bottom w:val="single" w:sz="8" w:color="CFF0FC"/>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131,992</w:t>
            </w:r>
          </w:p>
        </w:tc>
        <w:tc>
          <w:tcPr>
            <w:tcW w:w="280" w:type="dxa"/>
            <w:vAlign w:val="bottom"/>
            <w:tcBorders>
              <w:bottom w:val="single" w:sz="8" w:color="CFF0FC"/>
              <w:right w:val="single" w:sz="8" w:color="auto"/>
            </w:tcBorders>
          </w:tcPr>
          <w:p>
            <w:pPr>
              <w:spacing w:after="0"/>
              <w:rPr>
                <w:sz w:val="12"/>
                <w:szCs w:val="12"/>
                <w:color w:val="auto"/>
              </w:rPr>
            </w:pPr>
          </w:p>
        </w:tc>
        <w:tc>
          <w:tcPr>
            <w:tcW w:w="120" w:type="dxa"/>
            <w:vAlign w:val="bottom"/>
            <w:tcBorders>
              <w:bottom w:val="single" w:sz="8" w:color="CFF0FC"/>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91,798</w:t>
            </w:r>
          </w:p>
        </w:tc>
        <w:tc>
          <w:tcPr>
            <w:tcW w:w="260" w:type="dxa"/>
            <w:vAlign w:val="bottom"/>
            <w:tcBorders>
              <w:bottom w:val="single" w:sz="8" w:color="CFF0FC"/>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182,856</w:t>
            </w:r>
          </w:p>
        </w:tc>
        <w:tc>
          <w:tcPr>
            <w:tcW w:w="240" w:type="dxa"/>
            <w:vAlign w:val="bottom"/>
            <w:tcBorders>
              <w:bottom w:val="single" w:sz="8" w:color="CFF0FC"/>
            </w:tcBorders>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184,095</w:t>
            </w:r>
          </w:p>
        </w:tc>
        <w:tc>
          <w:tcPr>
            <w:tcW w:w="12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180" w:type="dxa"/>
            <w:vAlign w:val="bottom"/>
            <w:shd w:val="clear" w:color="auto" w:fill="CFF0FC"/>
          </w:tcPr>
          <w:p>
            <w:pPr>
              <w:ind w:left="160"/>
              <w:spacing w:after="0"/>
              <w:rPr>
                <w:sz w:val="20"/>
                <w:szCs w:val="20"/>
                <w:color w:val="auto"/>
              </w:rPr>
            </w:pPr>
            <w:r>
              <w:rPr>
                <w:rFonts w:ascii="Arial" w:cs="Arial" w:eastAsia="Arial" w:hAnsi="Arial"/>
                <w:sz w:val="12"/>
                <w:szCs w:val="12"/>
                <w:b w:val="1"/>
                <w:bCs w:val="1"/>
                <w:color w:val="auto"/>
              </w:rPr>
              <w:t>Income from operations</w:t>
            </w:r>
          </w:p>
        </w:tc>
        <w:tc>
          <w:tcPr>
            <w:tcW w:w="26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96,455</w:t>
            </w:r>
          </w:p>
        </w:tc>
        <w:tc>
          <w:tcPr>
            <w:tcW w:w="26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12,606</w:t>
            </w: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6,247</w:t>
            </w:r>
          </w:p>
        </w:tc>
        <w:tc>
          <w:tcPr>
            <w:tcW w:w="280" w:type="dxa"/>
            <w:vAlign w:val="bottom"/>
            <w:tcBorders>
              <w:right w:val="single" w:sz="8" w:color="auto"/>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2,073</w:t>
            </w:r>
          </w:p>
        </w:tc>
        <w:tc>
          <w:tcPr>
            <w:tcW w:w="2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47,894</w:t>
            </w:r>
          </w:p>
        </w:tc>
        <w:tc>
          <w:tcPr>
            <w:tcW w:w="24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19,499</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180" w:type="dxa"/>
            <w:vAlign w:val="bottom"/>
          </w:tcPr>
          <w:p>
            <w:pPr>
              <w:spacing w:after="0"/>
              <w:rPr>
                <w:sz w:val="20"/>
                <w:szCs w:val="20"/>
                <w:color w:val="auto"/>
              </w:rPr>
            </w:pPr>
            <w:r>
              <w:rPr>
                <w:rFonts w:ascii="Arial" w:cs="Arial" w:eastAsia="Arial" w:hAnsi="Arial"/>
                <w:sz w:val="12"/>
                <w:szCs w:val="12"/>
                <w:color w:val="auto"/>
              </w:rPr>
              <w:t xml:space="preserve">Interest expense, net </w:t>
            </w:r>
            <w:r>
              <w:rPr>
                <w:rFonts w:ascii="Arial" w:cs="Arial" w:eastAsia="Arial" w:hAnsi="Arial"/>
                <w:sz w:val="10"/>
                <w:szCs w:val="10"/>
                <w:color w:val="auto"/>
              </w:rPr>
              <w:t>(3)</w:t>
            </w:r>
          </w:p>
        </w:tc>
        <w:tc>
          <w:tcPr>
            <w:tcW w:w="2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60,729</w:t>
            </w:r>
          </w:p>
        </w:tc>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69,550</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20,858</w:t>
            </w:r>
          </w:p>
        </w:tc>
        <w:tc>
          <w:tcPr>
            <w:tcW w:w="28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875</w:t>
            </w: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2,706</w:t>
            </w: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2,095</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180" w:type="dxa"/>
            <w:vAlign w:val="bottom"/>
            <w:shd w:val="clear" w:color="auto" w:fill="CFF0FC"/>
          </w:tcPr>
          <w:p>
            <w:pPr>
              <w:spacing w:after="0"/>
              <w:rPr>
                <w:sz w:val="20"/>
                <w:szCs w:val="20"/>
                <w:color w:val="auto"/>
              </w:rPr>
            </w:pPr>
            <w:r>
              <w:rPr>
                <w:rFonts w:ascii="Arial" w:cs="Arial" w:eastAsia="Arial" w:hAnsi="Arial"/>
                <w:sz w:val="12"/>
                <w:szCs w:val="12"/>
                <w:color w:val="auto"/>
              </w:rPr>
              <w:t xml:space="preserve">Loss on extinguishment of debt </w:t>
            </w:r>
            <w:r>
              <w:rPr>
                <w:rFonts w:ascii="Arial" w:cs="Arial" w:eastAsia="Arial" w:hAnsi="Arial"/>
                <w:sz w:val="10"/>
                <w:szCs w:val="10"/>
                <w:color w:val="auto"/>
              </w:rPr>
              <w:t>(3)</w:t>
            </w:r>
          </w:p>
        </w:tc>
        <w:tc>
          <w:tcPr>
            <w:tcW w:w="260" w:type="dxa"/>
            <w:vAlign w:val="bottom"/>
            <w:shd w:val="clear" w:color="auto" w:fill="CFF0FC"/>
          </w:tcPr>
          <w:p>
            <w:pPr>
              <w:spacing w:after="0"/>
              <w:rPr>
                <w:sz w:val="13"/>
                <w:szCs w:val="13"/>
                <w:color w:val="auto"/>
              </w:rPr>
            </w:pPr>
          </w:p>
        </w:tc>
        <w:tc>
          <w:tcPr>
            <w:tcW w:w="1120" w:type="dxa"/>
            <w:vAlign w:val="bottom"/>
            <w:gridSpan w:val="2"/>
            <w:shd w:val="clear" w:color="auto" w:fill="CFF0FC"/>
          </w:tcPr>
          <w:p>
            <w:pPr>
              <w:jc w:val="right"/>
              <w:ind w:right="260"/>
              <w:spacing w:after="0"/>
              <w:rPr>
                <w:sz w:val="20"/>
                <w:szCs w:val="20"/>
                <w:color w:val="auto"/>
              </w:rPr>
            </w:pPr>
            <w:r>
              <w:rPr>
                <w:rFonts w:ascii="Arial" w:cs="Arial" w:eastAsia="Arial" w:hAnsi="Arial"/>
                <w:sz w:val="12"/>
                <w:szCs w:val="12"/>
                <w:color w:val="auto"/>
              </w:rPr>
              <w:t>—</w:t>
            </w:r>
          </w:p>
        </w:tc>
        <w:tc>
          <w:tcPr>
            <w:tcW w:w="32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26,486</w:t>
            </w: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240" w:type="dxa"/>
            <w:vAlign w:val="bottom"/>
            <w:tcBorders>
              <w:right w:val="single" w:sz="8" w:color="auto"/>
            </w:tcBorders>
            <w:gridSpan w:val="2"/>
            <w:shd w:val="clear" w:color="auto" w:fill="CFF0FC"/>
          </w:tcPr>
          <w:p>
            <w:pPr>
              <w:jc w:val="right"/>
              <w:ind w:right="280"/>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240" w:type="dxa"/>
            <w:vAlign w:val="bottom"/>
            <w:gridSpan w:val="2"/>
            <w:shd w:val="clear" w:color="auto" w:fill="CFF0FC"/>
          </w:tcPr>
          <w:p>
            <w:pPr>
              <w:jc w:val="right"/>
              <w:ind w:right="260"/>
              <w:spacing w:after="0"/>
              <w:rPr>
                <w:sz w:val="20"/>
                <w:szCs w:val="20"/>
                <w:color w:val="auto"/>
              </w:rPr>
            </w:pPr>
            <w:r>
              <w:rPr>
                <w:rFonts w:ascii="Arial" w:cs="Arial" w:eastAsia="Arial" w:hAnsi="Arial"/>
                <w:sz w:val="12"/>
                <w:szCs w:val="12"/>
                <w:color w:val="auto"/>
              </w:rPr>
              <w:t>—</w:t>
            </w:r>
          </w:p>
        </w:tc>
        <w:tc>
          <w:tcPr>
            <w:tcW w:w="200" w:type="dxa"/>
            <w:vAlign w:val="bottom"/>
            <w:shd w:val="clear" w:color="auto" w:fill="CFF0FC"/>
          </w:tcPr>
          <w:p>
            <w:pPr>
              <w:spacing w:after="0"/>
              <w:rPr>
                <w:sz w:val="13"/>
                <w:szCs w:val="13"/>
                <w:color w:val="auto"/>
              </w:rPr>
            </w:pPr>
          </w:p>
        </w:tc>
        <w:tc>
          <w:tcPr>
            <w:tcW w:w="1180" w:type="dxa"/>
            <w:vAlign w:val="bottom"/>
            <w:gridSpan w:val="2"/>
            <w:shd w:val="clear" w:color="auto" w:fill="CFF0FC"/>
          </w:tcPr>
          <w:p>
            <w:pPr>
              <w:jc w:val="right"/>
              <w:ind w:right="260"/>
              <w:spacing w:after="0"/>
              <w:rPr>
                <w:sz w:val="20"/>
                <w:szCs w:val="20"/>
                <w:color w:val="auto"/>
              </w:rPr>
            </w:pPr>
            <w:r>
              <w:rPr>
                <w:rFonts w:ascii="Arial" w:cs="Arial" w:eastAsia="Arial" w:hAnsi="Arial"/>
                <w:sz w:val="12"/>
                <w:szCs w:val="12"/>
                <w:color w:val="auto"/>
              </w:rPr>
              <w:t>—</w:t>
            </w:r>
          </w:p>
        </w:tc>
        <w:tc>
          <w:tcPr>
            <w:tcW w:w="380" w:type="dxa"/>
            <w:vAlign w:val="bottom"/>
            <w:shd w:val="clear" w:color="auto" w:fill="CFF0FC"/>
          </w:tcPr>
          <w:p>
            <w:pPr>
              <w:spacing w:after="0"/>
              <w:rPr>
                <w:sz w:val="13"/>
                <w:szCs w:val="13"/>
                <w:color w:val="auto"/>
              </w:rPr>
            </w:pP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3180" w:type="dxa"/>
            <w:vAlign w:val="bottom"/>
          </w:tcPr>
          <w:p>
            <w:pPr>
              <w:spacing w:after="0"/>
              <w:rPr>
                <w:sz w:val="20"/>
                <w:szCs w:val="20"/>
                <w:color w:val="auto"/>
              </w:rPr>
            </w:pPr>
            <w:r>
              <w:rPr>
                <w:rFonts w:ascii="Arial" w:cs="Arial" w:eastAsia="Arial" w:hAnsi="Arial"/>
                <w:sz w:val="12"/>
                <w:szCs w:val="12"/>
                <w:color w:val="auto"/>
              </w:rPr>
              <w:t xml:space="preserve">Other (income) expenses, net </w:t>
            </w:r>
            <w:r>
              <w:rPr>
                <w:rFonts w:ascii="Arial" w:cs="Arial" w:eastAsia="Arial" w:hAnsi="Arial"/>
                <w:sz w:val="10"/>
                <w:szCs w:val="10"/>
                <w:color w:val="auto"/>
              </w:rPr>
              <w:t>(4)</w:t>
            </w:r>
          </w:p>
        </w:tc>
        <w:tc>
          <w:tcPr>
            <w:tcW w:w="260" w:type="dxa"/>
            <w:vAlign w:val="bottom"/>
          </w:tcPr>
          <w:p>
            <w:pPr>
              <w:spacing w:after="0"/>
              <w:rPr>
                <w:sz w:val="13"/>
                <w:szCs w:val="13"/>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2"/>
                <w:szCs w:val="12"/>
                <w:color w:val="auto"/>
              </w:rPr>
              <w:t>(11,198)</w:t>
            </w:r>
          </w:p>
        </w:tc>
        <w:tc>
          <w:tcPr>
            <w:tcW w:w="320" w:type="dxa"/>
            <w:vAlign w:val="bottom"/>
          </w:tcPr>
          <w:p>
            <w:pPr>
              <w:spacing w:after="0"/>
              <w:rPr>
                <w:sz w:val="13"/>
                <w:szCs w:val="13"/>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2"/>
                <w:szCs w:val="12"/>
                <w:color w:val="auto"/>
              </w:rPr>
              <w:t>(8,795)</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2"/>
                <w:szCs w:val="12"/>
                <w:color w:val="auto"/>
              </w:rPr>
              <w:t>(2,172)</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2"/>
                <w:szCs w:val="12"/>
                <w:color w:val="auto"/>
              </w:rPr>
              <w:t>(1,294)</w:t>
            </w:r>
          </w:p>
        </w:tc>
        <w:tc>
          <w:tcPr>
            <w:tcW w:w="200" w:type="dxa"/>
            <w:vAlign w:val="bottom"/>
          </w:tcPr>
          <w:p>
            <w:pPr>
              <w:spacing w:after="0"/>
              <w:rPr>
                <w:sz w:val="13"/>
                <w:szCs w:val="13"/>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2"/>
                <w:szCs w:val="12"/>
                <w:color w:val="auto"/>
              </w:rPr>
              <w:t>(2,471)</w:t>
            </w:r>
          </w:p>
        </w:tc>
        <w:tc>
          <w:tcPr>
            <w:tcW w:w="38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2,168</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180" w:type="dxa"/>
            <w:vAlign w:val="bottom"/>
            <w:vMerge w:val="restart"/>
            <w:shd w:val="clear" w:color="auto" w:fill="CFF0FC"/>
          </w:tcPr>
          <w:p>
            <w:pPr>
              <w:ind w:left="160"/>
              <w:spacing w:after="0"/>
              <w:rPr>
                <w:sz w:val="20"/>
                <w:szCs w:val="20"/>
                <w:color w:val="auto"/>
              </w:rPr>
            </w:pPr>
            <w:r>
              <w:rPr>
                <w:rFonts w:ascii="Arial" w:cs="Arial" w:eastAsia="Arial" w:hAnsi="Arial"/>
                <w:sz w:val="12"/>
                <w:szCs w:val="12"/>
                <w:color w:val="auto"/>
              </w:rPr>
              <w:t>Total other expenses (income)</w:t>
            </w: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180" w:type="dxa"/>
            <w:vAlign w:val="bottom"/>
            <w:vMerge w:val="continue"/>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49,531</w:t>
            </w:r>
          </w:p>
        </w:tc>
        <w:tc>
          <w:tcPr>
            <w:tcW w:w="26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87,241</w:t>
            </w: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18,686</w:t>
            </w:r>
          </w:p>
        </w:tc>
        <w:tc>
          <w:tcPr>
            <w:tcW w:w="280" w:type="dxa"/>
            <w:vAlign w:val="bottom"/>
            <w:tcBorders>
              <w:right w:val="single" w:sz="8" w:color="auto"/>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4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(419)</w:t>
            </w:r>
          </w:p>
        </w:tc>
        <w:tc>
          <w:tcPr>
            <w:tcW w:w="20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235</w:t>
            </w:r>
          </w:p>
        </w:tc>
        <w:tc>
          <w:tcPr>
            <w:tcW w:w="24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4,263</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180" w:type="dxa"/>
            <w:vAlign w:val="bottom"/>
            <w:vMerge w:val="restart"/>
          </w:tcPr>
          <w:p>
            <w:pPr>
              <w:spacing w:after="0"/>
              <w:rPr>
                <w:sz w:val="20"/>
                <w:szCs w:val="20"/>
                <w:color w:val="auto"/>
              </w:rPr>
            </w:pPr>
            <w:r>
              <w:rPr>
                <w:rFonts w:ascii="Arial" w:cs="Arial" w:eastAsia="Arial" w:hAnsi="Arial"/>
                <w:sz w:val="12"/>
                <w:szCs w:val="12"/>
                <w:color w:val="auto"/>
              </w:rPr>
              <w:t>Income (loss) before income taxes</w:t>
            </w: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18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46,924</w:t>
            </w: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2"/>
                <w:szCs w:val="12"/>
                <w:color w:val="auto"/>
              </w:rPr>
              <w:t>(74,635)</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2"/>
                <w:szCs w:val="12"/>
                <w:color w:val="auto"/>
              </w:rPr>
              <w:t>(12,439)</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2,492</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47,659</w:t>
            </w: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15,236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180" w:type="dxa"/>
            <w:vAlign w:val="bottom"/>
            <w:shd w:val="clear" w:color="auto" w:fill="CFF0FC"/>
          </w:tcPr>
          <w:p>
            <w:pPr>
              <w:spacing w:after="0"/>
              <w:rPr>
                <w:sz w:val="20"/>
                <w:szCs w:val="20"/>
                <w:color w:val="auto"/>
              </w:rPr>
            </w:pPr>
            <w:r>
              <w:rPr>
                <w:rFonts w:ascii="Arial" w:cs="Arial" w:eastAsia="Arial" w:hAnsi="Arial"/>
                <w:sz w:val="12"/>
                <w:szCs w:val="12"/>
                <w:color w:val="auto"/>
              </w:rPr>
              <w:t xml:space="preserve">Income tax provision (benefit) </w:t>
            </w:r>
            <w:r>
              <w:rPr>
                <w:rFonts w:ascii="Arial" w:cs="Arial" w:eastAsia="Arial" w:hAnsi="Arial"/>
                <w:sz w:val="10"/>
                <w:szCs w:val="10"/>
                <w:color w:val="auto"/>
              </w:rPr>
              <w:t>(5)</w:t>
            </w:r>
          </w:p>
        </w:tc>
        <w:tc>
          <w:tcPr>
            <w:tcW w:w="260" w:type="dxa"/>
            <w:vAlign w:val="bottom"/>
            <w:shd w:val="clear" w:color="auto" w:fill="CFF0FC"/>
          </w:tcPr>
          <w:p>
            <w:pPr>
              <w:spacing w:after="0"/>
              <w:rPr>
                <w:sz w:val="13"/>
                <w:szCs w:val="13"/>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13,581</w:t>
            </w:r>
          </w:p>
        </w:tc>
        <w:tc>
          <w:tcPr>
            <w:tcW w:w="26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(16,241)</w:t>
            </w: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240" w:type="dxa"/>
            <w:vAlign w:val="bottom"/>
            <w:tcBorders>
              <w:right w:val="single" w:sz="8" w:color="auto"/>
            </w:tcBorders>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(30,677)</w:t>
            </w: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1,252</w:t>
            </w:r>
          </w:p>
        </w:tc>
        <w:tc>
          <w:tcPr>
            <w:tcW w:w="2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18,661</w:t>
            </w:r>
          </w:p>
        </w:tc>
        <w:tc>
          <w:tcPr>
            <w:tcW w:w="24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3,826</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18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Net income (loss)</w:t>
            </w: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180" w:type="dxa"/>
            <w:vAlign w:val="bottom"/>
            <w:vMerge w:val="continue"/>
          </w:tcPr>
          <w:p>
            <w:pPr>
              <w:spacing w:after="0"/>
              <w:rPr>
                <w:sz w:val="12"/>
                <w:szCs w:val="12"/>
                <w:color w:val="auto"/>
              </w:rPr>
            </w:pPr>
          </w:p>
        </w:tc>
        <w:tc>
          <w:tcPr>
            <w:tcW w:w="260" w:type="dxa"/>
            <w:vAlign w:val="bottom"/>
          </w:tcPr>
          <w:p>
            <w:pPr>
              <w:jc w:val="right"/>
              <w:ind w:right="150"/>
              <w:spacing w:after="0"/>
              <w:rPr>
                <w:sz w:val="20"/>
                <w:szCs w:val="20"/>
                <w:color w:val="auto"/>
              </w:rPr>
            </w:pPr>
            <w:r>
              <w:rPr>
                <w:rFonts w:ascii="Arial" w:cs="Arial" w:eastAsia="Arial" w:hAnsi="Arial"/>
                <w:sz w:val="10"/>
                <w:szCs w:val="10"/>
                <w:color w:val="auto"/>
                <w:w w:val="71"/>
              </w:rPr>
              <w:t>$</w:t>
            </w:r>
          </w:p>
        </w:tc>
        <w:tc>
          <w:tcPr>
            <w:tcW w:w="860" w:type="dxa"/>
            <w:vAlign w:val="bottom"/>
          </w:tcPr>
          <w:p>
            <w:pPr>
              <w:jc w:val="right"/>
              <w:spacing w:after="0"/>
              <w:rPr>
                <w:sz w:val="20"/>
                <w:szCs w:val="20"/>
                <w:color w:val="auto"/>
              </w:rPr>
            </w:pPr>
            <w:r>
              <w:rPr>
                <w:rFonts w:ascii="Arial" w:cs="Arial" w:eastAsia="Arial" w:hAnsi="Arial"/>
                <w:sz w:val="12"/>
                <w:szCs w:val="12"/>
                <w:color w:val="auto"/>
              </w:rPr>
              <w:t>33,343</w:t>
            </w:r>
          </w:p>
        </w:tc>
        <w:tc>
          <w:tcPr>
            <w:tcW w:w="260" w:type="dxa"/>
            <w:vAlign w:val="bottom"/>
          </w:tcPr>
          <w:p>
            <w:pPr>
              <w:spacing w:after="0"/>
              <w:rPr>
                <w:sz w:val="12"/>
                <w:szCs w:val="12"/>
                <w:color w:val="auto"/>
              </w:rPr>
            </w:pPr>
          </w:p>
        </w:tc>
        <w:tc>
          <w:tcPr>
            <w:tcW w:w="320" w:type="dxa"/>
            <w:vAlign w:val="bottom"/>
          </w:tcPr>
          <w:p>
            <w:pPr>
              <w:jc w:val="right"/>
              <w:ind w:right="210"/>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120"/>
              <w:spacing w:after="0"/>
              <w:rPr>
                <w:sz w:val="20"/>
                <w:szCs w:val="20"/>
                <w:color w:val="auto"/>
              </w:rPr>
            </w:pPr>
            <w:r>
              <w:rPr>
                <w:rFonts w:ascii="Arial" w:cs="Arial" w:eastAsia="Arial" w:hAnsi="Arial"/>
                <w:sz w:val="12"/>
                <w:szCs w:val="12"/>
                <w:color w:val="auto"/>
              </w:rPr>
              <w:t>(58,394)</w:t>
            </w:r>
          </w:p>
        </w:tc>
        <w:tc>
          <w:tcPr>
            <w:tcW w:w="26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960" w:type="dxa"/>
            <w:vAlign w:val="bottom"/>
          </w:tcPr>
          <w:p>
            <w:pPr>
              <w:jc w:val="right"/>
              <w:spacing w:after="0"/>
              <w:rPr>
                <w:sz w:val="20"/>
                <w:szCs w:val="20"/>
                <w:color w:val="auto"/>
              </w:rPr>
            </w:pPr>
            <w:r>
              <w:rPr>
                <w:rFonts w:ascii="Arial" w:cs="Arial" w:eastAsia="Arial" w:hAnsi="Arial"/>
                <w:sz w:val="12"/>
                <w:szCs w:val="12"/>
                <w:color w:val="auto"/>
              </w:rPr>
              <w:t>18,238</w:t>
            </w:r>
          </w:p>
        </w:tc>
        <w:tc>
          <w:tcPr>
            <w:tcW w:w="280" w:type="dxa"/>
            <w:vAlign w:val="bottom"/>
            <w:tcBorders>
              <w:right w:val="single" w:sz="8" w:color="auto"/>
            </w:tcBorders>
          </w:tcPr>
          <w:p>
            <w:pPr>
              <w:spacing w:after="0"/>
              <w:rPr>
                <w:sz w:val="12"/>
                <w:szCs w:val="12"/>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980" w:type="dxa"/>
            <w:vAlign w:val="bottom"/>
          </w:tcPr>
          <w:p>
            <w:pPr>
              <w:jc w:val="right"/>
              <w:spacing w:after="0"/>
              <w:rPr>
                <w:sz w:val="20"/>
                <w:szCs w:val="20"/>
                <w:color w:val="auto"/>
              </w:rPr>
            </w:pPr>
            <w:r>
              <w:rPr>
                <w:rFonts w:ascii="Arial" w:cs="Arial" w:eastAsia="Arial" w:hAnsi="Arial"/>
                <w:sz w:val="12"/>
                <w:szCs w:val="12"/>
                <w:color w:val="auto"/>
              </w:rPr>
              <w:t>1,240</w:t>
            </w:r>
          </w:p>
        </w:tc>
        <w:tc>
          <w:tcPr>
            <w:tcW w:w="260" w:type="dxa"/>
            <w:vAlign w:val="bottom"/>
          </w:tcPr>
          <w:p>
            <w:pPr>
              <w:spacing w:after="0"/>
              <w:rPr>
                <w:sz w:val="12"/>
                <w:szCs w:val="12"/>
                <w:color w:val="auto"/>
              </w:rPr>
            </w:pPr>
          </w:p>
        </w:tc>
        <w:tc>
          <w:tcPr>
            <w:tcW w:w="200" w:type="dxa"/>
            <w:vAlign w:val="bottom"/>
          </w:tcPr>
          <w:p>
            <w:pPr>
              <w:jc w:val="right"/>
              <w:ind w:right="90"/>
              <w:spacing w:after="0"/>
              <w:rPr>
                <w:sz w:val="20"/>
                <w:szCs w:val="20"/>
                <w:color w:val="auto"/>
              </w:rPr>
            </w:pPr>
            <w:r>
              <w:rPr>
                <w:rFonts w:ascii="Arial" w:cs="Arial" w:eastAsia="Arial" w:hAnsi="Arial"/>
                <w:sz w:val="10"/>
                <w:szCs w:val="10"/>
                <w:color w:val="auto"/>
                <w:w w:val="71"/>
              </w:rPr>
              <w:t>$</w:t>
            </w:r>
          </w:p>
        </w:tc>
        <w:tc>
          <w:tcPr>
            <w:tcW w:w="940" w:type="dxa"/>
            <w:vAlign w:val="bottom"/>
          </w:tcPr>
          <w:p>
            <w:pPr>
              <w:jc w:val="right"/>
              <w:spacing w:after="0"/>
              <w:rPr>
                <w:sz w:val="20"/>
                <w:szCs w:val="20"/>
                <w:color w:val="auto"/>
              </w:rPr>
            </w:pPr>
            <w:r>
              <w:rPr>
                <w:rFonts w:ascii="Arial" w:cs="Arial" w:eastAsia="Arial" w:hAnsi="Arial"/>
                <w:sz w:val="12"/>
                <w:szCs w:val="12"/>
                <w:color w:val="auto"/>
              </w:rPr>
              <w:t>28,998</w:t>
            </w:r>
          </w:p>
        </w:tc>
        <w:tc>
          <w:tcPr>
            <w:tcW w:w="240" w:type="dxa"/>
            <w:vAlign w:val="bottom"/>
          </w:tcPr>
          <w:p>
            <w:pPr>
              <w:spacing w:after="0"/>
              <w:rPr>
                <w:sz w:val="12"/>
                <w:szCs w:val="12"/>
                <w:color w:val="auto"/>
              </w:rPr>
            </w:pPr>
          </w:p>
        </w:tc>
        <w:tc>
          <w:tcPr>
            <w:tcW w:w="380" w:type="dxa"/>
            <w:vAlign w:val="bottom"/>
          </w:tcPr>
          <w:p>
            <w:pPr>
              <w:jc w:val="right"/>
              <w:ind w:right="270"/>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11,410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31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8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3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Condensed Consolidated Balance Sheet Data</w:t>
      </w:r>
    </w:p>
    <w:p>
      <w:pPr>
        <w:spacing w:after="0" w:line="82" w:lineRule="exact"/>
        <w:rPr>
          <w:sz w:val="20"/>
          <w:szCs w:val="20"/>
          <w:color w:val="auto"/>
        </w:rPr>
      </w:pPr>
    </w:p>
    <w:p>
      <w:pPr>
        <w:ind w:left="600"/>
        <w:spacing w:after="0"/>
        <w:rPr>
          <w:sz w:val="20"/>
          <w:szCs w:val="20"/>
          <w:color w:val="auto"/>
        </w:rPr>
      </w:pPr>
      <w:r>
        <w:rPr>
          <w:rFonts w:ascii="Arial" w:cs="Arial" w:eastAsia="Arial" w:hAnsi="Arial"/>
          <w:sz w:val="12"/>
          <w:szCs w:val="12"/>
          <w:color w:val="auto"/>
        </w:rPr>
        <w:t>The following table sets forth selected attributes of our condensed consolidated balance sheets at December 31:</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4800" w:type="dxa"/>
            <w:vAlign w:val="bottom"/>
            <w:vMerge w:val="restart"/>
          </w:tcPr>
          <w:p>
            <w:pPr>
              <w:spacing w:after="0"/>
              <w:rPr>
                <w:sz w:val="20"/>
                <w:szCs w:val="20"/>
                <w:color w:val="auto"/>
              </w:rPr>
            </w:pPr>
            <w:r>
              <w:rPr>
                <w:rFonts w:ascii="Arial" w:cs="Arial" w:eastAsia="Arial" w:hAnsi="Arial"/>
                <w:sz w:val="10"/>
                <w:szCs w:val="10"/>
                <w:b w:val="1"/>
                <w:bCs w:val="1"/>
                <w:color w:val="auto"/>
              </w:rPr>
              <w:t>($ in thousands)</w:t>
            </w:r>
          </w:p>
        </w:tc>
        <w:tc>
          <w:tcPr>
            <w:tcW w:w="3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40" w:type="dxa"/>
            <w:vAlign w:val="bottom"/>
          </w:tcPr>
          <w:p>
            <w:pPr>
              <w:jc w:val="right"/>
              <w:ind w:right="463"/>
              <w:spacing w:after="0"/>
              <w:rPr>
                <w:sz w:val="20"/>
                <w:szCs w:val="20"/>
                <w:color w:val="auto"/>
              </w:rPr>
            </w:pPr>
            <w:r>
              <w:rPr>
                <w:rFonts w:ascii="Arial" w:cs="Arial" w:eastAsia="Arial" w:hAnsi="Arial"/>
                <w:sz w:val="10"/>
                <w:szCs w:val="10"/>
                <w:b w:val="1"/>
                <w:bCs w:val="1"/>
                <w:color w:val="auto"/>
              </w:rPr>
              <w:t>Successor</w:t>
            </w:r>
          </w:p>
        </w:tc>
        <w:tc>
          <w:tcPr>
            <w:tcW w:w="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4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40" w:type="dxa"/>
            <w:vAlign w:val="bottom"/>
            <w:gridSpan w:val="2"/>
          </w:tcPr>
          <w:p>
            <w:pPr>
              <w:ind w:left="200"/>
              <w:spacing w:after="0"/>
              <w:rPr>
                <w:sz w:val="20"/>
                <w:szCs w:val="20"/>
                <w:color w:val="auto"/>
              </w:rPr>
            </w:pPr>
            <w:r>
              <w:rPr>
                <w:rFonts w:ascii="Arial" w:cs="Arial" w:eastAsia="Arial" w:hAnsi="Arial"/>
                <w:sz w:val="10"/>
                <w:szCs w:val="10"/>
                <w:b w:val="1"/>
                <w:bCs w:val="1"/>
                <w:color w:val="auto"/>
              </w:rPr>
              <w:t>Predecessor</w:t>
            </w:r>
          </w:p>
        </w:tc>
        <w:tc>
          <w:tcPr>
            <w:tcW w:w="0" w:type="dxa"/>
            <w:vAlign w:val="bottom"/>
          </w:tcPr>
          <w:p>
            <w:pPr>
              <w:spacing w:after="0"/>
              <w:rPr>
                <w:sz w:val="1"/>
                <w:szCs w:val="1"/>
                <w:color w:val="auto"/>
              </w:rPr>
            </w:pPr>
          </w:p>
        </w:tc>
      </w:tr>
      <w:tr>
        <w:trPr>
          <w:trHeight w:val="97"/>
        </w:trPr>
        <w:tc>
          <w:tcPr>
            <w:tcW w:w="4800" w:type="dxa"/>
            <w:vAlign w:val="bottom"/>
            <w:tcBorders>
              <w:bottom w:val="single" w:sz="8" w:color="CFF0FC"/>
            </w:tcBorders>
            <w:vMerge w:val="continue"/>
          </w:tcPr>
          <w:p>
            <w:pPr>
              <w:spacing w:after="0"/>
              <w:rPr>
                <w:sz w:val="8"/>
                <w:szCs w:val="8"/>
                <w:color w:val="auto"/>
              </w:rPr>
            </w:pPr>
          </w:p>
        </w:tc>
        <w:tc>
          <w:tcPr>
            <w:tcW w:w="340" w:type="dxa"/>
            <w:vAlign w:val="bottom"/>
            <w:tcBorders>
              <w:top w:val="single" w:sz="8" w:color="auto"/>
              <w:bottom w:val="single" w:sz="8" w:color="auto"/>
            </w:tcBorders>
          </w:tcPr>
          <w:p>
            <w:pPr>
              <w:spacing w:after="0"/>
              <w:rPr>
                <w:sz w:val="8"/>
                <w:szCs w:val="8"/>
                <w:color w:val="auto"/>
              </w:rPr>
            </w:pPr>
          </w:p>
        </w:tc>
        <w:tc>
          <w:tcPr>
            <w:tcW w:w="1080" w:type="dxa"/>
            <w:vAlign w:val="bottom"/>
            <w:tcBorders>
              <w:top w:val="single" w:sz="8" w:color="auto"/>
              <w:bottom w:val="single" w:sz="8" w:color="auto"/>
            </w:tcBorders>
          </w:tcPr>
          <w:p>
            <w:pPr>
              <w:jc w:val="right"/>
              <w:ind w:right="562"/>
              <w:spacing w:after="0" w:line="97" w:lineRule="exact"/>
              <w:rPr>
                <w:sz w:val="20"/>
                <w:szCs w:val="20"/>
                <w:color w:val="auto"/>
              </w:rPr>
            </w:pPr>
            <w:r>
              <w:rPr>
                <w:rFonts w:ascii="Arial" w:cs="Arial" w:eastAsia="Arial" w:hAnsi="Arial"/>
                <w:sz w:val="10"/>
                <w:szCs w:val="10"/>
                <w:b w:val="1"/>
                <w:bCs w:val="1"/>
                <w:color w:val="auto"/>
              </w:rPr>
              <w:t>2019</w:t>
            </w:r>
          </w:p>
        </w:tc>
        <w:tc>
          <w:tcPr>
            <w:tcW w:w="300" w:type="dxa"/>
            <w:vAlign w:val="bottom"/>
            <w:tcBorders>
              <w:top w:val="single" w:sz="8" w:color="auto"/>
              <w:bottom w:val="single" w:sz="8" w:color="CFF0FC"/>
            </w:tcBorders>
          </w:tcPr>
          <w:p>
            <w:pPr>
              <w:spacing w:after="0"/>
              <w:rPr>
                <w:sz w:val="8"/>
                <w:szCs w:val="8"/>
                <w:color w:val="auto"/>
              </w:rPr>
            </w:pPr>
          </w:p>
        </w:tc>
        <w:tc>
          <w:tcPr>
            <w:tcW w:w="280" w:type="dxa"/>
            <w:vAlign w:val="bottom"/>
            <w:tcBorders>
              <w:top w:val="single" w:sz="8" w:color="auto"/>
              <w:bottom w:val="single" w:sz="8" w:color="auto"/>
            </w:tcBorders>
          </w:tcPr>
          <w:p>
            <w:pPr>
              <w:spacing w:after="0"/>
              <w:rPr>
                <w:sz w:val="8"/>
                <w:szCs w:val="8"/>
                <w:color w:val="auto"/>
              </w:rPr>
            </w:pPr>
          </w:p>
        </w:tc>
        <w:tc>
          <w:tcPr>
            <w:tcW w:w="1140" w:type="dxa"/>
            <w:vAlign w:val="bottom"/>
            <w:tcBorders>
              <w:top w:val="single" w:sz="8" w:color="auto"/>
              <w:bottom w:val="single" w:sz="8" w:color="auto"/>
            </w:tcBorders>
          </w:tcPr>
          <w:p>
            <w:pPr>
              <w:jc w:val="right"/>
              <w:ind w:right="563"/>
              <w:spacing w:after="0" w:line="97" w:lineRule="exact"/>
              <w:rPr>
                <w:sz w:val="20"/>
                <w:szCs w:val="20"/>
                <w:color w:val="auto"/>
              </w:rPr>
            </w:pPr>
            <w:r>
              <w:rPr>
                <w:rFonts w:ascii="Arial" w:cs="Arial" w:eastAsia="Arial" w:hAnsi="Arial"/>
                <w:sz w:val="10"/>
                <w:szCs w:val="10"/>
                <w:b w:val="1"/>
                <w:bCs w:val="1"/>
                <w:color w:val="auto"/>
              </w:rPr>
              <w:t>2018</w:t>
            </w:r>
          </w:p>
        </w:tc>
        <w:tc>
          <w:tcPr>
            <w:tcW w:w="300" w:type="dxa"/>
            <w:vAlign w:val="bottom"/>
            <w:tcBorders>
              <w:top w:val="single" w:sz="8" w:color="auto"/>
              <w:bottom w:val="single" w:sz="8" w:color="CFF0FC"/>
            </w:tcBorders>
          </w:tcPr>
          <w:p>
            <w:pPr>
              <w:spacing w:after="0"/>
              <w:rPr>
                <w:sz w:val="8"/>
                <w:szCs w:val="8"/>
                <w:color w:val="auto"/>
              </w:rPr>
            </w:pPr>
          </w:p>
        </w:tc>
        <w:tc>
          <w:tcPr>
            <w:tcW w:w="320" w:type="dxa"/>
            <w:vAlign w:val="bottom"/>
            <w:tcBorders>
              <w:top w:val="single" w:sz="8" w:color="auto"/>
              <w:bottom w:val="single" w:sz="8" w:color="auto"/>
            </w:tcBorders>
          </w:tcPr>
          <w:p>
            <w:pPr>
              <w:spacing w:after="0"/>
              <w:rPr>
                <w:sz w:val="8"/>
                <w:szCs w:val="8"/>
                <w:color w:val="auto"/>
              </w:rPr>
            </w:pPr>
          </w:p>
        </w:tc>
        <w:tc>
          <w:tcPr>
            <w:tcW w:w="1080" w:type="dxa"/>
            <w:vAlign w:val="bottom"/>
            <w:tcBorders>
              <w:top w:val="single" w:sz="8" w:color="auto"/>
              <w:bottom w:val="single" w:sz="8" w:color="auto"/>
            </w:tcBorders>
          </w:tcPr>
          <w:p>
            <w:pPr>
              <w:jc w:val="right"/>
              <w:ind w:right="542"/>
              <w:spacing w:after="0" w:line="97" w:lineRule="exact"/>
              <w:rPr>
                <w:sz w:val="20"/>
                <w:szCs w:val="20"/>
                <w:color w:val="auto"/>
              </w:rPr>
            </w:pPr>
            <w:r>
              <w:rPr>
                <w:rFonts w:ascii="Arial" w:cs="Arial" w:eastAsia="Arial" w:hAnsi="Arial"/>
                <w:sz w:val="10"/>
                <w:szCs w:val="10"/>
                <w:b w:val="1"/>
                <w:bCs w:val="1"/>
                <w:color w:val="auto"/>
              </w:rPr>
              <w:t>2017</w:t>
            </w:r>
          </w:p>
        </w:tc>
        <w:tc>
          <w:tcPr>
            <w:tcW w:w="240" w:type="dxa"/>
            <w:vAlign w:val="bottom"/>
            <w:tcBorders>
              <w:bottom w:val="single" w:sz="8" w:color="CFF0FC"/>
              <w:right w:val="single" w:sz="8" w:color="auto"/>
            </w:tcBorders>
          </w:tcPr>
          <w:p>
            <w:pPr>
              <w:spacing w:after="0"/>
              <w:rPr>
                <w:sz w:val="8"/>
                <w:szCs w:val="8"/>
                <w:color w:val="auto"/>
              </w:rPr>
            </w:pPr>
          </w:p>
        </w:tc>
        <w:tc>
          <w:tcPr>
            <w:tcW w:w="100" w:type="dxa"/>
            <w:vAlign w:val="bottom"/>
            <w:tcBorders>
              <w:bottom w:val="single" w:sz="8" w:color="CFF0FC"/>
            </w:tcBorders>
          </w:tcPr>
          <w:p>
            <w:pPr>
              <w:spacing w:after="0"/>
              <w:rPr>
                <w:sz w:val="8"/>
                <w:szCs w:val="8"/>
                <w:color w:val="auto"/>
              </w:rPr>
            </w:pPr>
          </w:p>
        </w:tc>
        <w:tc>
          <w:tcPr>
            <w:tcW w:w="260" w:type="dxa"/>
            <w:vAlign w:val="bottom"/>
            <w:tcBorders>
              <w:top w:val="single" w:sz="8" w:color="auto"/>
              <w:bottom w:val="single" w:sz="8" w:color="auto"/>
            </w:tcBorders>
          </w:tcPr>
          <w:p>
            <w:pPr>
              <w:spacing w:after="0"/>
              <w:rPr>
                <w:sz w:val="8"/>
                <w:szCs w:val="8"/>
                <w:color w:val="auto"/>
              </w:rPr>
            </w:pPr>
          </w:p>
        </w:tc>
        <w:tc>
          <w:tcPr>
            <w:tcW w:w="1140" w:type="dxa"/>
            <w:vAlign w:val="bottom"/>
            <w:tcBorders>
              <w:top w:val="single" w:sz="8" w:color="auto"/>
              <w:bottom w:val="single" w:sz="8" w:color="auto"/>
            </w:tcBorders>
          </w:tcPr>
          <w:p>
            <w:pPr>
              <w:jc w:val="right"/>
              <w:ind w:right="543"/>
              <w:spacing w:after="0" w:line="97" w:lineRule="exact"/>
              <w:rPr>
                <w:sz w:val="20"/>
                <w:szCs w:val="20"/>
                <w:color w:val="auto"/>
              </w:rPr>
            </w:pPr>
            <w:r>
              <w:rPr>
                <w:rFonts w:ascii="Arial" w:cs="Arial" w:eastAsia="Arial" w:hAnsi="Arial"/>
                <w:sz w:val="10"/>
                <w:szCs w:val="10"/>
                <w:b w:val="1"/>
                <w:bCs w:val="1"/>
                <w:color w:val="auto"/>
              </w:rPr>
              <w:t>2016</w:t>
            </w:r>
          </w:p>
        </w:tc>
        <w:tc>
          <w:tcPr>
            <w:tcW w:w="100" w:type="dxa"/>
            <w:vAlign w:val="bottom"/>
            <w:tcBorders>
              <w:bottom w:val="single" w:sz="8" w:color="CFF0FC"/>
            </w:tcBorders>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4800" w:type="dxa"/>
            <w:vAlign w:val="bottom"/>
            <w:shd w:val="clear" w:color="auto" w:fill="CFF0FC"/>
          </w:tcPr>
          <w:p>
            <w:pPr>
              <w:spacing w:after="0"/>
              <w:rPr>
                <w:sz w:val="20"/>
                <w:szCs w:val="20"/>
                <w:color w:val="auto"/>
              </w:rPr>
            </w:pPr>
            <w:r>
              <w:rPr>
                <w:rFonts w:ascii="Arial" w:cs="Arial" w:eastAsia="Arial" w:hAnsi="Arial"/>
                <w:sz w:val="12"/>
                <w:szCs w:val="12"/>
                <w:color w:val="auto"/>
              </w:rPr>
              <w:t>Cash and cash equivalents</w:t>
            </w:r>
          </w:p>
        </w:tc>
        <w:tc>
          <w:tcPr>
            <w:tcW w:w="340" w:type="dxa"/>
            <w:vAlign w:val="bottom"/>
            <w:shd w:val="clear" w:color="auto" w:fill="CFF0FC"/>
          </w:tcPr>
          <w:p>
            <w:pPr>
              <w:jc w:val="right"/>
              <w:ind w:right="230"/>
              <w:spacing w:after="0"/>
              <w:rPr>
                <w:sz w:val="20"/>
                <w:szCs w:val="20"/>
                <w:color w:val="auto"/>
              </w:rPr>
            </w:pPr>
            <w:r>
              <w:rPr>
                <w:rFonts w:ascii="Arial" w:cs="Arial" w:eastAsia="Arial" w:hAnsi="Arial"/>
                <w:sz w:val="10"/>
                <w:szCs w:val="10"/>
                <w:color w:val="auto"/>
                <w:w w:val="71"/>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131,513</w:t>
            </w:r>
          </w:p>
        </w:tc>
        <w:tc>
          <w:tcPr>
            <w:tcW w:w="300" w:type="dxa"/>
            <w:vAlign w:val="bottom"/>
            <w:shd w:val="clear" w:color="auto" w:fill="CFF0FC"/>
          </w:tcPr>
          <w:p>
            <w:pPr>
              <w:spacing w:after="0"/>
              <w:rPr>
                <w:sz w:val="12"/>
                <w:szCs w:val="12"/>
                <w:color w:val="auto"/>
              </w:rPr>
            </w:pPr>
          </w:p>
        </w:tc>
        <w:tc>
          <w:tcPr>
            <w:tcW w:w="280" w:type="dxa"/>
            <w:vAlign w:val="bottom"/>
            <w:shd w:val="clear" w:color="auto" w:fill="CFF0FC"/>
          </w:tcPr>
          <w:p>
            <w:pPr>
              <w:jc w:val="right"/>
              <w:ind w:right="170"/>
              <w:spacing w:after="0"/>
              <w:rPr>
                <w:sz w:val="20"/>
                <w:szCs w:val="20"/>
                <w:color w:val="auto"/>
              </w:rPr>
            </w:pPr>
            <w:r>
              <w:rPr>
                <w:rFonts w:ascii="Arial" w:cs="Arial" w:eastAsia="Arial" w:hAnsi="Arial"/>
                <w:sz w:val="10"/>
                <w:szCs w:val="10"/>
                <w:color w:val="auto"/>
                <w:w w:val="71"/>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65,048</w:t>
            </w:r>
          </w:p>
        </w:tc>
        <w:tc>
          <w:tcPr>
            <w:tcW w:w="620" w:type="dxa"/>
            <w:vAlign w:val="bottom"/>
            <w:gridSpan w:val="2"/>
            <w:shd w:val="clear" w:color="auto" w:fill="CFF0FC"/>
          </w:tcPr>
          <w:p>
            <w:pPr>
              <w:jc w:val="right"/>
              <w:ind w:right="260"/>
              <w:spacing w:after="0"/>
              <w:rPr>
                <w:sz w:val="20"/>
                <w:szCs w:val="20"/>
                <w:color w:val="auto"/>
              </w:rPr>
            </w:pPr>
            <w:r>
              <w:rPr>
                <w:rFonts w:ascii="Arial" w:cs="Arial" w:eastAsia="Arial" w:hAnsi="Arial"/>
                <w:sz w:val="12"/>
                <w:szCs w:val="12"/>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8,725</w:t>
            </w:r>
          </w:p>
        </w:tc>
        <w:tc>
          <w:tcPr>
            <w:tcW w:w="240" w:type="dxa"/>
            <w:vAlign w:val="bottom"/>
            <w:tcBorders>
              <w:right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60" w:type="dxa"/>
            <w:vAlign w:val="bottom"/>
            <w:shd w:val="clear" w:color="auto" w:fill="CFF0FC"/>
          </w:tcPr>
          <w:p>
            <w:pPr>
              <w:jc w:val="right"/>
              <w:ind w:right="150"/>
              <w:spacing w:after="0"/>
              <w:rPr>
                <w:sz w:val="20"/>
                <w:szCs w:val="20"/>
                <w:color w:val="auto"/>
              </w:rPr>
            </w:pPr>
            <w:r>
              <w:rPr>
                <w:rFonts w:ascii="Arial" w:cs="Arial" w:eastAsia="Arial" w:hAnsi="Arial"/>
                <w:sz w:val="10"/>
                <w:szCs w:val="10"/>
                <w:color w:val="auto"/>
                <w:w w:val="71"/>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2,901</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4800" w:type="dxa"/>
            <w:vAlign w:val="bottom"/>
          </w:tcPr>
          <w:p>
            <w:pPr>
              <w:spacing w:after="0"/>
              <w:rPr>
                <w:sz w:val="20"/>
                <w:szCs w:val="20"/>
                <w:color w:val="auto"/>
              </w:rPr>
            </w:pPr>
            <w:r>
              <w:rPr>
                <w:rFonts w:ascii="Arial" w:cs="Arial" w:eastAsia="Arial" w:hAnsi="Arial"/>
                <w:sz w:val="12"/>
                <w:szCs w:val="12"/>
                <w:color w:val="auto"/>
              </w:rPr>
              <w:t xml:space="preserve">Goodwill and intangibles, net </w:t>
            </w:r>
            <w:r>
              <w:rPr>
                <w:rFonts w:ascii="Arial" w:cs="Arial" w:eastAsia="Arial" w:hAnsi="Arial"/>
                <w:sz w:val="10"/>
                <w:szCs w:val="10"/>
                <w:color w:val="auto"/>
              </w:rPr>
              <w:t>(2)</w:t>
            </w:r>
          </w:p>
        </w:tc>
        <w:tc>
          <w:tcPr>
            <w:tcW w:w="3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1,018,593</w:t>
            </w: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1,079,265</w:t>
            </w:r>
          </w:p>
        </w:tc>
        <w:tc>
          <w:tcPr>
            <w:tcW w:w="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498,164</w:t>
            </w:r>
          </w:p>
        </w:tc>
        <w:tc>
          <w:tcPr>
            <w:tcW w:w="24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26,983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800" w:type="dxa"/>
            <w:vAlign w:val="bottom"/>
            <w:shd w:val="clear" w:color="auto" w:fill="CFF0FC"/>
          </w:tcPr>
          <w:p>
            <w:pPr>
              <w:spacing w:after="0"/>
              <w:rPr>
                <w:sz w:val="20"/>
                <w:szCs w:val="20"/>
                <w:color w:val="auto"/>
              </w:rPr>
            </w:pPr>
            <w:r>
              <w:rPr>
                <w:rFonts w:ascii="Arial" w:cs="Arial" w:eastAsia="Arial" w:hAnsi="Arial"/>
                <w:sz w:val="12"/>
                <w:szCs w:val="12"/>
                <w:color w:val="auto"/>
              </w:rPr>
              <w:t>Total assets</w:t>
            </w:r>
          </w:p>
        </w:tc>
        <w:tc>
          <w:tcPr>
            <w:tcW w:w="340" w:type="dxa"/>
            <w:vAlign w:val="bottom"/>
            <w:shd w:val="clear" w:color="auto" w:fill="CFF0FC"/>
          </w:tcPr>
          <w:p>
            <w:pPr>
              <w:spacing w:after="0"/>
              <w:rPr>
                <w:sz w:val="13"/>
                <w:szCs w:val="13"/>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1,407,426</w:t>
            </w:r>
          </w:p>
        </w:tc>
        <w:tc>
          <w:tcPr>
            <w:tcW w:w="30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1,344,783</w:t>
            </w:r>
          </w:p>
        </w:tc>
        <w:tc>
          <w:tcPr>
            <w:tcW w:w="30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664,865</w:t>
            </w:r>
          </w:p>
        </w:tc>
        <w:tc>
          <w:tcPr>
            <w:tcW w:w="240" w:type="dxa"/>
            <w:vAlign w:val="bottom"/>
            <w:tcBorders>
              <w:right w:val="single" w:sz="8" w:color="auto"/>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188,436</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800" w:type="dxa"/>
            <w:vAlign w:val="bottom"/>
          </w:tcPr>
          <w:p>
            <w:pPr>
              <w:spacing w:after="0"/>
              <w:rPr>
                <w:sz w:val="20"/>
                <w:szCs w:val="20"/>
                <w:color w:val="auto"/>
              </w:rPr>
            </w:pPr>
            <w:r>
              <w:rPr>
                <w:rFonts w:ascii="Arial" w:cs="Arial" w:eastAsia="Arial" w:hAnsi="Arial"/>
                <w:sz w:val="12"/>
                <w:szCs w:val="12"/>
                <w:color w:val="auto"/>
              </w:rPr>
              <w:t>Total long-term debt</w:t>
            </w:r>
          </w:p>
        </w:tc>
        <w:tc>
          <w:tcPr>
            <w:tcW w:w="3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866,465</w:t>
            </w: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869,353</w:t>
            </w:r>
          </w:p>
        </w:tc>
        <w:tc>
          <w:tcPr>
            <w:tcW w:w="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428,689</w:t>
            </w:r>
          </w:p>
        </w:tc>
        <w:tc>
          <w:tcPr>
            <w:tcW w:w="24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69,243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800" w:type="dxa"/>
            <w:vAlign w:val="bottom"/>
            <w:shd w:val="clear" w:color="auto" w:fill="CFF0FC"/>
          </w:tcPr>
          <w:p>
            <w:pPr>
              <w:spacing w:after="0"/>
              <w:rPr>
                <w:sz w:val="20"/>
                <w:szCs w:val="20"/>
                <w:color w:val="auto"/>
              </w:rPr>
            </w:pPr>
            <w:r>
              <w:rPr>
                <w:rFonts w:ascii="Arial" w:cs="Arial" w:eastAsia="Arial" w:hAnsi="Arial"/>
                <w:sz w:val="12"/>
                <w:szCs w:val="12"/>
                <w:color w:val="auto"/>
              </w:rPr>
              <w:t>Total liabilities and stockholders' equity</w:t>
            </w:r>
          </w:p>
        </w:tc>
        <w:tc>
          <w:tcPr>
            <w:tcW w:w="340" w:type="dxa"/>
            <w:vAlign w:val="bottom"/>
            <w:shd w:val="clear" w:color="auto" w:fill="CFF0FC"/>
          </w:tcPr>
          <w:p>
            <w:pPr>
              <w:spacing w:after="0"/>
              <w:rPr>
                <w:sz w:val="13"/>
                <w:szCs w:val="13"/>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1,407,426</w:t>
            </w:r>
          </w:p>
        </w:tc>
        <w:tc>
          <w:tcPr>
            <w:tcW w:w="30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1,344,783</w:t>
            </w:r>
          </w:p>
        </w:tc>
        <w:tc>
          <w:tcPr>
            <w:tcW w:w="30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664,865</w:t>
            </w:r>
          </w:p>
        </w:tc>
        <w:tc>
          <w:tcPr>
            <w:tcW w:w="240" w:type="dxa"/>
            <w:vAlign w:val="bottom"/>
            <w:tcBorders>
              <w:right w:val="single" w:sz="8" w:color="auto"/>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188,436</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ind w:left="1180" w:right="160" w:hanging="593"/>
        <w:spacing w:after="0" w:line="276" w:lineRule="auto"/>
        <w:tabs>
          <w:tab w:leader="none" w:pos="1180" w:val="left"/>
        </w:tabs>
        <w:numPr>
          <w:ilvl w:val="0"/>
          <w:numId w:val="13"/>
        </w:numPr>
        <w:rPr>
          <w:rFonts w:ascii="Arial" w:cs="Arial" w:eastAsia="Arial" w:hAnsi="Arial"/>
          <w:sz w:val="12"/>
          <w:szCs w:val="12"/>
          <w:color w:val="auto"/>
        </w:rPr>
      </w:pPr>
      <w:r>
        <w:rPr>
          <w:rFonts w:ascii="Arial" w:cs="Arial" w:eastAsia="Arial" w:hAnsi="Arial"/>
          <w:sz w:val="12"/>
          <w:szCs w:val="12"/>
          <w:color w:val="auto"/>
        </w:rPr>
        <w:t>Product sales and the related cost of product sales result from the sale of photo enforcement equipment to certain customers. The number of customers that purchase equipment is limited and their buying patterns vary greatly from period to period.</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17740" cy="368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ectPr>
          <w:pgSz w:w="11900" w:h="16838" w:orient="portrait"/>
          <w:cols w:equalWidth="0" w:num="1">
            <w:col w:w="11480"/>
          </w:cols>
          <w:pgMar w:left="220" w:top="343" w:right="199" w:bottom="1440" w:gutter="0" w:footer="0" w:header="0"/>
        </w:sectPr>
      </w:pPr>
    </w:p>
    <w:bookmarkStart w:id="40" w:name="page41"/>
    <w:bookmarkEnd w:id="40"/>
    <w:p>
      <w:pPr>
        <w:ind w:left="1180" w:right="60" w:hanging="593"/>
        <w:spacing w:after="0" w:line="283" w:lineRule="auto"/>
        <w:tabs>
          <w:tab w:leader="none" w:pos="1180" w:val="left"/>
        </w:tabs>
        <w:numPr>
          <w:ilvl w:val="0"/>
          <w:numId w:val="14"/>
        </w:numPr>
        <w:rPr>
          <w:rFonts w:ascii="Arial" w:cs="Arial" w:eastAsia="Arial" w:hAnsi="Arial"/>
          <w:sz w:val="11"/>
          <w:szCs w:val="11"/>
          <w:color w:val="auto"/>
        </w:rPr>
      </w:pPr>
      <w:r>
        <w:rPr>
          <w:rFonts w:ascii="Arial" w:cs="Arial" w:eastAsia="Arial" w:hAnsi="Arial"/>
          <w:sz w:val="11"/>
          <w:szCs w:val="11"/>
          <w:color w:val="auto"/>
        </w:rPr>
        <w:t>The purchase accounting resulting from the ATS Merger (as defined below) in May 2017 increased intangible assets subject to amortization to $222.5 million and increased the related amortization of intangibles expense by $17.7 million, $35.4 million, and $37.8 million in the 2017 Successor Period (as defined below), and fiscal years 2018 and 2019, respectively. On March 1, 2018, we acquired HTA. The purchase accounting resulting from the HTA acquisition increased intangible assets subject to amortization to $591.8 million and increased the related amortization expense for the years ended December 31, 2018 and 2019 by $43.1 million and $51.7 million, respectively. On April 6, 2018, we acquired EPC. The purchase accounting resulting from the EPC acquisition increased intangible assets subject to amortization to $614.0 million and increased the related amortization expense for the years ended December 31, 2018 and 2019 by $2.3 million and $3.0 million, respectively. On October 31, 2019, we acquired Pagatelia which increased intangibles subject to amortization to $626.9 million, and the related amortization expense for the year ended December 31, 2019 by $0.3 million.</w:t>
      </w:r>
    </w:p>
    <w:p>
      <w:pPr>
        <w:spacing w:after="0" w:line="41" w:lineRule="exact"/>
        <w:rPr>
          <w:rFonts w:ascii="Arial" w:cs="Arial" w:eastAsia="Arial" w:hAnsi="Arial"/>
          <w:sz w:val="11"/>
          <w:szCs w:val="11"/>
          <w:color w:val="auto"/>
        </w:rPr>
      </w:pPr>
    </w:p>
    <w:p>
      <w:pPr>
        <w:ind w:left="1180" w:right="60" w:hanging="593"/>
        <w:spacing w:after="0" w:line="286" w:lineRule="auto"/>
        <w:tabs>
          <w:tab w:leader="none" w:pos="1180" w:val="left"/>
        </w:tabs>
        <w:numPr>
          <w:ilvl w:val="0"/>
          <w:numId w:val="14"/>
        </w:numPr>
        <w:rPr>
          <w:rFonts w:ascii="Arial" w:cs="Arial" w:eastAsia="Arial" w:hAnsi="Arial"/>
          <w:sz w:val="11"/>
          <w:szCs w:val="11"/>
          <w:color w:val="auto"/>
        </w:rPr>
      </w:pPr>
      <w:r>
        <w:rPr>
          <w:rFonts w:ascii="Arial" w:cs="Arial" w:eastAsia="Arial" w:hAnsi="Arial"/>
          <w:sz w:val="11"/>
          <w:szCs w:val="11"/>
          <w:color w:val="auto"/>
        </w:rPr>
        <w:t>In connection with the ATS Merger in May 2017 we entered into a First Lien Term Loan Credit Agreement and a Second Lien Term Loan Credit Agreement of $323 million and $125 million, respectively, and a $40 million Revolving Credit Facility Agreement (collectively the “</w:t>
      </w:r>
      <w:r>
        <w:rPr>
          <w:rFonts w:ascii="Arial" w:cs="Arial" w:eastAsia="Arial" w:hAnsi="Arial"/>
          <w:sz w:val="11"/>
          <w:szCs w:val="11"/>
          <w:b w:val="1"/>
          <w:bCs w:val="1"/>
          <w:i w:val="1"/>
          <w:iCs w:val="1"/>
          <w:color w:val="auto"/>
        </w:rPr>
        <w:t>2017 Credit Facilities</w:t>
      </w:r>
      <w:r>
        <w:rPr>
          <w:rFonts w:ascii="Arial" w:cs="Arial" w:eastAsia="Arial" w:hAnsi="Arial"/>
          <w:sz w:val="11"/>
          <w:szCs w:val="11"/>
          <w:color w:val="auto"/>
        </w:rPr>
        <w:t>”). In connection with the HTA acquisition, we entered into a First Lien Term Loan Credit Agreement and a Second Lien Term Loan Credit Agreement of $840 million and $200 million, respectively, and a $75 million Revolving Credit Facility Agreement (collectively the “</w:t>
      </w:r>
      <w:r>
        <w:rPr>
          <w:rFonts w:ascii="Arial" w:cs="Arial" w:eastAsia="Arial" w:hAnsi="Arial"/>
          <w:sz w:val="11"/>
          <w:szCs w:val="11"/>
          <w:b w:val="1"/>
          <w:bCs w:val="1"/>
          <w:i w:val="1"/>
          <w:iCs w:val="1"/>
          <w:color w:val="auto"/>
        </w:rPr>
        <w:t>2018 Credit Facilities</w:t>
      </w:r>
      <w:r>
        <w:rPr>
          <w:rFonts w:ascii="Arial" w:cs="Arial" w:eastAsia="Arial" w:hAnsi="Arial"/>
          <w:sz w:val="11"/>
          <w:szCs w:val="11"/>
          <w:color w:val="auto"/>
        </w:rPr>
        <w:t>”). The 2018 Credit Facilities replaced the 2017 Credit Facilities. We recorded interest expense including amortization of deferred financing costs of $20.9 million, $69.6 million and $60.7 million, respectively, in the 2017 Successor Period, and in fiscal years 2018 and 2019. We also recorded a $10.2 million loss on extinguishment of debt related to the establishment of the 2018 Credit Facilities in fiscal year 2018.</w:t>
      </w:r>
    </w:p>
    <w:p>
      <w:pPr>
        <w:spacing w:after="0" w:line="38" w:lineRule="exact"/>
        <w:rPr>
          <w:rFonts w:ascii="Arial" w:cs="Arial" w:eastAsia="Arial" w:hAnsi="Arial"/>
          <w:sz w:val="11"/>
          <w:szCs w:val="11"/>
          <w:color w:val="auto"/>
        </w:rPr>
      </w:pPr>
    </w:p>
    <w:p>
      <w:pPr>
        <w:ind w:left="1180" w:right="20" w:hanging="593"/>
        <w:spacing w:after="0" w:line="276" w:lineRule="auto"/>
        <w:tabs>
          <w:tab w:leader="none" w:pos="1180" w:val="left"/>
        </w:tabs>
        <w:numPr>
          <w:ilvl w:val="0"/>
          <w:numId w:val="14"/>
        </w:numPr>
        <w:rPr>
          <w:rFonts w:ascii="Arial" w:cs="Arial" w:eastAsia="Arial" w:hAnsi="Arial"/>
          <w:sz w:val="12"/>
          <w:szCs w:val="12"/>
          <w:color w:val="auto"/>
        </w:rPr>
      </w:pPr>
      <w:r>
        <w:rPr>
          <w:rFonts w:ascii="Arial" w:cs="Arial" w:eastAsia="Arial" w:hAnsi="Arial"/>
          <w:sz w:val="12"/>
          <w:szCs w:val="12"/>
          <w:color w:val="auto"/>
        </w:rPr>
        <w:t>Other income and expenses primarily consist of volume rebates from total spend on purchasing cards. In 2015, we paid a $4.3 million earn-out in connection with a 2014 acquisition within our Commercial Services segment.</w:t>
      </w:r>
    </w:p>
    <w:p>
      <w:pPr>
        <w:spacing w:after="0" w:line="42" w:lineRule="exact"/>
        <w:rPr>
          <w:rFonts w:ascii="Arial" w:cs="Arial" w:eastAsia="Arial" w:hAnsi="Arial"/>
          <w:sz w:val="12"/>
          <w:szCs w:val="12"/>
          <w:color w:val="auto"/>
        </w:rPr>
      </w:pPr>
    </w:p>
    <w:p>
      <w:pPr>
        <w:ind w:left="1180" w:right="60" w:hanging="593"/>
        <w:spacing w:after="0" w:line="259" w:lineRule="auto"/>
        <w:tabs>
          <w:tab w:leader="none" w:pos="1180" w:val="left"/>
        </w:tabs>
        <w:numPr>
          <w:ilvl w:val="0"/>
          <w:numId w:val="14"/>
        </w:numPr>
        <w:rPr>
          <w:rFonts w:ascii="Arial" w:cs="Arial" w:eastAsia="Arial" w:hAnsi="Arial"/>
          <w:sz w:val="12"/>
          <w:szCs w:val="12"/>
          <w:color w:val="auto"/>
        </w:rPr>
      </w:pPr>
      <w:r>
        <w:rPr>
          <w:rFonts w:ascii="Arial" w:cs="Arial" w:eastAsia="Arial" w:hAnsi="Arial"/>
          <w:sz w:val="12"/>
          <w:szCs w:val="12"/>
          <w:color w:val="auto"/>
        </w:rPr>
        <w:t>On December 22, 2017, the U.S. enacted significant changes to the U.S. tax law following the passage and signing of the Tax Act. The Tax Act reduces the U.S. federal corporate tax rate from a maximum 35% to 21% and modified or eliminated other provisions in the tax code. As of December 31, 2017, we re-measured the applicable deferred tax assets and liabilities based on the rates at which they are expected to reverse. The gross deferred tax assets and liabilities were provisionally adjusted, which resulted in a net effect of a $27.3 million decrease to the income tax provision in the 2017 Successor Period. We completed our analysis in 2018 and have recorded the final adjustments in the measurement period provided for in the Tax Act.</w:t>
      </w:r>
    </w:p>
    <w:p>
      <w:pPr>
        <w:spacing w:after="0" w:line="19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Condensed Consolidated Statements of Cash Flows Data</w:t>
      </w:r>
    </w:p>
    <w:p>
      <w:pPr>
        <w:spacing w:after="0" w:line="82" w:lineRule="exact"/>
        <w:rPr>
          <w:sz w:val="20"/>
          <w:szCs w:val="20"/>
          <w:color w:val="auto"/>
        </w:rPr>
      </w:pPr>
    </w:p>
    <w:p>
      <w:pPr>
        <w:ind w:left="600"/>
        <w:spacing w:after="0"/>
        <w:rPr>
          <w:sz w:val="20"/>
          <w:szCs w:val="20"/>
          <w:color w:val="auto"/>
        </w:rPr>
      </w:pPr>
      <w:r>
        <w:rPr>
          <w:rFonts w:ascii="Arial" w:cs="Arial" w:eastAsia="Arial" w:hAnsi="Arial"/>
          <w:sz w:val="12"/>
          <w:szCs w:val="12"/>
          <w:color w:val="auto"/>
        </w:rPr>
        <w:t>The following table sets forth selected attributes of our condensed consolidated statements of cash flows: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318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gridSpan w:val="2"/>
          </w:tcPr>
          <w:p>
            <w:pPr>
              <w:jc w:val="right"/>
              <w:ind w:right="540"/>
              <w:spacing w:after="0"/>
              <w:rPr>
                <w:sz w:val="20"/>
                <w:szCs w:val="20"/>
                <w:color w:val="auto"/>
              </w:rPr>
            </w:pPr>
            <w:r>
              <w:rPr>
                <w:rFonts w:ascii="Arial" w:cs="Arial" w:eastAsia="Arial" w:hAnsi="Arial"/>
                <w:sz w:val="10"/>
                <w:szCs w:val="10"/>
                <w:b w:val="1"/>
                <w:bCs w:val="1"/>
                <w:color w:val="auto"/>
                <w:w w:val="82"/>
              </w:rPr>
              <w:t>Successor</w:t>
            </w: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28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2"/>
          </w:tcPr>
          <w:p>
            <w:pPr>
              <w:jc w:val="right"/>
              <w:ind w:right="560"/>
              <w:spacing w:after="0"/>
              <w:rPr>
                <w:sz w:val="20"/>
                <w:szCs w:val="20"/>
                <w:color w:val="auto"/>
              </w:rPr>
            </w:pPr>
            <w:r>
              <w:rPr>
                <w:rFonts w:ascii="Arial" w:cs="Arial" w:eastAsia="Arial" w:hAnsi="Arial"/>
                <w:sz w:val="10"/>
                <w:szCs w:val="10"/>
                <w:b w:val="1"/>
                <w:bCs w:val="1"/>
                <w:color w:val="auto"/>
                <w:w w:val="99"/>
              </w:rPr>
              <w:t>Predecessor</w:t>
            </w:r>
          </w:p>
        </w:tc>
        <w:tc>
          <w:tcPr>
            <w:tcW w:w="3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83"/>
        </w:trPr>
        <w:tc>
          <w:tcPr>
            <w:tcW w:w="3180" w:type="dxa"/>
            <w:vAlign w:val="bottom"/>
          </w:tcPr>
          <w:p>
            <w:pPr>
              <w:spacing w:after="0"/>
              <w:rPr>
                <w:sz w:val="7"/>
                <w:szCs w:val="7"/>
                <w:color w:val="auto"/>
              </w:rPr>
            </w:pPr>
          </w:p>
        </w:tc>
        <w:tc>
          <w:tcPr>
            <w:tcW w:w="260" w:type="dxa"/>
            <w:vAlign w:val="bottom"/>
          </w:tcPr>
          <w:p>
            <w:pPr>
              <w:spacing w:after="0"/>
              <w:rPr>
                <w:sz w:val="7"/>
                <w:szCs w:val="7"/>
                <w:color w:val="auto"/>
              </w:rPr>
            </w:pPr>
          </w:p>
        </w:tc>
        <w:tc>
          <w:tcPr>
            <w:tcW w:w="860" w:type="dxa"/>
            <w:vAlign w:val="bottom"/>
          </w:tcPr>
          <w:p>
            <w:pPr>
              <w:spacing w:after="0"/>
              <w:rPr>
                <w:sz w:val="7"/>
                <w:szCs w:val="7"/>
                <w:color w:val="auto"/>
              </w:rPr>
            </w:pPr>
          </w:p>
        </w:tc>
        <w:tc>
          <w:tcPr>
            <w:tcW w:w="26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960" w:type="dxa"/>
            <w:vAlign w:val="bottom"/>
          </w:tcPr>
          <w:p>
            <w:pPr>
              <w:jc w:val="center"/>
              <w:ind w:right="128"/>
              <w:spacing w:after="0" w:line="83" w:lineRule="exact"/>
              <w:rPr>
                <w:sz w:val="20"/>
                <w:szCs w:val="20"/>
                <w:color w:val="auto"/>
              </w:rPr>
            </w:pPr>
            <w:r>
              <w:rPr>
                <w:rFonts w:ascii="Arial" w:cs="Arial" w:eastAsia="Arial" w:hAnsi="Arial"/>
                <w:sz w:val="8"/>
                <w:szCs w:val="8"/>
                <w:b w:val="1"/>
                <w:bCs w:val="1"/>
                <w:color w:val="auto"/>
              </w:rPr>
              <w:t>Period from</w:t>
            </w:r>
          </w:p>
        </w:tc>
        <w:tc>
          <w:tcPr>
            <w:tcW w:w="280" w:type="dxa"/>
            <w:vAlign w:val="bottom"/>
            <w:tcBorders>
              <w:right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40" w:type="dxa"/>
            <w:vAlign w:val="bottom"/>
            <w:gridSpan w:val="2"/>
          </w:tcPr>
          <w:p>
            <w:pPr>
              <w:jc w:val="center"/>
              <w:ind w:right="420"/>
              <w:spacing w:after="0" w:line="83" w:lineRule="exact"/>
              <w:rPr>
                <w:sz w:val="20"/>
                <w:szCs w:val="20"/>
                <w:color w:val="auto"/>
              </w:rPr>
            </w:pPr>
            <w:r>
              <w:rPr>
                <w:rFonts w:ascii="Arial" w:cs="Arial" w:eastAsia="Arial" w:hAnsi="Arial"/>
                <w:sz w:val="8"/>
                <w:szCs w:val="8"/>
                <w:b w:val="1"/>
                <w:bCs w:val="1"/>
                <w:color w:val="auto"/>
              </w:rPr>
              <w:t>Period from</w:t>
            </w:r>
          </w:p>
        </w:tc>
        <w:tc>
          <w:tcPr>
            <w:tcW w:w="200" w:type="dxa"/>
            <w:vAlign w:val="bottom"/>
          </w:tcPr>
          <w:p>
            <w:pPr>
              <w:spacing w:after="0"/>
              <w:rPr>
                <w:sz w:val="7"/>
                <w:szCs w:val="7"/>
                <w:color w:val="auto"/>
              </w:rPr>
            </w:pPr>
          </w:p>
        </w:tc>
        <w:tc>
          <w:tcPr>
            <w:tcW w:w="940" w:type="dxa"/>
            <w:vAlign w:val="bottom"/>
          </w:tcPr>
          <w:p>
            <w:pPr>
              <w:spacing w:after="0"/>
              <w:rPr>
                <w:sz w:val="7"/>
                <w:szCs w:val="7"/>
                <w:color w:val="auto"/>
              </w:rPr>
            </w:pPr>
          </w:p>
        </w:tc>
        <w:tc>
          <w:tcPr>
            <w:tcW w:w="240" w:type="dxa"/>
            <w:vAlign w:val="bottom"/>
          </w:tcPr>
          <w:p>
            <w:pPr>
              <w:spacing w:after="0"/>
              <w:rPr>
                <w:sz w:val="7"/>
                <w:szCs w:val="7"/>
                <w:color w:val="auto"/>
              </w:rPr>
            </w:pPr>
          </w:p>
        </w:tc>
        <w:tc>
          <w:tcPr>
            <w:tcW w:w="3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20" w:type="dxa"/>
            <w:vAlign w:val="bottom"/>
          </w:tcPr>
          <w:p>
            <w:pPr>
              <w:spacing w:after="0"/>
              <w:rPr>
                <w:sz w:val="7"/>
                <w:szCs w:val="7"/>
                <w:color w:val="auto"/>
              </w:rPr>
            </w:pPr>
          </w:p>
        </w:tc>
      </w:tr>
      <w:tr>
        <w:trPr>
          <w:trHeight w:val="99"/>
        </w:trPr>
        <w:tc>
          <w:tcPr>
            <w:tcW w:w="3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40" w:type="dxa"/>
            <w:vAlign w:val="bottom"/>
            <w:gridSpan w:val="3"/>
          </w:tcPr>
          <w:p>
            <w:pPr>
              <w:jc w:val="center"/>
              <w:ind w:left="486"/>
              <w:spacing w:after="0" w:line="99" w:lineRule="exact"/>
              <w:rPr>
                <w:sz w:val="20"/>
                <w:szCs w:val="20"/>
                <w:color w:val="auto"/>
              </w:rPr>
            </w:pPr>
            <w:r>
              <w:rPr>
                <w:rFonts w:ascii="Arial" w:cs="Arial" w:eastAsia="Arial" w:hAnsi="Arial"/>
                <w:sz w:val="10"/>
                <w:szCs w:val="10"/>
                <w:b w:val="1"/>
                <w:bCs w:val="1"/>
                <w:color w:val="auto"/>
                <w:w w:val="89"/>
              </w:rPr>
              <w:t>For the Year Ended</w:t>
            </w:r>
          </w:p>
        </w:tc>
        <w:tc>
          <w:tcPr>
            <w:tcW w:w="8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40" w:type="dxa"/>
            <w:vAlign w:val="bottom"/>
            <w:tcBorders>
              <w:right w:val="single" w:sz="8" w:color="auto"/>
            </w:tcBorders>
            <w:gridSpan w:val="2"/>
          </w:tcPr>
          <w:p>
            <w:pPr>
              <w:jc w:val="center"/>
              <w:ind w:right="460"/>
              <w:spacing w:after="0" w:line="99" w:lineRule="exact"/>
              <w:rPr>
                <w:sz w:val="20"/>
                <w:szCs w:val="20"/>
                <w:color w:val="auto"/>
              </w:rPr>
            </w:pPr>
            <w:r>
              <w:rPr>
                <w:rFonts w:ascii="Arial" w:cs="Arial" w:eastAsia="Arial" w:hAnsi="Arial"/>
                <w:sz w:val="10"/>
                <w:szCs w:val="10"/>
                <w:b w:val="1"/>
                <w:bCs w:val="1"/>
                <w:color w:val="auto"/>
                <w:w w:val="86"/>
              </w:rPr>
              <w:t>June 1, 2017 to</w:t>
            </w: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40" w:type="dxa"/>
            <w:vAlign w:val="bottom"/>
            <w:gridSpan w:val="2"/>
          </w:tcPr>
          <w:p>
            <w:pPr>
              <w:jc w:val="center"/>
              <w:ind w:right="400"/>
              <w:spacing w:after="0" w:line="99" w:lineRule="exact"/>
              <w:rPr>
                <w:sz w:val="20"/>
                <w:szCs w:val="20"/>
                <w:color w:val="auto"/>
              </w:rPr>
            </w:pPr>
            <w:r>
              <w:rPr>
                <w:rFonts w:ascii="Arial" w:cs="Arial" w:eastAsia="Arial" w:hAnsi="Arial"/>
                <w:sz w:val="10"/>
                <w:szCs w:val="10"/>
                <w:b w:val="1"/>
                <w:bCs w:val="1"/>
                <w:color w:val="auto"/>
                <w:w w:val="85"/>
              </w:rPr>
              <w:t>January 1, 2017</w:t>
            </w:r>
          </w:p>
        </w:tc>
        <w:tc>
          <w:tcPr>
            <w:tcW w:w="200" w:type="dxa"/>
            <w:vAlign w:val="bottom"/>
          </w:tcPr>
          <w:p>
            <w:pPr>
              <w:spacing w:after="0"/>
              <w:rPr>
                <w:sz w:val="8"/>
                <w:szCs w:val="8"/>
                <w:color w:val="auto"/>
              </w:rPr>
            </w:pPr>
          </w:p>
        </w:tc>
        <w:tc>
          <w:tcPr>
            <w:tcW w:w="1560" w:type="dxa"/>
            <w:vAlign w:val="bottom"/>
            <w:gridSpan w:val="3"/>
          </w:tcPr>
          <w:p>
            <w:pPr>
              <w:jc w:val="center"/>
              <w:ind w:left="507"/>
              <w:spacing w:after="0" w:line="99" w:lineRule="exact"/>
              <w:rPr>
                <w:sz w:val="20"/>
                <w:szCs w:val="20"/>
                <w:color w:val="auto"/>
              </w:rPr>
            </w:pPr>
            <w:r>
              <w:rPr>
                <w:rFonts w:ascii="Arial" w:cs="Arial" w:eastAsia="Arial" w:hAnsi="Arial"/>
                <w:sz w:val="10"/>
                <w:szCs w:val="10"/>
                <w:b w:val="1"/>
                <w:bCs w:val="1"/>
                <w:color w:val="auto"/>
                <w:w w:val="87"/>
              </w:rPr>
              <w:t>For the Year Ended</w:t>
            </w:r>
          </w:p>
        </w:tc>
        <w:tc>
          <w:tcPr>
            <w:tcW w:w="76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114"/>
        </w:trPr>
        <w:tc>
          <w:tcPr>
            <w:tcW w:w="318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440" w:type="dxa"/>
            <w:vAlign w:val="bottom"/>
            <w:tcBorders>
              <w:bottom w:val="single" w:sz="8" w:color="auto"/>
            </w:tcBorders>
            <w:gridSpan w:val="3"/>
          </w:tcPr>
          <w:p>
            <w:pPr>
              <w:jc w:val="center"/>
              <w:ind w:left="466"/>
              <w:spacing w:after="0" w:line="114" w:lineRule="exact"/>
              <w:rPr>
                <w:sz w:val="20"/>
                <w:szCs w:val="20"/>
                <w:color w:val="auto"/>
              </w:rPr>
            </w:pPr>
            <w:r>
              <w:rPr>
                <w:rFonts w:ascii="Arial" w:cs="Arial" w:eastAsia="Arial" w:hAnsi="Arial"/>
                <w:sz w:val="10"/>
                <w:szCs w:val="10"/>
                <w:b w:val="1"/>
                <w:bCs w:val="1"/>
                <w:color w:val="auto"/>
                <w:w w:val="86"/>
              </w:rPr>
              <w:t>December 31,</w:t>
            </w:r>
          </w:p>
        </w:tc>
        <w:tc>
          <w:tcPr>
            <w:tcW w:w="80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40" w:type="dxa"/>
            <w:vAlign w:val="bottom"/>
            <w:tcBorders>
              <w:right w:val="single" w:sz="8" w:color="auto"/>
            </w:tcBorders>
            <w:gridSpan w:val="2"/>
          </w:tcPr>
          <w:p>
            <w:pPr>
              <w:jc w:val="center"/>
              <w:ind w:right="440"/>
              <w:spacing w:after="0" w:line="114" w:lineRule="exact"/>
              <w:rPr>
                <w:sz w:val="20"/>
                <w:szCs w:val="20"/>
                <w:color w:val="auto"/>
              </w:rPr>
            </w:pPr>
            <w:r>
              <w:rPr>
                <w:rFonts w:ascii="Arial" w:cs="Arial" w:eastAsia="Arial" w:hAnsi="Arial"/>
                <w:sz w:val="10"/>
                <w:szCs w:val="10"/>
                <w:b w:val="1"/>
                <w:bCs w:val="1"/>
                <w:color w:val="auto"/>
                <w:w w:val="86"/>
              </w:rPr>
              <w:t>December 31,</w:t>
            </w: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40" w:type="dxa"/>
            <w:vAlign w:val="bottom"/>
            <w:gridSpan w:val="2"/>
          </w:tcPr>
          <w:p>
            <w:pPr>
              <w:jc w:val="center"/>
              <w:ind w:right="400"/>
              <w:spacing w:after="0" w:line="114" w:lineRule="exact"/>
              <w:rPr>
                <w:sz w:val="20"/>
                <w:szCs w:val="20"/>
                <w:color w:val="auto"/>
              </w:rPr>
            </w:pPr>
            <w:r>
              <w:rPr>
                <w:rFonts w:ascii="Arial" w:cs="Arial" w:eastAsia="Arial" w:hAnsi="Arial"/>
                <w:sz w:val="10"/>
                <w:szCs w:val="10"/>
                <w:b w:val="1"/>
                <w:bCs w:val="1"/>
                <w:color w:val="auto"/>
                <w:w w:val="90"/>
              </w:rPr>
              <w:t>to May 31,</w:t>
            </w:r>
          </w:p>
        </w:tc>
        <w:tc>
          <w:tcPr>
            <w:tcW w:w="200" w:type="dxa"/>
            <w:vAlign w:val="bottom"/>
            <w:tcBorders>
              <w:bottom w:val="single" w:sz="8" w:color="auto"/>
            </w:tcBorders>
          </w:tcPr>
          <w:p>
            <w:pPr>
              <w:spacing w:after="0"/>
              <w:rPr>
                <w:sz w:val="9"/>
                <w:szCs w:val="9"/>
                <w:color w:val="auto"/>
              </w:rPr>
            </w:pPr>
          </w:p>
        </w:tc>
        <w:tc>
          <w:tcPr>
            <w:tcW w:w="1560" w:type="dxa"/>
            <w:vAlign w:val="bottom"/>
            <w:tcBorders>
              <w:bottom w:val="single" w:sz="8" w:color="auto"/>
            </w:tcBorders>
            <w:gridSpan w:val="3"/>
          </w:tcPr>
          <w:p>
            <w:pPr>
              <w:jc w:val="center"/>
              <w:ind w:left="507"/>
              <w:spacing w:after="0" w:line="114" w:lineRule="exact"/>
              <w:rPr>
                <w:sz w:val="20"/>
                <w:szCs w:val="20"/>
                <w:color w:val="auto"/>
              </w:rPr>
            </w:pPr>
            <w:r>
              <w:rPr>
                <w:rFonts w:ascii="Arial" w:cs="Arial" w:eastAsia="Arial" w:hAnsi="Arial"/>
                <w:sz w:val="10"/>
                <w:szCs w:val="10"/>
                <w:b w:val="1"/>
                <w:bCs w:val="1"/>
                <w:color w:val="auto"/>
                <w:w w:val="86"/>
              </w:rPr>
              <w:t>December 31,</w:t>
            </w:r>
          </w:p>
        </w:tc>
        <w:tc>
          <w:tcPr>
            <w:tcW w:w="76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r>
      <w:tr>
        <w:trPr>
          <w:trHeight w:val="97"/>
        </w:trPr>
        <w:tc>
          <w:tcPr>
            <w:tcW w:w="3180" w:type="dxa"/>
            <w:vAlign w:val="bottom"/>
            <w:tcBorders>
              <w:bottom w:val="single" w:sz="8" w:color="CFF0FC"/>
            </w:tcBorders>
          </w:tcPr>
          <w:p>
            <w:pPr>
              <w:spacing w:after="0" w:line="97" w:lineRule="exact"/>
              <w:rPr>
                <w:sz w:val="20"/>
                <w:szCs w:val="20"/>
                <w:color w:val="auto"/>
              </w:rPr>
            </w:pPr>
            <w:r>
              <w:rPr>
                <w:rFonts w:ascii="Arial" w:cs="Arial" w:eastAsia="Arial" w:hAnsi="Arial"/>
                <w:sz w:val="10"/>
                <w:szCs w:val="10"/>
                <w:b w:val="1"/>
                <w:bCs w:val="1"/>
                <w:color w:val="auto"/>
              </w:rPr>
              <w:t>($ in thousands)</w:t>
            </w:r>
          </w:p>
        </w:tc>
        <w:tc>
          <w:tcPr>
            <w:tcW w:w="26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jc w:val="right"/>
              <w:ind w:right="406"/>
              <w:spacing w:after="0" w:line="97" w:lineRule="exact"/>
              <w:rPr>
                <w:sz w:val="20"/>
                <w:szCs w:val="20"/>
                <w:color w:val="auto"/>
              </w:rPr>
            </w:pPr>
            <w:r>
              <w:rPr>
                <w:rFonts w:ascii="Arial" w:cs="Arial" w:eastAsia="Arial" w:hAnsi="Arial"/>
                <w:sz w:val="10"/>
                <w:szCs w:val="10"/>
                <w:b w:val="1"/>
                <w:bCs w:val="1"/>
                <w:color w:val="auto"/>
              </w:rPr>
              <w:t>2019</w:t>
            </w:r>
          </w:p>
        </w:tc>
        <w:tc>
          <w:tcPr>
            <w:tcW w:w="260" w:type="dxa"/>
            <w:vAlign w:val="bottom"/>
            <w:tcBorders>
              <w:bottom w:val="single" w:sz="8" w:color="CFF0FC"/>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jc w:val="right"/>
              <w:ind w:right="404"/>
              <w:spacing w:after="0" w:line="97" w:lineRule="exact"/>
              <w:rPr>
                <w:sz w:val="20"/>
                <w:szCs w:val="20"/>
                <w:color w:val="auto"/>
              </w:rPr>
            </w:pPr>
            <w:r>
              <w:rPr>
                <w:rFonts w:ascii="Arial" w:cs="Arial" w:eastAsia="Arial" w:hAnsi="Arial"/>
                <w:sz w:val="10"/>
                <w:szCs w:val="10"/>
                <w:b w:val="1"/>
                <w:bCs w:val="1"/>
                <w:color w:val="auto"/>
              </w:rPr>
              <w:t>2018</w:t>
            </w:r>
          </w:p>
        </w:tc>
        <w:tc>
          <w:tcPr>
            <w:tcW w:w="180" w:type="dxa"/>
            <w:vAlign w:val="bottom"/>
            <w:tcBorders>
              <w:bottom w:val="single" w:sz="8" w:color="CFF0FC"/>
            </w:tcBorders>
          </w:tcPr>
          <w:p>
            <w:pPr>
              <w:spacing w:after="0"/>
              <w:rPr>
                <w:sz w:val="8"/>
                <w:szCs w:val="8"/>
                <w:color w:val="auto"/>
              </w:rPr>
            </w:pPr>
          </w:p>
        </w:tc>
        <w:tc>
          <w:tcPr>
            <w:tcW w:w="80" w:type="dxa"/>
            <w:vAlign w:val="bottom"/>
            <w:tcBorders>
              <w:bottom w:val="single" w:sz="8" w:color="CFF0FC"/>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jc w:val="center"/>
              <w:ind w:right="108"/>
              <w:spacing w:after="0" w:line="97" w:lineRule="exact"/>
              <w:rPr>
                <w:sz w:val="20"/>
                <w:szCs w:val="20"/>
                <w:color w:val="auto"/>
              </w:rPr>
            </w:pPr>
            <w:r>
              <w:rPr>
                <w:rFonts w:ascii="Arial" w:cs="Arial" w:eastAsia="Arial" w:hAnsi="Arial"/>
                <w:sz w:val="10"/>
                <w:szCs w:val="10"/>
                <w:b w:val="1"/>
                <w:bCs w:val="1"/>
                <w:color w:val="auto"/>
                <w:w w:val="89"/>
              </w:rPr>
              <w:t>2017</w:t>
            </w:r>
          </w:p>
        </w:tc>
        <w:tc>
          <w:tcPr>
            <w:tcW w:w="280" w:type="dxa"/>
            <w:vAlign w:val="bottom"/>
            <w:tcBorders>
              <w:bottom w:val="single" w:sz="8" w:color="CFF0FC"/>
              <w:right w:val="single" w:sz="8" w:color="auto"/>
            </w:tcBorders>
          </w:tcPr>
          <w:p>
            <w:pPr>
              <w:spacing w:after="0"/>
              <w:rPr>
                <w:sz w:val="8"/>
                <w:szCs w:val="8"/>
                <w:color w:val="auto"/>
              </w:rPr>
            </w:pPr>
          </w:p>
        </w:tc>
        <w:tc>
          <w:tcPr>
            <w:tcW w:w="120" w:type="dxa"/>
            <w:vAlign w:val="bottom"/>
            <w:tcBorders>
              <w:bottom w:val="single" w:sz="8" w:color="CFF0FC"/>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jc w:val="center"/>
              <w:ind w:right="88"/>
              <w:spacing w:after="0" w:line="97" w:lineRule="exact"/>
              <w:rPr>
                <w:sz w:val="20"/>
                <w:szCs w:val="20"/>
                <w:color w:val="auto"/>
              </w:rPr>
            </w:pPr>
            <w:r>
              <w:rPr>
                <w:rFonts w:ascii="Arial" w:cs="Arial" w:eastAsia="Arial" w:hAnsi="Arial"/>
                <w:sz w:val="10"/>
                <w:szCs w:val="10"/>
                <w:b w:val="1"/>
                <w:bCs w:val="1"/>
                <w:color w:val="auto"/>
                <w:w w:val="89"/>
              </w:rPr>
              <w:t>2017</w:t>
            </w:r>
          </w:p>
        </w:tc>
        <w:tc>
          <w:tcPr>
            <w:tcW w:w="260" w:type="dxa"/>
            <w:vAlign w:val="bottom"/>
            <w:tcBorders>
              <w:bottom w:val="single" w:sz="8" w:color="CFF0FC"/>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jc w:val="right"/>
              <w:ind w:right="427"/>
              <w:spacing w:after="0" w:line="97" w:lineRule="exact"/>
              <w:rPr>
                <w:sz w:val="20"/>
                <w:szCs w:val="20"/>
                <w:color w:val="auto"/>
              </w:rPr>
            </w:pPr>
            <w:r>
              <w:rPr>
                <w:rFonts w:ascii="Arial" w:cs="Arial" w:eastAsia="Arial" w:hAnsi="Arial"/>
                <w:sz w:val="10"/>
                <w:szCs w:val="10"/>
                <w:b w:val="1"/>
                <w:bCs w:val="1"/>
                <w:color w:val="auto"/>
              </w:rPr>
              <w:t>2016</w:t>
            </w:r>
          </w:p>
        </w:tc>
        <w:tc>
          <w:tcPr>
            <w:tcW w:w="240" w:type="dxa"/>
            <w:vAlign w:val="bottom"/>
            <w:tcBorders>
              <w:bottom w:val="single" w:sz="8" w:color="CFF0FC"/>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jc w:val="right"/>
              <w:ind w:right="423"/>
              <w:spacing w:after="0" w:line="97" w:lineRule="exact"/>
              <w:rPr>
                <w:sz w:val="20"/>
                <w:szCs w:val="20"/>
                <w:color w:val="auto"/>
              </w:rPr>
            </w:pPr>
            <w:r>
              <w:rPr>
                <w:rFonts w:ascii="Arial" w:cs="Arial" w:eastAsia="Arial" w:hAnsi="Arial"/>
                <w:sz w:val="10"/>
                <w:szCs w:val="10"/>
                <w:b w:val="1"/>
                <w:bCs w:val="1"/>
                <w:color w:val="auto"/>
              </w:rPr>
              <w:t>2015</w:t>
            </w:r>
          </w:p>
        </w:tc>
        <w:tc>
          <w:tcPr>
            <w:tcW w:w="120" w:type="dxa"/>
            <w:vAlign w:val="bottom"/>
            <w:tcBorders>
              <w:bottom w:val="single" w:sz="8" w:color="CFF0FC"/>
            </w:tcBorders>
          </w:tcPr>
          <w:p>
            <w:pPr>
              <w:spacing w:after="0"/>
              <w:rPr>
                <w:sz w:val="8"/>
                <w:szCs w:val="8"/>
                <w:color w:val="auto"/>
              </w:rPr>
            </w:pPr>
          </w:p>
        </w:tc>
      </w:tr>
      <w:tr>
        <w:trPr>
          <w:trHeight w:val="142"/>
        </w:trPr>
        <w:tc>
          <w:tcPr>
            <w:tcW w:w="3180" w:type="dxa"/>
            <w:vAlign w:val="bottom"/>
            <w:shd w:val="clear" w:color="auto" w:fill="CFF0FC"/>
          </w:tcPr>
          <w:p>
            <w:pPr>
              <w:spacing w:after="0"/>
              <w:rPr>
                <w:sz w:val="20"/>
                <w:szCs w:val="20"/>
                <w:color w:val="auto"/>
              </w:rPr>
            </w:pPr>
            <w:r>
              <w:rPr>
                <w:rFonts w:ascii="Arial" w:cs="Arial" w:eastAsia="Arial" w:hAnsi="Arial"/>
                <w:sz w:val="12"/>
                <w:szCs w:val="12"/>
                <w:color w:val="auto"/>
              </w:rPr>
              <w:t>Net cash provided by operating activities</w:t>
            </w:r>
          </w:p>
        </w:tc>
        <w:tc>
          <w:tcPr>
            <w:tcW w:w="260" w:type="dxa"/>
            <w:vAlign w:val="bottom"/>
            <w:shd w:val="clear" w:color="auto" w:fill="CFF0FC"/>
          </w:tcPr>
          <w:p>
            <w:pPr>
              <w:jc w:val="right"/>
              <w:ind w:right="150"/>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133,802</w:t>
            </w:r>
          </w:p>
        </w:tc>
        <w:tc>
          <w:tcPr>
            <w:tcW w:w="260" w:type="dxa"/>
            <w:vAlign w:val="bottom"/>
            <w:shd w:val="clear" w:color="auto" w:fill="CFF0FC"/>
          </w:tcPr>
          <w:p>
            <w:pPr>
              <w:spacing w:after="0"/>
              <w:rPr>
                <w:sz w:val="12"/>
                <w:szCs w:val="12"/>
                <w:color w:val="auto"/>
              </w:rPr>
            </w:pPr>
          </w:p>
        </w:tc>
        <w:tc>
          <w:tcPr>
            <w:tcW w:w="320" w:type="dxa"/>
            <w:vAlign w:val="bottom"/>
            <w:shd w:val="clear" w:color="auto" w:fill="CFF0FC"/>
          </w:tcPr>
          <w:p>
            <w:pPr>
              <w:jc w:val="right"/>
              <w:ind w:right="210"/>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46,017</w:t>
            </w:r>
          </w:p>
        </w:tc>
        <w:tc>
          <w:tcPr>
            <w:tcW w:w="180" w:type="dxa"/>
            <w:vAlign w:val="bottom"/>
            <w:shd w:val="clear" w:color="auto" w:fill="CFF0FC"/>
          </w:tcPr>
          <w:p>
            <w:pPr>
              <w:spacing w:after="0"/>
              <w:rPr>
                <w:sz w:val="12"/>
                <w:szCs w:val="12"/>
                <w:color w:val="auto"/>
              </w:rPr>
            </w:pPr>
          </w:p>
        </w:tc>
        <w:tc>
          <w:tcPr>
            <w:tcW w:w="24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8,311</w:t>
            </w:r>
          </w:p>
        </w:tc>
        <w:tc>
          <w:tcPr>
            <w:tcW w:w="280" w:type="dxa"/>
            <w:vAlign w:val="bottom"/>
            <w:tcBorders>
              <w:right w:val="single" w:sz="8" w:color="auto"/>
            </w:tcBorders>
            <w:shd w:val="clear" w:color="auto" w:fill="CFF0FC"/>
          </w:tcPr>
          <w:p>
            <w:pPr>
              <w:spacing w:after="0"/>
              <w:rPr>
                <w:sz w:val="12"/>
                <w:szCs w:val="12"/>
                <w:color w:val="auto"/>
              </w:rPr>
            </w:pPr>
          </w:p>
        </w:tc>
        <w:tc>
          <w:tcPr>
            <w:tcW w:w="26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41,833</w:t>
            </w:r>
          </w:p>
        </w:tc>
        <w:tc>
          <w:tcPr>
            <w:tcW w:w="260" w:type="dxa"/>
            <w:vAlign w:val="bottom"/>
            <w:shd w:val="clear" w:color="auto" w:fill="CFF0FC"/>
          </w:tcPr>
          <w:p>
            <w:pPr>
              <w:spacing w:after="0"/>
              <w:rPr>
                <w:sz w:val="12"/>
                <w:szCs w:val="12"/>
                <w:color w:val="auto"/>
              </w:rPr>
            </w:pPr>
          </w:p>
        </w:tc>
        <w:tc>
          <w:tcPr>
            <w:tcW w:w="200" w:type="dxa"/>
            <w:vAlign w:val="bottom"/>
            <w:shd w:val="clear" w:color="auto" w:fill="CFF0FC"/>
          </w:tcPr>
          <w:p>
            <w:pPr>
              <w:jc w:val="right"/>
              <w:ind w:right="90"/>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43,841</w:t>
            </w:r>
          </w:p>
        </w:tc>
        <w:tc>
          <w:tcPr>
            <w:tcW w:w="240" w:type="dxa"/>
            <w:vAlign w:val="bottom"/>
            <w:shd w:val="clear" w:color="auto" w:fill="CFF0FC"/>
          </w:tcPr>
          <w:p>
            <w:pPr>
              <w:spacing w:after="0"/>
              <w:rPr>
                <w:sz w:val="12"/>
                <w:szCs w:val="12"/>
                <w:color w:val="auto"/>
              </w:rPr>
            </w:pPr>
          </w:p>
        </w:tc>
        <w:tc>
          <w:tcPr>
            <w:tcW w:w="380" w:type="dxa"/>
            <w:vAlign w:val="bottom"/>
            <w:shd w:val="clear" w:color="auto" w:fill="CFF0FC"/>
          </w:tcPr>
          <w:p>
            <w:pPr>
              <w:jc w:val="right"/>
              <w:ind w:right="270"/>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57,625</w:t>
            </w:r>
          </w:p>
        </w:tc>
        <w:tc>
          <w:tcPr>
            <w:tcW w:w="120" w:type="dxa"/>
            <w:vAlign w:val="bottom"/>
            <w:shd w:val="clear" w:color="auto" w:fill="CFF0FC"/>
          </w:tcPr>
          <w:p>
            <w:pPr>
              <w:spacing w:after="0"/>
              <w:rPr>
                <w:sz w:val="12"/>
                <w:szCs w:val="12"/>
                <w:color w:val="auto"/>
              </w:rPr>
            </w:pPr>
          </w:p>
        </w:tc>
      </w:tr>
      <w:tr>
        <w:trPr>
          <w:trHeight w:val="153"/>
        </w:trPr>
        <w:tc>
          <w:tcPr>
            <w:tcW w:w="3180" w:type="dxa"/>
            <w:vAlign w:val="bottom"/>
          </w:tcPr>
          <w:p>
            <w:pPr>
              <w:spacing w:after="0"/>
              <w:rPr>
                <w:sz w:val="20"/>
                <w:szCs w:val="20"/>
                <w:color w:val="auto"/>
              </w:rPr>
            </w:pPr>
            <w:r>
              <w:rPr>
                <w:rFonts w:ascii="Arial" w:cs="Arial" w:eastAsia="Arial" w:hAnsi="Arial"/>
                <w:sz w:val="12"/>
                <w:szCs w:val="12"/>
                <w:color w:val="auto"/>
              </w:rPr>
              <w:t>Net cash used in investing activities</w:t>
            </w:r>
          </w:p>
        </w:tc>
        <w:tc>
          <w:tcPr>
            <w:tcW w:w="260" w:type="dxa"/>
            <w:vAlign w:val="bottom"/>
          </w:tcPr>
          <w:p>
            <w:pPr>
              <w:spacing w:after="0"/>
              <w:rPr>
                <w:sz w:val="13"/>
                <w:szCs w:val="13"/>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2"/>
                <w:szCs w:val="12"/>
                <w:color w:val="auto"/>
              </w:rPr>
              <w:t>(54,973)</w:t>
            </w:r>
          </w:p>
        </w:tc>
        <w:tc>
          <w:tcPr>
            <w:tcW w:w="320" w:type="dxa"/>
            <w:vAlign w:val="bottom"/>
          </w:tcPr>
          <w:p>
            <w:pPr>
              <w:spacing w:after="0"/>
              <w:rPr>
                <w:sz w:val="13"/>
                <w:szCs w:val="13"/>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2"/>
                <w:szCs w:val="12"/>
                <w:color w:val="auto"/>
              </w:rPr>
              <w:t>(562,857)</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2"/>
                <w:szCs w:val="12"/>
                <w:color w:val="auto"/>
              </w:rPr>
              <w:t>(553,536)</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2"/>
                <w:szCs w:val="12"/>
                <w:color w:val="auto"/>
              </w:rPr>
              <w:t>(8,786)</w:t>
            </w:r>
          </w:p>
        </w:tc>
        <w:tc>
          <w:tcPr>
            <w:tcW w:w="200" w:type="dxa"/>
            <w:vAlign w:val="bottom"/>
          </w:tcPr>
          <w:p>
            <w:pPr>
              <w:spacing w:after="0"/>
              <w:rPr>
                <w:sz w:val="13"/>
                <w:szCs w:val="13"/>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2"/>
                <w:szCs w:val="12"/>
                <w:color w:val="auto"/>
              </w:rPr>
              <w:t>(35,051)</w:t>
            </w:r>
          </w:p>
        </w:tc>
        <w:tc>
          <w:tcPr>
            <w:tcW w:w="380" w:type="dxa"/>
            <w:vAlign w:val="bottom"/>
          </w:tcPr>
          <w:p>
            <w:pPr>
              <w:spacing w:after="0"/>
              <w:rPr>
                <w:sz w:val="13"/>
                <w:szCs w:val="13"/>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2"/>
                <w:szCs w:val="12"/>
                <w:color w:val="auto"/>
              </w:rPr>
              <w:t>(13,131)</w:t>
            </w:r>
          </w:p>
        </w:tc>
      </w:tr>
      <w:tr>
        <w:trPr>
          <w:trHeight w:val="153"/>
        </w:trPr>
        <w:tc>
          <w:tcPr>
            <w:tcW w:w="3180" w:type="dxa"/>
            <w:vAlign w:val="bottom"/>
            <w:shd w:val="clear" w:color="auto" w:fill="CFF0FC"/>
          </w:tcPr>
          <w:p>
            <w:pPr>
              <w:spacing w:after="0"/>
              <w:rPr>
                <w:sz w:val="20"/>
                <w:szCs w:val="20"/>
                <w:color w:val="auto"/>
              </w:rPr>
            </w:pPr>
            <w:r>
              <w:rPr>
                <w:rFonts w:ascii="Arial" w:cs="Arial" w:eastAsia="Arial" w:hAnsi="Arial"/>
                <w:sz w:val="12"/>
                <w:szCs w:val="12"/>
                <w:color w:val="auto"/>
              </w:rPr>
              <w:t>Net cash (used in) provided by financing activities</w:t>
            </w:r>
          </w:p>
        </w:tc>
        <w:tc>
          <w:tcPr>
            <w:tcW w:w="260" w:type="dxa"/>
            <w:vAlign w:val="bottom"/>
            <w:shd w:val="clear" w:color="auto" w:fill="CFF0FC"/>
          </w:tcPr>
          <w:p>
            <w:pPr>
              <w:spacing w:after="0"/>
              <w:rPr>
                <w:sz w:val="13"/>
                <w:szCs w:val="13"/>
                <w:color w:val="auto"/>
              </w:rPr>
            </w:pPr>
          </w:p>
        </w:tc>
        <w:tc>
          <w:tcPr>
            <w:tcW w:w="112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(14,520)</w:t>
            </w:r>
          </w:p>
        </w:tc>
        <w:tc>
          <w:tcPr>
            <w:tcW w:w="32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574,268</w:t>
            </w:r>
          </w:p>
        </w:tc>
        <w:tc>
          <w:tcPr>
            <w:tcW w:w="1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555,734</w:t>
            </w:r>
          </w:p>
        </w:tc>
        <w:tc>
          <w:tcPr>
            <w:tcW w:w="280" w:type="dxa"/>
            <w:vAlign w:val="bottom"/>
            <w:tcBorders>
              <w:right w:val="single" w:sz="8" w:color="auto"/>
            </w:tcBorders>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24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(27,491)</w:t>
            </w:r>
          </w:p>
        </w:tc>
        <w:tc>
          <w:tcPr>
            <w:tcW w:w="200" w:type="dxa"/>
            <w:vAlign w:val="bottom"/>
            <w:shd w:val="clear" w:color="auto" w:fill="CFF0FC"/>
          </w:tcPr>
          <w:p>
            <w:pPr>
              <w:spacing w:after="0"/>
              <w:rPr>
                <w:sz w:val="13"/>
                <w:szCs w:val="13"/>
                <w:color w:val="auto"/>
              </w:rPr>
            </w:pPr>
          </w:p>
        </w:tc>
        <w:tc>
          <w:tcPr>
            <w:tcW w:w="118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(7,041)</w:t>
            </w:r>
          </w:p>
        </w:tc>
        <w:tc>
          <w:tcPr>
            <w:tcW w:w="380" w:type="dxa"/>
            <w:vAlign w:val="bottom"/>
            <w:shd w:val="clear" w:color="auto" w:fill="CFF0FC"/>
          </w:tcPr>
          <w:p>
            <w:pPr>
              <w:spacing w:after="0"/>
              <w:rPr>
                <w:sz w:val="13"/>
                <w:szCs w:val="13"/>
                <w:color w:val="auto"/>
              </w:rPr>
            </w:pPr>
          </w:p>
        </w:tc>
        <w:tc>
          <w:tcPr>
            <w:tcW w:w="88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(43,886)</w:t>
            </w:r>
          </w:p>
        </w:tc>
      </w:tr>
      <w:tr>
        <w:trPr>
          <w:trHeight w:val="432"/>
        </w:trPr>
        <w:tc>
          <w:tcPr>
            <w:tcW w:w="3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2"/>
                <w:szCs w:val="12"/>
                <w:color w:val="auto"/>
              </w:rPr>
              <w:t>40</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72"/>
        </w:trPr>
        <w:tc>
          <w:tcPr>
            <w:tcW w:w="318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86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320" w:type="dxa"/>
            <w:vAlign w:val="bottom"/>
            <w:tcBorders>
              <w:bottom w:val="single" w:sz="8" w:color="9A9A9A"/>
            </w:tcBorders>
          </w:tcPr>
          <w:p>
            <w:pPr>
              <w:spacing w:after="0"/>
              <w:rPr>
                <w:sz w:val="6"/>
                <w:szCs w:val="6"/>
                <w:color w:val="auto"/>
              </w:rPr>
            </w:pPr>
          </w:p>
        </w:tc>
        <w:tc>
          <w:tcPr>
            <w:tcW w:w="800" w:type="dxa"/>
            <w:vAlign w:val="bottom"/>
            <w:tcBorders>
              <w:bottom w:val="single" w:sz="8" w:color="9A9A9A"/>
            </w:tcBorders>
          </w:tcPr>
          <w:p>
            <w:pPr>
              <w:spacing w:after="0"/>
              <w:rPr>
                <w:sz w:val="6"/>
                <w:szCs w:val="6"/>
                <w:color w:val="auto"/>
              </w:rPr>
            </w:pPr>
          </w:p>
        </w:tc>
        <w:tc>
          <w:tcPr>
            <w:tcW w:w="18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96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98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94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380" w:type="dxa"/>
            <w:vAlign w:val="bottom"/>
            <w:tcBorders>
              <w:bottom w:val="single" w:sz="8" w:color="9A9A9A"/>
            </w:tcBorders>
          </w:tcPr>
          <w:p>
            <w:pPr>
              <w:spacing w:after="0"/>
              <w:rPr>
                <w:sz w:val="6"/>
                <w:szCs w:val="6"/>
                <w:color w:val="auto"/>
              </w:rPr>
            </w:pPr>
          </w:p>
        </w:tc>
        <w:tc>
          <w:tcPr>
            <w:tcW w:w="76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7268845</wp:posOffset>
            </wp:positionH>
            <wp:positionV relativeFrom="paragraph">
              <wp:posOffset>-23495</wp:posOffset>
            </wp:positionV>
            <wp:extent cx="31115" cy="368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480"/>
          </w:cols>
          <w:pgMar w:left="220" w:top="131" w:right="199" w:bottom="1440" w:gutter="0" w:footer="0" w:header="0"/>
        </w:sectPr>
      </w:pPr>
    </w:p>
    <w:bookmarkStart w:id="41" w:name="page42"/>
    <w:bookmarkEnd w:id="41"/>
    <w:p>
      <w:pPr>
        <w:spacing w:after="0"/>
        <w:rPr>
          <w:sz w:val="20"/>
          <w:szCs w:val="20"/>
          <w:color w:val="auto"/>
        </w:rPr>
      </w:pPr>
      <w:r>
        <w:rPr>
          <w:rFonts w:ascii="Arial" w:cs="Arial" w:eastAsia="Arial" w:hAnsi="Arial"/>
          <w:sz w:val="12"/>
          <w:szCs w:val="12"/>
          <w:b w:val="1"/>
          <w:bCs w:val="1"/>
          <w:color w:val="auto"/>
        </w:rPr>
        <w:t>Non-GAAP Financial Data</w:t>
      </w:r>
    </w:p>
    <w:p>
      <w:pPr>
        <w:spacing w:after="0" w:line="82" w:lineRule="exact"/>
        <w:rPr>
          <w:sz w:val="20"/>
          <w:szCs w:val="20"/>
          <w:color w:val="auto"/>
        </w:rPr>
      </w:pPr>
    </w:p>
    <w:p>
      <w:pPr>
        <w:ind w:left="600"/>
        <w:spacing w:after="0"/>
        <w:rPr>
          <w:sz w:val="20"/>
          <w:szCs w:val="20"/>
          <w:color w:val="auto"/>
        </w:rPr>
      </w:pPr>
      <w:r>
        <w:rPr>
          <w:rFonts w:ascii="Arial" w:cs="Arial" w:eastAsia="Arial" w:hAnsi="Arial"/>
          <w:sz w:val="12"/>
          <w:szCs w:val="12"/>
          <w:color w:val="auto"/>
        </w:rPr>
        <w:t>The following table sets forth the unaudited non-GAAP measures of Adjusted EBITDA and Adjusted EBITDA Margin %:</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316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gridSpan w:val="2"/>
          </w:tcPr>
          <w:p>
            <w:pPr>
              <w:jc w:val="right"/>
              <w:ind w:right="540"/>
              <w:spacing w:after="0"/>
              <w:rPr>
                <w:sz w:val="20"/>
                <w:szCs w:val="20"/>
                <w:color w:val="auto"/>
              </w:rPr>
            </w:pPr>
            <w:r>
              <w:rPr>
                <w:rFonts w:ascii="Arial" w:cs="Arial" w:eastAsia="Arial" w:hAnsi="Arial"/>
                <w:sz w:val="10"/>
                <w:szCs w:val="10"/>
                <w:b w:val="1"/>
                <w:bCs w:val="1"/>
                <w:color w:val="auto"/>
                <w:w w:val="82"/>
              </w:rPr>
              <w:t>Successor</w:t>
            </w: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28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2"/>
          </w:tcPr>
          <w:p>
            <w:pPr>
              <w:jc w:val="right"/>
              <w:ind w:right="580"/>
              <w:spacing w:after="0"/>
              <w:rPr>
                <w:sz w:val="20"/>
                <w:szCs w:val="20"/>
                <w:color w:val="auto"/>
              </w:rPr>
            </w:pPr>
            <w:r>
              <w:rPr>
                <w:rFonts w:ascii="Arial" w:cs="Arial" w:eastAsia="Arial" w:hAnsi="Arial"/>
                <w:sz w:val="10"/>
                <w:szCs w:val="10"/>
                <w:b w:val="1"/>
                <w:bCs w:val="1"/>
                <w:color w:val="auto"/>
                <w:w w:val="99"/>
              </w:rPr>
              <w:t>Predecessor</w:t>
            </w:r>
          </w:p>
        </w:tc>
        <w:tc>
          <w:tcPr>
            <w:tcW w:w="3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83"/>
        </w:trPr>
        <w:tc>
          <w:tcPr>
            <w:tcW w:w="3160" w:type="dxa"/>
            <w:vAlign w:val="bottom"/>
          </w:tcPr>
          <w:p>
            <w:pPr>
              <w:spacing w:after="0"/>
              <w:rPr>
                <w:sz w:val="7"/>
                <w:szCs w:val="7"/>
                <w:color w:val="auto"/>
              </w:rPr>
            </w:pPr>
          </w:p>
        </w:tc>
        <w:tc>
          <w:tcPr>
            <w:tcW w:w="260" w:type="dxa"/>
            <w:vAlign w:val="bottom"/>
          </w:tcPr>
          <w:p>
            <w:pPr>
              <w:spacing w:after="0"/>
              <w:rPr>
                <w:sz w:val="7"/>
                <w:szCs w:val="7"/>
                <w:color w:val="auto"/>
              </w:rPr>
            </w:pPr>
          </w:p>
        </w:tc>
        <w:tc>
          <w:tcPr>
            <w:tcW w:w="860" w:type="dxa"/>
            <w:vAlign w:val="bottom"/>
          </w:tcPr>
          <w:p>
            <w:pPr>
              <w:spacing w:after="0"/>
              <w:rPr>
                <w:sz w:val="7"/>
                <w:szCs w:val="7"/>
                <w:color w:val="auto"/>
              </w:rPr>
            </w:pPr>
          </w:p>
        </w:tc>
        <w:tc>
          <w:tcPr>
            <w:tcW w:w="26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960" w:type="dxa"/>
            <w:vAlign w:val="bottom"/>
          </w:tcPr>
          <w:p>
            <w:pPr>
              <w:jc w:val="center"/>
              <w:ind w:right="129"/>
              <w:spacing w:after="0" w:line="83" w:lineRule="exact"/>
              <w:rPr>
                <w:sz w:val="20"/>
                <w:szCs w:val="20"/>
                <w:color w:val="auto"/>
              </w:rPr>
            </w:pPr>
            <w:r>
              <w:rPr>
                <w:rFonts w:ascii="Arial" w:cs="Arial" w:eastAsia="Arial" w:hAnsi="Arial"/>
                <w:sz w:val="8"/>
                <w:szCs w:val="8"/>
                <w:b w:val="1"/>
                <w:bCs w:val="1"/>
                <w:color w:val="auto"/>
              </w:rPr>
              <w:t>Period from</w:t>
            </w:r>
          </w:p>
        </w:tc>
        <w:tc>
          <w:tcPr>
            <w:tcW w:w="280" w:type="dxa"/>
            <w:vAlign w:val="bottom"/>
            <w:tcBorders>
              <w:right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40" w:type="dxa"/>
            <w:vAlign w:val="bottom"/>
            <w:gridSpan w:val="2"/>
          </w:tcPr>
          <w:p>
            <w:pPr>
              <w:jc w:val="center"/>
              <w:ind w:right="420"/>
              <w:spacing w:after="0" w:line="83" w:lineRule="exact"/>
              <w:rPr>
                <w:sz w:val="20"/>
                <w:szCs w:val="20"/>
                <w:color w:val="auto"/>
              </w:rPr>
            </w:pPr>
            <w:r>
              <w:rPr>
                <w:rFonts w:ascii="Arial" w:cs="Arial" w:eastAsia="Arial" w:hAnsi="Arial"/>
                <w:sz w:val="8"/>
                <w:szCs w:val="8"/>
                <w:b w:val="1"/>
                <w:bCs w:val="1"/>
                <w:color w:val="auto"/>
              </w:rPr>
              <w:t>Period from</w:t>
            </w:r>
          </w:p>
        </w:tc>
        <w:tc>
          <w:tcPr>
            <w:tcW w:w="180" w:type="dxa"/>
            <w:vAlign w:val="bottom"/>
          </w:tcPr>
          <w:p>
            <w:pPr>
              <w:spacing w:after="0"/>
              <w:rPr>
                <w:sz w:val="7"/>
                <w:szCs w:val="7"/>
                <w:color w:val="auto"/>
              </w:rPr>
            </w:pPr>
          </w:p>
        </w:tc>
        <w:tc>
          <w:tcPr>
            <w:tcW w:w="940" w:type="dxa"/>
            <w:vAlign w:val="bottom"/>
          </w:tcPr>
          <w:p>
            <w:pPr>
              <w:spacing w:after="0"/>
              <w:rPr>
                <w:sz w:val="7"/>
                <w:szCs w:val="7"/>
                <w:color w:val="auto"/>
              </w:rPr>
            </w:pPr>
          </w:p>
        </w:tc>
        <w:tc>
          <w:tcPr>
            <w:tcW w:w="260" w:type="dxa"/>
            <w:vAlign w:val="bottom"/>
          </w:tcPr>
          <w:p>
            <w:pPr>
              <w:spacing w:after="0"/>
              <w:rPr>
                <w:sz w:val="7"/>
                <w:szCs w:val="7"/>
                <w:color w:val="auto"/>
              </w:rPr>
            </w:pPr>
          </w:p>
        </w:tc>
        <w:tc>
          <w:tcPr>
            <w:tcW w:w="3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20" w:type="dxa"/>
            <w:vAlign w:val="bottom"/>
          </w:tcPr>
          <w:p>
            <w:pPr>
              <w:spacing w:after="0"/>
              <w:rPr>
                <w:sz w:val="7"/>
                <w:szCs w:val="7"/>
                <w:color w:val="auto"/>
              </w:rPr>
            </w:pPr>
          </w:p>
        </w:tc>
      </w:tr>
      <w:tr>
        <w:trPr>
          <w:trHeight w:val="99"/>
        </w:trPr>
        <w:tc>
          <w:tcPr>
            <w:tcW w:w="3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40" w:type="dxa"/>
            <w:vAlign w:val="bottom"/>
            <w:gridSpan w:val="3"/>
          </w:tcPr>
          <w:p>
            <w:pPr>
              <w:jc w:val="center"/>
              <w:ind w:left="467"/>
              <w:spacing w:after="0" w:line="99" w:lineRule="exact"/>
              <w:rPr>
                <w:sz w:val="20"/>
                <w:szCs w:val="20"/>
                <w:color w:val="auto"/>
              </w:rPr>
            </w:pPr>
            <w:r>
              <w:rPr>
                <w:rFonts w:ascii="Arial" w:cs="Arial" w:eastAsia="Arial" w:hAnsi="Arial"/>
                <w:sz w:val="10"/>
                <w:szCs w:val="10"/>
                <w:b w:val="1"/>
                <w:bCs w:val="1"/>
                <w:color w:val="auto"/>
                <w:w w:val="87"/>
              </w:rPr>
              <w:t>For the Year Ended</w:t>
            </w:r>
          </w:p>
        </w:tc>
        <w:tc>
          <w:tcPr>
            <w:tcW w:w="8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40" w:type="dxa"/>
            <w:vAlign w:val="bottom"/>
            <w:tcBorders>
              <w:right w:val="single" w:sz="8" w:color="auto"/>
            </w:tcBorders>
            <w:gridSpan w:val="2"/>
          </w:tcPr>
          <w:p>
            <w:pPr>
              <w:jc w:val="center"/>
              <w:ind w:right="440"/>
              <w:spacing w:after="0" w:line="99" w:lineRule="exact"/>
              <w:rPr>
                <w:sz w:val="20"/>
                <w:szCs w:val="20"/>
                <w:color w:val="auto"/>
              </w:rPr>
            </w:pPr>
            <w:r>
              <w:rPr>
                <w:rFonts w:ascii="Arial" w:cs="Arial" w:eastAsia="Arial" w:hAnsi="Arial"/>
                <w:sz w:val="10"/>
                <w:szCs w:val="10"/>
                <w:b w:val="1"/>
                <w:bCs w:val="1"/>
                <w:color w:val="auto"/>
                <w:w w:val="83"/>
              </w:rPr>
              <w:t>June 1, 2017 to</w:t>
            </w: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40" w:type="dxa"/>
            <w:vAlign w:val="bottom"/>
            <w:gridSpan w:val="2"/>
          </w:tcPr>
          <w:p>
            <w:pPr>
              <w:jc w:val="center"/>
              <w:ind w:right="420"/>
              <w:spacing w:after="0" w:line="99" w:lineRule="exact"/>
              <w:rPr>
                <w:sz w:val="20"/>
                <w:szCs w:val="20"/>
                <w:color w:val="auto"/>
              </w:rPr>
            </w:pPr>
            <w:r>
              <w:rPr>
                <w:rFonts w:ascii="Arial" w:cs="Arial" w:eastAsia="Arial" w:hAnsi="Arial"/>
                <w:sz w:val="10"/>
                <w:szCs w:val="10"/>
                <w:b w:val="1"/>
                <w:bCs w:val="1"/>
                <w:color w:val="auto"/>
                <w:w w:val="88"/>
              </w:rPr>
              <w:t>January 1, 2017</w:t>
            </w:r>
          </w:p>
        </w:tc>
        <w:tc>
          <w:tcPr>
            <w:tcW w:w="180" w:type="dxa"/>
            <w:vAlign w:val="bottom"/>
          </w:tcPr>
          <w:p>
            <w:pPr>
              <w:spacing w:after="0"/>
              <w:rPr>
                <w:sz w:val="8"/>
                <w:szCs w:val="8"/>
                <w:color w:val="auto"/>
              </w:rPr>
            </w:pPr>
          </w:p>
        </w:tc>
        <w:tc>
          <w:tcPr>
            <w:tcW w:w="1580" w:type="dxa"/>
            <w:vAlign w:val="bottom"/>
            <w:gridSpan w:val="3"/>
          </w:tcPr>
          <w:p>
            <w:pPr>
              <w:jc w:val="center"/>
              <w:ind w:left="508"/>
              <w:spacing w:after="0" w:line="99" w:lineRule="exact"/>
              <w:rPr>
                <w:sz w:val="20"/>
                <w:szCs w:val="20"/>
                <w:color w:val="auto"/>
              </w:rPr>
            </w:pPr>
            <w:r>
              <w:rPr>
                <w:rFonts w:ascii="Arial" w:cs="Arial" w:eastAsia="Arial" w:hAnsi="Arial"/>
                <w:sz w:val="10"/>
                <w:szCs w:val="10"/>
                <w:b w:val="1"/>
                <w:bCs w:val="1"/>
                <w:color w:val="auto"/>
                <w:w w:val="89"/>
              </w:rPr>
              <w:t>For the Year Ended</w:t>
            </w:r>
          </w:p>
        </w:tc>
        <w:tc>
          <w:tcPr>
            <w:tcW w:w="76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114"/>
        </w:trPr>
        <w:tc>
          <w:tcPr>
            <w:tcW w:w="316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440" w:type="dxa"/>
            <w:vAlign w:val="bottom"/>
            <w:tcBorders>
              <w:bottom w:val="single" w:sz="8" w:color="auto"/>
            </w:tcBorders>
            <w:gridSpan w:val="3"/>
          </w:tcPr>
          <w:p>
            <w:pPr>
              <w:jc w:val="center"/>
              <w:ind w:left="467"/>
              <w:spacing w:after="0" w:line="114" w:lineRule="exact"/>
              <w:rPr>
                <w:sz w:val="20"/>
                <w:szCs w:val="20"/>
                <w:color w:val="auto"/>
              </w:rPr>
            </w:pPr>
            <w:r>
              <w:rPr>
                <w:rFonts w:ascii="Arial" w:cs="Arial" w:eastAsia="Arial" w:hAnsi="Arial"/>
                <w:sz w:val="10"/>
                <w:szCs w:val="10"/>
                <w:b w:val="1"/>
                <w:bCs w:val="1"/>
                <w:color w:val="auto"/>
                <w:w w:val="86"/>
              </w:rPr>
              <w:t>December 31,</w:t>
            </w:r>
          </w:p>
        </w:tc>
        <w:tc>
          <w:tcPr>
            <w:tcW w:w="80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40" w:type="dxa"/>
            <w:vAlign w:val="bottom"/>
            <w:tcBorders>
              <w:right w:val="single" w:sz="8" w:color="auto"/>
            </w:tcBorders>
            <w:gridSpan w:val="2"/>
          </w:tcPr>
          <w:p>
            <w:pPr>
              <w:jc w:val="center"/>
              <w:ind w:right="440"/>
              <w:spacing w:after="0" w:line="114" w:lineRule="exact"/>
              <w:rPr>
                <w:sz w:val="20"/>
                <w:szCs w:val="20"/>
                <w:color w:val="auto"/>
              </w:rPr>
            </w:pPr>
            <w:r>
              <w:rPr>
                <w:rFonts w:ascii="Arial" w:cs="Arial" w:eastAsia="Arial" w:hAnsi="Arial"/>
                <w:sz w:val="10"/>
                <w:szCs w:val="10"/>
                <w:b w:val="1"/>
                <w:bCs w:val="1"/>
                <w:color w:val="auto"/>
                <w:w w:val="86"/>
              </w:rPr>
              <w:t>December 31,</w:t>
            </w: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40" w:type="dxa"/>
            <w:vAlign w:val="bottom"/>
            <w:gridSpan w:val="2"/>
          </w:tcPr>
          <w:p>
            <w:pPr>
              <w:jc w:val="center"/>
              <w:ind w:right="420"/>
              <w:spacing w:after="0" w:line="114" w:lineRule="exact"/>
              <w:rPr>
                <w:sz w:val="20"/>
                <w:szCs w:val="20"/>
                <w:color w:val="auto"/>
              </w:rPr>
            </w:pPr>
            <w:r>
              <w:rPr>
                <w:rFonts w:ascii="Arial" w:cs="Arial" w:eastAsia="Arial" w:hAnsi="Arial"/>
                <w:sz w:val="10"/>
                <w:szCs w:val="10"/>
                <w:b w:val="1"/>
                <w:bCs w:val="1"/>
                <w:color w:val="auto"/>
                <w:w w:val="86"/>
              </w:rPr>
              <w:t>to May 31,</w:t>
            </w:r>
          </w:p>
        </w:tc>
        <w:tc>
          <w:tcPr>
            <w:tcW w:w="180" w:type="dxa"/>
            <w:vAlign w:val="bottom"/>
            <w:tcBorders>
              <w:bottom w:val="single" w:sz="8" w:color="auto"/>
            </w:tcBorders>
          </w:tcPr>
          <w:p>
            <w:pPr>
              <w:spacing w:after="0"/>
              <w:rPr>
                <w:sz w:val="9"/>
                <w:szCs w:val="9"/>
                <w:color w:val="auto"/>
              </w:rPr>
            </w:pPr>
          </w:p>
        </w:tc>
        <w:tc>
          <w:tcPr>
            <w:tcW w:w="1580" w:type="dxa"/>
            <w:vAlign w:val="bottom"/>
            <w:tcBorders>
              <w:bottom w:val="single" w:sz="8" w:color="auto"/>
            </w:tcBorders>
            <w:gridSpan w:val="3"/>
          </w:tcPr>
          <w:p>
            <w:pPr>
              <w:jc w:val="center"/>
              <w:ind w:left="528"/>
              <w:spacing w:after="0" w:line="114" w:lineRule="exact"/>
              <w:rPr>
                <w:sz w:val="20"/>
                <w:szCs w:val="20"/>
                <w:color w:val="auto"/>
              </w:rPr>
            </w:pPr>
            <w:r>
              <w:rPr>
                <w:rFonts w:ascii="Arial" w:cs="Arial" w:eastAsia="Arial" w:hAnsi="Arial"/>
                <w:sz w:val="10"/>
                <w:szCs w:val="10"/>
                <w:b w:val="1"/>
                <w:bCs w:val="1"/>
                <w:color w:val="auto"/>
                <w:w w:val="86"/>
              </w:rPr>
              <w:t>December 31,</w:t>
            </w:r>
          </w:p>
        </w:tc>
        <w:tc>
          <w:tcPr>
            <w:tcW w:w="76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r>
      <w:tr>
        <w:trPr>
          <w:trHeight w:val="97"/>
        </w:trPr>
        <w:tc>
          <w:tcPr>
            <w:tcW w:w="3160" w:type="dxa"/>
            <w:vAlign w:val="bottom"/>
          </w:tcPr>
          <w:p>
            <w:pPr>
              <w:spacing w:after="0" w:line="97" w:lineRule="exact"/>
              <w:rPr>
                <w:sz w:val="20"/>
                <w:szCs w:val="20"/>
                <w:color w:val="auto"/>
              </w:rPr>
            </w:pPr>
            <w:r>
              <w:rPr>
                <w:rFonts w:ascii="Arial" w:cs="Arial" w:eastAsia="Arial" w:hAnsi="Arial"/>
                <w:sz w:val="10"/>
                <w:szCs w:val="10"/>
                <w:b w:val="1"/>
                <w:bCs w:val="1"/>
                <w:color w:val="auto"/>
              </w:rPr>
              <w:t>($ in thousands)</w:t>
            </w:r>
          </w:p>
        </w:tc>
        <w:tc>
          <w:tcPr>
            <w:tcW w:w="26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jc w:val="right"/>
              <w:ind w:right="407"/>
              <w:spacing w:after="0" w:line="97" w:lineRule="exact"/>
              <w:rPr>
                <w:sz w:val="20"/>
                <w:szCs w:val="20"/>
                <w:color w:val="auto"/>
              </w:rPr>
            </w:pPr>
            <w:r>
              <w:rPr>
                <w:rFonts w:ascii="Arial" w:cs="Arial" w:eastAsia="Arial" w:hAnsi="Arial"/>
                <w:sz w:val="10"/>
                <w:szCs w:val="10"/>
                <w:b w:val="1"/>
                <w:bCs w:val="1"/>
                <w:color w:val="auto"/>
              </w:rPr>
              <w:t>2019</w:t>
            </w:r>
          </w:p>
        </w:tc>
        <w:tc>
          <w:tcPr>
            <w:tcW w:w="260" w:type="dxa"/>
            <w:vAlign w:val="bottom"/>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jc w:val="right"/>
              <w:ind w:right="406"/>
              <w:spacing w:after="0" w:line="97" w:lineRule="exact"/>
              <w:rPr>
                <w:sz w:val="20"/>
                <w:szCs w:val="20"/>
                <w:color w:val="auto"/>
              </w:rPr>
            </w:pPr>
            <w:r>
              <w:rPr>
                <w:rFonts w:ascii="Arial" w:cs="Arial" w:eastAsia="Arial" w:hAnsi="Arial"/>
                <w:sz w:val="10"/>
                <w:szCs w:val="10"/>
                <w:b w:val="1"/>
                <w:bCs w:val="1"/>
                <w:color w:val="auto"/>
              </w:rPr>
              <w:t>2018</w:t>
            </w: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jc w:val="center"/>
              <w:ind w:right="109"/>
              <w:spacing w:after="0" w:line="97" w:lineRule="exact"/>
              <w:rPr>
                <w:sz w:val="20"/>
                <w:szCs w:val="20"/>
                <w:color w:val="auto"/>
              </w:rPr>
            </w:pPr>
            <w:r>
              <w:rPr>
                <w:rFonts w:ascii="Arial" w:cs="Arial" w:eastAsia="Arial" w:hAnsi="Arial"/>
                <w:sz w:val="10"/>
                <w:szCs w:val="10"/>
                <w:b w:val="1"/>
                <w:bCs w:val="1"/>
                <w:color w:val="auto"/>
                <w:w w:val="89"/>
              </w:rPr>
              <w:t>2017</w:t>
            </w:r>
          </w:p>
        </w:tc>
        <w:tc>
          <w:tcPr>
            <w:tcW w:w="280" w:type="dxa"/>
            <w:vAlign w:val="bottom"/>
            <w:tcBorders>
              <w:right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jc w:val="center"/>
              <w:ind w:right="109"/>
              <w:spacing w:after="0" w:line="97" w:lineRule="exact"/>
              <w:rPr>
                <w:sz w:val="20"/>
                <w:szCs w:val="20"/>
                <w:color w:val="auto"/>
              </w:rPr>
            </w:pPr>
            <w:r>
              <w:rPr>
                <w:rFonts w:ascii="Arial" w:cs="Arial" w:eastAsia="Arial" w:hAnsi="Arial"/>
                <w:sz w:val="10"/>
                <w:szCs w:val="10"/>
                <w:b w:val="1"/>
                <w:bCs w:val="1"/>
                <w:color w:val="auto"/>
                <w:w w:val="80"/>
              </w:rPr>
              <w:t>2017</w:t>
            </w:r>
          </w:p>
        </w:tc>
        <w:tc>
          <w:tcPr>
            <w:tcW w:w="26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jc w:val="right"/>
              <w:ind w:right="408"/>
              <w:spacing w:after="0" w:line="97" w:lineRule="exact"/>
              <w:rPr>
                <w:sz w:val="20"/>
                <w:szCs w:val="20"/>
                <w:color w:val="auto"/>
              </w:rPr>
            </w:pPr>
            <w:r>
              <w:rPr>
                <w:rFonts w:ascii="Arial" w:cs="Arial" w:eastAsia="Arial" w:hAnsi="Arial"/>
                <w:sz w:val="10"/>
                <w:szCs w:val="10"/>
                <w:b w:val="1"/>
                <w:bCs w:val="1"/>
                <w:color w:val="auto"/>
              </w:rPr>
              <w:t>2016</w:t>
            </w:r>
          </w:p>
        </w:tc>
        <w:tc>
          <w:tcPr>
            <w:tcW w:w="26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jc w:val="right"/>
              <w:ind w:right="424"/>
              <w:spacing w:after="0" w:line="97" w:lineRule="exact"/>
              <w:rPr>
                <w:sz w:val="20"/>
                <w:szCs w:val="20"/>
                <w:color w:val="auto"/>
              </w:rPr>
            </w:pPr>
            <w:r>
              <w:rPr>
                <w:rFonts w:ascii="Arial" w:cs="Arial" w:eastAsia="Arial" w:hAnsi="Arial"/>
                <w:sz w:val="10"/>
                <w:szCs w:val="10"/>
                <w:b w:val="1"/>
                <w:bCs w:val="1"/>
                <w:color w:val="auto"/>
              </w:rPr>
              <w:t>2015</w:t>
            </w:r>
          </w:p>
        </w:tc>
        <w:tc>
          <w:tcPr>
            <w:tcW w:w="120" w:type="dxa"/>
            <w:vAlign w:val="bottom"/>
          </w:tcPr>
          <w:p>
            <w:pPr>
              <w:spacing w:after="0"/>
              <w:rPr>
                <w:sz w:val="8"/>
                <w:szCs w:val="8"/>
                <w:color w:val="auto"/>
              </w:rPr>
            </w:pPr>
          </w:p>
        </w:tc>
      </w:tr>
      <w:tr>
        <w:trPr>
          <w:trHeight w:val="97"/>
        </w:trPr>
        <w:tc>
          <w:tcPr>
            <w:tcW w:w="3160" w:type="dxa"/>
            <w:vAlign w:val="bottom"/>
          </w:tcPr>
          <w:p>
            <w:pPr>
              <w:spacing w:after="0" w:line="97" w:lineRule="exact"/>
              <w:rPr>
                <w:sz w:val="20"/>
                <w:szCs w:val="20"/>
                <w:color w:val="auto"/>
              </w:rPr>
            </w:pPr>
            <w:r>
              <w:rPr>
                <w:rFonts w:ascii="Arial" w:cs="Arial" w:eastAsia="Arial" w:hAnsi="Arial"/>
                <w:sz w:val="10"/>
                <w:szCs w:val="10"/>
                <w:b w:val="1"/>
                <w:bCs w:val="1"/>
                <w:color w:val="auto"/>
              </w:rPr>
              <w:t>(Unaudited)</w:t>
            </w:r>
          </w:p>
        </w:tc>
        <w:tc>
          <w:tcPr>
            <w:tcW w:w="260" w:type="dxa"/>
            <w:vAlign w:val="bottom"/>
          </w:tcPr>
          <w:p>
            <w:pPr>
              <w:spacing w:after="0"/>
              <w:rPr>
                <w:sz w:val="8"/>
                <w:szCs w:val="8"/>
                <w:color w:val="auto"/>
              </w:rPr>
            </w:pPr>
          </w:p>
        </w:tc>
        <w:tc>
          <w:tcPr>
            <w:tcW w:w="860" w:type="dxa"/>
            <w:vAlign w:val="bottom"/>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960" w:type="dxa"/>
            <w:vAlign w:val="bottom"/>
          </w:tcPr>
          <w:p>
            <w:pPr>
              <w:spacing w:after="0"/>
              <w:rPr>
                <w:sz w:val="8"/>
                <w:szCs w:val="8"/>
                <w:color w:val="auto"/>
              </w:rPr>
            </w:pPr>
          </w:p>
        </w:tc>
        <w:tc>
          <w:tcPr>
            <w:tcW w:w="280" w:type="dxa"/>
            <w:vAlign w:val="bottom"/>
            <w:tcBorders>
              <w:right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9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940" w:type="dxa"/>
            <w:vAlign w:val="bottom"/>
          </w:tcPr>
          <w:p>
            <w:pPr>
              <w:spacing w:after="0"/>
              <w:rPr>
                <w:sz w:val="8"/>
                <w:szCs w:val="8"/>
                <w:color w:val="auto"/>
              </w:rPr>
            </w:pPr>
          </w:p>
        </w:tc>
        <w:tc>
          <w:tcPr>
            <w:tcW w:w="260" w:type="dxa"/>
            <w:vAlign w:val="bottom"/>
          </w:tcPr>
          <w:p>
            <w:pPr>
              <w:spacing w:after="0"/>
              <w:rPr>
                <w:sz w:val="8"/>
                <w:szCs w:val="8"/>
                <w:color w:val="auto"/>
              </w:rPr>
            </w:pPr>
          </w:p>
        </w:tc>
        <w:tc>
          <w:tcPr>
            <w:tcW w:w="3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153"/>
        </w:trPr>
        <w:tc>
          <w:tcPr>
            <w:tcW w:w="3160" w:type="dxa"/>
            <w:vAlign w:val="bottom"/>
            <w:shd w:val="clear" w:color="auto" w:fill="CFF0FC"/>
          </w:tcPr>
          <w:p>
            <w:pPr>
              <w:spacing w:after="0"/>
              <w:rPr>
                <w:sz w:val="20"/>
                <w:szCs w:val="20"/>
                <w:color w:val="auto"/>
              </w:rPr>
            </w:pPr>
            <w:r>
              <w:rPr>
                <w:rFonts w:ascii="Arial" w:cs="Arial" w:eastAsia="Arial" w:hAnsi="Arial"/>
                <w:sz w:val="12"/>
                <w:szCs w:val="12"/>
                <w:color w:val="auto"/>
              </w:rPr>
              <w:t>Adjusted EBITDA</w:t>
            </w:r>
          </w:p>
        </w:tc>
        <w:tc>
          <w:tcPr>
            <w:tcW w:w="260" w:type="dxa"/>
            <w:vAlign w:val="bottom"/>
            <w:shd w:val="clear" w:color="auto" w:fill="CFF0FC"/>
          </w:tcPr>
          <w:p>
            <w:pPr>
              <w:jc w:val="right"/>
              <w:ind w:right="150"/>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241,391</w:t>
            </w:r>
          </w:p>
        </w:tc>
        <w:tc>
          <w:tcPr>
            <w:tcW w:w="260" w:type="dxa"/>
            <w:vAlign w:val="bottom"/>
            <w:shd w:val="clear" w:color="auto" w:fill="CFF0FC"/>
          </w:tcPr>
          <w:p>
            <w:pPr>
              <w:spacing w:after="0"/>
              <w:rPr>
                <w:sz w:val="13"/>
                <w:szCs w:val="13"/>
                <w:color w:val="auto"/>
              </w:rPr>
            </w:pPr>
          </w:p>
        </w:tc>
        <w:tc>
          <w:tcPr>
            <w:tcW w:w="320" w:type="dxa"/>
            <w:vAlign w:val="bottom"/>
            <w:shd w:val="clear" w:color="auto" w:fill="CFF0FC"/>
          </w:tcPr>
          <w:p>
            <w:pPr>
              <w:jc w:val="right"/>
              <w:ind w:right="210"/>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197,610</w:t>
            </w:r>
          </w:p>
        </w:tc>
        <w:tc>
          <w:tcPr>
            <w:tcW w:w="180" w:type="dxa"/>
            <w:vAlign w:val="bottom"/>
            <w:shd w:val="clear" w:color="auto" w:fill="CFF0FC"/>
          </w:tcPr>
          <w:p>
            <w:pPr>
              <w:spacing w:after="0"/>
              <w:rPr>
                <w:sz w:val="13"/>
                <w:szCs w:val="13"/>
                <w:color w:val="auto"/>
              </w:rPr>
            </w:pPr>
          </w:p>
        </w:tc>
        <w:tc>
          <w:tcPr>
            <w:tcW w:w="24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59,901</w:t>
            </w:r>
          </w:p>
        </w:tc>
        <w:tc>
          <w:tcPr>
            <w:tcW w:w="280" w:type="dxa"/>
            <w:vAlign w:val="bottom"/>
            <w:tcBorders>
              <w:right w:val="single" w:sz="8" w:color="auto"/>
            </w:tcBorders>
            <w:shd w:val="clear" w:color="auto" w:fill="CFF0FC"/>
          </w:tcPr>
          <w:p>
            <w:pPr>
              <w:spacing w:after="0"/>
              <w:rPr>
                <w:sz w:val="13"/>
                <w:szCs w:val="13"/>
                <w:color w:val="auto"/>
              </w:rPr>
            </w:pPr>
          </w:p>
        </w:tc>
        <w:tc>
          <w:tcPr>
            <w:tcW w:w="28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37,991</w:t>
            </w:r>
          </w:p>
        </w:tc>
        <w:tc>
          <w:tcPr>
            <w:tcW w:w="260" w:type="dxa"/>
            <w:vAlign w:val="bottom"/>
            <w:shd w:val="clear" w:color="auto" w:fill="CFF0FC"/>
          </w:tcPr>
          <w:p>
            <w:pPr>
              <w:spacing w:after="0"/>
              <w:rPr>
                <w:sz w:val="13"/>
                <w:szCs w:val="13"/>
                <w:color w:val="auto"/>
              </w:rPr>
            </w:pPr>
          </w:p>
        </w:tc>
        <w:tc>
          <w:tcPr>
            <w:tcW w:w="180" w:type="dxa"/>
            <w:vAlign w:val="bottom"/>
            <w:shd w:val="clear" w:color="auto" w:fill="CFF0FC"/>
          </w:tcPr>
          <w:p>
            <w:pPr>
              <w:jc w:val="right"/>
              <w:ind w:right="70"/>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87,116</w:t>
            </w:r>
          </w:p>
        </w:tc>
        <w:tc>
          <w:tcPr>
            <w:tcW w:w="260" w:type="dxa"/>
            <w:vAlign w:val="bottom"/>
            <w:shd w:val="clear" w:color="auto" w:fill="CFF0FC"/>
          </w:tcPr>
          <w:p>
            <w:pPr>
              <w:spacing w:after="0"/>
              <w:rPr>
                <w:sz w:val="13"/>
                <w:szCs w:val="13"/>
                <w:color w:val="auto"/>
              </w:rPr>
            </w:pPr>
          </w:p>
        </w:tc>
        <w:tc>
          <w:tcPr>
            <w:tcW w:w="380" w:type="dxa"/>
            <w:vAlign w:val="bottom"/>
            <w:shd w:val="clear" w:color="auto" w:fill="CFF0FC"/>
          </w:tcPr>
          <w:p>
            <w:pPr>
              <w:jc w:val="right"/>
              <w:ind w:right="270"/>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62,735</w:t>
            </w:r>
          </w:p>
        </w:tc>
        <w:tc>
          <w:tcPr>
            <w:tcW w:w="120" w:type="dxa"/>
            <w:vAlign w:val="bottom"/>
            <w:shd w:val="clear" w:color="auto" w:fill="CFF0FC"/>
          </w:tcPr>
          <w:p>
            <w:pPr>
              <w:spacing w:after="0"/>
              <w:rPr>
                <w:sz w:val="13"/>
                <w:szCs w:val="13"/>
                <w:color w:val="auto"/>
              </w:rPr>
            </w:pPr>
          </w:p>
        </w:tc>
      </w:tr>
      <w:tr>
        <w:trPr>
          <w:trHeight w:val="153"/>
        </w:trPr>
        <w:tc>
          <w:tcPr>
            <w:tcW w:w="3160" w:type="dxa"/>
            <w:vAlign w:val="bottom"/>
          </w:tcPr>
          <w:p>
            <w:pPr>
              <w:spacing w:after="0"/>
              <w:rPr>
                <w:sz w:val="20"/>
                <w:szCs w:val="20"/>
                <w:color w:val="auto"/>
              </w:rPr>
            </w:pPr>
            <w:r>
              <w:rPr>
                <w:rFonts w:ascii="Arial" w:cs="Arial" w:eastAsia="Arial" w:hAnsi="Arial"/>
                <w:sz w:val="12"/>
                <w:szCs w:val="12"/>
                <w:color w:val="auto"/>
              </w:rPr>
              <w:t>Adjusted EBITDA Margin %</w:t>
            </w:r>
          </w:p>
        </w:tc>
        <w:tc>
          <w:tcPr>
            <w:tcW w:w="260" w:type="dxa"/>
            <w:vAlign w:val="bottom"/>
          </w:tcPr>
          <w:p>
            <w:pPr>
              <w:spacing w:after="0"/>
              <w:rPr>
                <w:sz w:val="13"/>
                <w:szCs w:val="13"/>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2"/>
                <w:szCs w:val="12"/>
                <w:color w:val="auto"/>
              </w:rPr>
              <w:t>53.8%</w:t>
            </w:r>
          </w:p>
        </w:tc>
        <w:tc>
          <w:tcPr>
            <w:tcW w:w="320" w:type="dxa"/>
            <w:vAlign w:val="bottom"/>
          </w:tcPr>
          <w:p>
            <w:pPr>
              <w:spacing w:after="0"/>
              <w:rPr>
                <w:sz w:val="13"/>
                <w:szCs w:val="13"/>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2"/>
                <w:szCs w:val="12"/>
                <w:color w:val="auto"/>
              </w:rPr>
              <w:t>53.4%</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2"/>
                <w:szCs w:val="12"/>
                <w:color w:val="auto"/>
              </w:rPr>
              <w:t>43.3%</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2"/>
                <w:szCs w:val="12"/>
                <w:color w:val="auto"/>
              </w:rPr>
              <w:t>40.5%</w:t>
            </w:r>
          </w:p>
        </w:tc>
        <w:tc>
          <w:tcPr>
            <w:tcW w:w="180" w:type="dxa"/>
            <w:vAlign w:val="bottom"/>
          </w:tcPr>
          <w:p>
            <w:pPr>
              <w:spacing w:after="0"/>
              <w:rPr>
                <w:sz w:val="13"/>
                <w:szCs w:val="13"/>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2"/>
                <w:szCs w:val="12"/>
                <w:color w:val="auto"/>
              </w:rPr>
              <w:t>37.8%</w:t>
            </w:r>
          </w:p>
        </w:tc>
        <w:tc>
          <w:tcPr>
            <w:tcW w:w="380" w:type="dxa"/>
            <w:vAlign w:val="bottom"/>
          </w:tcPr>
          <w:p>
            <w:pPr>
              <w:spacing w:after="0"/>
              <w:rPr>
                <w:sz w:val="13"/>
                <w:szCs w:val="13"/>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2"/>
                <w:szCs w:val="12"/>
                <w:color w:val="auto"/>
              </w:rPr>
              <w:t>30.8%</w:t>
            </w:r>
          </w:p>
        </w:tc>
      </w:tr>
    </w:tbl>
    <w:p>
      <w:pPr>
        <w:spacing w:after="0" w:line="153" w:lineRule="exact"/>
        <w:rPr>
          <w:sz w:val="20"/>
          <w:szCs w:val="20"/>
          <w:color w:val="auto"/>
        </w:rPr>
      </w:pPr>
    </w:p>
    <w:p>
      <w:pPr>
        <w:ind w:right="80" w:firstLine="602"/>
        <w:spacing w:after="0" w:line="255" w:lineRule="auto"/>
        <w:rPr>
          <w:sz w:val="20"/>
          <w:szCs w:val="20"/>
          <w:color w:val="auto"/>
        </w:rPr>
      </w:pPr>
      <w:r>
        <w:rPr>
          <w:rFonts w:ascii="Arial" w:cs="Arial" w:eastAsia="Arial" w:hAnsi="Arial"/>
          <w:sz w:val="12"/>
          <w:szCs w:val="12"/>
          <w:color w:val="auto"/>
        </w:rPr>
        <w:t>We define “</w:t>
      </w:r>
      <w:r>
        <w:rPr>
          <w:rFonts w:ascii="Arial" w:cs="Arial" w:eastAsia="Arial" w:hAnsi="Arial"/>
          <w:sz w:val="12"/>
          <w:szCs w:val="12"/>
          <w:b w:val="1"/>
          <w:bCs w:val="1"/>
          <w:i w:val="1"/>
          <w:iCs w:val="1"/>
          <w:color w:val="auto"/>
        </w:rPr>
        <w:t>Adjusted EBITDA</w:t>
      </w:r>
      <w:r>
        <w:rPr>
          <w:rFonts w:ascii="Arial" w:cs="Arial" w:eastAsia="Arial" w:hAnsi="Arial"/>
          <w:sz w:val="12"/>
          <w:szCs w:val="12"/>
          <w:color w:val="auto"/>
        </w:rPr>
        <w:t>” as net income (loss) adjusted to exclude (i) interest expense, net, (ii) income tax provision (benefit), (iii) depreciation and amortization, and (iv) as further adjusted to eliminate the impact of stock-based compensation, TRA liability adjustment and certain non-recurring items that we do not consider indicative of our ongoing operating performance. These further adjustments are itemized below. Adjusted EBITDA margin % represents Adjusted EBITDA as a percentage of total revenue. We use these metrics to measure our performance from period to period both at the consolidated level as well as within our operating segments, to evaluate and fund incentive compensation programs and to compare our results to those of our competitors. In addition to Adjusted EBITDA being a significant measure of performance for management purposes, we also believe that this presentation provides useful information to investors regarding financial and business trends related to our results of operations and that when non-GAAP financial information is viewed with GAAP financial information, investors are provided with a more meaningful understanding of our ongoing operating performance.</w:t>
      </w:r>
    </w:p>
    <w:p>
      <w:pPr>
        <w:spacing w:after="0" w:line="129" w:lineRule="exact"/>
        <w:rPr>
          <w:sz w:val="20"/>
          <w:szCs w:val="20"/>
          <w:color w:val="auto"/>
        </w:rPr>
      </w:pPr>
    </w:p>
    <w:p>
      <w:pPr>
        <w:ind w:right="80" w:firstLine="602"/>
        <w:spacing w:after="0" w:line="255" w:lineRule="auto"/>
        <w:rPr>
          <w:sz w:val="20"/>
          <w:szCs w:val="20"/>
          <w:color w:val="auto"/>
        </w:rPr>
      </w:pPr>
      <w:r>
        <w:rPr>
          <w:rFonts w:ascii="Arial" w:cs="Arial" w:eastAsia="Arial" w:hAnsi="Arial"/>
          <w:sz w:val="12"/>
          <w:szCs w:val="12"/>
          <w:color w:val="auto"/>
        </w:rPr>
        <w:t>You are encouraged to evaluate these adjustments and the reasons we consider them appropriate for supplemental analysis. In evaluating Adjusted EBITDA, you should be aware that in the future we may incur expenses that are the same as or similar to some of the adjustments set forth below. Our presentation of Adjusted EBITDA should not be construed as an inference that our future results will be unaffected by unusual or non-recurring items. Adjusted EBITDA should not be considered as an alternative to net income (loss), operating income, cash flows from operating activities or any other performance measures derived in accordance with GAAP, or measures of operating performance or cash flows as measures of liquidity. Adjusted EBITDA and Adjusted EBITDA margin % have important limitations as analytical tools, and should not be considered either in isolation, or as a substitute for analysis of our results as reported under GAAP. In addition, our definition of Adjusted EBITDA may not be comparable to similarly titled measures of other companies and may, therefore, have limitations as a comparative analytical tool. For example, Adjusted EBITDA and Adjusted EBITDA margin % do not reflect:</w:t>
      </w:r>
    </w:p>
    <w:p>
      <w:pPr>
        <w:spacing w:after="0" w:line="57" w:lineRule="exact"/>
        <w:rPr>
          <w:sz w:val="20"/>
          <w:szCs w:val="20"/>
          <w:color w:val="auto"/>
        </w:rPr>
      </w:pPr>
    </w:p>
    <w:p>
      <w:pPr>
        <w:ind w:left="1180" w:hanging="593"/>
        <w:spacing w:after="0"/>
        <w:tabs>
          <w:tab w:leader="none" w:pos="1180" w:val="left"/>
        </w:tabs>
        <w:numPr>
          <w:ilvl w:val="0"/>
          <w:numId w:val="15"/>
        </w:numPr>
        <w:rPr>
          <w:rFonts w:ascii="Arial" w:cs="Arial" w:eastAsia="Arial" w:hAnsi="Arial"/>
          <w:sz w:val="12"/>
          <w:szCs w:val="12"/>
          <w:color w:val="auto"/>
        </w:rPr>
      </w:pPr>
      <w:r>
        <w:rPr>
          <w:rFonts w:ascii="Arial" w:cs="Arial" w:eastAsia="Arial" w:hAnsi="Arial"/>
          <w:sz w:val="12"/>
          <w:szCs w:val="12"/>
          <w:color w:val="auto"/>
        </w:rPr>
        <w:t>our capital expenditures, future requirements for capital expenditures or contractual commitments;</w:t>
      </w:r>
    </w:p>
    <w:p>
      <w:pPr>
        <w:spacing w:after="0" w:line="78" w:lineRule="exact"/>
        <w:rPr>
          <w:rFonts w:ascii="Arial" w:cs="Arial" w:eastAsia="Arial" w:hAnsi="Arial"/>
          <w:sz w:val="12"/>
          <w:szCs w:val="12"/>
          <w:color w:val="auto"/>
        </w:rPr>
      </w:pPr>
    </w:p>
    <w:p>
      <w:pPr>
        <w:ind w:left="1180" w:hanging="593"/>
        <w:spacing w:after="0"/>
        <w:tabs>
          <w:tab w:leader="none" w:pos="1180" w:val="left"/>
        </w:tabs>
        <w:numPr>
          <w:ilvl w:val="0"/>
          <w:numId w:val="15"/>
        </w:numPr>
        <w:rPr>
          <w:rFonts w:ascii="Arial" w:cs="Arial" w:eastAsia="Arial" w:hAnsi="Arial"/>
          <w:sz w:val="12"/>
          <w:szCs w:val="12"/>
          <w:color w:val="auto"/>
        </w:rPr>
      </w:pPr>
      <w:r>
        <w:rPr>
          <w:rFonts w:ascii="Arial" w:cs="Arial" w:eastAsia="Arial" w:hAnsi="Arial"/>
          <w:sz w:val="12"/>
          <w:szCs w:val="12"/>
          <w:color w:val="auto"/>
        </w:rPr>
        <w:t>changes in, or cash requirements for, our working capital needs;</w:t>
      </w:r>
    </w:p>
    <w:p>
      <w:pPr>
        <w:spacing w:after="0" w:line="78" w:lineRule="exact"/>
        <w:rPr>
          <w:rFonts w:ascii="Arial" w:cs="Arial" w:eastAsia="Arial" w:hAnsi="Arial"/>
          <w:sz w:val="12"/>
          <w:szCs w:val="12"/>
          <w:color w:val="auto"/>
        </w:rPr>
      </w:pPr>
    </w:p>
    <w:p>
      <w:pPr>
        <w:ind w:left="1180" w:hanging="593"/>
        <w:spacing w:after="0"/>
        <w:tabs>
          <w:tab w:leader="none" w:pos="1180" w:val="left"/>
        </w:tabs>
        <w:numPr>
          <w:ilvl w:val="0"/>
          <w:numId w:val="15"/>
        </w:numPr>
        <w:rPr>
          <w:rFonts w:ascii="Arial" w:cs="Arial" w:eastAsia="Arial" w:hAnsi="Arial"/>
          <w:sz w:val="12"/>
          <w:szCs w:val="12"/>
          <w:color w:val="auto"/>
        </w:rPr>
      </w:pPr>
      <w:r>
        <w:rPr>
          <w:rFonts w:ascii="Arial" w:cs="Arial" w:eastAsia="Arial" w:hAnsi="Arial"/>
          <w:sz w:val="12"/>
          <w:szCs w:val="12"/>
          <w:color w:val="auto"/>
        </w:rPr>
        <w:t>the significant interest expense, or the cash requirements necessary to service interest or principal payments, on our debt;</w:t>
      </w:r>
    </w:p>
    <w:p>
      <w:pPr>
        <w:spacing w:after="0" w:line="78" w:lineRule="exact"/>
        <w:rPr>
          <w:rFonts w:ascii="Arial" w:cs="Arial" w:eastAsia="Arial" w:hAnsi="Arial"/>
          <w:sz w:val="12"/>
          <w:szCs w:val="12"/>
          <w:color w:val="auto"/>
        </w:rPr>
      </w:pPr>
    </w:p>
    <w:p>
      <w:pPr>
        <w:ind w:left="1180" w:hanging="593"/>
        <w:spacing w:after="0"/>
        <w:tabs>
          <w:tab w:leader="none" w:pos="1180" w:val="left"/>
        </w:tabs>
        <w:numPr>
          <w:ilvl w:val="0"/>
          <w:numId w:val="15"/>
        </w:numPr>
        <w:rPr>
          <w:rFonts w:ascii="Arial" w:cs="Arial" w:eastAsia="Arial" w:hAnsi="Arial"/>
          <w:sz w:val="12"/>
          <w:szCs w:val="12"/>
          <w:color w:val="auto"/>
        </w:rPr>
      </w:pPr>
      <w:r>
        <w:rPr>
          <w:rFonts w:ascii="Arial" w:cs="Arial" w:eastAsia="Arial" w:hAnsi="Arial"/>
          <w:sz w:val="12"/>
          <w:szCs w:val="12"/>
          <w:color w:val="auto"/>
        </w:rPr>
        <w:t>income tax expense or the cash necessary to pay income taxes; and</w:t>
      </w:r>
    </w:p>
    <w:p>
      <w:pPr>
        <w:spacing w:after="0" w:line="78" w:lineRule="exact"/>
        <w:rPr>
          <w:rFonts w:ascii="Arial" w:cs="Arial" w:eastAsia="Arial" w:hAnsi="Arial"/>
          <w:sz w:val="12"/>
          <w:szCs w:val="12"/>
          <w:color w:val="auto"/>
        </w:rPr>
      </w:pPr>
    </w:p>
    <w:p>
      <w:pPr>
        <w:ind w:left="1180" w:hanging="593"/>
        <w:spacing w:after="0"/>
        <w:tabs>
          <w:tab w:leader="none" w:pos="1180" w:val="left"/>
        </w:tabs>
        <w:numPr>
          <w:ilvl w:val="0"/>
          <w:numId w:val="15"/>
        </w:numPr>
        <w:rPr>
          <w:rFonts w:ascii="Arial" w:cs="Arial" w:eastAsia="Arial" w:hAnsi="Arial"/>
          <w:sz w:val="12"/>
          <w:szCs w:val="12"/>
          <w:color w:val="auto"/>
        </w:rPr>
      </w:pPr>
      <w:r>
        <w:rPr>
          <w:rFonts w:ascii="Arial" w:cs="Arial" w:eastAsia="Arial" w:hAnsi="Arial"/>
          <w:sz w:val="12"/>
          <w:szCs w:val="12"/>
          <w:color w:val="auto"/>
        </w:rPr>
        <w:t>cash requirements for the assets being depreciated and amortized that may have to be replaced in the future.</w:t>
      </w:r>
    </w:p>
    <w:p>
      <w:pPr>
        <w:spacing w:after="0" w:line="150" w:lineRule="exact"/>
        <w:rPr>
          <w:sz w:val="20"/>
          <w:szCs w:val="20"/>
          <w:color w:val="auto"/>
        </w:rPr>
      </w:pPr>
    </w:p>
    <w:p>
      <w:pPr>
        <w:jc w:val="center"/>
        <w:ind w:right="200"/>
        <w:spacing w:after="0"/>
        <w:rPr>
          <w:sz w:val="20"/>
          <w:szCs w:val="20"/>
          <w:color w:val="auto"/>
        </w:rPr>
      </w:pPr>
      <w:r>
        <w:rPr>
          <w:rFonts w:ascii="Arial" w:cs="Arial" w:eastAsia="Arial" w:hAnsi="Arial"/>
          <w:sz w:val="12"/>
          <w:szCs w:val="12"/>
          <w:color w:val="auto"/>
        </w:rPr>
        <w:t>Our non-GAAP information below and elsewhere in this Annual Report on Form 10-K should be read in conjunction with our audited consolidated financial statements and the related notes included elsewhere.</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17740" cy="368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ectPr>
          <w:pgSz w:w="11900" w:h="16838" w:orient="portrait"/>
          <w:cols w:equalWidth="0" w:num="1">
            <w:col w:w="11480"/>
          </w:cols>
          <w:pgMar w:left="220" w:top="226" w:right="199" w:bottom="1440" w:gutter="0" w:footer="0" w:header="0"/>
        </w:sectPr>
      </w:pPr>
    </w:p>
    <w:bookmarkStart w:id="42" w:name="page43"/>
    <w:bookmarkEnd w:id="42"/>
    <w:p>
      <w:pPr>
        <w:ind w:left="600"/>
        <w:spacing w:after="0"/>
        <w:rPr>
          <w:sz w:val="20"/>
          <w:szCs w:val="20"/>
          <w:color w:val="auto"/>
        </w:rPr>
      </w:pPr>
      <w:r>
        <w:rPr>
          <w:rFonts w:ascii="Arial" w:cs="Arial" w:eastAsia="Arial" w:hAnsi="Arial"/>
          <w:sz w:val="12"/>
          <w:szCs w:val="12"/>
          <w:color w:val="auto"/>
        </w:rPr>
        <w:t>The following table sets forth our reconciliation of net income (loss) to Adjusted EBITDA (unaudited):</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64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gridSpan w:val="2"/>
          </w:tcPr>
          <w:p>
            <w:pPr>
              <w:jc w:val="right"/>
              <w:ind w:right="520"/>
              <w:spacing w:after="0"/>
              <w:rPr>
                <w:sz w:val="20"/>
                <w:szCs w:val="20"/>
                <w:color w:val="auto"/>
              </w:rPr>
            </w:pPr>
            <w:r>
              <w:rPr>
                <w:rFonts w:ascii="Arial" w:cs="Arial" w:eastAsia="Arial" w:hAnsi="Arial"/>
                <w:sz w:val="10"/>
                <w:szCs w:val="10"/>
                <w:b w:val="1"/>
                <w:bCs w:val="1"/>
                <w:color w:val="auto"/>
                <w:w w:val="82"/>
              </w:rPr>
              <w:t>Successor</w:t>
            </w: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28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2"/>
          </w:tcPr>
          <w:p>
            <w:pPr>
              <w:ind w:left="120"/>
              <w:spacing w:after="0"/>
              <w:rPr>
                <w:sz w:val="20"/>
                <w:szCs w:val="20"/>
                <w:color w:val="auto"/>
              </w:rPr>
            </w:pPr>
            <w:r>
              <w:rPr>
                <w:rFonts w:ascii="Arial" w:cs="Arial" w:eastAsia="Arial" w:hAnsi="Arial"/>
                <w:sz w:val="10"/>
                <w:szCs w:val="10"/>
                <w:b w:val="1"/>
                <w:bCs w:val="1"/>
                <w:color w:val="auto"/>
              </w:rPr>
              <w:t>Predecessor</w:t>
            </w:r>
          </w:p>
        </w:tc>
        <w:tc>
          <w:tcPr>
            <w:tcW w:w="3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3"/>
        </w:trPr>
        <w:tc>
          <w:tcPr>
            <w:tcW w:w="640" w:type="dxa"/>
            <w:vAlign w:val="bottom"/>
          </w:tcPr>
          <w:p>
            <w:pPr>
              <w:spacing w:after="0"/>
              <w:rPr>
                <w:sz w:val="7"/>
                <w:szCs w:val="7"/>
                <w:color w:val="auto"/>
              </w:rPr>
            </w:pPr>
          </w:p>
        </w:tc>
        <w:tc>
          <w:tcPr>
            <w:tcW w:w="2540" w:type="dxa"/>
            <w:vAlign w:val="bottom"/>
          </w:tcPr>
          <w:p>
            <w:pPr>
              <w:spacing w:after="0"/>
              <w:rPr>
                <w:sz w:val="7"/>
                <w:szCs w:val="7"/>
                <w:color w:val="auto"/>
              </w:rPr>
            </w:pPr>
          </w:p>
        </w:tc>
        <w:tc>
          <w:tcPr>
            <w:tcW w:w="260" w:type="dxa"/>
            <w:vAlign w:val="bottom"/>
          </w:tcPr>
          <w:p>
            <w:pPr>
              <w:spacing w:after="0"/>
              <w:rPr>
                <w:sz w:val="7"/>
                <w:szCs w:val="7"/>
                <w:color w:val="auto"/>
              </w:rPr>
            </w:pPr>
          </w:p>
        </w:tc>
        <w:tc>
          <w:tcPr>
            <w:tcW w:w="860" w:type="dxa"/>
            <w:vAlign w:val="bottom"/>
          </w:tcPr>
          <w:p>
            <w:pPr>
              <w:spacing w:after="0"/>
              <w:rPr>
                <w:sz w:val="7"/>
                <w:szCs w:val="7"/>
                <w:color w:val="auto"/>
              </w:rPr>
            </w:pPr>
          </w:p>
        </w:tc>
        <w:tc>
          <w:tcPr>
            <w:tcW w:w="26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960" w:type="dxa"/>
            <w:vAlign w:val="bottom"/>
          </w:tcPr>
          <w:p>
            <w:pPr>
              <w:jc w:val="center"/>
              <w:ind w:right="123"/>
              <w:spacing w:after="0" w:line="83" w:lineRule="exact"/>
              <w:rPr>
                <w:sz w:val="20"/>
                <w:szCs w:val="20"/>
                <w:color w:val="auto"/>
              </w:rPr>
            </w:pPr>
            <w:r>
              <w:rPr>
                <w:rFonts w:ascii="Arial" w:cs="Arial" w:eastAsia="Arial" w:hAnsi="Arial"/>
                <w:sz w:val="8"/>
                <w:szCs w:val="8"/>
                <w:b w:val="1"/>
                <w:bCs w:val="1"/>
                <w:color w:val="auto"/>
              </w:rPr>
              <w:t>Period from</w:t>
            </w:r>
          </w:p>
        </w:tc>
        <w:tc>
          <w:tcPr>
            <w:tcW w:w="280" w:type="dxa"/>
            <w:vAlign w:val="bottom"/>
            <w:tcBorders>
              <w:right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40" w:type="dxa"/>
            <w:vAlign w:val="bottom"/>
            <w:gridSpan w:val="2"/>
          </w:tcPr>
          <w:p>
            <w:pPr>
              <w:jc w:val="center"/>
              <w:ind w:right="420"/>
              <w:spacing w:after="0" w:line="83" w:lineRule="exact"/>
              <w:rPr>
                <w:sz w:val="20"/>
                <w:szCs w:val="20"/>
                <w:color w:val="auto"/>
              </w:rPr>
            </w:pPr>
            <w:r>
              <w:rPr>
                <w:rFonts w:ascii="Arial" w:cs="Arial" w:eastAsia="Arial" w:hAnsi="Arial"/>
                <w:sz w:val="8"/>
                <w:szCs w:val="8"/>
                <w:b w:val="1"/>
                <w:bCs w:val="1"/>
                <w:color w:val="auto"/>
              </w:rPr>
              <w:t>Period from</w:t>
            </w:r>
          </w:p>
        </w:tc>
        <w:tc>
          <w:tcPr>
            <w:tcW w:w="200" w:type="dxa"/>
            <w:vAlign w:val="bottom"/>
          </w:tcPr>
          <w:p>
            <w:pPr>
              <w:spacing w:after="0"/>
              <w:rPr>
                <w:sz w:val="7"/>
                <w:szCs w:val="7"/>
                <w:color w:val="auto"/>
              </w:rPr>
            </w:pPr>
          </w:p>
        </w:tc>
        <w:tc>
          <w:tcPr>
            <w:tcW w:w="940" w:type="dxa"/>
            <w:vAlign w:val="bottom"/>
          </w:tcPr>
          <w:p>
            <w:pPr>
              <w:spacing w:after="0"/>
              <w:rPr>
                <w:sz w:val="7"/>
                <w:szCs w:val="7"/>
                <w:color w:val="auto"/>
              </w:rPr>
            </w:pPr>
          </w:p>
        </w:tc>
        <w:tc>
          <w:tcPr>
            <w:tcW w:w="240" w:type="dxa"/>
            <w:vAlign w:val="bottom"/>
          </w:tcPr>
          <w:p>
            <w:pPr>
              <w:spacing w:after="0"/>
              <w:rPr>
                <w:sz w:val="7"/>
                <w:szCs w:val="7"/>
                <w:color w:val="auto"/>
              </w:rPr>
            </w:pPr>
          </w:p>
        </w:tc>
        <w:tc>
          <w:tcPr>
            <w:tcW w:w="3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640" w:type="dxa"/>
            <w:vAlign w:val="bottom"/>
          </w:tcPr>
          <w:p>
            <w:pPr>
              <w:spacing w:after="0"/>
              <w:rPr>
                <w:sz w:val="8"/>
                <w:szCs w:val="8"/>
                <w:color w:val="auto"/>
              </w:rPr>
            </w:pPr>
          </w:p>
        </w:tc>
        <w:tc>
          <w:tcPr>
            <w:tcW w:w="2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40" w:type="dxa"/>
            <w:vAlign w:val="bottom"/>
            <w:gridSpan w:val="3"/>
          </w:tcPr>
          <w:p>
            <w:pPr>
              <w:jc w:val="right"/>
              <w:spacing w:after="0" w:line="99" w:lineRule="exact"/>
              <w:rPr>
                <w:sz w:val="20"/>
                <w:szCs w:val="20"/>
                <w:color w:val="auto"/>
              </w:rPr>
            </w:pPr>
            <w:r>
              <w:rPr>
                <w:rFonts w:ascii="Arial" w:cs="Arial" w:eastAsia="Arial" w:hAnsi="Arial"/>
                <w:sz w:val="10"/>
                <w:szCs w:val="10"/>
                <w:b w:val="1"/>
                <w:bCs w:val="1"/>
                <w:color w:val="auto"/>
              </w:rPr>
              <w:t>For the Year Ended</w:t>
            </w:r>
          </w:p>
        </w:tc>
        <w:tc>
          <w:tcPr>
            <w:tcW w:w="8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40" w:type="dxa"/>
            <w:vAlign w:val="bottom"/>
            <w:tcBorders>
              <w:right w:val="single" w:sz="8" w:color="auto"/>
            </w:tcBorders>
            <w:gridSpan w:val="2"/>
          </w:tcPr>
          <w:p>
            <w:pPr>
              <w:jc w:val="center"/>
              <w:ind w:right="460"/>
              <w:spacing w:after="0" w:line="99" w:lineRule="exact"/>
              <w:rPr>
                <w:sz w:val="20"/>
                <w:szCs w:val="20"/>
                <w:color w:val="auto"/>
              </w:rPr>
            </w:pPr>
            <w:r>
              <w:rPr>
                <w:rFonts w:ascii="Arial" w:cs="Arial" w:eastAsia="Arial" w:hAnsi="Arial"/>
                <w:sz w:val="10"/>
                <w:szCs w:val="10"/>
                <w:b w:val="1"/>
                <w:bCs w:val="1"/>
                <w:color w:val="auto"/>
                <w:w w:val="86"/>
              </w:rPr>
              <w:t>June 1, 2017 to</w:t>
            </w: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40" w:type="dxa"/>
            <w:vAlign w:val="bottom"/>
            <w:gridSpan w:val="2"/>
          </w:tcPr>
          <w:p>
            <w:pPr>
              <w:jc w:val="center"/>
              <w:ind w:right="400"/>
              <w:spacing w:after="0" w:line="99" w:lineRule="exact"/>
              <w:rPr>
                <w:sz w:val="20"/>
                <w:szCs w:val="20"/>
                <w:color w:val="auto"/>
              </w:rPr>
            </w:pPr>
            <w:r>
              <w:rPr>
                <w:rFonts w:ascii="Arial" w:cs="Arial" w:eastAsia="Arial" w:hAnsi="Arial"/>
                <w:sz w:val="10"/>
                <w:szCs w:val="10"/>
                <w:b w:val="1"/>
                <w:bCs w:val="1"/>
                <w:color w:val="auto"/>
                <w:w w:val="85"/>
              </w:rPr>
              <w:t>January 1, 2017</w:t>
            </w:r>
          </w:p>
        </w:tc>
        <w:tc>
          <w:tcPr>
            <w:tcW w:w="200" w:type="dxa"/>
            <w:vAlign w:val="bottom"/>
          </w:tcPr>
          <w:p>
            <w:pPr>
              <w:spacing w:after="0"/>
              <w:rPr>
                <w:sz w:val="8"/>
                <w:szCs w:val="8"/>
                <w:color w:val="auto"/>
              </w:rPr>
            </w:pPr>
          </w:p>
        </w:tc>
        <w:tc>
          <w:tcPr>
            <w:tcW w:w="1560" w:type="dxa"/>
            <w:vAlign w:val="bottom"/>
            <w:gridSpan w:val="3"/>
          </w:tcPr>
          <w:p>
            <w:pPr>
              <w:jc w:val="right"/>
              <w:ind w:right="50"/>
              <w:spacing w:after="0" w:line="99" w:lineRule="exact"/>
              <w:rPr>
                <w:sz w:val="20"/>
                <w:szCs w:val="20"/>
                <w:color w:val="auto"/>
              </w:rPr>
            </w:pPr>
            <w:r>
              <w:rPr>
                <w:rFonts w:ascii="Arial" w:cs="Arial" w:eastAsia="Arial" w:hAnsi="Arial"/>
                <w:sz w:val="10"/>
                <w:szCs w:val="10"/>
                <w:b w:val="1"/>
                <w:bCs w:val="1"/>
                <w:color w:val="auto"/>
              </w:rPr>
              <w:t>For the Year Ended</w:t>
            </w:r>
          </w:p>
        </w:tc>
        <w:tc>
          <w:tcPr>
            <w:tcW w:w="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640" w:type="dxa"/>
            <w:vAlign w:val="bottom"/>
          </w:tcPr>
          <w:p>
            <w:pPr>
              <w:spacing w:after="0"/>
              <w:rPr>
                <w:sz w:val="9"/>
                <w:szCs w:val="9"/>
                <w:color w:val="auto"/>
              </w:rPr>
            </w:pPr>
          </w:p>
        </w:tc>
        <w:tc>
          <w:tcPr>
            <w:tcW w:w="254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440" w:type="dxa"/>
            <w:vAlign w:val="bottom"/>
            <w:tcBorders>
              <w:bottom w:val="single" w:sz="8" w:color="auto"/>
            </w:tcBorders>
            <w:gridSpan w:val="3"/>
          </w:tcPr>
          <w:p>
            <w:pPr>
              <w:jc w:val="right"/>
              <w:ind w:right="130"/>
              <w:spacing w:after="0" w:line="114" w:lineRule="exact"/>
              <w:rPr>
                <w:sz w:val="20"/>
                <w:szCs w:val="20"/>
                <w:color w:val="auto"/>
              </w:rPr>
            </w:pPr>
            <w:r>
              <w:rPr>
                <w:rFonts w:ascii="Arial" w:cs="Arial" w:eastAsia="Arial" w:hAnsi="Arial"/>
                <w:sz w:val="10"/>
                <w:szCs w:val="10"/>
                <w:b w:val="1"/>
                <w:bCs w:val="1"/>
                <w:color w:val="auto"/>
              </w:rPr>
              <w:t>December 31,</w:t>
            </w:r>
          </w:p>
        </w:tc>
        <w:tc>
          <w:tcPr>
            <w:tcW w:w="80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40" w:type="dxa"/>
            <w:vAlign w:val="bottom"/>
            <w:tcBorders>
              <w:right w:val="single" w:sz="8" w:color="auto"/>
            </w:tcBorders>
            <w:gridSpan w:val="2"/>
          </w:tcPr>
          <w:p>
            <w:pPr>
              <w:jc w:val="center"/>
              <w:ind w:right="440"/>
              <w:spacing w:after="0" w:line="114" w:lineRule="exact"/>
              <w:rPr>
                <w:sz w:val="20"/>
                <w:szCs w:val="20"/>
                <w:color w:val="auto"/>
              </w:rPr>
            </w:pPr>
            <w:r>
              <w:rPr>
                <w:rFonts w:ascii="Arial" w:cs="Arial" w:eastAsia="Arial" w:hAnsi="Arial"/>
                <w:sz w:val="10"/>
                <w:szCs w:val="10"/>
                <w:b w:val="1"/>
                <w:bCs w:val="1"/>
                <w:color w:val="auto"/>
                <w:w w:val="86"/>
              </w:rPr>
              <w:t>December 31,</w:t>
            </w: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40" w:type="dxa"/>
            <w:vAlign w:val="bottom"/>
            <w:gridSpan w:val="2"/>
          </w:tcPr>
          <w:p>
            <w:pPr>
              <w:jc w:val="center"/>
              <w:ind w:right="400"/>
              <w:spacing w:after="0" w:line="114" w:lineRule="exact"/>
              <w:rPr>
                <w:sz w:val="20"/>
                <w:szCs w:val="20"/>
                <w:color w:val="auto"/>
              </w:rPr>
            </w:pPr>
            <w:r>
              <w:rPr>
                <w:rFonts w:ascii="Arial" w:cs="Arial" w:eastAsia="Arial" w:hAnsi="Arial"/>
                <w:sz w:val="10"/>
                <w:szCs w:val="10"/>
                <w:b w:val="1"/>
                <w:bCs w:val="1"/>
                <w:color w:val="auto"/>
                <w:w w:val="90"/>
              </w:rPr>
              <w:t>to May 31,</w:t>
            </w:r>
          </w:p>
        </w:tc>
        <w:tc>
          <w:tcPr>
            <w:tcW w:w="200" w:type="dxa"/>
            <w:vAlign w:val="bottom"/>
            <w:tcBorders>
              <w:bottom w:val="single" w:sz="8" w:color="auto"/>
            </w:tcBorders>
          </w:tcPr>
          <w:p>
            <w:pPr>
              <w:spacing w:after="0"/>
              <w:rPr>
                <w:sz w:val="9"/>
                <w:szCs w:val="9"/>
                <w:color w:val="auto"/>
              </w:rPr>
            </w:pPr>
          </w:p>
        </w:tc>
        <w:tc>
          <w:tcPr>
            <w:tcW w:w="1560" w:type="dxa"/>
            <w:vAlign w:val="bottom"/>
            <w:tcBorders>
              <w:bottom w:val="single" w:sz="8" w:color="auto"/>
            </w:tcBorders>
            <w:gridSpan w:val="3"/>
          </w:tcPr>
          <w:p>
            <w:pPr>
              <w:jc w:val="right"/>
              <w:ind w:right="170"/>
              <w:spacing w:after="0" w:line="114" w:lineRule="exact"/>
              <w:rPr>
                <w:sz w:val="20"/>
                <w:szCs w:val="20"/>
                <w:color w:val="auto"/>
              </w:rPr>
            </w:pPr>
            <w:r>
              <w:rPr>
                <w:rFonts w:ascii="Arial" w:cs="Arial" w:eastAsia="Arial" w:hAnsi="Arial"/>
                <w:sz w:val="10"/>
                <w:szCs w:val="10"/>
                <w:b w:val="1"/>
                <w:bCs w:val="1"/>
                <w:color w:val="auto"/>
              </w:rPr>
              <w:t>December 31,</w:t>
            </w:r>
          </w:p>
        </w:tc>
        <w:tc>
          <w:tcPr>
            <w:tcW w:w="76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3180" w:type="dxa"/>
            <w:vAlign w:val="bottom"/>
            <w:gridSpan w:val="2"/>
          </w:tcPr>
          <w:p>
            <w:pPr>
              <w:spacing w:after="0" w:line="88" w:lineRule="exact"/>
              <w:rPr>
                <w:sz w:val="20"/>
                <w:szCs w:val="20"/>
                <w:color w:val="auto"/>
              </w:rPr>
            </w:pPr>
            <w:r>
              <w:rPr>
                <w:rFonts w:ascii="Arial" w:cs="Arial" w:eastAsia="Arial" w:hAnsi="Arial"/>
                <w:sz w:val="10"/>
                <w:szCs w:val="10"/>
                <w:b w:val="1"/>
                <w:bCs w:val="1"/>
                <w:u w:val="single" w:color="auto"/>
                <w:color w:val="auto"/>
              </w:rPr>
              <w:t>(</w:t>
            </w:r>
            <w:r>
              <w:rPr>
                <w:rFonts w:ascii="Arial" w:cs="Arial" w:eastAsia="Arial" w:hAnsi="Arial"/>
                <w:sz w:val="10"/>
                <w:szCs w:val="10"/>
                <w:b w:val="1"/>
                <w:bCs w:val="1"/>
                <w:color w:val="auto"/>
              </w:rPr>
              <w:t>$ in thousands)</w:t>
            </w:r>
          </w:p>
        </w:tc>
        <w:tc>
          <w:tcPr>
            <w:tcW w:w="260" w:type="dxa"/>
            <w:vAlign w:val="bottom"/>
          </w:tcPr>
          <w:p>
            <w:pPr>
              <w:spacing w:after="0"/>
              <w:rPr>
                <w:sz w:val="7"/>
                <w:szCs w:val="7"/>
                <w:color w:val="auto"/>
              </w:rPr>
            </w:pPr>
          </w:p>
        </w:tc>
        <w:tc>
          <w:tcPr>
            <w:tcW w:w="860" w:type="dxa"/>
            <w:vAlign w:val="bottom"/>
          </w:tcPr>
          <w:p>
            <w:pPr>
              <w:jc w:val="right"/>
              <w:ind w:right="402"/>
              <w:spacing w:after="0" w:line="88" w:lineRule="exact"/>
              <w:rPr>
                <w:sz w:val="20"/>
                <w:szCs w:val="20"/>
                <w:color w:val="auto"/>
              </w:rPr>
            </w:pPr>
            <w:r>
              <w:rPr>
                <w:rFonts w:ascii="Arial" w:cs="Arial" w:eastAsia="Arial" w:hAnsi="Arial"/>
                <w:sz w:val="10"/>
                <w:szCs w:val="10"/>
                <w:b w:val="1"/>
                <w:bCs w:val="1"/>
                <w:color w:val="auto"/>
              </w:rPr>
              <w:t>2019</w:t>
            </w:r>
          </w:p>
        </w:tc>
        <w:tc>
          <w:tcPr>
            <w:tcW w:w="26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0" w:type="dxa"/>
            <w:vAlign w:val="bottom"/>
          </w:tcPr>
          <w:p>
            <w:pPr>
              <w:jc w:val="right"/>
              <w:ind w:right="401"/>
              <w:spacing w:after="0" w:line="88" w:lineRule="exact"/>
              <w:rPr>
                <w:sz w:val="20"/>
                <w:szCs w:val="20"/>
                <w:color w:val="auto"/>
              </w:rPr>
            </w:pPr>
            <w:r>
              <w:rPr>
                <w:rFonts w:ascii="Arial" w:cs="Arial" w:eastAsia="Arial" w:hAnsi="Arial"/>
                <w:sz w:val="10"/>
                <w:szCs w:val="10"/>
                <w:b w:val="1"/>
                <w:bCs w:val="1"/>
                <w:color w:val="auto"/>
              </w:rPr>
              <w:t>2018</w:t>
            </w: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960" w:type="dxa"/>
            <w:vAlign w:val="bottom"/>
          </w:tcPr>
          <w:p>
            <w:pPr>
              <w:jc w:val="center"/>
              <w:ind w:right="103"/>
              <w:spacing w:after="0" w:line="88" w:lineRule="exact"/>
              <w:rPr>
                <w:sz w:val="20"/>
                <w:szCs w:val="20"/>
                <w:color w:val="auto"/>
              </w:rPr>
            </w:pPr>
            <w:r>
              <w:rPr>
                <w:rFonts w:ascii="Arial" w:cs="Arial" w:eastAsia="Arial" w:hAnsi="Arial"/>
                <w:sz w:val="10"/>
                <w:szCs w:val="10"/>
                <w:b w:val="1"/>
                <w:bCs w:val="1"/>
                <w:color w:val="auto"/>
                <w:w w:val="89"/>
              </w:rPr>
              <w:t>2017</w:t>
            </w:r>
          </w:p>
        </w:tc>
        <w:tc>
          <w:tcPr>
            <w:tcW w:w="280" w:type="dxa"/>
            <w:vAlign w:val="bottom"/>
            <w:tcBorders>
              <w:right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980" w:type="dxa"/>
            <w:vAlign w:val="bottom"/>
          </w:tcPr>
          <w:p>
            <w:pPr>
              <w:jc w:val="center"/>
              <w:ind w:right="83"/>
              <w:spacing w:after="0" w:line="88" w:lineRule="exact"/>
              <w:rPr>
                <w:sz w:val="20"/>
                <w:szCs w:val="20"/>
                <w:color w:val="auto"/>
              </w:rPr>
            </w:pPr>
            <w:r>
              <w:rPr>
                <w:rFonts w:ascii="Arial" w:cs="Arial" w:eastAsia="Arial" w:hAnsi="Arial"/>
                <w:sz w:val="10"/>
                <w:szCs w:val="10"/>
                <w:b w:val="1"/>
                <w:bCs w:val="1"/>
                <w:color w:val="auto"/>
                <w:w w:val="89"/>
              </w:rPr>
              <w:t>2017</w:t>
            </w:r>
          </w:p>
        </w:tc>
        <w:tc>
          <w:tcPr>
            <w:tcW w:w="260" w:type="dxa"/>
            <w:vAlign w:val="bottom"/>
          </w:tcPr>
          <w:p>
            <w:pPr>
              <w:spacing w:after="0"/>
              <w:rPr>
                <w:sz w:val="7"/>
                <w:szCs w:val="7"/>
                <w:color w:val="auto"/>
              </w:rPr>
            </w:pPr>
          </w:p>
        </w:tc>
        <w:tc>
          <w:tcPr>
            <w:tcW w:w="200" w:type="dxa"/>
            <w:vAlign w:val="bottom"/>
          </w:tcPr>
          <w:p>
            <w:pPr>
              <w:spacing w:after="0"/>
              <w:rPr>
                <w:sz w:val="7"/>
                <w:szCs w:val="7"/>
                <w:color w:val="auto"/>
              </w:rPr>
            </w:pPr>
          </w:p>
        </w:tc>
        <w:tc>
          <w:tcPr>
            <w:tcW w:w="940" w:type="dxa"/>
            <w:vAlign w:val="bottom"/>
          </w:tcPr>
          <w:p>
            <w:pPr>
              <w:jc w:val="right"/>
              <w:ind w:right="422"/>
              <w:spacing w:after="0" w:line="88" w:lineRule="exact"/>
              <w:rPr>
                <w:sz w:val="20"/>
                <w:szCs w:val="20"/>
                <w:color w:val="auto"/>
              </w:rPr>
            </w:pPr>
            <w:r>
              <w:rPr>
                <w:rFonts w:ascii="Arial" w:cs="Arial" w:eastAsia="Arial" w:hAnsi="Arial"/>
                <w:sz w:val="10"/>
                <w:szCs w:val="10"/>
                <w:b w:val="1"/>
                <w:bCs w:val="1"/>
                <w:color w:val="auto"/>
              </w:rPr>
              <w:t>2016</w:t>
            </w:r>
          </w:p>
        </w:tc>
        <w:tc>
          <w:tcPr>
            <w:tcW w:w="240" w:type="dxa"/>
            <w:vAlign w:val="bottom"/>
          </w:tcPr>
          <w:p>
            <w:pPr>
              <w:spacing w:after="0"/>
              <w:rPr>
                <w:sz w:val="7"/>
                <w:szCs w:val="7"/>
                <w:color w:val="auto"/>
              </w:rPr>
            </w:pPr>
          </w:p>
        </w:tc>
        <w:tc>
          <w:tcPr>
            <w:tcW w:w="380" w:type="dxa"/>
            <w:vAlign w:val="bottom"/>
          </w:tcPr>
          <w:p>
            <w:pPr>
              <w:spacing w:after="0"/>
              <w:rPr>
                <w:sz w:val="7"/>
                <w:szCs w:val="7"/>
                <w:color w:val="auto"/>
              </w:rPr>
            </w:pPr>
          </w:p>
        </w:tc>
        <w:tc>
          <w:tcPr>
            <w:tcW w:w="760" w:type="dxa"/>
            <w:vAlign w:val="bottom"/>
          </w:tcPr>
          <w:p>
            <w:pPr>
              <w:jc w:val="right"/>
              <w:ind w:right="421"/>
              <w:spacing w:after="0" w:line="88" w:lineRule="exact"/>
              <w:rPr>
                <w:sz w:val="20"/>
                <w:szCs w:val="20"/>
                <w:color w:val="auto"/>
              </w:rPr>
            </w:pPr>
            <w:r>
              <w:rPr>
                <w:rFonts w:ascii="Arial" w:cs="Arial" w:eastAsia="Arial" w:hAnsi="Arial"/>
                <w:sz w:val="10"/>
                <w:szCs w:val="10"/>
                <w:b w:val="1"/>
                <w:bCs w:val="1"/>
                <w:color w:val="auto"/>
              </w:rPr>
              <w:t>2015</w:t>
            </w: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640" w:type="dxa"/>
            <w:vAlign w:val="bottom"/>
            <w:tcBorders>
              <w:bottom w:val="single" w:sz="8" w:color="CFF0FC"/>
            </w:tcBorders>
            <w:shd w:val="clear" w:color="auto" w:fill="000000"/>
          </w:tcPr>
          <w:p>
            <w:pPr>
              <w:spacing w:after="0" w:line="20" w:lineRule="exact"/>
              <w:rPr>
                <w:sz w:val="1"/>
                <w:szCs w:val="1"/>
                <w:color w:val="auto"/>
              </w:rPr>
            </w:pPr>
          </w:p>
        </w:tc>
        <w:tc>
          <w:tcPr>
            <w:tcW w:w="2540" w:type="dxa"/>
            <w:vAlign w:val="bottom"/>
            <w:tcBorders>
              <w:bottom w:val="single" w:sz="8" w:color="CFF0FC"/>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FF0FC"/>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FF0FC"/>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FF0FC"/>
              <w:right w:val="single" w:sz="8" w:color="auto"/>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FF0FC"/>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FF0FC"/>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3180" w:type="dxa"/>
            <w:vAlign w:val="bottom"/>
            <w:gridSpan w:val="2"/>
            <w:shd w:val="clear" w:color="auto" w:fill="CFF0FC"/>
          </w:tcPr>
          <w:p>
            <w:pPr>
              <w:spacing w:after="0" w:line="132" w:lineRule="exact"/>
              <w:rPr>
                <w:sz w:val="20"/>
                <w:szCs w:val="20"/>
                <w:color w:val="auto"/>
              </w:rPr>
            </w:pPr>
            <w:r>
              <w:rPr>
                <w:rFonts w:ascii="Arial" w:cs="Arial" w:eastAsia="Arial" w:hAnsi="Arial"/>
                <w:sz w:val="12"/>
                <w:szCs w:val="12"/>
                <w:color w:val="auto"/>
              </w:rPr>
              <w:t>Net income (loss)</w:t>
            </w:r>
          </w:p>
        </w:tc>
        <w:tc>
          <w:tcPr>
            <w:tcW w:w="260" w:type="dxa"/>
            <w:vAlign w:val="bottom"/>
            <w:shd w:val="clear" w:color="auto" w:fill="CFF0FC"/>
          </w:tcPr>
          <w:p>
            <w:pPr>
              <w:jc w:val="right"/>
              <w:ind w:right="150"/>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FF0FC"/>
          </w:tcPr>
          <w:p>
            <w:pPr>
              <w:jc w:val="right"/>
              <w:spacing w:after="0" w:line="132" w:lineRule="exact"/>
              <w:rPr>
                <w:sz w:val="20"/>
                <w:szCs w:val="20"/>
                <w:color w:val="auto"/>
              </w:rPr>
            </w:pPr>
            <w:r>
              <w:rPr>
                <w:rFonts w:ascii="Arial" w:cs="Arial" w:eastAsia="Arial" w:hAnsi="Arial"/>
                <w:sz w:val="12"/>
                <w:szCs w:val="12"/>
                <w:color w:val="auto"/>
              </w:rPr>
              <w:t>33,343</w:t>
            </w:r>
          </w:p>
        </w:tc>
        <w:tc>
          <w:tcPr>
            <w:tcW w:w="260" w:type="dxa"/>
            <w:vAlign w:val="bottom"/>
            <w:shd w:val="clear" w:color="auto" w:fill="CFF0FC"/>
          </w:tcPr>
          <w:p>
            <w:pPr>
              <w:spacing w:after="0"/>
              <w:rPr>
                <w:sz w:val="11"/>
                <w:szCs w:val="11"/>
                <w:color w:val="auto"/>
              </w:rPr>
            </w:pPr>
          </w:p>
        </w:tc>
        <w:tc>
          <w:tcPr>
            <w:tcW w:w="320" w:type="dxa"/>
            <w:vAlign w:val="bottom"/>
            <w:shd w:val="clear" w:color="auto" w:fill="CFF0FC"/>
          </w:tcPr>
          <w:p>
            <w:pPr>
              <w:jc w:val="right"/>
              <w:ind w:right="210"/>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FF0FC"/>
          </w:tcPr>
          <w:p>
            <w:pPr>
              <w:jc w:val="right"/>
              <w:ind w:right="120"/>
              <w:spacing w:after="0" w:line="132" w:lineRule="exact"/>
              <w:rPr>
                <w:sz w:val="20"/>
                <w:szCs w:val="20"/>
                <w:color w:val="auto"/>
              </w:rPr>
            </w:pPr>
            <w:r>
              <w:rPr>
                <w:rFonts w:ascii="Arial" w:cs="Arial" w:eastAsia="Arial" w:hAnsi="Arial"/>
                <w:sz w:val="12"/>
                <w:szCs w:val="12"/>
                <w:color w:val="auto"/>
              </w:rPr>
              <w:t>(58,394)</w:t>
            </w:r>
          </w:p>
        </w:tc>
        <w:tc>
          <w:tcPr>
            <w:tcW w:w="260" w:type="dxa"/>
            <w:vAlign w:val="bottom"/>
            <w:gridSpan w:val="2"/>
            <w:shd w:val="clear" w:color="auto" w:fill="CFF0FC"/>
          </w:tcPr>
          <w:p>
            <w:pPr>
              <w:jc w:val="right"/>
              <w:ind w:right="100"/>
              <w:spacing w:after="0" w:line="132" w:lineRule="exact"/>
              <w:rPr>
                <w:sz w:val="20"/>
                <w:szCs w:val="20"/>
                <w:color w:val="auto"/>
              </w:rPr>
            </w:pPr>
            <w:r>
              <w:rPr>
                <w:rFonts w:ascii="Arial" w:cs="Arial" w:eastAsia="Arial" w:hAnsi="Arial"/>
                <w:sz w:val="12"/>
                <w:szCs w:val="12"/>
                <w:color w:val="auto"/>
              </w:rPr>
              <w:t>$</w:t>
            </w:r>
          </w:p>
        </w:tc>
        <w:tc>
          <w:tcPr>
            <w:tcW w:w="960" w:type="dxa"/>
            <w:vAlign w:val="bottom"/>
            <w:shd w:val="clear" w:color="auto" w:fill="CFF0FC"/>
          </w:tcPr>
          <w:p>
            <w:pPr>
              <w:jc w:val="right"/>
              <w:spacing w:after="0" w:line="132" w:lineRule="exact"/>
              <w:rPr>
                <w:sz w:val="20"/>
                <w:szCs w:val="20"/>
                <w:color w:val="auto"/>
              </w:rPr>
            </w:pPr>
            <w:r>
              <w:rPr>
                <w:rFonts w:ascii="Arial" w:cs="Arial" w:eastAsia="Arial" w:hAnsi="Arial"/>
                <w:sz w:val="12"/>
                <w:szCs w:val="12"/>
                <w:color w:val="auto"/>
              </w:rPr>
              <w:t>18,238</w:t>
            </w:r>
          </w:p>
        </w:tc>
        <w:tc>
          <w:tcPr>
            <w:tcW w:w="280" w:type="dxa"/>
            <w:vAlign w:val="bottom"/>
            <w:tcBorders>
              <w:right w:val="single" w:sz="8" w:color="auto"/>
            </w:tcBorders>
            <w:shd w:val="clear" w:color="auto" w:fill="CFF0FC"/>
          </w:tcPr>
          <w:p>
            <w:pPr>
              <w:spacing w:after="0"/>
              <w:rPr>
                <w:sz w:val="11"/>
                <w:szCs w:val="11"/>
                <w:color w:val="auto"/>
              </w:rPr>
            </w:pPr>
          </w:p>
        </w:tc>
        <w:tc>
          <w:tcPr>
            <w:tcW w:w="260" w:type="dxa"/>
            <w:vAlign w:val="bottom"/>
            <w:gridSpan w:val="2"/>
            <w:shd w:val="clear" w:color="auto" w:fill="CFF0FC"/>
          </w:tcPr>
          <w:p>
            <w:pPr>
              <w:jc w:val="right"/>
              <w:ind w:right="80"/>
              <w:spacing w:after="0" w:line="132" w:lineRule="exact"/>
              <w:rPr>
                <w:sz w:val="20"/>
                <w:szCs w:val="20"/>
                <w:color w:val="auto"/>
              </w:rPr>
            </w:pPr>
            <w:r>
              <w:rPr>
                <w:rFonts w:ascii="Arial" w:cs="Arial" w:eastAsia="Arial" w:hAnsi="Arial"/>
                <w:sz w:val="12"/>
                <w:szCs w:val="12"/>
                <w:color w:val="auto"/>
              </w:rPr>
              <w:t>$</w:t>
            </w:r>
          </w:p>
        </w:tc>
        <w:tc>
          <w:tcPr>
            <w:tcW w:w="980" w:type="dxa"/>
            <w:vAlign w:val="bottom"/>
            <w:shd w:val="clear" w:color="auto" w:fill="CFF0FC"/>
          </w:tcPr>
          <w:p>
            <w:pPr>
              <w:jc w:val="right"/>
              <w:spacing w:after="0" w:line="132" w:lineRule="exact"/>
              <w:rPr>
                <w:sz w:val="20"/>
                <w:szCs w:val="20"/>
                <w:color w:val="auto"/>
              </w:rPr>
            </w:pPr>
            <w:r>
              <w:rPr>
                <w:rFonts w:ascii="Arial" w:cs="Arial" w:eastAsia="Arial" w:hAnsi="Arial"/>
                <w:sz w:val="12"/>
                <w:szCs w:val="12"/>
                <w:color w:val="auto"/>
              </w:rPr>
              <w:t>1,240</w:t>
            </w:r>
          </w:p>
        </w:tc>
        <w:tc>
          <w:tcPr>
            <w:tcW w:w="260" w:type="dxa"/>
            <w:vAlign w:val="bottom"/>
            <w:shd w:val="clear" w:color="auto" w:fill="CFF0FC"/>
          </w:tcPr>
          <w:p>
            <w:pPr>
              <w:spacing w:after="0"/>
              <w:rPr>
                <w:sz w:val="11"/>
                <w:szCs w:val="11"/>
                <w:color w:val="auto"/>
              </w:rPr>
            </w:pPr>
          </w:p>
        </w:tc>
        <w:tc>
          <w:tcPr>
            <w:tcW w:w="200" w:type="dxa"/>
            <w:vAlign w:val="bottom"/>
            <w:shd w:val="clear" w:color="auto" w:fill="CFF0FC"/>
          </w:tcPr>
          <w:p>
            <w:pPr>
              <w:jc w:val="right"/>
              <w:ind w:right="90"/>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CFF0FC"/>
          </w:tcPr>
          <w:p>
            <w:pPr>
              <w:jc w:val="right"/>
              <w:spacing w:after="0" w:line="132" w:lineRule="exact"/>
              <w:rPr>
                <w:sz w:val="20"/>
                <w:szCs w:val="20"/>
                <w:color w:val="auto"/>
              </w:rPr>
            </w:pPr>
            <w:r>
              <w:rPr>
                <w:rFonts w:ascii="Arial" w:cs="Arial" w:eastAsia="Arial" w:hAnsi="Arial"/>
                <w:sz w:val="12"/>
                <w:szCs w:val="12"/>
                <w:color w:val="auto"/>
              </w:rPr>
              <w:t>28,998</w:t>
            </w:r>
          </w:p>
        </w:tc>
        <w:tc>
          <w:tcPr>
            <w:tcW w:w="240" w:type="dxa"/>
            <w:vAlign w:val="bottom"/>
            <w:shd w:val="clear" w:color="auto" w:fill="CFF0FC"/>
          </w:tcPr>
          <w:p>
            <w:pPr>
              <w:spacing w:after="0"/>
              <w:rPr>
                <w:sz w:val="11"/>
                <w:szCs w:val="11"/>
                <w:color w:val="auto"/>
              </w:rPr>
            </w:pPr>
          </w:p>
        </w:tc>
        <w:tc>
          <w:tcPr>
            <w:tcW w:w="380" w:type="dxa"/>
            <w:vAlign w:val="bottom"/>
            <w:shd w:val="clear" w:color="auto" w:fill="CFF0FC"/>
          </w:tcPr>
          <w:p>
            <w:pPr>
              <w:jc w:val="right"/>
              <w:ind w:right="270"/>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FF0FC"/>
          </w:tcPr>
          <w:p>
            <w:pPr>
              <w:jc w:val="right"/>
              <w:spacing w:after="0" w:line="132" w:lineRule="exact"/>
              <w:rPr>
                <w:sz w:val="20"/>
                <w:szCs w:val="20"/>
                <w:color w:val="auto"/>
              </w:rPr>
            </w:pPr>
            <w:r>
              <w:rPr>
                <w:rFonts w:ascii="Arial" w:cs="Arial" w:eastAsia="Arial" w:hAnsi="Arial"/>
                <w:sz w:val="12"/>
                <w:szCs w:val="12"/>
                <w:color w:val="auto"/>
              </w:rPr>
              <w:t>11,410</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180" w:type="dxa"/>
            <w:vAlign w:val="bottom"/>
            <w:gridSpan w:val="2"/>
          </w:tcPr>
          <w:p>
            <w:pPr>
              <w:spacing w:after="0"/>
              <w:rPr>
                <w:sz w:val="20"/>
                <w:szCs w:val="20"/>
                <w:color w:val="auto"/>
              </w:rPr>
            </w:pPr>
            <w:r>
              <w:rPr>
                <w:rFonts w:ascii="Arial" w:cs="Arial" w:eastAsia="Arial" w:hAnsi="Arial"/>
                <w:sz w:val="12"/>
                <w:szCs w:val="12"/>
                <w:color w:val="auto"/>
              </w:rPr>
              <w:t>Interest expense, net</w:t>
            </w:r>
          </w:p>
        </w:tc>
        <w:tc>
          <w:tcPr>
            <w:tcW w:w="2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60,729</w:t>
            </w:r>
          </w:p>
        </w:tc>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69,550</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20,858</w:t>
            </w:r>
          </w:p>
        </w:tc>
        <w:tc>
          <w:tcPr>
            <w:tcW w:w="28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875</w:t>
            </w: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2,706</w:t>
            </w: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2,095</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18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Income tax provision (benefit)</w:t>
            </w:r>
          </w:p>
        </w:tc>
        <w:tc>
          <w:tcPr>
            <w:tcW w:w="260" w:type="dxa"/>
            <w:vAlign w:val="bottom"/>
            <w:shd w:val="clear" w:color="auto" w:fill="CFF0FC"/>
          </w:tcPr>
          <w:p>
            <w:pPr>
              <w:spacing w:after="0"/>
              <w:rPr>
                <w:sz w:val="13"/>
                <w:szCs w:val="13"/>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13,581</w:t>
            </w:r>
          </w:p>
        </w:tc>
        <w:tc>
          <w:tcPr>
            <w:tcW w:w="26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(16,241)</w:t>
            </w: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240" w:type="dxa"/>
            <w:vAlign w:val="bottom"/>
            <w:tcBorders>
              <w:right w:val="single" w:sz="8" w:color="auto"/>
            </w:tcBorders>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(30,677)</w:t>
            </w: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1,252</w:t>
            </w:r>
          </w:p>
        </w:tc>
        <w:tc>
          <w:tcPr>
            <w:tcW w:w="2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18,661</w:t>
            </w:r>
          </w:p>
        </w:tc>
        <w:tc>
          <w:tcPr>
            <w:tcW w:w="24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3,826</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180" w:type="dxa"/>
            <w:vAlign w:val="bottom"/>
            <w:tcBorders>
              <w:bottom w:val="single" w:sz="8" w:color="CFF0FC"/>
            </w:tcBorders>
            <w:gridSpan w:val="2"/>
          </w:tcPr>
          <w:p>
            <w:pPr>
              <w:spacing w:after="0"/>
              <w:rPr>
                <w:sz w:val="20"/>
                <w:szCs w:val="20"/>
                <w:color w:val="auto"/>
              </w:rPr>
            </w:pPr>
            <w:r>
              <w:rPr>
                <w:rFonts w:ascii="Arial" w:cs="Arial" w:eastAsia="Arial" w:hAnsi="Arial"/>
                <w:sz w:val="12"/>
                <w:szCs w:val="12"/>
                <w:color w:val="auto"/>
              </w:rPr>
              <w:t>Depreciation and amortization</w:t>
            </w:r>
          </w:p>
        </w:tc>
        <w:tc>
          <w:tcPr>
            <w:tcW w:w="2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115,566</w:t>
            </w:r>
          </w:p>
        </w:tc>
        <w:tc>
          <w:tcPr>
            <w:tcW w:w="26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103,346</w:t>
            </w:r>
          </w:p>
        </w:tc>
        <w:tc>
          <w:tcPr>
            <w:tcW w:w="16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33,151</w:t>
            </w:r>
          </w:p>
        </w:tc>
        <w:tc>
          <w:tcPr>
            <w:tcW w:w="280" w:type="dxa"/>
            <w:vAlign w:val="bottom"/>
            <w:tcBorders>
              <w:bottom w:val="single" w:sz="8" w:color="CFF0FC"/>
              <w:right w:val="single" w:sz="8" w:color="auto"/>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12,574</w:t>
            </w:r>
          </w:p>
        </w:tc>
        <w:tc>
          <w:tcPr>
            <w:tcW w:w="26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33,293</w:t>
            </w:r>
          </w:p>
        </w:tc>
        <w:tc>
          <w:tcPr>
            <w:tcW w:w="240" w:type="dxa"/>
            <w:vAlign w:val="bottom"/>
            <w:tcBorders>
              <w:bottom w:val="single" w:sz="8" w:color="CFF0FC"/>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33,301</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3180" w:type="dxa"/>
            <w:vAlign w:val="bottom"/>
            <w:gridSpan w:val="2"/>
            <w:shd w:val="clear" w:color="auto" w:fill="CFF0FC"/>
          </w:tcPr>
          <w:p>
            <w:pPr>
              <w:ind w:left="80"/>
              <w:spacing w:after="0"/>
              <w:rPr>
                <w:sz w:val="20"/>
                <w:szCs w:val="20"/>
                <w:color w:val="auto"/>
              </w:rPr>
            </w:pPr>
            <w:r>
              <w:rPr>
                <w:rFonts w:ascii="Arial" w:cs="Arial" w:eastAsia="Arial" w:hAnsi="Arial"/>
                <w:sz w:val="12"/>
                <w:szCs w:val="12"/>
                <w:b w:val="1"/>
                <w:bCs w:val="1"/>
                <w:color w:val="auto"/>
              </w:rPr>
              <w:t>EBITDA</w:t>
            </w:r>
          </w:p>
        </w:tc>
        <w:tc>
          <w:tcPr>
            <w:tcW w:w="26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223,219</w:t>
            </w:r>
          </w:p>
        </w:tc>
        <w:tc>
          <w:tcPr>
            <w:tcW w:w="26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98,261</w:t>
            </w: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41,570</w:t>
            </w:r>
          </w:p>
        </w:tc>
        <w:tc>
          <w:tcPr>
            <w:tcW w:w="280" w:type="dxa"/>
            <w:vAlign w:val="bottom"/>
            <w:tcBorders>
              <w:right w:val="single" w:sz="8" w:color="auto"/>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15,941</w:t>
            </w:r>
          </w:p>
        </w:tc>
        <w:tc>
          <w:tcPr>
            <w:tcW w:w="2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83,658</w:t>
            </w:r>
          </w:p>
        </w:tc>
        <w:tc>
          <w:tcPr>
            <w:tcW w:w="24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50,632</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180" w:type="dxa"/>
            <w:vAlign w:val="bottom"/>
            <w:gridSpan w:val="2"/>
          </w:tcPr>
          <w:p>
            <w:pPr>
              <w:spacing w:after="0"/>
              <w:rPr>
                <w:sz w:val="20"/>
                <w:szCs w:val="20"/>
                <w:color w:val="auto"/>
              </w:rPr>
            </w:pPr>
            <w:r>
              <w:rPr>
                <w:rFonts w:ascii="Arial" w:cs="Arial" w:eastAsia="Arial" w:hAnsi="Arial"/>
                <w:sz w:val="12"/>
                <w:szCs w:val="12"/>
                <w:color w:val="auto"/>
              </w:rPr>
              <w:t xml:space="preserve">Transaction and other related expenses </w:t>
            </w:r>
            <w:r>
              <w:rPr>
                <w:rFonts w:ascii="Arial" w:cs="Arial" w:eastAsia="Arial" w:hAnsi="Arial"/>
                <w:sz w:val="10"/>
                <w:szCs w:val="10"/>
                <w:color w:val="auto"/>
              </w:rPr>
              <w:t>(i)</w:t>
            </w:r>
          </w:p>
        </w:tc>
        <w:tc>
          <w:tcPr>
            <w:tcW w:w="2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2,368</w:t>
            </w:r>
          </w:p>
        </w:tc>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56,443</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10,190</w:t>
            </w:r>
          </w:p>
        </w:tc>
        <w:tc>
          <w:tcPr>
            <w:tcW w:w="28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21,773</w:t>
            </w: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1,154</w:t>
            </w: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318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 xml:space="preserve">Transformation expenses </w:t>
            </w:r>
            <w:r>
              <w:rPr>
                <w:rFonts w:ascii="Arial" w:cs="Arial" w:eastAsia="Arial" w:hAnsi="Arial"/>
                <w:sz w:val="10"/>
                <w:szCs w:val="10"/>
                <w:color w:val="auto"/>
              </w:rPr>
              <w:t>(ii)</w:t>
            </w:r>
          </w:p>
        </w:tc>
        <w:tc>
          <w:tcPr>
            <w:tcW w:w="260" w:type="dxa"/>
            <w:vAlign w:val="bottom"/>
            <w:shd w:val="clear" w:color="auto" w:fill="CFF0FC"/>
          </w:tcPr>
          <w:p>
            <w:pPr>
              <w:spacing w:after="0"/>
              <w:rPr>
                <w:sz w:val="13"/>
                <w:szCs w:val="13"/>
                <w:color w:val="auto"/>
              </w:rPr>
            </w:pPr>
          </w:p>
        </w:tc>
        <w:tc>
          <w:tcPr>
            <w:tcW w:w="1120" w:type="dxa"/>
            <w:vAlign w:val="bottom"/>
            <w:gridSpan w:val="2"/>
            <w:shd w:val="clear" w:color="auto" w:fill="CFF0FC"/>
          </w:tcPr>
          <w:p>
            <w:pPr>
              <w:jc w:val="right"/>
              <w:ind w:right="260"/>
              <w:spacing w:after="0"/>
              <w:rPr>
                <w:sz w:val="20"/>
                <w:szCs w:val="20"/>
                <w:color w:val="auto"/>
              </w:rPr>
            </w:pPr>
            <w:r>
              <w:rPr>
                <w:rFonts w:ascii="Arial" w:cs="Arial" w:eastAsia="Arial" w:hAnsi="Arial"/>
                <w:sz w:val="12"/>
                <w:szCs w:val="12"/>
                <w:color w:val="auto"/>
              </w:rPr>
              <w:t>—</w:t>
            </w:r>
          </w:p>
        </w:tc>
        <w:tc>
          <w:tcPr>
            <w:tcW w:w="32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8,765</w:t>
            </w: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3,913</w:t>
            </w:r>
          </w:p>
        </w:tc>
        <w:tc>
          <w:tcPr>
            <w:tcW w:w="280" w:type="dxa"/>
            <w:vAlign w:val="bottom"/>
            <w:tcBorders>
              <w:right w:val="single" w:sz="8" w:color="auto"/>
            </w:tcBorders>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240" w:type="dxa"/>
            <w:vAlign w:val="bottom"/>
            <w:gridSpan w:val="2"/>
            <w:shd w:val="clear" w:color="auto" w:fill="CFF0FC"/>
          </w:tcPr>
          <w:p>
            <w:pPr>
              <w:jc w:val="right"/>
              <w:ind w:right="260"/>
              <w:spacing w:after="0"/>
              <w:rPr>
                <w:sz w:val="20"/>
                <w:szCs w:val="20"/>
                <w:color w:val="auto"/>
              </w:rPr>
            </w:pPr>
            <w:r>
              <w:rPr>
                <w:rFonts w:ascii="Arial" w:cs="Arial" w:eastAsia="Arial" w:hAnsi="Arial"/>
                <w:sz w:val="12"/>
                <w:szCs w:val="12"/>
                <w:color w:val="auto"/>
              </w:rPr>
              <w:t>—</w:t>
            </w:r>
          </w:p>
        </w:tc>
        <w:tc>
          <w:tcPr>
            <w:tcW w:w="200" w:type="dxa"/>
            <w:vAlign w:val="bottom"/>
            <w:shd w:val="clear" w:color="auto" w:fill="CFF0FC"/>
          </w:tcPr>
          <w:p>
            <w:pPr>
              <w:spacing w:after="0"/>
              <w:rPr>
                <w:sz w:val="13"/>
                <w:szCs w:val="13"/>
                <w:color w:val="auto"/>
              </w:rPr>
            </w:pPr>
          </w:p>
        </w:tc>
        <w:tc>
          <w:tcPr>
            <w:tcW w:w="1180" w:type="dxa"/>
            <w:vAlign w:val="bottom"/>
            <w:gridSpan w:val="2"/>
            <w:shd w:val="clear" w:color="auto" w:fill="CFF0FC"/>
          </w:tcPr>
          <w:p>
            <w:pPr>
              <w:jc w:val="right"/>
              <w:ind w:right="260"/>
              <w:spacing w:after="0"/>
              <w:rPr>
                <w:sz w:val="20"/>
                <w:szCs w:val="20"/>
                <w:color w:val="auto"/>
              </w:rPr>
            </w:pPr>
            <w:r>
              <w:rPr>
                <w:rFonts w:ascii="Arial" w:cs="Arial" w:eastAsia="Arial" w:hAnsi="Arial"/>
                <w:sz w:val="12"/>
                <w:szCs w:val="12"/>
                <w:color w:val="auto"/>
              </w:rPr>
              <w:t>—</w:t>
            </w:r>
          </w:p>
        </w:tc>
        <w:tc>
          <w:tcPr>
            <w:tcW w:w="380" w:type="dxa"/>
            <w:vAlign w:val="bottom"/>
            <w:shd w:val="clear" w:color="auto" w:fill="CFF0FC"/>
          </w:tcPr>
          <w:p>
            <w:pPr>
              <w:spacing w:after="0"/>
              <w:rPr>
                <w:sz w:val="13"/>
                <w:szCs w:val="13"/>
                <w:color w:val="auto"/>
              </w:rPr>
            </w:pP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3180" w:type="dxa"/>
            <w:vAlign w:val="bottom"/>
            <w:gridSpan w:val="2"/>
          </w:tcPr>
          <w:p>
            <w:pPr>
              <w:spacing w:after="0"/>
              <w:rPr>
                <w:sz w:val="20"/>
                <w:szCs w:val="20"/>
                <w:color w:val="auto"/>
              </w:rPr>
            </w:pPr>
            <w:r>
              <w:rPr>
                <w:rFonts w:ascii="Arial" w:cs="Arial" w:eastAsia="Arial" w:hAnsi="Arial"/>
                <w:sz w:val="12"/>
                <w:szCs w:val="12"/>
                <w:color w:val="auto"/>
              </w:rPr>
              <w:t xml:space="preserve">Impairment of property and equipment </w:t>
            </w:r>
            <w:r>
              <w:rPr>
                <w:rFonts w:ascii="Arial" w:cs="Arial" w:eastAsia="Arial" w:hAnsi="Arial"/>
                <w:sz w:val="10"/>
                <w:szCs w:val="10"/>
                <w:color w:val="auto"/>
              </w:rPr>
              <w:t>(iii)</w:t>
            </w:r>
          </w:p>
        </w:tc>
        <w:tc>
          <w:tcPr>
            <w:tcW w:w="2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5,898</w:t>
            </w:r>
          </w:p>
        </w:tc>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522</w:t>
            </w: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3,926</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18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 xml:space="preserve">Loss on extinguishment of debt </w:t>
            </w:r>
            <w:r>
              <w:rPr>
                <w:rFonts w:ascii="Arial" w:cs="Arial" w:eastAsia="Arial" w:hAnsi="Arial"/>
                <w:sz w:val="10"/>
                <w:szCs w:val="10"/>
                <w:color w:val="auto"/>
              </w:rPr>
              <w:t>(iv)</w:t>
            </w:r>
          </w:p>
        </w:tc>
        <w:tc>
          <w:tcPr>
            <w:tcW w:w="260" w:type="dxa"/>
            <w:vAlign w:val="bottom"/>
            <w:shd w:val="clear" w:color="auto" w:fill="CFF0FC"/>
          </w:tcPr>
          <w:p>
            <w:pPr>
              <w:spacing w:after="0"/>
              <w:rPr>
                <w:sz w:val="13"/>
                <w:szCs w:val="13"/>
                <w:color w:val="auto"/>
              </w:rPr>
            </w:pPr>
          </w:p>
        </w:tc>
        <w:tc>
          <w:tcPr>
            <w:tcW w:w="1120" w:type="dxa"/>
            <w:vAlign w:val="bottom"/>
            <w:gridSpan w:val="2"/>
            <w:shd w:val="clear" w:color="auto" w:fill="CFF0FC"/>
          </w:tcPr>
          <w:p>
            <w:pPr>
              <w:jc w:val="right"/>
              <w:ind w:right="260"/>
              <w:spacing w:after="0"/>
              <w:rPr>
                <w:sz w:val="20"/>
                <w:szCs w:val="20"/>
                <w:color w:val="auto"/>
              </w:rPr>
            </w:pPr>
            <w:r>
              <w:rPr>
                <w:rFonts w:ascii="Arial" w:cs="Arial" w:eastAsia="Arial" w:hAnsi="Arial"/>
                <w:sz w:val="12"/>
                <w:szCs w:val="12"/>
                <w:color w:val="auto"/>
              </w:rPr>
              <w:t>—</w:t>
            </w:r>
          </w:p>
        </w:tc>
        <w:tc>
          <w:tcPr>
            <w:tcW w:w="32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26,486</w:t>
            </w: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240" w:type="dxa"/>
            <w:vAlign w:val="bottom"/>
            <w:tcBorders>
              <w:right w:val="single" w:sz="8" w:color="auto"/>
            </w:tcBorders>
            <w:gridSpan w:val="2"/>
            <w:shd w:val="clear" w:color="auto" w:fill="CFF0FC"/>
          </w:tcPr>
          <w:p>
            <w:pPr>
              <w:jc w:val="right"/>
              <w:ind w:right="280"/>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240" w:type="dxa"/>
            <w:vAlign w:val="bottom"/>
            <w:gridSpan w:val="2"/>
            <w:shd w:val="clear" w:color="auto" w:fill="CFF0FC"/>
          </w:tcPr>
          <w:p>
            <w:pPr>
              <w:jc w:val="right"/>
              <w:ind w:right="260"/>
              <w:spacing w:after="0"/>
              <w:rPr>
                <w:sz w:val="20"/>
                <w:szCs w:val="20"/>
                <w:color w:val="auto"/>
              </w:rPr>
            </w:pPr>
            <w:r>
              <w:rPr>
                <w:rFonts w:ascii="Arial" w:cs="Arial" w:eastAsia="Arial" w:hAnsi="Arial"/>
                <w:sz w:val="12"/>
                <w:szCs w:val="12"/>
                <w:color w:val="auto"/>
              </w:rPr>
              <w:t>—</w:t>
            </w:r>
          </w:p>
        </w:tc>
        <w:tc>
          <w:tcPr>
            <w:tcW w:w="200" w:type="dxa"/>
            <w:vAlign w:val="bottom"/>
            <w:shd w:val="clear" w:color="auto" w:fill="CFF0FC"/>
          </w:tcPr>
          <w:p>
            <w:pPr>
              <w:spacing w:after="0"/>
              <w:rPr>
                <w:sz w:val="13"/>
                <w:szCs w:val="13"/>
                <w:color w:val="auto"/>
              </w:rPr>
            </w:pPr>
          </w:p>
        </w:tc>
        <w:tc>
          <w:tcPr>
            <w:tcW w:w="1180" w:type="dxa"/>
            <w:vAlign w:val="bottom"/>
            <w:gridSpan w:val="2"/>
            <w:shd w:val="clear" w:color="auto" w:fill="CFF0FC"/>
          </w:tcPr>
          <w:p>
            <w:pPr>
              <w:jc w:val="right"/>
              <w:ind w:right="260"/>
              <w:spacing w:after="0"/>
              <w:rPr>
                <w:sz w:val="20"/>
                <w:szCs w:val="20"/>
                <w:color w:val="auto"/>
              </w:rPr>
            </w:pPr>
            <w:r>
              <w:rPr>
                <w:rFonts w:ascii="Arial" w:cs="Arial" w:eastAsia="Arial" w:hAnsi="Arial"/>
                <w:sz w:val="12"/>
                <w:szCs w:val="12"/>
                <w:color w:val="auto"/>
              </w:rPr>
              <w:t>—</w:t>
            </w:r>
          </w:p>
        </w:tc>
        <w:tc>
          <w:tcPr>
            <w:tcW w:w="380" w:type="dxa"/>
            <w:vAlign w:val="bottom"/>
            <w:shd w:val="clear" w:color="auto" w:fill="CFF0FC"/>
          </w:tcPr>
          <w:p>
            <w:pPr>
              <w:spacing w:after="0"/>
              <w:rPr>
                <w:sz w:val="13"/>
                <w:szCs w:val="13"/>
                <w:color w:val="auto"/>
              </w:rPr>
            </w:pP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3180" w:type="dxa"/>
            <w:vAlign w:val="bottom"/>
            <w:gridSpan w:val="2"/>
          </w:tcPr>
          <w:p>
            <w:pPr>
              <w:spacing w:after="0"/>
              <w:rPr>
                <w:sz w:val="20"/>
                <w:szCs w:val="20"/>
                <w:color w:val="auto"/>
              </w:rPr>
            </w:pPr>
            <w:r>
              <w:rPr>
                <w:rFonts w:ascii="Arial" w:cs="Arial" w:eastAsia="Arial" w:hAnsi="Arial"/>
                <w:sz w:val="12"/>
                <w:szCs w:val="12"/>
                <w:color w:val="auto"/>
              </w:rPr>
              <w:t xml:space="preserve">Sponsor fees and expenses </w:t>
            </w:r>
            <w:r>
              <w:rPr>
                <w:rFonts w:ascii="Arial" w:cs="Arial" w:eastAsia="Arial" w:hAnsi="Arial"/>
                <w:sz w:val="10"/>
                <w:szCs w:val="10"/>
                <w:color w:val="auto"/>
              </w:rPr>
              <w:t>(v)</w:t>
            </w:r>
          </w:p>
        </w:tc>
        <w:tc>
          <w:tcPr>
            <w:tcW w:w="260" w:type="dxa"/>
            <w:vAlign w:val="bottom"/>
          </w:tcPr>
          <w:p>
            <w:pPr>
              <w:spacing w:after="0"/>
              <w:rPr>
                <w:sz w:val="13"/>
                <w:szCs w:val="13"/>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5,383</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4,228</w:t>
            </w:r>
          </w:p>
        </w:tc>
        <w:tc>
          <w:tcPr>
            <w:tcW w:w="28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380" w:type="dxa"/>
            <w:vAlign w:val="bottom"/>
          </w:tcPr>
          <w:p>
            <w:pPr>
              <w:spacing w:after="0"/>
              <w:rPr>
                <w:sz w:val="13"/>
                <w:szCs w:val="13"/>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318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 xml:space="preserve">Acquisition earn-out </w:t>
            </w:r>
            <w:r>
              <w:rPr>
                <w:rFonts w:ascii="Arial" w:cs="Arial" w:eastAsia="Arial" w:hAnsi="Arial"/>
                <w:sz w:val="10"/>
                <w:szCs w:val="10"/>
                <w:color w:val="auto"/>
              </w:rPr>
              <w:t>(vi)</w:t>
            </w:r>
          </w:p>
        </w:tc>
        <w:tc>
          <w:tcPr>
            <w:tcW w:w="260" w:type="dxa"/>
            <w:vAlign w:val="bottom"/>
            <w:shd w:val="clear" w:color="auto" w:fill="CFF0FC"/>
          </w:tcPr>
          <w:p>
            <w:pPr>
              <w:spacing w:after="0"/>
              <w:rPr>
                <w:sz w:val="13"/>
                <w:szCs w:val="13"/>
                <w:color w:val="auto"/>
              </w:rPr>
            </w:pPr>
          </w:p>
        </w:tc>
        <w:tc>
          <w:tcPr>
            <w:tcW w:w="1120" w:type="dxa"/>
            <w:vAlign w:val="bottom"/>
            <w:gridSpan w:val="2"/>
            <w:shd w:val="clear" w:color="auto" w:fill="CFF0FC"/>
          </w:tcPr>
          <w:p>
            <w:pPr>
              <w:jc w:val="right"/>
              <w:ind w:right="260"/>
              <w:spacing w:after="0"/>
              <w:rPr>
                <w:sz w:val="20"/>
                <w:szCs w:val="20"/>
                <w:color w:val="auto"/>
              </w:rPr>
            </w:pPr>
            <w:r>
              <w:rPr>
                <w:rFonts w:ascii="Arial" w:cs="Arial" w:eastAsia="Arial" w:hAnsi="Arial"/>
                <w:sz w:val="12"/>
                <w:szCs w:val="12"/>
                <w:color w:val="auto"/>
              </w:rPr>
              <w:t>—</w:t>
            </w:r>
          </w:p>
        </w:tc>
        <w:tc>
          <w:tcPr>
            <w:tcW w:w="320" w:type="dxa"/>
            <w:vAlign w:val="bottom"/>
            <w:shd w:val="clear" w:color="auto" w:fill="CFF0FC"/>
          </w:tcPr>
          <w:p>
            <w:pPr>
              <w:spacing w:after="0"/>
              <w:rPr>
                <w:sz w:val="13"/>
                <w:szCs w:val="13"/>
                <w:color w:val="auto"/>
              </w:rPr>
            </w:pPr>
          </w:p>
        </w:tc>
        <w:tc>
          <w:tcPr>
            <w:tcW w:w="96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240" w:type="dxa"/>
            <w:vAlign w:val="bottom"/>
            <w:tcBorders>
              <w:right w:val="single" w:sz="8" w:color="auto"/>
            </w:tcBorders>
            <w:gridSpan w:val="2"/>
            <w:shd w:val="clear" w:color="auto" w:fill="CFF0FC"/>
          </w:tcPr>
          <w:p>
            <w:pPr>
              <w:jc w:val="right"/>
              <w:ind w:right="280"/>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240" w:type="dxa"/>
            <w:vAlign w:val="bottom"/>
            <w:gridSpan w:val="2"/>
            <w:shd w:val="clear" w:color="auto" w:fill="CFF0FC"/>
          </w:tcPr>
          <w:p>
            <w:pPr>
              <w:jc w:val="right"/>
              <w:ind w:right="260"/>
              <w:spacing w:after="0"/>
              <w:rPr>
                <w:sz w:val="20"/>
                <w:szCs w:val="20"/>
                <w:color w:val="auto"/>
              </w:rPr>
            </w:pPr>
            <w:r>
              <w:rPr>
                <w:rFonts w:ascii="Arial" w:cs="Arial" w:eastAsia="Arial" w:hAnsi="Arial"/>
                <w:sz w:val="12"/>
                <w:szCs w:val="12"/>
                <w:color w:val="auto"/>
              </w:rPr>
              <w:t>—</w:t>
            </w:r>
          </w:p>
        </w:tc>
        <w:tc>
          <w:tcPr>
            <w:tcW w:w="200" w:type="dxa"/>
            <w:vAlign w:val="bottom"/>
            <w:shd w:val="clear" w:color="auto" w:fill="CFF0FC"/>
          </w:tcPr>
          <w:p>
            <w:pPr>
              <w:spacing w:after="0"/>
              <w:rPr>
                <w:sz w:val="13"/>
                <w:szCs w:val="13"/>
                <w:color w:val="auto"/>
              </w:rPr>
            </w:pPr>
          </w:p>
        </w:tc>
        <w:tc>
          <w:tcPr>
            <w:tcW w:w="1180" w:type="dxa"/>
            <w:vAlign w:val="bottom"/>
            <w:gridSpan w:val="2"/>
            <w:shd w:val="clear" w:color="auto" w:fill="CFF0FC"/>
          </w:tcPr>
          <w:p>
            <w:pPr>
              <w:jc w:val="right"/>
              <w:ind w:right="260"/>
              <w:spacing w:after="0"/>
              <w:rPr>
                <w:sz w:val="20"/>
                <w:szCs w:val="20"/>
                <w:color w:val="auto"/>
              </w:rPr>
            </w:pPr>
            <w:r>
              <w:rPr>
                <w:rFonts w:ascii="Arial" w:cs="Arial" w:eastAsia="Arial" w:hAnsi="Arial"/>
                <w:sz w:val="12"/>
                <w:szCs w:val="12"/>
                <w:color w:val="auto"/>
              </w:rPr>
              <w:t>—</w:t>
            </w:r>
          </w:p>
        </w:tc>
        <w:tc>
          <w:tcPr>
            <w:tcW w:w="38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4,275</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180" w:type="dxa"/>
            <w:vAlign w:val="bottom"/>
            <w:gridSpan w:val="2"/>
          </w:tcPr>
          <w:p>
            <w:pPr>
              <w:spacing w:after="0"/>
              <w:rPr>
                <w:sz w:val="20"/>
                <w:szCs w:val="20"/>
                <w:color w:val="auto"/>
              </w:rPr>
            </w:pPr>
            <w:r>
              <w:rPr>
                <w:rFonts w:ascii="Arial" w:cs="Arial" w:eastAsia="Arial" w:hAnsi="Arial"/>
                <w:sz w:val="12"/>
                <w:szCs w:val="12"/>
                <w:color w:val="auto"/>
              </w:rPr>
              <w:t xml:space="preserve">Non-recurring severance </w:t>
            </w:r>
            <w:r>
              <w:rPr>
                <w:rFonts w:ascii="Arial" w:cs="Arial" w:eastAsia="Arial" w:hAnsi="Arial"/>
                <w:sz w:val="10"/>
                <w:szCs w:val="10"/>
                <w:color w:val="auto"/>
              </w:rPr>
              <w:t>(vii)</w:t>
            </w:r>
          </w:p>
        </w:tc>
        <w:tc>
          <w:tcPr>
            <w:tcW w:w="260" w:type="dxa"/>
            <w:vAlign w:val="bottom"/>
          </w:tcPr>
          <w:p>
            <w:pPr>
              <w:spacing w:after="0"/>
              <w:rPr>
                <w:sz w:val="13"/>
                <w:szCs w:val="13"/>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3"/>
                <w:szCs w:val="13"/>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38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2,117</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18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 xml:space="preserve">Non-cash amortization of contract inducement </w:t>
            </w:r>
            <w:r>
              <w:rPr>
                <w:rFonts w:ascii="Arial" w:cs="Arial" w:eastAsia="Arial" w:hAnsi="Arial"/>
                <w:sz w:val="10"/>
                <w:szCs w:val="10"/>
                <w:color w:val="auto"/>
              </w:rPr>
              <w:t>(viii)</w:t>
            </w:r>
          </w:p>
        </w:tc>
        <w:tc>
          <w:tcPr>
            <w:tcW w:w="260" w:type="dxa"/>
            <w:vAlign w:val="bottom"/>
            <w:shd w:val="clear" w:color="auto" w:fill="CFF0FC"/>
          </w:tcPr>
          <w:p>
            <w:pPr>
              <w:spacing w:after="0"/>
              <w:rPr>
                <w:sz w:val="13"/>
                <w:szCs w:val="13"/>
                <w:color w:val="auto"/>
              </w:rPr>
            </w:pPr>
          </w:p>
        </w:tc>
        <w:tc>
          <w:tcPr>
            <w:tcW w:w="1120" w:type="dxa"/>
            <w:vAlign w:val="bottom"/>
            <w:gridSpan w:val="2"/>
            <w:shd w:val="clear" w:color="auto" w:fill="CFF0FC"/>
          </w:tcPr>
          <w:p>
            <w:pPr>
              <w:jc w:val="right"/>
              <w:ind w:right="260"/>
              <w:spacing w:after="0"/>
              <w:rPr>
                <w:sz w:val="20"/>
                <w:szCs w:val="20"/>
                <w:color w:val="auto"/>
              </w:rPr>
            </w:pPr>
            <w:r>
              <w:rPr>
                <w:rFonts w:ascii="Arial" w:cs="Arial" w:eastAsia="Arial" w:hAnsi="Arial"/>
                <w:sz w:val="12"/>
                <w:szCs w:val="12"/>
                <w:color w:val="auto"/>
              </w:rPr>
              <w:t>—</w:t>
            </w:r>
          </w:p>
        </w:tc>
        <w:tc>
          <w:tcPr>
            <w:tcW w:w="320" w:type="dxa"/>
            <w:vAlign w:val="bottom"/>
            <w:shd w:val="clear" w:color="auto" w:fill="CFF0FC"/>
          </w:tcPr>
          <w:p>
            <w:pPr>
              <w:spacing w:after="0"/>
              <w:rPr>
                <w:sz w:val="13"/>
                <w:szCs w:val="13"/>
                <w:color w:val="auto"/>
              </w:rPr>
            </w:pPr>
          </w:p>
        </w:tc>
        <w:tc>
          <w:tcPr>
            <w:tcW w:w="96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240" w:type="dxa"/>
            <w:vAlign w:val="bottom"/>
            <w:tcBorders>
              <w:right w:val="single" w:sz="8" w:color="auto"/>
            </w:tcBorders>
            <w:gridSpan w:val="2"/>
            <w:shd w:val="clear" w:color="auto" w:fill="CFF0FC"/>
          </w:tcPr>
          <w:p>
            <w:pPr>
              <w:jc w:val="right"/>
              <w:ind w:right="280"/>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277</w:t>
            </w:r>
          </w:p>
        </w:tc>
        <w:tc>
          <w:tcPr>
            <w:tcW w:w="2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1,784</w:t>
            </w:r>
          </w:p>
        </w:tc>
        <w:tc>
          <w:tcPr>
            <w:tcW w:w="24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1,784</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180" w:type="dxa"/>
            <w:vAlign w:val="bottom"/>
            <w:gridSpan w:val="2"/>
          </w:tcPr>
          <w:p>
            <w:pPr>
              <w:spacing w:after="0"/>
              <w:rPr>
                <w:sz w:val="20"/>
                <w:szCs w:val="20"/>
                <w:color w:val="auto"/>
              </w:rPr>
            </w:pPr>
            <w:r>
              <w:rPr>
                <w:rFonts w:ascii="Arial" w:cs="Arial" w:eastAsia="Arial" w:hAnsi="Arial"/>
                <w:sz w:val="12"/>
                <w:szCs w:val="12"/>
                <w:color w:val="auto"/>
              </w:rPr>
              <w:t xml:space="preserve">Stock-based compensation </w:t>
            </w:r>
            <w:r>
              <w:rPr>
                <w:rFonts w:ascii="Arial" w:cs="Arial" w:eastAsia="Arial" w:hAnsi="Arial"/>
                <w:sz w:val="10"/>
                <w:szCs w:val="10"/>
                <w:color w:val="auto"/>
              </w:rPr>
              <w:t>(ix)</w:t>
            </w:r>
          </w:p>
        </w:tc>
        <w:tc>
          <w:tcPr>
            <w:tcW w:w="2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10,012</w:t>
            </w:r>
          </w:p>
        </w:tc>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2,272</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380" w:type="dxa"/>
            <w:vAlign w:val="bottom"/>
          </w:tcPr>
          <w:p>
            <w:pPr>
              <w:spacing w:after="0"/>
              <w:rPr>
                <w:sz w:val="13"/>
                <w:szCs w:val="13"/>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318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 xml:space="preserve">TRA liability adjustment </w:t>
            </w:r>
            <w:r>
              <w:rPr>
                <w:rFonts w:ascii="Arial" w:cs="Arial" w:eastAsia="Arial" w:hAnsi="Arial"/>
                <w:sz w:val="10"/>
                <w:szCs w:val="10"/>
                <w:color w:val="auto"/>
              </w:rPr>
              <w:t>(x)</w:t>
            </w:r>
          </w:p>
        </w:tc>
        <w:tc>
          <w:tcPr>
            <w:tcW w:w="260" w:type="dxa"/>
            <w:vAlign w:val="bottom"/>
            <w:shd w:val="clear" w:color="auto" w:fill="CFF0FC"/>
          </w:tcPr>
          <w:p>
            <w:pPr>
              <w:spacing w:after="0"/>
              <w:rPr>
                <w:sz w:val="13"/>
                <w:szCs w:val="13"/>
                <w:color w:val="auto"/>
              </w:rPr>
            </w:pPr>
          </w:p>
        </w:tc>
        <w:tc>
          <w:tcPr>
            <w:tcW w:w="112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(106)</w:t>
            </w:r>
          </w:p>
        </w:tc>
        <w:tc>
          <w:tcPr>
            <w:tcW w:w="320" w:type="dxa"/>
            <w:vAlign w:val="bottom"/>
            <w:shd w:val="clear" w:color="auto" w:fill="CFF0FC"/>
          </w:tcPr>
          <w:p>
            <w:pPr>
              <w:spacing w:after="0"/>
              <w:rPr>
                <w:sz w:val="13"/>
                <w:szCs w:val="13"/>
                <w:color w:val="auto"/>
              </w:rPr>
            </w:pPr>
          </w:p>
        </w:tc>
        <w:tc>
          <w:tcPr>
            <w:tcW w:w="96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240" w:type="dxa"/>
            <w:vAlign w:val="bottom"/>
            <w:tcBorders>
              <w:right w:val="single" w:sz="8" w:color="auto"/>
            </w:tcBorders>
            <w:gridSpan w:val="2"/>
            <w:shd w:val="clear" w:color="auto" w:fill="CFF0FC"/>
          </w:tcPr>
          <w:p>
            <w:pPr>
              <w:jc w:val="right"/>
              <w:ind w:right="280"/>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240" w:type="dxa"/>
            <w:vAlign w:val="bottom"/>
            <w:gridSpan w:val="2"/>
            <w:shd w:val="clear" w:color="auto" w:fill="CFF0FC"/>
          </w:tcPr>
          <w:p>
            <w:pPr>
              <w:jc w:val="right"/>
              <w:ind w:right="260"/>
              <w:spacing w:after="0"/>
              <w:rPr>
                <w:sz w:val="20"/>
                <w:szCs w:val="20"/>
                <w:color w:val="auto"/>
              </w:rPr>
            </w:pPr>
            <w:r>
              <w:rPr>
                <w:rFonts w:ascii="Arial" w:cs="Arial" w:eastAsia="Arial" w:hAnsi="Arial"/>
                <w:sz w:val="12"/>
                <w:szCs w:val="12"/>
                <w:color w:val="auto"/>
              </w:rPr>
              <w:t>—</w:t>
            </w:r>
          </w:p>
        </w:tc>
        <w:tc>
          <w:tcPr>
            <w:tcW w:w="200" w:type="dxa"/>
            <w:vAlign w:val="bottom"/>
            <w:shd w:val="clear" w:color="auto" w:fill="CFF0FC"/>
          </w:tcPr>
          <w:p>
            <w:pPr>
              <w:spacing w:after="0"/>
              <w:rPr>
                <w:sz w:val="13"/>
                <w:szCs w:val="13"/>
                <w:color w:val="auto"/>
              </w:rPr>
            </w:pPr>
          </w:p>
        </w:tc>
        <w:tc>
          <w:tcPr>
            <w:tcW w:w="1180" w:type="dxa"/>
            <w:vAlign w:val="bottom"/>
            <w:gridSpan w:val="2"/>
            <w:shd w:val="clear" w:color="auto" w:fill="CFF0FC"/>
          </w:tcPr>
          <w:p>
            <w:pPr>
              <w:jc w:val="right"/>
              <w:ind w:right="260"/>
              <w:spacing w:after="0"/>
              <w:rPr>
                <w:sz w:val="20"/>
                <w:szCs w:val="20"/>
                <w:color w:val="auto"/>
              </w:rPr>
            </w:pPr>
            <w:r>
              <w:rPr>
                <w:rFonts w:ascii="Arial" w:cs="Arial" w:eastAsia="Arial" w:hAnsi="Arial"/>
                <w:sz w:val="12"/>
                <w:szCs w:val="12"/>
                <w:color w:val="auto"/>
              </w:rPr>
              <w:t>—</w:t>
            </w:r>
          </w:p>
        </w:tc>
        <w:tc>
          <w:tcPr>
            <w:tcW w:w="380" w:type="dxa"/>
            <w:vAlign w:val="bottom"/>
            <w:shd w:val="clear" w:color="auto" w:fill="CFF0FC"/>
          </w:tcPr>
          <w:p>
            <w:pPr>
              <w:spacing w:after="0"/>
              <w:rPr>
                <w:sz w:val="13"/>
                <w:szCs w:val="13"/>
                <w:color w:val="auto"/>
              </w:rPr>
            </w:pP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
        </w:trPr>
        <w:tc>
          <w:tcPr>
            <w:tcW w:w="31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Adjusted EBITDA</w:t>
            </w: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180" w:type="dxa"/>
            <w:vAlign w:val="bottom"/>
            <w:gridSpan w:val="2"/>
            <w:vMerge w:val="continue"/>
          </w:tcPr>
          <w:p>
            <w:pPr>
              <w:spacing w:after="0"/>
              <w:rPr>
                <w:sz w:val="12"/>
                <w:szCs w:val="12"/>
                <w:color w:val="auto"/>
              </w:rPr>
            </w:pPr>
          </w:p>
        </w:tc>
        <w:tc>
          <w:tcPr>
            <w:tcW w:w="260" w:type="dxa"/>
            <w:vAlign w:val="bottom"/>
          </w:tcPr>
          <w:p>
            <w:pPr>
              <w:jc w:val="right"/>
              <w:ind w:right="150"/>
              <w:spacing w:after="0"/>
              <w:rPr>
                <w:sz w:val="20"/>
                <w:szCs w:val="20"/>
                <w:color w:val="auto"/>
              </w:rPr>
            </w:pPr>
            <w:r>
              <w:rPr>
                <w:rFonts w:ascii="Arial" w:cs="Arial" w:eastAsia="Arial" w:hAnsi="Arial"/>
                <w:sz w:val="10"/>
                <w:szCs w:val="10"/>
                <w:color w:val="auto"/>
                <w:w w:val="71"/>
              </w:rPr>
              <w:t>$</w:t>
            </w:r>
          </w:p>
        </w:tc>
        <w:tc>
          <w:tcPr>
            <w:tcW w:w="860" w:type="dxa"/>
            <w:vAlign w:val="bottom"/>
          </w:tcPr>
          <w:p>
            <w:pPr>
              <w:jc w:val="right"/>
              <w:spacing w:after="0"/>
              <w:rPr>
                <w:sz w:val="20"/>
                <w:szCs w:val="20"/>
                <w:color w:val="auto"/>
              </w:rPr>
            </w:pPr>
            <w:r>
              <w:rPr>
                <w:rFonts w:ascii="Arial" w:cs="Arial" w:eastAsia="Arial" w:hAnsi="Arial"/>
                <w:sz w:val="12"/>
                <w:szCs w:val="12"/>
                <w:color w:val="auto"/>
              </w:rPr>
              <w:t>241,391</w:t>
            </w:r>
          </w:p>
        </w:tc>
        <w:tc>
          <w:tcPr>
            <w:tcW w:w="260" w:type="dxa"/>
            <w:vAlign w:val="bottom"/>
          </w:tcPr>
          <w:p>
            <w:pPr>
              <w:spacing w:after="0"/>
              <w:rPr>
                <w:sz w:val="12"/>
                <w:szCs w:val="12"/>
                <w:color w:val="auto"/>
              </w:rPr>
            </w:pPr>
          </w:p>
        </w:tc>
        <w:tc>
          <w:tcPr>
            <w:tcW w:w="320" w:type="dxa"/>
            <w:vAlign w:val="bottom"/>
          </w:tcPr>
          <w:p>
            <w:pPr>
              <w:jc w:val="right"/>
              <w:ind w:right="210"/>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197,610</w:t>
            </w:r>
          </w:p>
        </w:tc>
        <w:tc>
          <w:tcPr>
            <w:tcW w:w="160" w:type="dxa"/>
            <w:vAlign w:val="bottom"/>
          </w:tcPr>
          <w:p>
            <w:pPr>
              <w:spacing w:after="0"/>
              <w:rPr>
                <w:sz w:val="12"/>
                <w:szCs w:val="12"/>
                <w:color w:val="auto"/>
              </w:rPr>
            </w:pPr>
          </w:p>
        </w:tc>
        <w:tc>
          <w:tcPr>
            <w:tcW w:w="26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960" w:type="dxa"/>
            <w:vAlign w:val="bottom"/>
          </w:tcPr>
          <w:p>
            <w:pPr>
              <w:jc w:val="right"/>
              <w:spacing w:after="0"/>
              <w:rPr>
                <w:sz w:val="20"/>
                <w:szCs w:val="20"/>
                <w:color w:val="auto"/>
              </w:rPr>
            </w:pPr>
            <w:r>
              <w:rPr>
                <w:rFonts w:ascii="Arial" w:cs="Arial" w:eastAsia="Arial" w:hAnsi="Arial"/>
                <w:sz w:val="12"/>
                <w:szCs w:val="12"/>
                <w:color w:val="auto"/>
              </w:rPr>
              <w:t>59,901</w:t>
            </w:r>
          </w:p>
        </w:tc>
        <w:tc>
          <w:tcPr>
            <w:tcW w:w="280" w:type="dxa"/>
            <w:vAlign w:val="bottom"/>
            <w:tcBorders>
              <w:right w:val="single" w:sz="8" w:color="auto"/>
            </w:tcBorders>
          </w:tcPr>
          <w:p>
            <w:pPr>
              <w:spacing w:after="0"/>
              <w:rPr>
                <w:sz w:val="12"/>
                <w:szCs w:val="12"/>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980" w:type="dxa"/>
            <w:vAlign w:val="bottom"/>
          </w:tcPr>
          <w:p>
            <w:pPr>
              <w:jc w:val="right"/>
              <w:spacing w:after="0"/>
              <w:rPr>
                <w:sz w:val="20"/>
                <w:szCs w:val="20"/>
                <w:color w:val="auto"/>
              </w:rPr>
            </w:pPr>
            <w:r>
              <w:rPr>
                <w:rFonts w:ascii="Arial" w:cs="Arial" w:eastAsia="Arial" w:hAnsi="Arial"/>
                <w:sz w:val="12"/>
                <w:szCs w:val="12"/>
                <w:color w:val="auto"/>
              </w:rPr>
              <w:t>37,991</w:t>
            </w:r>
          </w:p>
        </w:tc>
        <w:tc>
          <w:tcPr>
            <w:tcW w:w="260" w:type="dxa"/>
            <w:vAlign w:val="bottom"/>
          </w:tcPr>
          <w:p>
            <w:pPr>
              <w:spacing w:after="0"/>
              <w:rPr>
                <w:sz w:val="12"/>
                <w:szCs w:val="12"/>
                <w:color w:val="auto"/>
              </w:rPr>
            </w:pPr>
          </w:p>
        </w:tc>
        <w:tc>
          <w:tcPr>
            <w:tcW w:w="200" w:type="dxa"/>
            <w:vAlign w:val="bottom"/>
          </w:tcPr>
          <w:p>
            <w:pPr>
              <w:jc w:val="right"/>
              <w:ind w:right="90"/>
              <w:spacing w:after="0"/>
              <w:rPr>
                <w:sz w:val="20"/>
                <w:szCs w:val="20"/>
                <w:color w:val="auto"/>
              </w:rPr>
            </w:pPr>
            <w:r>
              <w:rPr>
                <w:rFonts w:ascii="Arial" w:cs="Arial" w:eastAsia="Arial" w:hAnsi="Arial"/>
                <w:sz w:val="10"/>
                <w:szCs w:val="10"/>
                <w:color w:val="auto"/>
                <w:w w:val="71"/>
              </w:rPr>
              <w:t>$</w:t>
            </w:r>
          </w:p>
        </w:tc>
        <w:tc>
          <w:tcPr>
            <w:tcW w:w="940" w:type="dxa"/>
            <w:vAlign w:val="bottom"/>
          </w:tcPr>
          <w:p>
            <w:pPr>
              <w:jc w:val="right"/>
              <w:spacing w:after="0"/>
              <w:rPr>
                <w:sz w:val="20"/>
                <w:szCs w:val="20"/>
                <w:color w:val="auto"/>
              </w:rPr>
            </w:pPr>
            <w:r>
              <w:rPr>
                <w:rFonts w:ascii="Arial" w:cs="Arial" w:eastAsia="Arial" w:hAnsi="Arial"/>
                <w:sz w:val="12"/>
                <w:szCs w:val="12"/>
                <w:color w:val="auto"/>
              </w:rPr>
              <w:t>87,118</w:t>
            </w:r>
          </w:p>
        </w:tc>
        <w:tc>
          <w:tcPr>
            <w:tcW w:w="240" w:type="dxa"/>
            <w:vAlign w:val="bottom"/>
          </w:tcPr>
          <w:p>
            <w:pPr>
              <w:spacing w:after="0"/>
              <w:rPr>
                <w:sz w:val="12"/>
                <w:szCs w:val="12"/>
                <w:color w:val="auto"/>
              </w:rPr>
            </w:pPr>
          </w:p>
        </w:tc>
        <w:tc>
          <w:tcPr>
            <w:tcW w:w="380" w:type="dxa"/>
            <w:vAlign w:val="bottom"/>
          </w:tcPr>
          <w:p>
            <w:pPr>
              <w:jc w:val="right"/>
              <w:ind w:right="270"/>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62,734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640" w:type="dxa"/>
            <w:vAlign w:val="bottom"/>
          </w:tcPr>
          <w:p>
            <w:pPr>
              <w:spacing w:after="0"/>
              <w:rPr>
                <w:sz w:val="2"/>
                <w:szCs w:val="2"/>
                <w:color w:val="auto"/>
              </w:rPr>
            </w:pPr>
          </w:p>
        </w:tc>
        <w:tc>
          <w:tcPr>
            <w:tcW w:w="25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8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ind w:left="1180" w:hanging="593"/>
        <w:spacing w:after="0"/>
        <w:tabs>
          <w:tab w:leader="none" w:pos="1180" w:val="left"/>
        </w:tabs>
        <w:numPr>
          <w:ilvl w:val="0"/>
          <w:numId w:val="16"/>
        </w:numPr>
        <w:rPr>
          <w:rFonts w:ascii="Arial" w:cs="Arial" w:eastAsia="Arial" w:hAnsi="Arial"/>
          <w:sz w:val="11"/>
          <w:szCs w:val="11"/>
          <w:color w:val="auto"/>
        </w:rPr>
      </w:pPr>
      <w:r>
        <w:rPr>
          <w:rFonts w:ascii="Arial" w:cs="Arial" w:eastAsia="Arial" w:hAnsi="Arial"/>
          <w:sz w:val="11"/>
          <w:szCs w:val="11"/>
          <w:color w:val="auto"/>
        </w:rPr>
        <w:t>Transaction and other related expenses incurred in fiscal 2016 relate to legal and other professional fees associated with activities leading to the ATS Merger. For the 2017 Predecessor Period, we recognized</w:t>
      </w:r>
    </w:p>
    <w:p>
      <w:pPr>
        <w:spacing w:after="0" w:line="26" w:lineRule="exact"/>
        <w:rPr>
          <w:rFonts w:ascii="Arial" w:cs="Arial" w:eastAsia="Arial" w:hAnsi="Arial"/>
          <w:sz w:val="11"/>
          <w:szCs w:val="11"/>
          <w:color w:val="auto"/>
        </w:rPr>
      </w:pPr>
    </w:p>
    <w:p>
      <w:pPr>
        <w:ind w:left="1180" w:right="60"/>
        <w:spacing w:after="0" w:line="273" w:lineRule="auto"/>
        <w:rPr>
          <w:rFonts w:ascii="Arial" w:cs="Arial" w:eastAsia="Arial" w:hAnsi="Arial"/>
          <w:sz w:val="11"/>
          <w:szCs w:val="11"/>
          <w:color w:val="auto"/>
        </w:rPr>
      </w:pPr>
      <w:r>
        <w:rPr>
          <w:rFonts w:ascii="Arial" w:cs="Arial" w:eastAsia="Arial" w:hAnsi="Arial"/>
          <w:sz w:val="11"/>
          <w:szCs w:val="11"/>
          <w:color w:val="auto"/>
        </w:rPr>
        <w:t>$21.8 million of costs related to the ATS Merger, which consisted of $11.9 million of payments under the Verra Mobility’s 2016 equity plan, $1.3 million of transaction bonus payments, $7.9 million of professional fees and other expenses processed through the funds flow and $0.7 million of professional fees paid directly by Verra Mobility. For the 2017 Successor Period, Verra Mobility recognized approximately</w:t>
      </w:r>
    </w:p>
    <w:p>
      <w:pPr>
        <w:ind w:left="1180" w:right="100"/>
        <w:spacing w:after="0" w:line="253" w:lineRule="auto"/>
        <w:rPr>
          <w:rFonts w:ascii="Arial" w:cs="Arial" w:eastAsia="Arial" w:hAnsi="Arial"/>
          <w:sz w:val="11"/>
          <w:szCs w:val="11"/>
          <w:color w:val="auto"/>
        </w:rPr>
      </w:pPr>
      <w:r>
        <w:rPr>
          <w:rFonts w:ascii="Arial" w:cs="Arial" w:eastAsia="Arial" w:hAnsi="Arial"/>
          <w:sz w:val="12"/>
          <w:szCs w:val="12"/>
          <w:color w:val="auto"/>
        </w:rPr>
        <w:t>$10.2 million of costs related to the ATS Merger, which consisted of $8.0 million of payments for acquisition services to Platinum Equity Advisors, LLC, $1.9 million of professional fees and other expenses processed through the funds flow and $0.3 million of professional fees paid directly by Verra Mobility. For fiscal 2018, Verra Mobility recognized an aggregate of $56.4 million of costs related primarily to the Business Combination, HTA and EPC Acquisitions, primarily consisting of $28.4 million for payments under the 2018 participation plan, $9.7 million for acquisition services to Platinum Equity Advisors, LLC, $17.4 million of banking, legal and other professional fees and $0.9 million of other costs. For fiscal 2019, we paid $0.7 million for the Pagatelia acquisition and $1.7 million of offering costs that were incurred by us for the secondary offerings by PE Greenlight Holdings, LLC.</w:t>
      </w:r>
    </w:p>
    <w:p>
      <w:pPr>
        <w:spacing w:after="0" w:line="56" w:lineRule="exact"/>
        <w:rPr>
          <w:rFonts w:ascii="Arial" w:cs="Arial" w:eastAsia="Arial" w:hAnsi="Arial"/>
          <w:sz w:val="11"/>
          <w:szCs w:val="11"/>
          <w:color w:val="auto"/>
        </w:rPr>
      </w:pPr>
    </w:p>
    <w:p>
      <w:pPr>
        <w:ind w:left="1180" w:hanging="593"/>
        <w:spacing w:after="0" w:line="259" w:lineRule="auto"/>
        <w:tabs>
          <w:tab w:leader="none" w:pos="1180" w:val="left"/>
        </w:tabs>
        <w:numPr>
          <w:ilvl w:val="0"/>
          <w:numId w:val="16"/>
        </w:numPr>
        <w:rPr>
          <w:rFonts w:ascii="Arial" w:cs="Arial" w:eastAsia="Arial" w:hAnsi="Arial"/>
          <w:sz w:val="12"/>
          <w:szCs w:val="12"/>
          <w:color w:val="auto"/>
        </w:rPr>
      </w:pPr>
      <w:r>
        <w:rPr>
          <w:rFonts w:ascii="Arial" w:cs="Arial" w:eastAsia="Arial" w:hAnsi="Arial"/>
          <w:sz w:val="12"/>
          <w:szCs w:val="12"/>
          <w:color w:val="auto"/>
        </w:rPr>
        <w:t>Transformation expenses of $3.9 million and $8.8 million for the 2017 Successor Period and fiscal 2018, respectively, represent one-time costs related to optimizing the expense structure and defining Verra Mobility’s growth strategy. For the 2017 Successor Period, these costs included $1.5 million for strategy consultants, $2.1 million for procurement optimization and $0.2 million for IT optimization. For fiscal 2018, these costs included $5.7 million for strategy consultants, $1.0 million for procurement optimization, $0.6 million for severance to employees of acquired businesses, $0.6 million for IT optimization and $0.9 million of other professional fees.</w:t>
      </w:r>
    </w:p>
    <w:p>
      <w:pPr>
        <w:spacing w:after="0" w:line="52" w:lineRule="exact"/>
        <w:rPr>
          <w:rFonts w:ascii="Arial" w:cs="Arial" w:eastAsia="Arial" w:hAnsi="Arial"/>
          <w:sz w:val="12"/>
          <w:szCs w:val="12"/>
          <w:color w:val="auto"/>
        </w:rPr>
      </w:pPr>
    </w:p>
    <w:p>
      <w:pPr>
        <w:ind w:left="1180" w:hanging="593"/>
        <w:spacing w:after="0"/>
        <w:tabs>
          <w:tab w:leader="none" w:pos="1180" w:val="left"/>
        </w:tabs>
        <w:numPr>
          <w:ilvl w:val="0"/>
          <w:numId w:val="16"/>
        </w:numPr>
        <w:rPr>
          <w:rFonts w:ascii="Arial" w:cs="Arial" w:eastAsia="Arial" w:hAnsi="Arial"/>
          <w:sz w:val="12"/>
          <w:szCs w:val="12"/>
          <w:color w:val="auto"/>
        </w:rPr>
      </w:pPr>
      <w:r>
        <w:rPr>
          <w:rFonts w:ascii="Arial" w:cs="Arial" w:eastAsia="Arial" w:hAnsi="Arial"/>
          <w:sz w:val="12"/>
          <w:szCs w:val="12"/>
          <w:color w:val="auto"/>
        </w:rPr>
        <w:t>This represents an impairment charge on fixed assets during fiscal year 2019 as a result of a legislation ban of most red-light photo enforcement programs in Texas on June 1, 2019.</w:t>
      </w:r>
    </w:p>
    <w:p>
      <w:pPr>
        <w:spacing w:after="0" w:line="150"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17740" cy="368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ectPr>
          <w:pgSz w:w="11900" w:h="16838" w:orient="portrait"/>
          <w:cols w:equalWidth="0" w:num="1">
            <w:col w:w="11480"/>
          </w:cols>
          <w:pgMar w:left="220" w:top="275" w:right="199" w:bottom="1440" w:gutter="0" w:footer="0" w:header="0"/>
        </w:sectPr>
      </w:pPr>
    </w:p>
    <w:bookmarkStart w:id="43" w:name="page44"/>
    <w:bookmarkEnd w:id="43"/>
    <w:p>
      <w:pPr>
        <w:ind w:left="593" w:hanging="593"/>
        <w:spacing w:after="0" w:line="276" w:lineRule="auto"/>
        <w:tabs>
          <w:tab w:leader="none" w:pos="593" w:val="left"/>
        </w:tabs>
        <w:numPr>
          <w:ilvl w:val="0"/>
          <w:numId w:val="17"/>
        </w:numPr>
        <w:rPr>
          <w:rFonts w:ascii="Arial" w:cs="Arial" w:eastAsia="Arial" w:hAnsi="Arial"/>
          <w:sz w:val="12"/>
          <w:szCs w:val="12"/>
          <w:color w:val="auto"/>
        </w:rPr>
      </w:pPr>
      <w:r>
        <w:rPr>
          <w:rFonts w:ascii="Arial" w:cs="Arial" w:eastAsia="Arial" w:hAnsi="Arial"/>
          <w:sz w:val="12"/>
          <w:szCs w:val="12"/>
          <w:color w:val="auto"/>
        </w:rPr>
        <w:t>This represents the loss on extinguishment of debt related to the 2017 Credit Facilities which were replaced by the 2018 Credit facilities in conjunction with the HTA acquisition and the repayment of the second lien term loan facility in October 2018 pursuant to the Business Combination.</w:t>
      </w:r>
    </w:p>
    <w:p>
      <w:pPr>
        <w:spacing w:after="0" w:line="42" w:lineRule="exact"/>
        <w:rPr>
          <w:rFonts w:ascii="Arial" w:cs="Arial" w:eastAsia="Arial" w:hAnsi="Arial"/>
          <w:sz w:val="12"/>
          <w:szCs w:val="12"/>
          <w:color w:val="auto"/>
        </w:rPr>
      </w:pPr>
    </w:p>
    <w:p>
      <w:pPr>
        <w:ind w:left="593" w:right="200" w:hanging="593"/>
        <w:spacing w:after="0" w:line="276" w:lineRule="auto"/>
        <w:tabs>
          <w:tab w:leader="none" w:pos="593" w:val="left"/>
        </w:tabs>
        <w:numPr>
          <w:ilvl w:val="0"/>
          <w:numId w:val="17"/>
        </w:numPr>
        <w:rPr>
          <w:rFonts w:ascii="Arial" w:cs="Arial" w:eastAsia="Arial" w:hAnsi="Arial"/>
          <w:sz w:val="12"/>
          <w:szCs w:val="12"/>
          <w:color w:val="auto"/>
        </w:rPr>
      </w:pPr>
      <w:r>
        <w:rPr>
          <w:rFonts w:ascii="Arial" w:cs="Arial" w:eastAsia="Arial" w:hAnsi="Arial"/>
          <w:sz w:val="12"/>
          <w:szCs w:val="12"/>
          <w:color w:val="auto"/>
        </w:rPr>
        <w:t>We incurred management fees and related expenses associated with a previous corporate advisory services agreement with Platinum Equity Advisors, LLC which was terminated in connection with the Business Combination.</w:t>
      </w:r>
    </w:p>
    <w:p>
      <w:pPr>
        <w:spacing w:after="0" w:line="42" w:lineRule="exact"/>
        <w:rPr>
          <w:rFonts w:ascii="Arial" w:cs="Arial" w:eastAsia="Arial" w:hAnsi="Arial"/>
          <w:sz w:val="12"/>
          <w:szCs w:val="12"/>
          <w:color w:val="auto"/>
        </w:rPr>
      </w:pPr>
    </w:p>
    <w:p>
      <w:pPr>
        <w:ind w:left="593" w:hanging="593"/>
        <w:spacing w:after="0"/>
        <w:tabs>
          <w:tab w:leader="none" w:pos="593" w:val="left"/>
        </w:tabs>
        <w:numPr>
          <w:ilvl w:val="0"/>
          <w:numId w:val="17"/>
        </w:numPr>
        <w:rPr>
          <w:rFonts w:ascii="Arial" w:cs="Arial" w:eastAsia="Arial" w:hAnsi="Arial"/>
          <w:sz w:val="11"/>
          <w:szCs w:val="11"/>
          <w:color w:val="auto"/>
        </w:rPr>
      </w:pPr>
      <w:r>
        <w:rPr>
          <w:rFonts w:ascii="Arial" w:cs="Arial" w:eastAsia="Arial" w:hAnsi="Arial"/>
          <w:sz w:val="11"/>
          <w:szCs w:val="11"/>
          <w:color w:val="auto"/>
        </w:rPr>
        <w:t>In 2015, we paid $4.3 million earn-out associated with a 2014 acquisition within the Commercial Services segment. The payment related to performance goals reached subsequent to the acquisition.</w:t>
      </w:r>
    </w:p>
    <w:p>
      <w:pPr>
        <w:spacing w:after="0" w:line="89" w:lineRule="exact"/>
        <w:rPr>
          <w:rFonts w:ascii="Arial" w:cs="Arial" w:eastAsia="Arial" w:hAnsi="Arial"/>
          <w:sz w:val="11"/>
          <w:szCs w:val="11"/>
          <w:color w:val="auto"/>
        </w:rPr>
      </w:pPr>
    </w:p>
    <w:p>
      <w:pPr>
        <w:ind w:left="593" w:hanging="593"/>
        <w:spacing w:after="0"/>
        <w:tabs>
          <w:tab w:leader="none" w:pos="593" w:val="left"/>
        </w:tabs>
        <w:numPr>
          <w:ilvl w:val="0"/>
          <w:numId w:val="17"/>
        </w:numPr>
        <w:rPr>
          <w:rFonts w:ascii="Arial" w:cs="Arial" w:eastAsia="Arial" w:hAnsi="Arial"/>
          <w:sz w:val="12"/>
          <w:szCs w:val="12"/>
          <w:color w:val="auto"/>
        </w:rPr>
      </w:pPr>
      <w:r>
        <w:rPr>
          <w:rFonts w:ascii="Arial" w:cs="Arial" w:eastAsia="Arial" w:hAnsi="Arial"/>
          <w:sz w:val="12"/>
          <w:szCs w:val="12"/>
          <w:color w:val="auto"/>
        </w:rPr>
        <w:t>In 2015, we incurred severance charges associated with the transition of our executive leadership team.</w:t>
      </w:r>
    </w:p>
    <w:p>
      <w:pPr>
        <w:spacing w:after="0" w:line="78" w:lineRule="exact"/>
        <w:rPr>
          <w:rFonts w:ascii="Arial" w:cs="Arial" w:eastAsia="Arial" w:hAnsi="Arial"/>
          <w:sz w:val="12"/>
          <w:szCs w:val="12"/>
          <w:color w:val="auto"/>
        </w:rPr>
      </w:pPr>
    </w:p>
    <w:p>
      <w:pPr>
        <w:ind w:left="593" w:right="240" w:hanging="593"/>
        <w:spacing w:after="0" w:line="323" w:lineRule="auto"/>
        <w:tabs>
          <w:tab w:leader="none" w:pos="593" w:val="left"/>
        </w:tabs>
        <w:numPr>
          <w:ilvl w:val="0"/>
          <w:numId w:val="17"/>
        </w:numPr>
        <w:rPr>
          <w:rFonts w:ascii="Arial" w:cs="Arial" w:eastAsia="Arial" w:hAnsi="Arial"/>
          <w:sz w:val="11"/>
          <w:szCs w:val="11"/>
          <w:color w:val="auto"/>
        </w:rPr>
      </w:pPr>
      <w:r>
        <w:rPr>
          <w:rFonts w:ascii="Arial" w:cs="Arial" w:eastAsia="Arial" w:hAnsi="Arial"/>
          <w:sz w:val="11"/>
          <w:szCs w:val="11"/>
          <w:color w:val="auto"/>
        </w:rPr>
        <w:t>In 2014, we paid $10.2 million in connection with a tolling contract with a major RAC. This amount was capitalized and amortized over the term of the contract as a reduction to revenue. As a result of the ATS Merger, and the resultant purchase price allocation, the contract inducement was subsumed into the larger customer relationship intangible asset recorded for this and other customers.</w:t>
      </w:r>
    </w:p>
    <w:p>
      <w:pPr>
        <w:spacing w:after="0" w:line="19" w:lineRule="exact"/>
        <w:rPr>
          <w:rFonts w:ascii="Arial" w:cs="Arial" w:eastAsia="Arial" w:hAnsi="Arial"/>
          <w:sz w:val="11"/>
          <w:szCs w:val="11"/>
          <w:color w:val="auto"/>
        </w:rPr>
      </w:pPr>
    </w:p>
    <w:p>
      <w:pPr>
        <w:ind w:left="593" w:hanging="593"/>
        <w:spacing w:after="0"/>
        <w:tabs>
          <w:tab w:leader="none" w:pos="593" w:val="left"/>
        </w:tabs>
        <w:numPr>
          <w:ilvl w:val="0"/>
          <w:numId w:val="17"/>
        </w:numPr>
        <w:rPr>
          <w:rFonts w:ascii="Arial" w:cs="Arial" w:eastAsia="Arial" w:hAnsi="Arial"/>
          <w:sz w:val="12"/>
          <w:szCs w:val="12"/>
          <w:color w:val="auto"/>
        </w:rPr>
      </w:pPr>
      <w:r>
        <w:rPr>
          <w:rFonts w:ascii="Arial" w:cs="Arial" w:eastAsia="Arial" w:hAnsi="Arial"/>
          <w:sz w:val="12"/>
          <w:szCs w:val="12"/>
          <w:color w:val="auto"/>
        </w:rPr>
        <w:t>Stock-based compensation represents the non-cash charge related to the issuance of awards under the Verra Mobility 2018 equity incentive plan.</w:t>
      </w:r>
    </w:p>
    <w:p>
      <w:pPr>
        <w:spacing w:after="0" w:line="78" w:lineRule="exact"/>
        <w:rPr>
          <w:rFonts w:ascii="Arial" w:cs="Arial" w:eastAsia="Arial" w:hAnsi="Arial"/>
          <w:sz w:val="12"/>
          <w:szCs w:val="12"/>
          <w:color w:val="auto"/>
        </w:rPr>
      </w:pPr>
    </w:p>
    <w:p>
      <w:pPr>
        <w:ind w:left="593" w:hanging="593"/>
        <w:spacing w:after="0"/>
        <w:tabs>
          <w:tab w:leader="none" w:pos="593" w:val="left"/>
        </w:tabs>
        <w:numPr>
          <w:ilvl w:val="0"/>
          <w:numId w:val="17"/>
        </w:numPr>
        <w:rPr>
          <w:rFonts w:ascii="Arial" w:cs="Arial" w:eastAsia="Arial" w:hAnsi="Arial"/>
          <w:sz w:val="12"/>
          <w:szCs w:val="12"/>
          <w:color w:val="auto"/>
        </w:rPr>
      </w:pPr>
      <w:r>
        <w:rPr>
          <w:rFonts w:ascii="Arial" w:cs="Arial" w:eastAsia="Arial" w:hAnsi="Arial"/>
          <w:sz w:val="12"/>
          <w:szCs w:val="12"/>
          <w:color w:val="auto"/>
        </w:rPr>
        <w:t>This represents an adjustment to the TRA liability during fiscal year 2019 based upon changes to taxable income and tax rates.</w:t>
      </w:r>
    </w:p>
    <w:p>
      <w:pPr>
        <w:spacing w:after="0" w:line="294" w:lineRule="exact"/>
        <w:rPr>
          <w:sz w:val="20"/>
          <w:szCs w:val="20"/>
          <w:color w:val="auto"/>
        </w:rPr>
      </w:pPr>
    </w:p>
    <w:p>
      <w:pPr>
        <w:ind w:left="5093"/>
        <w:spacing w:after="0"/>
        <w:rPr>
          <w:sz w:val="20"/>
          <w:szCs w:val="20"/>
          <w:color w:val="auto"/>
        </w:rPr>
      </w:pPr>
      <w:r>
        <w:rPr>
          <w:rFonts w:ascii="Arial" w:cs="Arial" w:eastAsia="Arial" w:hAnsi="Arial"/>
          <w:sz w:val="12"/>
          <w:szCs w:val="1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-389890</wp:posOffset>
            </wp:positionH>
            <wp:positionV relativeFrom="paragraph">
              <wp:posOffset>42545</wp:posOffset>
            </wp:positionV>
            <wp:extent cx="7317740" cy="3683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ectPr>
          <w:pgSz w:w="11900" w:h="16838" w:orient="portrait"/>
          <w:cols w:equalWidth="0" w:num="1">
            <w:col w:w="10893"/>
          </w:cols>
          <w:pgMar w:left="807" w:top="131" w:right="199" w:bottom="1440" w:gutter="0" w:footer="0" w:header="0"/>
        </w:sectPr>
      </w:pPr>
    </w:p>
    <w:bookmarkStart w:id="44" w:name="page45"/>
    <w:bookmarkEnd w:id="44"/>
    <w:p>
      <w:pPr>
        <w:spacing w:after="0"/>
        <w:rPr>
          <w:sz w:val="20"/>
          <w:szCs w:val="20"/>
          <w:color w:val="auto"/>
        </w:rPr>
      </w:pPr>
      <w:r>
        <w:rPr>
          <w:rFonts w:ascii="Arial" w:cs="Arial" w:eastAsia="Arial" w:hAnsi="Arial"/>
          <w:sz w:val="12"/>
          <w:szCs w:val="12"/>
          <w:b w:val="1"/>
          <w:bCs w:val="1"/>
          <w:color w:val="auto"/>
        </w:rPr>
        <w:t>Item 7. Management’s Discussion and Analysis of Financial Condition and Results of Operations</w:t>
      </w:r>
    </w:p>
    <w:p>
      <w:pPr>
        <w:spacing w:after="0" w:line="91" w:lineRule="exact"/>
        <w:rPr>
          <w:sz w:val="20"/>
          <w:szCs w:val="20"/>
          <w:color w:val="auto"/>
        </w:rPr>
      </w:pPr>
    </w:p>
    <w:p>
      <w:pPr>
        <w:jc w:val="both"/>
        <w:ind w:right="60"/>
        <w:spacing w:after="0" w:line="298" w:lineRule="auto"/>
        <w:rPr>
          <w:sz w:val="20"/>
          <w:szCs w:val="20"/>
          <w:color w:val="auto"/>
        </w:rPr>
      </w:pPr>
      <w:r>
        <w:rPr>
          <w:rFonts w:ascii="Arial" w:cs="Arial" w:eastAsia="Arial" w:hAnsi="Arial"/>
          <w:sz w:val="11"/>
          <w:szCs w:val="11"/>
          <w:i w:val="1"/>
          <w:iCs w:val="1"/>
          <w:color w:val="auto"/>
        </w:rPr>
        <w:t>The following discussion and analysis of our financial condition and results of operations should be read together with the consolidated financial statements and the related notes that are included in Item 8 of Part II of this Annual Report on Form 10-K. This discussion contains forward-looking statements based upon current expectations that involve risks and uncertainties. Our actual results may differ materially from those anticipated in these forward-looking statements as a result of various factors, including those set forth under the section entitled “Risk Factors.” Please also see the section entitled “Cautionary Note Regarding Forward-Looking Statements.”</w:t>
      </w:r>
    </w:p>
    <w:p>
      <w:pPr>
        <w:spacing w:after="0" w:line="17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Business Overview</w:t>
      </w:r>
    </w:p>
    <w:p>
      <w:pPr>
        <w:spacing w:after="0" w:line="82" w:lineRule="exact"/>
        <w:rPr>
          <w:sz w:val="20"/>
          <w:szCs w:val="20"/>
          <w:color w:val="auto"/>
        </w:rPr>
      </w:pPr>
    </w:p>
    <w:p>
      <w:pPr>
        <w:ind w:right="260" w:firstLine="602"/>
        <w:spacing w:after="0" w:line="290" w:lineRule="auto"/>
        <w:rPr>
          <w:sz w:val="20"/>
          <w:szCs w:val="20"/>
          <w:color w:val="auto"/>
        </w:rPr>
      </w:pPr>
      <w:r>
        <w:rPr>
          <w:rFonts w:ascii="Arial" w:cs="Arial" w:eastAsia="Arial" w:hAnsi="Arial"/>
          <w:sz w:val="11"/>
          <w:szCs w:val="11"/>
          <w:color w:val="auto"/>
        </w:rPr>
        <w:t>We believe we are a leading provider of smart mobility technology solutions and services throughout the United States, Canada and Europe. We provide integrated technology solutions and services, which include toll and violations management, title and registration, automated safety solutions, and other data-driven solutions to our customers, which include RACs, FMCs, other large fleet owners, municipalities, school districts and violation-issuing authorities. Our solutions simplify the smart mobility ecosystem by utilizing what we believe are industry-leading capabilities, information and technology expertise, and integrated hardware and software to efficiently facilitate the automated processing of tolls and violations and safety solutions for hundreds of agencies and millions of end users annually, while also making cities and roadways safer for everyone.</w:t>
      </w:r>
    </w:p>
    <w:p>
      <w:pPr>
        <w:spacing w:after="0" w:line="17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Segment Information</w:t>
      </w:r>
    </w:p>
    <w:p>
      <w:pPr>
        <w:spacing w:after="0" w:line="82" w:lineRule="exact"/>
        <w:rPr>
          <w:sz w:val="20"/>
          <w:szCs w:val="20"/>
          <w:color w:val="auto"/>
        </w:rPr>
      </w:pPr>
    </w:p>
    <w:p>
      <w:pPr>
        <w:ind w:left="600"/>
        <w:spacing w:after="0"/>
        <w:rPr>
          <w:sz w:val="20"/>
          <w:szCs w:val="20"/>
          <w:color w:val="auto"/>
        </w:rPr>
      </w:pPr>
      <w:r>
        <w:rPr>
          <w:rFonts w:ascii="Arial" w:cs="Arial" w:eastAsia="Arial" w:hAnsi="Arial"/>
          <w:sz w:val="12"/>
          <w:szCs w:val="12"/>
          <w:color w:val="auto"/>
        </w:rPr>
        <w:t>We have two operating and reportable segments, Commercial Services and Government Solutions:</w:t>
      </w:r>
    </w:p>
    <w:p>
      <w:pPr>
        <w:spacing w:after="0" w:line="78" w:lineRule="exact"/>
        <w:rPr>
          <w:sz w:val="20"/>
          <w:szCs w:val="20"/>
          <w:color w:val="auto"/>
        </w:rPr>
      </w:pPr>
    </w:p>
    <w:p>
      <w:pPr>
        <w:ind w:left="1180" w:right="160" w:hanging="593"/>
        <w:spacing w:after="0" w:line="276" w:lineRule="auto"/>
        <w:tabs>
          <w:tab w:leader="none" w:pos="1180" w:val="left"/>
        </w:tabs>
        <w:numPr>
          <w:ilvl w:val="0"/>
          <w:numId w:val="18"/>
        </w:numPr>
        <w:rPr>
          <w:rFonts w:ascii="Arial" w:cs="Arial" w:eastAsia="Arial" w:hAnsi="Arial"/>
          <w:sz w:val="12"/>
          <w:szCs w:val="12"/>
          <w:color w:val="auto"/>
        </w:rPr>
      </w:pPr>
      <w:r>
        <w:rPr>
          <w:rFonts w:ascii="Arial" w:cs="Arial" w:eastAsia="Arial" w:hAnsi="Arial"/>
          <w:sz w:val="12"/>
          <w:szCs w:val="12"/>
          <w:color w:val="auto"/>
        </w:rPr>
        <w:t>The Commercial Services segment offers toll and violation management solutions, title and registration services for RACs and FMCs in North America. In Europe, we provide violations processing through EPC and tolling services through Pagatelia.</w:t>
      </w:r>
    </w:p>
    <w:p>
      <w:pPr>
        <w:spacing w:after="0" w:line="51" w:lineRule="exact"/>
        <w:rPr>
          <w:rFonts w:ascii="Arial" w:cs="Arial" w:eastAsia="Arial" w:hAnsi="Arial"/>
          <w:sz w:val="12"/>
          <w:szCs w:val="12"/>
          <w:color w:val="auto"/>
        </w:rPr>
      </w:pPr>
    </w:p>
    <w:p>
      <w:pPr>
        <w:ind w:left="1180" w:right="80" w:hanging="593"/>
        <w:spacing w:after="0" w:line="276" w:lineRule="auto"/>
        <w:tabs>
          <w:tab w:leader="none" w:pos="1180" w:val="left"/>
        </w:tabs>
        <w:numPr>
          <w:ilvl w:val="0"/>
          <w:numId w:val="18"/>
        </w:numPr>
        <w:rPr>
          <w:rFonts w:ascii="Arial" w:cs="Arial" w:eastAsia="Arial" w:hAnsi="Arial"/>
          <w:sz w:val="12"/>
          <w:szCs w:val="12"/>
          <w:color w:val="auto"/>
        </w:rPr>
      </w:pPr>
      <w:r>
        <w:rPr>
          <w:rFonts w:ascii="Arial" w:cs="Arial" w:eastAsia="Arial" w:hAnsi="Arial"/>
          <w:sz w:val="12"/>
          <w:szCs w:val="12"/>
          <w:color w:val="auto"/>
        </w:rPr>
        <w:t>The Government Solutions segment provides complete, end-to-end red-light, speed, school bus stop arm and bus lane enforcement solutions. It implements and administers traffic safety programs and products for municipalities and local government agencies of all sizes.</w:t>
      </w:r>
    </w:p>
    <w:p>
      <w:pPr>
        <w:spacing w:after="0" w:line="115" w:lineRule="exact"/>
        <w:rPr>
          <w:sz w:val="20"/>
          <w:szCs w:val="20"/>
          <w:color w:val="auto"/>
        </w:rPr>
      </w:pPr>
    </w:p>
    <w:p>
      <w:pPr>
        <w:ind w:firstLine="602"/>
        <w:spacing w:after="0" w:line="276" w:lineRule="auto"/>
        <w:rPr>
          <w:sz w:val="20"/>
          <w:szCs w:val="20"/>
          <w:color w:val="auto"/>
        </w:rPr>
      </w:pPr>
      <w:r>
        <w:rPr>
          <w:rFonts w:ascii="Arial" w:cs="Arial" w:eastAsia="Arial" w:hAnsi="Arial"/>
          <w:sz w:val="12"/>
          <w:szCs w:val="12"/>
          <w:color w:val="auto"/>
        </w:rPr>
        <w:t>Segment performance is based on revenues and income (loss) from operations before depreciation, amortization, gain (loss) on disposal of assets, net, impairment of property and equipment, and stock-based compensation. The measure also excludes interest expense, net, loss on extinguishment of debt, income taxes and is inclusive of other income, net.</w:t>
      </w:r>
    </w:p>
    <w:p>
      <w:pPr>
        <w:spacing w:after="0" w:line="18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Executive Summary</w:t>
      </w:r>
    </w:p>
    <w:p>
      <w:pPr>
        <w:spacing w:after="0" w:line="82" w:lineRule="exact"/>
        <w:rPr>
          <w:sz w:val="20"/>
          <w:szCs w:val="20"/>
          <w:color w:val="auto"/>
        </w:rPr>
      </w:pPr>
    </w:p>
    <w:p>
      <w:pPr>
        <w:ind w:right="200" w:firstLine="602"/>
        <w:spacing w:after="0" w:line="276" w:lineRule="auto"/>
        <w:rPr>
          <w:sz w:val="20"/>
          <w:szCs w:val="20"/>
          <w:color w:val="auto"/>
        </w:rPr>
      </w:pPr>
      <w:r>
        <w:rPr>
          <w:rFonts w:ascii="Arial" w:cs="Arial" w:eastAsia="Arial" w:hAnsi="Arial"/>
          <w:sz w:val="12"/>
          <w:szCs w:val="12"/>
          <w:color w:val="auto"/>
        </w:rPr>
        <w:t>We operate with long-term contracts and a highly reoccurring service revenue model. We continue to execute on our strategy of growing revenues with existing customers, expanding offerings into adjacent markets through innovation or acquisition and reducing operating costs. During the periods presented:</w:t>
      </w:r>
    </w:p>
    <w:p>
      <w:pPr>
        <w:spacing w:after="0" w:line="43" w:lineRule="exact"/>
        <w:rPr>
          <w:sz w:val="20"/>
          <w:szCs w:val="20"/>
          <w:color w:val="auto"/>
        </w:rPr>
      </w:pPr>
    </w:p>
    <w:p>
      <w:pPr>
        <w:ind w:left="1180" w:hanging="593"/>
        <w:spacing w:after="0"/>
        <w:tabs>
          <w:tab w:leader="none" w:pos="1180" w:val="left"/>
        </w:tabs>
        <w:numPr>
          <w:ilvl w:val="0"/>
          <w:numId w:val="19"/>
        </w:numPr>
        <w:rPr>
          <w:rFonts w:ascii="Arial" w:cs="Arial" w:eastAsia="Arial" w:hAnsi="Arial"/>
          <w:sz w:val="12"/>
          <w:szCs w:val="12"/>
          <w:color w:val="auto"/>
        </w:rPr>
      </w:pPr>
      <w:r>
        <w:rPr>
          <w:rFonts w:ascii="Arial" w:cs="Arial" w:eastAsia="Arial" w:hAnsi="Arial"/>
          <w:sz w:val="12"/>
          <w:szCs w:val="12"/>
          <w:color w:val="auto"/>
        </w:rPr>
        <w:t>We executed on the growth strategy by completing strategic acquisitions:</w:t>
      </w:r>
    </w:p>
    <w:p>
      <w:pPr>
        <w:spacing w:after="0" w:line="78" w:lineRule="exact"/>
        <w:rPr>
          <w:rFonts w:ascii="Arial" w:cs="Arial" w:eastAsia="Arial" w:hAnsi="Arial"/>
          <w:sz w:val="12"/>
          <w:szCs w:val="12"/>
          <w:color w:val="auto"/>
        </w:rPr>
      </w:pPr>
    </w:p>
    <w:p>
      <w:pPr>
        <w:ind w:left="1200" w:right="3100"/>
        <w:spacing w:after="0" w:line="410" w:lineRule="auto"/>
        <w:rPr>
          <w:rFonts w:ascii="Arial" w:cs="Arial" w:eastAsia="Arial" w:hAnsi="Arial"/>
          <w:sz w:val="12"/>
          <w:szCs w:val="12"/>
          <w:color w:val="auto"/>
        </w:rPr>
      </w:pPr>
      <w:r>
        <w:rPr>
          <w:rFonts w:ascii="Arial" w:cs="Arial" w:eastAsia="Arial" w:hAnsi="Arial"/>
          <w:sz w:val="11"/>
          <w:szCs w:val="11"/>
          <w:i w:val="1"/>
          <w:iCs w:val="1"/>
          <w:u w:val="single" w:color="auto"/>
          <w:color w:val="auto"/>
        </w:rPr>
        <w:t>HTA</w:t>
      </w:r>
      <w:r>
        <w:rPr>
          <w:rFonts w:ascii="Arial" w:cs="Arial" w:eastAsia="Arial" w:hAnsi="Arial"/>
          <w:sz w:val="11"/>
          <w:szCs w:val="11"/>
          <w:i w:val="1"/>
          <w:iCs w:val="1"/>
          <w:color w:val="auto"/>
        </w:rPr>
        <w:t xml:space="preserve"> </w:t>
      </w:r>
      <w:r>
        <w:rPr>
          <w:rFonts w:ascii="Arial" w:cs="Arial" w:eastAsia="Arial" w:hAnsi="Arial"/>
          <w:sz w:val="11"/>
          <w:szCs w:val="11"/>
          <w:color w:val="auto"/>
        </w:rPr>
        <w:t>– We acquired HTA during the first quarter of 2018 which strengthened our position in tolling and related services to RAC and FMC customers.</w:t>
      </w:r>
      <w:r>
        <w:rPr>
          <w:rFonts w:ascii="Arial" w:cs="Arial" w:eastAsia="Arial" w:hAnsi="Arial"/>
          <w:sz w:val="11"/>
          <w:szCs w:val="11"/>
          <w:i w:val="1"/>
          <w:iCs w:val="1"/>
          <w:color w:val="auto"/>
        </w:rPr>
        <w:t xml:space="preserve"> </w:t>
      </w:r>
      <w:r>
        <w:rPr>
          <w:rFonts w:ascii="Arial" w:cs="Arial" w:eastAsia="Arial" w:hAnsi="Arial"/>
          <w:sz w:val="11"/>
          <w:szCs w:val="11"/>
          <w:i w:val="1"/>
          <w:iCs w:val="1"/>
          <w:u w:val="single" w:color="auto"/>
          <w:color w:val="auto"/>
        </w:rPr>
        <w:t>EPC</w:t>
      </w:r>
      <w:r>
        <w:rPr>
          <w:rFonts w:ascii="Arial" w:cs="Arial" w:eastAsia="Arial" w:hAnsi="Arial"/>
          <w:sz w:val="11"/>
          <w:szCs w:val="11"/>
          <w:i w:val="1"/>
          <w:iCs w:val="1"/>
          <w:color w:val="auto"/>
        </w:rPr>
        <w:t xml:space="preserve"> </w:t>
      </w:r>
      <w:r>
        <w:rPr>
          <w:rFonts w:ascii="Arial" w:cs="Arial" w:eastAsia="Arial" w:hAnsi="Arial"/>
          <w:sz w:val="11"/>
          <w:szCs w:val="11"/>
          <w:color w:val="auto"/>
        </w:rPr>
        <w:t>– In the second quarter of 2018, we acquired EPC which provided a platform to expand our RAC and FMC solutions into Europe.</w:t>
      </w:r>
    </w:p>
    <w:p>
      <w:pPr>
        <w:ind w:left="1200"/>
        <w:spacing w:after="0"/>
        <w:rPr>
          <w:rFonts w:ascii="Arial" w:cs="Arial" w:eastAsia="Arial" w:hAnsi="Arial"/>
          <w:sz w:val="12"/>
          <w:szCs w:val="12"/>
          <w:color w:val="auto"/>
        </w:rPr>
      </w:pPr>
      <w:r>
        <w:rPr>
          <w:rFonts w:ascii="Arial" w:cs="Arial" w:eastAsia="Arial" w:hAnsi="Arial"/>
          <w:sz w:val="12"/>
          <w:szCs w:val="12"/>
          <w:i w:val="1"/>
          <w:iCs w:val="1"/>
          <w:u w:val="single" w:color="auto"/>
          <w:color w:val="auto"/>
        </w:rPr>
        <w:t>Pagatelia</w:t>
      </w:r>
      <w:r>
        <w:rPr>
          <w:rFonts w:ascii="Arial" w:cs="Arial" w:eastAsia="Arial" w:hAnsi="Arial"/>
          <w:sz w:val="12"/>
          <w:szCs w:val="12"/>
          <w:i w:val="1"/>
          <w:iCs w:val="1"/>
          <w:color w:val="auto"/>
        </w:rPr>
        <w:t xml:space="preserve"> </w:t>
      </w:r>
      <w:r>
        <w:rPr>
          <w:rFonts w:ascii="Arial" w:cs="Arial" w:eastAsia="Arial" w:hAnsi="Arial"/>
          <w:sz w:val="12"/>
          <w:szCs w:val="12"/>
          <w:color w:val="auto"/>
        </w:rPr>
        <w:t>– During the fourth quarter of 2019, we acquired Pagatelia which provides consumer tolling and parking solutions and is expected to accelerate our European expansion.</w:t>
      </w:r>
    </w:p>
    <w:p>
      <w:pPr>
        <w:spacing w:after="0" w:line="78" w:lineRule="exact"/>
        <w:rPr>
          <w:rFonts w:ascii="Arial" w:cs="Arial" w:eastAsia="Arial" w:hAnsi="Arial"/>
          <w:sz w:val="12"/>
          <w:szCs w:val="12"/>
          <w:color w:val="auto"/>
        </w:rPr>
      </w:pPr>
    </w:p>
    <w:p>
      <w:pPr>
        <w:ind w:left="1180" w:right="420" w:hanging="593"/>
        <w:spacing w:after="0" w:line="323" w:lineRule="auto"/>
        <w:tabs>
          <w:tab w:leader="none" w:pos="1180" w:val="left"/>
        </w:tabs>
        <w:numPr>
          <w:ilvl w:val="0"/>
          <w:numId w:val="19"/>
        </w:numPr>
        <w:rPr>
          <w:rFonts w:ascii="Arial" w:cs="Arial" w:eastAsia="Arial" w:hAnsi="Arial"/>
          <w:sz w:val="11"/>
          <w:szCs w:val="11"/>
          <w:color w:val="auto"/>
        </w:rPr>
      </w:pPr>
      <w:r>
        <w:rPr>
          <w:rFonts w:ascii="Arial" w:cs="Arial" w:eastAsia="Arial" w:hAnsi="Arial"/>
          <w:sz w:val="11"/>
          <w:szCs w:val="11"/>
          <w:color w:val="auto"/>
        </w:rPr>
        <w:t>We grew service revenue from $365.1 million in fiscal year 2018 to $416.7 million in fiscal year 2019. Acquisitions contributed $21.6 million to the revenue growth, while expansion in existing products or customers contributed $30.0 million to revenue growth. Service revenue was $135.7 million and $92.5 million for the 2017 Successor Period and the 2017 Predecessor Period, respectively.</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17740" cy="3683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ectPr>
          <w:pgSz w:w="11900" w:h="16838" w:orient="portrait"/>
          <w:cols w:equalWidth="0" w:num="1">
            <w:col w:w="11460"/>
          </w:cols>
          <w:pgMar w:left="220" w:top="127" w:right="219" w:bottom="1440" w:gutter="0" w:footer="0" w:header="0"/>
        </w:sectPr>
      </w:pPr>
    </w:p>
    <w:bookmarkStart w:id="45" w:name="page46"/>
    <w:bookmarkEnd w:id="45"/>
    <w:p>
      <w:pPr>
        <w:ind w:left="1180" w:hanging="593"/>
        <w:spacing w:after="0"/>
        <w:tabs>
          <w:tab w:leader="none" w:pos="1180" w:val="left"/>
        </w:tabs>
        <w:numPr>
          <w:ilvl w:val="0"/>
          <w:numId w:val="20"/>
        </w:numPr>
        <w:rPr>
          <w:rFonts w:ascii="Arial" w:cs="Arial" w:eastAsia="Arial" w:hAnsi="Arial"/>
          <w:sz w:val="12"/>
          <w:szCs w:val="12"/>
          <w:color w:val="auto"/>
        </w:rPr>
      </w:pPr>
      <w:r>
        <w:rPr>
          <w:rFonts w:ascii="Arial" w:cs="Arial" w:eastAsia="Arial" w:hAnsi="Arial"/>
          <w:sz w:val="12"/>
          <w:szCs w:val="12"/>
          <w:color w:val="auto"/>
        </w:rPr>
        <w:t>We improved our cost structure, as Selling, general and administrative expenses as a percentage of total revenue decreased from 36.8% in fiscal year 2018 to 19.1% for fiscal year 2019.</w:t>
      </w:r>
    </w:p>
    <w:p>
      <w:pPr>
        <w:spacing w:after="0" w:line="78" w:lineRule="exact"/>
        <w:rPr>
          <w:rFonts w:ascii="Arial" w:cs="Arial" w:eastAsia="Arial" w:hAnsi="Arial"/>
          <w:sz w:val="12"/>
          <w:szCs w:val="12"/>
          <w:color w:val="auto"/>
        </w:rPr>
      </w:pPr>
    </w:p>
    <w:p>
      <w:pPr>
        <w:ind w:left="1180" w:right="100" w:hanging="593"/>
        <w:spacing w:after="0" w:line="323" w:lineRule="auto"/>
        <w:tabs>
          <w:tab w:leader="none" w:pos="1180" w:val="left"/>
        </w:tabs>
        <w:numPr>
          <w:ilvl w:val="0"/>
          <w:numId w:val="20"/>
        </w:numPr>
        <w:rPr>
          <w:rFonts w:ascii="Arial" w:cs="Arial" w:eastAsia="Arial" w:hAnsi="Arial"/>
          <w:sz w:val="11"/>
          <w:szCs w:val="11"/>
          <w:color w:val="auto"/>
        </w:rPr>
      </w:pPr>
      <w:r>
        <w:rPr>
          <w:rFonts w:ascii="Arial" w:cs="Arial" w:eastAsia="Arial" w:hAnsi="Arial"/>
          <w:sz w:val="11"/>
          <w:szCs w:val="11"/>
          <w:color w:val="auto"/>
        </w:rPr>
        <w:t>We generated cash flows from operating activities of $133.8 million for fiscal year 2019, $46.0 million for fiscal year 2018, $8.3 million for the 2017 Successor Period, and $41.8 million for the 2017 Predecessor Period. Cash flows from operating activities for 2018 were negatively impacted by $65.2 million of transaction and transformation expenses associated with two acquisitions and our Business Combination.</w:t>
      </w:r>
    </w:p>
    <w:p>
      <w:pPr>
        <w:spacing w:after="0" w:line="16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Basis of Presentation</w:t>
      </w:r>
    </w:p>
    <w:p>
      <w:pPr>
        <w:spacing w:after="0" w:line="82" w:lineRule="exact"/>
        <w:rPr>
          <w:sz w:val="20"/>
          <w:szCs w:val="20"/>
          <w:color w:val="auto"/>
        </w:rPr>
      </w:pPr>
    </w:p>
    <w:p>
      <w:pPr>
        <w:ind w:firstLine="602"/>
        <w:spacing w:after="0" w:line="263" w:lineRule="auto"/>
        <w:rPr>
          <w:sz w:val="20"/>
          <w:szCs w:val="20"/>
          <w:color w:val="auto"/>
        </w:rPr>
      </w:pPr>
      <w:r>
        <w:rPr>
          <w:rFonts w:ascii="Arial" w:cs="Arial" w:eastAsia="Arial" w:hAnsi="Arial"/>
          <w:sz w:val="12"/>
          <w:szCs w:val="12"/>
          <w:color w:val="auto"/>
        </w:rPr>
        <w:t>On May 31, 2017, private equity investment vehicles sponsored by Platinum Equity, LLC acquired ATS Consolidated, Inc. (now VM Consolidated, Inc.) pursuant to the Agreement and Plan of Merger, dated April 15, 2017, by and among ATS Consolidated, Inc., Greenlight Merger Corporation, a wholly-owned subsidiary of Greenlight Acquisition Corporation, and Greenlight Acquisition Corporation, whereby we merged with and into Greenlight Merger Corporation with the former surviving the merger (such transaction, the “</w:t>
      </w:r>
      <w:r>
        <w:rPr>
          <w:rFonts w:ascii="Arial" w:cs="Arial" w:eastAsia="Arial" w:hAnsi="Arial"/>
          <w:sz w:val="12"/>
          <w:szCs w:val="12"/>
          <w:b w:val="1"/>
          <w:bCs w:val="1"/>
          <w:i w:val="1"/>
          <w:iCs w:val="1"/>
          <w:color w:val="auto"/>
        </w:rPr>
        <w:t>ATS Merger</w:t>
      </w:r>
      <w:r>
        <w:rPr>
          <w:rFonts w:ascii="Arial" w:cs="Arial" w:eastAsia="Arial" w:hAnsi="Arial"/>
          <w:sz w:val="12"/>
          <w:szCs w:val="12"/>
          <w:color w:val="auto"/>
        </w:rPr>
        <w:t>”).</w:t>
      </w:r>
    </w:p>
    <w:p>
      <w:pPr>
        <w:spacing w:after="0" w:line="123" w:lineRule="exact"/>
        <w:rPr>
          <w:sz w:val="20"/>
          <w:szCs w:val="20"/>
          <w:color w:val="auto"/>
        </w:rPr>
      </w:pPr>
    </w:p>
    <w:p>
      <w:pPr>
        <w:ind w:right="120" w:firstLine="602"/>
        <w:spacing w:after="0" w:line="290" w:lineRule="auto"/>
        <w:rPr>
          <w:sz w:val="20"/>
          <w:szCs w:val="20"/>
          <w:color w:val="auto"/>
        </w:rPr>
      </w:pPr>
      <w:r>
        <w:rPr>
          <w:rFonts w:ascii="Arial" w:cs="Arial" w:eastAsia="Arial" w:hAnsi="Arial"/>
          <w:sz w:val="11"/>
          <w:szCs w:val="11"/>
          <w:color w:val="auto"/>
        </w:rPr>
        <w:t>Pursuant to the ATS Merger, a new basis of accounting at fair value was established in accordance with U.S generally accepted accounting principles (“</w:t>
      </w:r>
      <w:r>
        <w:rPr>
          <w:rFonts w:ascii="Arial" w:cs="Arial" w:eastAsia="Arial" w:hAnsi="Arial"/>
          <w:sz w:val="11"/>
          <w:szCs w:val="11"/>
          <w:b w:val="1"/>
          <w:bCs w:val="1"/>
          <w:i w:val="1"/>
          <w:iCs w:val="1"/>
          <w:color w:val="auto"/>
        </w:rPr>
        <w:t>GAAP</w:t>
      </w:r>
      <w:r>
        <w:rPr>
          <w:rFonts w:ascii="Arial" w:cs="Arial" w:eastAsia="Arial" w:hAnsi="Arial"/>
          <w:sz w:val="11"/>
          <w:szCs w:val="11"/>
          <w:color w:val="auto"/>
        </w:rPr>
        <w:t xml:space="preserve">”) under Accounting Standards Codification Topic 805, </w:t>
      </w:r>
      <w:r>
        <w:rPr>
          <w:rFonts w:ascii="Arial" w:cs="Arial" w:eastAsia="Arial" w:hAnsi="Arial"/>
          <w:sz w:val="11"/>
          <w:szCs w:val="11"/>
          <w:i w:val="1"/>
          <w:iCs w:val="1"/>
          <w:color w:val="auto"/>
        </w:rPr>
        <w:t>Business</w:t>
      </w:r>
      <w:r>
        <w:rPr>
          <w:rFonts w:ascii="Arial" w:cs="Arial" w:eastAsia="Arial" w:hAnsi="Arial"/>
          <w:sz w:val="11"/>
          <w:szCs w:val="11"/>
          <w:color w:val="auto"/>
        </w:rPr>
        <w:t xml:space="preserve"> </w:t>
      </w:r>
      <w:r>
        <w:rPr>
          <w:rFonts w:ascii="Arial" w:cs="Arial" w:eastAsia="Arial" w:hAnsi="Arial"/>
          <w:sz w:val="11"/>
          <w:szCs w:val="11"/>
          <w:i w:val="1"/>
          <w:iCs w:val="1"/>
          <w:color w:val="auto"/>
        </w:rPr>
        <w:t>Combinations</w:t>
      </w:r>
      <w:r>
        <w:rPr>
          <w:rFonts w:ascii="Arial" w:cs="Arial" w:eastAsia="Arial" w:hAnsi="Arial"/>
          <w:sz w:val="11"/>
          <w:szCs w:val="11"/>
          <w:color w:val="auto"/>
        </w:rPr>
        <w:t>. The new stepped-up basis was pushed down by Greenlight Acquisition Corporation to us. The consolidated financial statements and our footnotes contained elsewhere in this Annual Report on Form 10-K are presented in</w:t>
      </w:r>
      <w:r>
        <w:rPr>
          <w:rFonts w:ascii="Arial" w:cs="Arial" w:eastAsia="Arial" w:hAnsi="Arial"/>
          <w:sz w:val="11"/>
          <w:szCs w:val="11"/>
          <w:i w:val="1"/>
          <w:iCs w:val="1"/>
          <w:color w:val="auto"/>
        </w:rPr>
        <w:t xml:space="preserve"> </w:t>
      </w:r>
      <w:r>
        <w:rPr>
          <w:rFonts w:ascii="Arial" w:cs="Arial" w:eastAsia="Arial" w:hAnsi="Arial"/>
          <w:sz w:val="11"/>
          <w:szCs w:val="11"/>
          <w:color w:val="auto"/>
        </w:rPr>
        <w:t>distinct periods to indicate the application of two different bases of accounting between the periods presented. As a result of purchase accounting, the pre-ATS Merger and post-ATS Merger consolidated financial statements are not comparable. Depreciation, amortization and interest expense were the primary items impacted in any material respect by the purchase accounting adjustments related to the ATS Merger.</w:t>
      </w:r>
    </w:p>
    <w:p>
      <w:pPr>
        <w:spacing w:after="0" w:line="109" w:lineRule="exact"/>
        <w:rPr>
          <w:sz w:val="20"/>
          <w:szCs w:val="20"/>
          <w:color w:val="auto"/>
        </w:rPr>
      </w:pPr>
    </w:p>
    <w:p>
      <w:pPr>
        <w:ind w:right="20" w:firstLine="602"/>
        <w:spacing w:after="0" w:line="276" w:lineRule="auto"/>
        <w:rPr>
          <w:sz w:val="20"/>
          <w:szCs w:val="20"/>
          <w:color w:val="auto"/>
        </w:rPr>
      </w:pPr>
      <w:r>
        <w:rPr>
          <w:rFonts w:ascii="Arial" w:cs="Arial" w:eastAsia="Arial" w:hAnsi="Arial"/>
          <w:sz w:val="12"/>
          <w:szCs w:val="12"/>
          <w:color w:val="auto"/>
        </w:rPr>
        <w:t>The period from January 1, 2017 to May 31, 2017 has been labeled “</w:t>
      </w:r>
      <w:r>
        <w:rPr>
          <w:rFonts w:ascii="Arial" w:cs="Arial" w:eastAsia="Arial" w:hAnsi="Arial"/>
          <w:sz w:val="12"/>
          <w:szCs w:val="12"/>
          <w:b w:val="1"/>
          <w:bCs w:val="1"/>
          <w:i w:val="1"/>
          <w:iCs w:val="1"/>
          <w:color w:val="auto"/>
        </w:rPr>
        <w:t>Predecessor</w:t>
      </w:r>
      <w:r>
        <w:rPr>
          <w:rFonts w:ascii="Arial" w:cs="Arial" w:eastAsia="Arial" w:hAnsi="Arial"/>
          <w:sz w:val="12"/>
          <w:szCs w:val="12"/>
          <w:color w:val="auto"/>
        </w:rPr>
        <w:t>,” or “</w:t>
      </w:r>
      <w:r>
        <w:rPr>
          <w:rFonts w:ascii="Arial" w:cs="Arial" w:eastAsia="Arial" w:hAnsi="Arial"/>
          <w:sz w:val="12"/>
          <w:szCs w:val="12"/>
          <w:b w:val="1"/>
          <w:bCs w:val="1"/>
          <w:i w:val="1"/>
          <w:iCs w:val="1"/>
          <w:color w:val="auto"/>
        </w:rPr>
        <w:t>2017 Predecessor Period</w:t>
      </w:r>
      <w:r>
        <w:rPr>
          <w:rFonts w:ascii="Arial" w:cs="Arial" w:eastAsia="Arial" w:hAnsi="Arial"/>
          <w:sz w:val="12"/>
          <w:szCs w:val="12"/>
          <w:color w:val="auto"/>
        </w:rPr>
        <w:t>,” and the financial information and discussion and analysis for this period has been prepared using the historical basis of accounting of the Predecessor.</w:t>
      </w:r>
    </w:p>
    <w:p>
      <w:pPr>
        <w:spacing w:after="0" w:line="18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Factors Affecting Our Operating Results</w:t>
      </w:r>
    </w:p>
    <w:p>
      <w:pPr>
        <w:spacing w:after="0" w:line="82" w:lineRule="exact"/>
        <w:rPr>
          <w:sz w:val="20"/>
          <w:szCs w:val="20"/>
          <w:color w:val="auto"/>
        </w:rPr>
      </w:pPr>
    </w:p>
    <w:p>
      <w:pPr>
        <w:ind w:left="600"/>
        <w:spacing w:after="0"/>
        <w:rPr>
          <w:sz w:val="20"/>
          <w:szCs w:val="20"/>
          <w:color w:val="auto"/>
        </w:rPr>
      </w:pPr>
      <w:r>
        <w:rPr>
          <w:rFonts w:ascii="Arial" w:cs="Arial" w:eastAsia="Arial" w:hAnsi="Arial"/>
          <w:sz w:val="12"/>
          <w:szCs w:val="12"/>
          <w:color w:val="auto"/>
        </w:rPr>
        <w:t>Our operating results and financial performance are influenced by certain unique events during the periods discussed herein, including the following:</w:t>
      </w:r>
    </w:p>
    <w:p>
      <w:pPr>
        <w:spacing w:after="0" w:line="22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Business Combination</w:t>
      </w:r>
    </w:p>
    <w:p>
      <w:pPr>
        <w:spacing w:after="0" w:line="78" w:lineRule="exact"/>
        <w:rPr>
          <w:sz w:val="20"/>
          <w:szCs w:val="20"/>
          <w:color w:val="auto"/>
        </w:rPr>
      </w:pPr>
    </w:p>
    <w:p>
      <w:pPr>
        <w:ind w:right="260" w:firstLine="602"/>
        <w:spacing w:after="0" w:line="263" w:lineRule="auto"/>
        <w:rPr>
          <w:sz w:val="20"/>
          <w:szCs w:val="20"/>
          <w:color w:val="auto"/>
        </w:rPr>
      </w:pPr>
      <w:r>
        <w:rPr>
          <w:rFonts w:ascii="Arial" w:cs="Arial" w:eastAsia="Arial" w:hAnsi="Arial"/>
          <w:sz w:val="12"/>
          <w:szCs w:val="12"/>
          <w:color w:val="auto"/>
        </w:rPr>
        <w:t>We were originally incorporated in Delaware on August 15, 2016 as Gores Holdings II, Inc. (“</w:t>
      </w:r>
      <w:r>
        <w:rPr>
          <w:rFonts w:ascii="Arial" w:cs="Arial" w:eastAsia="Arial" w:hAnsi="Arial"/>
          <w:sz w:val="12"/>
          <w:szCs w:val="12"/>
          <w:b w:val="1"/>
          <w:bCs w:val="1"/>
          <w:i w:val="1"/>
          <w:iCs w:val="1"/>
          <w:color w:val="auto"/>
        </w:rPr>
        <w:t>Gores</w:t>
      </w:r>
      <w:r>
        <w:rPr>
          <w:rFonts w:ascii="Arial" w:cs="Arial" w:eastAsia="Arial" w:hAnsi="Arial"/>
          <w:sz w:val="12"/>
          <w:szCs w:val="12"/>
          <w:color w:val="auto"/>
        </w:rPr>
        <w:t>”), a special purpose acquisition company formed for the purpose of effecting a merger, capital stock exchange, asset acquisition, stock purchase, reorganization, or other similar business combination with one or more target businesses. On January 19, 2017, we consummated our initial public offering, following which our shares began trading on the Nasdaq Capital Market.</w:t>
      </w:r>
    </w:p>
    <w:p>
      <w:pPr>
        <w:spacing w:after="0" w:line="123" w:lineRule="exact"/>
        <w:rPr>
          <w:sz w:val="20"/>
          <w:szCs w:val="20"/>
          <w:color w:val="auto"/>
        </w:rPr>
      </w:pPr>
    </w:p>
    <w:p>
      <w:pPr>
        <w:ind w:right="300" w:firstLine="602"/>
        <w:spacing w:after="0" w:line="298" w:lineRule="auto"/>
        <w:rPr>
          <w:sz w:val="20"/>
          <w:szCs w:val="20"/>
          <w:color w:val="auto"/>
        </w:rPr>
      </w:pPr>
      <w:r>
        <w:rPr>
          <w:rFonts w:ascii="Arial" w:cs="Arial" w:eastAsia="Arial" w:hAnsi="Arial"/>
          <w:sz w:val="11"/>
          <w:szCs w:val="11"/>
          <w:color w:val="auto"/>
        </w:rPr>
        <w:t>On June 21, 2018, Gores, First Merger Sub, Second Merger Sub and PE Greenlight Holdings, LLC entered into the Merger Agreement, which provided for, among other things, (i) the First Merger and (ii) immediately following the First Merger and as part of the same overall transaction as the First Merger, the Second Merger. In connection with the closing of the Business Combination on October 17, 2018, we changed our name to Verra Mobility Corporation. As a result of the Business Combination, we became the owner, directly or indirectly, of all of the equity interests of Verra Mobility Holdings, LLC (formerly Second Merger Sub) and its subsidiaries.</w:t>
      </w:r>
    </w:p>
    <w:p>
      <w:pPr>
        <w:spacing w:after="0" w:line="17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HTA Acquisition and Refinancing</w:t>
      </w:r>
    </w:p>
    <w:p>
      <w:pPr>
        <w:spacing w:after="0" w:line="78" w:lineRule="exact"/>
        <w:rPr>
          <w:sz w:val="20"/>
          <w:szCs w:val="20"/>
          <w:color w:val="auto"/>
        </w:rPr>
      </w:pPr>
    </w:p>
    <w:p>
      <w:pPr>
        <w:ind w:right="200" w:firstLine="602"/>
        <w:spacing w:after="0" w:line="298" w:lineRule="auto"/>
        <w:rPr>
          <w:sz w:val="20"/>
          <w:szCs w:val="20"/>
          <w:color w:val="auto"/>
        </w:rPr>
      </w:pPr>
      <w:r>
        <w:rPr>
          <w:rFonts w:ascii="Arial" w:cs="Arial" w:eastAsia="Arial" w:hAnsi="Arial"/>
          <w:sz w:val="11"/>
          <w:szCs w:val="11"/>
          <w:color w:val="auto"/>
        </w:rPr>
        <w:t xml:space="preserve">On March 1, 2018, we acquired HTA for an aggregate purchase price of $603.3 million, consisting of $525.0 million in cash, $9.7 million in purchase price adjustments, a $11.3 million payment to the sellers for certain tax items, and the issuance of equity in Greenlight with a fair value of approximately $57.3 million. The receipt of the equity was treated for accounting purposes as a capital contribution from Greenlight Acquisition Corporation. We recognized $15.6 million of costs related to the transaction in fiscal year 2018. See Note 3, </w:t>
      </w:r>
      <w:r>
        <w:rPr>
          <w:rFonts w:ascii="Arial" w:cs="Arial" w:eastAsia="Arial" w:hAnsi="Arial"/>
          <w:sz w:val="11"/>
          <w:szCs w:val="11"/>
          <w:i w:val="1"/>
          <w:iCs w:val="1"/>
          <w:color w:val="auto"/>
        </w:rPr>
        <w:t>Mergers and Acquisitions</w:t>
      </w:r>
      <w:r>
        <w:rPr>
          <w:rFonts w:ascii="Arial" w:cs="Arial" w:eastAsia="Arial" w:hAnsi="Arial"/>
          <w:sz w:val="11"/>
          <w:szCs w:val="11"/>
          <w:color w:val="auto"/>
        </w:rPr>
        <w:t>, in Item 8, Financial Statements and Supplementary Data.</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17740" cy="3683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ectPr>
          <w:pgSz w:w="11900" w:h="16838" w:orient="portrait"/>
          <w:cols w:equalWidth="0" w:num="1">
            <w:col w:w="11440"/>
          </w:cols>
          <w:pgMar w:left="220" w:top="131" w:right="239" w:bottom="1440" w:gutter="0" w:footer="0" w:header="0"/>
        </w:sectPr>
      </w:pPr>
    </w:p>
    <w:bookmarkStart w:id="46" w:name="page47"/>
    <w:bookmarkEnd w:id="46"/>
    <w:p>
      <w:pPr>
        <w:ind w:right="120" w:firstLine="602"/>
        <w:spacing w:after="0" w:line="263" w:lineRule="auto"/>
        <w:rPr>
          <w:sz w:val="20"/>
          <w:szCs w:val="20"/>
          <w:color w:val="auto"/>
        </w:rPr>
      </w:pPr>
      <w:r>
        <w:rPr>
          <w:rFonts w:ascii="Arial" w:cs="Arial" w:eastAsia="Arial" w:hAnsi="Arial"/>
          <w:sz w:val="12"/>
          <w:szCs w:val="12"/>
          <w:color w:val="auto"/>
        </w:rPr>
        <w:t xml:space="preserve">In connection with the HTA acquisition, we refinanced the 2017 Credit Facilities (defined below) and entered into the 2018 Credit Facilities (defined below), which provided for term loans with an aggregate principal amount of $1.04 billion and a revolver with an aggregate commitment of up to $75.0 million. We recorded a loss on extinguishment of the 2017 Credit Facilities of $10.2 million during fiscal year 2018, which included a prepayment penalty of $3.8 million related to one of the term loans. See Note 9, </w:t>
      </w:r>
      <w:r>
        <w:rPr>
          <w:rFonts w:ascii="Arial" w:cs="Arial" w:eastAsia="Arial" w:hAnsi="Arial"/>
          <w:sz w:val="12"/>
          <w:szCs w:val="12"/>
          <w:i w:val="1"/>
          <w:iCs w:val="1"/>
          <w:color w:val="auto"/>
        </w:rPr>
        <w:t>Debt</w:t>
      </w:r>
      <w:r>
        <w:rPr>
          <w:rFonts w:ascii="Arial" w:cs="Arial" w:eastAsia="Arial" w:hAnsi="Arial"/>
          <w:sz w:val="12"/>
          <w:szCs w:val="12"/>
          <w:color w:val="auto"/>
        </w:rPr>
        <w:t>, in Item 8, Financial Statements and Supplementary Data.</w:t>
      </w:r>
    </w:p>
    <w:p>
      <w:pPr>
        <w:spacing w:after="0" w:line="19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EPC Acquisition</w:t>
      </w:r>
    </w:p>
    <w:p>
      <w:pPr>
        <w:spacing w:after="0" w:line="78" w:lineRule="exact"/>
        <w:rPr>
          <w:sz w:val="20"/>
          <w:szCs w:val="20"/>
          <w:color w:val="auto"/>
        </w:rPr>
      </w:pPr>
    </w:p>
    <w:p>
      <w:pPr>
        <w:ind w:firstLine="602"/>
        <w:spacing w:after="0" w:line="263" w:lineRule="auto"/>
        <w:rPr>
          <w:sz w:val="20"/>
          <w:szCs w:val="20"/>
          <w:color w:val="auto"/>
        </w:rPr>
      </w:pPr>
      <w:r>
        <w:rPr>
          <w:rFonts w:ascii="Arial" w:cs="Arial" w:eastAsia="Arial" w:hAnsi="Arial"/>
          <w:sz w:val="12"/>
          <w:szCs w:val="12"/>
          <w:color w:val="auto"/>
        </w:rPr>
        <w:t xml:space="preserve">On April 6, 2018, we acquired EPC for an aggregate purchase price of $62.9 million. The purchase consideration consisted primarily of equity in Greenlight and working capital adjustments, which aggregated $2.6 million. The receipt of equity was treated for accounting purposes as a capital contribution from Greenlight Acquisition Corporation. We recognized $3.0 million of costs related to the transaction in fiscal year 2018. See Note 3, </w:t>
      </w:r>
      <w:r>
        <w:rPr>
          <w:rFonts w:ascii="Arial" w:cs="Arial" w:eastAsia="Arial" w:hAnsi="Arial"/>
          <w:sz w:val="12"/>
          <w:szCs w:val="12"/>
          <w:i w:val="1"/>
          <w:iCs w:val="1"/>
          <w:color w:val="auto"/>
        </w:rPr>
        <w:t>Mergers and</w:t>
      </w:r>
      <w:r>
        <w:rPr>
          <w:rFonts w:ascii="Arial" w:cs="Arial" w:eastAsia="Arial" w:hAnsi="Arial"/>
          <w:sz w:val="12"/>
          <w:szCs w:val="12"/>
          <w:color w:val="auto"/>
        </w:rPr>
        <w:t xml:space="preserve"> </w:t>
      </w:r>
      <w:r>
        <w:rPr>
          <w:rFonts w:ascii="Arial" w:cs="Arial" w:eastAsia="Arial" w:hAnsi="Arial"/>
          <w:sz w:val="12"/>
          <w:szCs w:val="12"/>
          <w:i w:val="1"/>
          <w:iCs w:val="1"/>
          <w:color w:val="auto"/>
        </w:rPr>
        <w:t>Acquisitions</w:t>
      </w:r>
      <w:r>
        <w:rPr>
          <w:rFonts w:ascii="Arial" w:cs="Arial" w:eastAsia="Arial" w:hAnsi="Arial"/>
          <w:sz w:val="12"/>
          <w:szCs w:val="12"/>
          <w:color w:val="auto"/>
        </w:rPr>
        <w:t>, in Item 8, Financial Statements and Supplementary Data.</w:t>
      </w:r>
    </w:p>
    <w:p>
      <w:pPr>
        <w:spacing w:after="0" w:line="19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Pagatelia Acquisition</w:t>
      </w:r>
    </w:p>
    <w:p>
      <w:pPr>
        <w:spacing w:after="0" w:line="78" w:lineRule="exact"/>
        <w:rPr>
          <w:sz w:val="20"/>
          <w:szCs w:val="20"/>
          <w:color w:val="auto"/>
        </w:rPr>
      </w:pPr>
    </w:p>
    <w:p>
      <w:pPr>
        <w:ind w:right="200" w:firstLine="602"/>
        <w:spacing w:after="0" w:line="276" w:lineRule="auto"/>
        <w:rPr>
          <w:sz w:val="20"/>
          <w:szCs w:val="20"/>
          <w:color w:val="auto"/>
        </w:rPr>
      </w:pPr>
      <w:r>
        <w:rPr>
          <w:rFonts w:ascii="Arial" w:cs="Arial" w:eastAsia="Arial" w:hAnsi="Arial"/>
          <w:sz w:val="12"/>
          <w:szCs w:val="12"/>
          <w:color w:val="auto"/>
        </w:rPr>
        <w:t>On October 31, 2019, we completed the acquisition of all of the outstanding shares of Pagatelia, a Spanish limited liability company that provides electronic consumer tolling and parking solutions in Spain, Portugal, France and Italy. The purchase consideration for Pagatelia was $26.6 million which we paid during the fourth quarter of fiscal 2019. Transaction costs related to Pagatelia were not material.</w:t>
      </w:r>
    </w:p>
    <w:p>
      <w:pPr>
        <w:spacing w:after="0" w:line="18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ATS Merger</w:t>
      </w:r>
    </w:p>
    <w:p>
      <w:pPr>
        <w:spacing w:after="0" w:line="78" w:lineRule="exact"/>
        <w:rPr>
          <w:sz w:val="20"/>
          <w:szCs w:val="20"/>
          <w:color w:val="auto"/>
        </w:rPr>
      </w:pPr>
    </w:p>
    <w:p>
      <w:pPr>
        <w:ind w:right="160" w:firstLine="602"/>
        <w:spacing w:after="0" w:line="259" w:lineRule="auto"/>
        <w:rPr>
          <w:sz w:val="20"/>
          <w:szCs w:val="20"/>
          <w:color w:val="auto"/>
        </w:rPr>
      </w:pPr>
      <w:r>
        <w:rPr>
          <w:rFonts w:ascii="Arial" w:cs="Arial" w:eastAsia="Arial" w:hAnsi="Arial"/>
          <w:sz w:val="12"/>
          <w:szCs w:val="12"/>
          <w:color w:val="auto"/>
        </w:rPr>
        <w:t>In connection with the ATS Merger (discussed above), we recognized approximately $31.0 million of aggregate expenses related to the transaction between the 2017 Predecessor Period and the period from June 1, 2017 to December 31, 2017, which has been labeled “</w:t>
      </w:r>
      <w:r>
        <w:rPr>
          <w:rFonts w:ascii="Arial" w:cs="Arial" w:eastAsia="Arial" w:hAnsi="Arial"/>
          <w:sz w:val="12"/>
          <w:szCs w:val="12"/>
          <w:b w:val="1"/>
          <w:bCs w:val="1"/>
          <w:i w:val="1"/>
          <w:iCs w:val="1"/>
          <w:color w:val="auto"/>
        </w:rPr>
        <w:t>Successor</w:t>
      </w:r>
      <w:r>
        <w:rPr>
          <w:rFonts w:ascii="Arial" w:cs="Arial" w:eastAsia="Arial" w:hAnsi="Arial"/>
          <w:sz w:val="12"/>
          <w:szCs w:val="12"/>
          <w:color w:val="auto"/>
        </w:rPr>
        <w:t>” or the “</w:t>
      </w:r>
      <w:r>
        <w:rPr>
          <w:rFonts w:ascii="Arial" w:cs="Arial" w:eastAsia="Arial" w:hAnsi="Arial"/>
          <w:sz w:val="12"/>
          <w:szCs w:val="12"/>
          <w:b w:val="1"/>
          <w:bCs w:val="1"/>
          <w:i w:val="1"/>
          <w:iCs w:val="1"/>
          <w:color w:val="auto"/>
        </w:rPr>
        <w:t>2017 Successor Period</w:t>
      </w:r>
      <w:r>
        <w:rPr>
          <w:rFonts w:ascii="Arial" w:cs="Arial" w:eastAsia="Arial" w:hAnsi="Arial"/>
          <w:sz w:val="12"/>
          <w:szCs w:val="12"/>
          <w:color w:val="auto"/>
        </w:rPr>
        <w:t>.” We had approximately $9.9 million of costs included in Selling, general and administrative expenses for the 2017 Successor Period related to the transaction. For the 2017 Predecessor Period, approximately $21.1 million of costs were included in Selling, general and administrative expenses, consisting of $11.9 million of payments under our 2016 equity plan, $1.3 million of transaction bonus payments, and $7.9 million of professional fees and other expenses related to the ATS Merger.</w:t>
      </w:r>
    </w:p>
    <w:p>
      <w:pPr>
        <w:spacing w:after="0" w:line="22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Primary Components of Operating Results</w:t>
      </w:r>
    </w:p>
    <w:p>
      <w:pPr>
        <w:spacing w:after="0" w:line="8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Revenue</w:t>
      </w:r>
    </w:p>
    <w:p>
      <w:pPr>
        <w:spacing w:after="0" w:line="78" w:lineRule="exact"/>
        <w:rPr>
          <w:sz w:val="20"/>
          <w:szCs w:val="20"/>
          <w:color w:val="auto"/>
        </w:rPr>
      </w:pPr>
    </w:p>
    <w:p>
      <w:pPr>
        <w:ind w:left="600"/>
        <w:spacing w:after="0"/>
        <w:rPr>
          <w:sz w:val="20"/>
          <w:szCs w:val="20"/>
          <w:color w:val="auto"/>
        </w:rPr>
      </w:pPr>
      <w:r>
        <w:rPr>
          <w:rFonts w:ascii="Arial" w:cs="Arial" w:eastAsia="Arial" w:hAnsi="Arial"/>
          <w:sz w:val="12"/>
          <w:szCs w:val="12"/>
          <w:color w:val="auto"/>
        </w:rPr>
        <w:t>Total revenue consists of service revenue generated by our Commercial Services and Government Solutions segments and product sales generated by the Government Solutions segment.</w:t>
      </w:r>
    </w:p>
    <w:p>
      <w:pPr>
        <w:spacing w:after="0" w:line="150" w:lineRule="exact"/>
        <w:rPr>
          <w:sz w:val="20"/>
          <w:szCs w:val="20"/>
          <w:color w:val="auto"/>
        </w:rPr>
      </w:pPr>
    </w:p>
    <w:p>
      <w:pPr>
        <w:ind w:right="60" w:firstLine="602"/>
        <w:spacing w:after="0" w:line="259" w:lineRule="auto"/>
        <w:rPr>
          <w:sz w:val="20"/>
          <w:szCs w:val="20"/>
          <w:color w:val="auto"/>
        </w:rPr>
      </w:pPr>
      <w:r>
        <w:rPr>
          <w:rFonts w:ascii="Arial" w:cs="Arial" w:eastAsia="Arial" w:hAnsi="Arial"/>
          <w:sz w:val="12"/>
          <w:szCs w:val="12"/>
          <w:i w:val="1"/>
          <w:iCs w:val="1"/>
          <w:color w:val="auto"/>
        </w:rPr>
        <w:t xml:space="preserve">Service Revenue. </w:t>
      </w:r>
      <w:r>
        <w:rPr>
          <w:rFonts w:ascii="Arial" w:cs="Arial" w:eastAsia="Arial" w:hAnsi="Arial"/>
          <w:sz w:val="12"/>
          <w:szCs w:val="12"/>
          <w:color w:val="auto"/>
        </w:rPr>
        <w:t>The Commercial Services segment primarily generates service revenue through the management and operation of tolling programs for RACs, FMCs and other large fleet customers. These solutions are full</w:t>
      </w:r>
      <w:r>
        <w:rPr>
          <w:rFonts w:ascii="Arial" w:cs="Arial" w:eastAsia="Arial" w:hAnsi="Arial"/>
          <w:sz w:val="12"/>
          <w:szCs w:val="12"/>
          <w:i w:val="1"/>
          <w:iCs w:val="1"/>
          <w:color w:val="auto"/>
        </w:rPr>
        <w:t xml:space="preserve"> </w:t>
      </w:r>
      <w:r>
        <w:rPr>
          <w:rFonts w:ascii="Arial" w:cs="Arial" w:eastAsia="Arial" w:hAnsi="Arial"/>
          <w:sz w:val="12"/>
          <w:szCs w:val="12"/>
          <w:color w:val="auto"/>
        </w:rPr>
        <w:t>service offerings by which we enroll plates of our customers’ vehicles with tolling authorities, process payments on the customers’ behalf and, through proprietary technology, integrate with customer data to match the toll to the driver and then bill the driver (or our customer, as applicable) for use of the service. The cost of certain tolls, violations and our customers’ share of administration fees are netted against revenue. We also generate service revenue in the Commercial Services segment through processing titles, registrations and violations for our customers.</w:t>
      </w:r>
    </w:p>
    <w:p>
      <w:pPr>
        <w:spacing w:after="0" w:line="125" w:lineRule="exact"/>
        <w:rPr>
          <w:sz w:val="20"/>
          <w:szCs w:val="20"/>
          <w:color w:val="auto"/>
        </w:rPr>
      </w:pPr>
    </w:p>
    <w:p>
      <w:pPr>
        <w:ind w:right="40" w:firstLine="602"/>
        <w:spacing w:after="0" w:line="263" w:lineRule="auto"/>
        <w:rPr>
          <w:sz w:val="20"/>
          <w:szCs w:val="20"/>
          <w:color w:val="auto"/>
        </w:rPr>
      </w:pPr>
      <w:r>
        <w:rPr>
          <w:rFonts w:ascii="Arial" w:cs="Arial" w:eastAsia="Arial" w:hAnsi="Arial"/>
          <w:sz w:val="12"/>
          <w:szCs w:val="12"/>
          <w:color w:val="auto"/>
        </w:rPr>
        <w:t>The Government Solutions segment generates service revenue through the operation and maintenance of photo enforcement systems. This revenue is generally tied to long-term contracts, and revenue is recognized either when services are performed or when citations are issued or paid, depending on the terms of the customer contract. Revenue drivers include the number of systems installed and the monthly revenue per system. Ancillary service revenue is generated in the Government Solutions segment from payment processing, pass-through fees for collection expense, and other fees.</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17740" cy="3683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ectPr>
          <w:pgSz w:w="11900" w:h="16838" w:orient="portrait"/>
          <w:cols w:equalWidth="0" w:num="1">
            <w:col w:w="11480"/>
          </w:cols>
          <w:pgMar w:left="220" w:top="275" w:right="199" w:bottom="1440" w:gutter="0" w:footer="0" w:header="0"/>
        </w:sectPr>
      </w:pPr>
    </w:p>
    <w:bookmarkStart w:id="47" w:name="page48"/>
    <w:bookmarkEnd w:id="47"/>
    <w:p>
      <w:pPr>
        <w:ind w:right="340" w:firstLine="602"/>
        <w:spacing w:after="0" w:line="276" w:lineRule="auto"/>
        <w:rPr>
          <w:sz w:val="20"/>
          <w:szCs w:val="20"/>
          <w:color w:val="auto"/>
        </w:rPr>
      </w:pPr>
      <w:r>
        <w:rPr>
          <w:rFonts w:ascii="Arial" w:cs="Arial" w:eastAsia="Arial" w:hAnsi="Arial"/>
          <w:sz w:val="12"/>
          <w:szCs w:val="12"/>
          <w:i w:val="1"/>
          <w:iCs w:val="1"/>
          <w:color w:val="auto"/>
        </w:rPr>
        <w:t xml:space="preserve">Product Sales. </w:t>
      </w:r>
      <w:r>
        <w:rPr>
          <w:rFonts w:ascii="Arial" w:cs="Arial" w:eastAsia="Arial" w:hAnsi="Arial"/>
          <w:sz w:val="12"/>
          <w:szCs w:val="12"/>
          <w:color w:val="auto"/>
        </w:rPr>
        <w:t>Product sales are generated by the sale of photo enforcement equipment to certain Government Solutions customers. There are a small number of customers who purchase this equipment, and their buying</w:t>
      </w:r>
      <w:r>
        <w:rPr>
          <w:rFonts w:ascii="Arial" w:cs="Arial" w:eastAsia="Arial" w:hAnsi="Arial"/>
          <w:sz w:val="12"/>
          <w:szCs w:val="12"/>
          <w:i w:val="1"/>
          <w:iCs w:val="1"/>
          <w:color w:val="auto"/>
        </w:rPr>
        <w:t xml:space="preserve"> </w:t>
      </w:r>
      <w:r>
        <w:rPr>
          <w:rFonts w:ascii="Arial" w:cs="Arial" w:eastAsia="Arial" w:hAnsi="Arial"/>
          <w:sz w:val="12"/>
          <w:szCs w:val="12"/>
          <w:color w:val="auto"/>
        </w:rPr>
        <w:t>patterns vary greatly from period to period. Product sales revenue is recognized when the equipment is accepted or installed.</w:t>
      </w:r>
    </w:p>
    <w:p>
      <w:pPr>
        <w:spacing w:after="0" w:line="18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Cost and Expenses</w:t>
      </w:r>
    </w:p>
    <w:p>
      <w:pPr>
        <w:spacing w:after="0" w:line="78" w:lineRule="exact"/>
        <w:rPr>
          <w:sz w:val="20"/>
          <w:szCs w:val="20"/>
          <w:color w:val="auto"/>
        </w:rPr>
      </w:pPr>
    </w:p>
    <w:p>
      <w:pPr>
        <w:ind w:right="520" w:firstLine="602"/>
        <w:spacing w:after="0" w:line="276" w:lineRule="auto"/>
        <w:rPr>
          <w:sz w:val="20"/>
          <w:szCs w:val="20"/>
          <w:color w:val="auto"/>
        </w:rPr>
      </w:pPr>
      <w:r>
        <w:rPr>
          <w:rFonts w:ascii="Arial" w:cs="Arial" w:eastAsia="Arial" w:hAnsi="Arial"/>
          <w:sz w:val="12"/>
          <w:szCs w:val="12"/>
          <w:i w:val="1"/>
          <w:iCs w:val="1"/>
          <w:color w:val="auto"/>
        </w:rPr>
        <w:t xml:space="preserve">Cost of Service Revenue. </w:t>
      </w:r>
      <w:r>
        <w:rPr>
          <w:rFonts w:ascii="Arial" w:cs="Arial" w:eastAsia="Arial" w:hAnsi="Arial"/>
          <w:sz w:val="12"/>
          <w:szCs w:val="12"/>
          <w:color w:val="auto"/>
        </w:rPr>
        <w:t>Cost of service revenue consists of collection and other professional services contracted with third parties and associated with the delivery of certain ancillary services performed by both the</w:t>
      </w:r>
      <w:r>
        <w:rPr>
          <w:rFonts w:ascii="Arial" w:cs="Arial" w:eastAsia="Arial" w:hAnsi="Arial"/>
          <w:sz w:val="12"/>
          <w:szCs w:val="12"/>
          <w:i w:val="1"/>
          <w:iCs w:val="1"/>
          <w:color w:val="auto"/>
        </w:rPr>
        <w:t xml:space="preserve"> </w:t>
      </w:r>
      <w:r>
        <w:rPr>
          <w:rFonts w:ascii="Arial" w:cs="Arial" w:eastAsia="Arial" w:hAnsi="Arial"/>
          <w:sz w:val="12"/>
          <w:szCs w:val="12"/>
          <w:color w:val="auto"/>
        </w:rPr>
        <w:t>Government Solutions and Commercial Services segments.</w:t>
      </w:r>
    </w:p>
    <w:p>
      <w:pPr>
        <w:spacing w:after="0" w:line="115" w:lineRule="exact"/>
        <w:rPr>
          <w:sz w:val="20"/>
          <w:szCs w:val="20"/>
          <w:color w:val="auto"/>
        </w:rPr>
      </w:pPr>
    </w:p>
    <w:p>
      <w:pPr>
        <w:ind w:left="600"/>
        <w:spacing w:after="0"/>
        <w:rPr>
          <w:sz w:val="20"/>
          <w:szCs w:val="20"/>
          <w:color w:val="auto"/>
        </w:rPr>
      </w:pPr>
      <w:r>
        <w:rPr>
          <w:rFonts w:ascii="Arial" w:cs="Arial" w:eastAsia="Arial" w:hAnsi="Arial"/>
          <w:sz w:val="12"/>
          <w:szCs w:val="12"/>
          <w:i w:val="1"/>
          <w:iCs w:val="1"/>
          <w:color w:val="auto"/>
        </w:rPr>
        <w:t xml:space="preserve">Cost of Product Sales. </w:t>
      </w:r>
      <w:r>
        <w:rPr>
          <w:rFonts w:ascii="Arial" w:cs="Arial" w:eastAsia="Arial" w:hAnsi="Arial"/>
          <w:sz w:val="12"/>
          <w:szCs w:val="12"/>
          <w:color w:val="auto"/>
        </w:rPr>
        <w:t>Cost of product sales consists of the cost to acquire and install photo enforcement equipment that is purchased by Government Solutions customers.</w:t>
      </w:r>
    </w:p>
    <w:p>
      <w:pPr>
        <w:spacing w:after="0" w:line="150" w:lineRule="exact"/>
        <w:rPr>
          <w:sz w:val="20"/>
          <w:szCs w:val="20"/>
          <w:color w:val="auto"/>
        </w:rPr>
      </w:pPr>
    </w:p>
    <w:p>
      <w:pPr>
        <w:ind w:right="320" w:firstLine="602"/>
        <w:spacing w:after="0" w:line="276" w:lineRule="auto"/>
        <w:rPr>
          <w:sz w:val="20"/>
          <w:szCs w:val="20"/>
          <w:color w:val="auto"/>
        </w:rPr>
      </w:pPr>
      <w:r>
        <w:rPr>
          <w:rFonts w:ascii="Arial" w:cs="Arial" w:eastAsia="Arial" w:hAnsi="Arial"/>
          <w:sz w:val="12"/>
          <w:szCs w:val="12"/>
          <w:i w:val="1"/>
          <w:iCs w:val="1"/>
          <w:color w:val="auto"/>
        </w:rPr>
        <w:t xml:space="preserve">Operating Expenses. </w:t>
      </w:r>
      <w:r>
        <w:rPr>
          <w:rFonts w:ascii="Arial" w:cs="Arial" w:eastAsia="Arial" w:hAnsi="Arial"/>
          <w:sz w:val="12"/>
          <w:szCs w:val="12"/>
          <w:color w:val="auto"/>
        </w:rPr>
        <w:t>Operating expenses include payroll and payroll-related costs (including stock-based compensation), costs related to the operation of our call centers and other operational costs, including transaction</w:t>
      </w:r>
      <w:r>
        <w:rPr>
          <w:rFonts w:ascii="Arial" w:cs="Arial" w:eastAsia="Arial" w:hAnsi="Arial"/>
          <w:sz w:val="12"/>
          <w:szCs w:val="12"/>
          <w:i w:val="1"/>
          <w:iCs w:val="1"/>
          <w:color w:val="auto"/>
        </w:rPr>
        <w:t xml:space="preserve"> </w:t>
      </w:r>
      <w:r>
        <w:rPr>
          <w:rFonts w:ascii="Arial" w:cs="Arial" w:eastAsia="Arial" w:hAnsi="Arial"/>
          <w:sz w:val="12"/>
          <w:szCs w:val="12"/>
          <w:color w:val="auto"/>
        </w:rPr>
        <w:t>processing, print, postage and communication costs.</w:t>
      </w:r>
    </w:p>
    <w:p>
      <w:pPr>
        <w:spacing w:after="0" w:line="115" w:lineRule="exact"/>
        <w:rPr>
          <w:sz w:val="20"/>
          <w:szCs w:val="20"/>
          <w:color w:val="auto"/>
        </w:rPr>
      </w:pPr>
    </w:p>
    <w:p>
      <w:pPr>
        <w:ind w:right="80" w:firstLine="602"/>
        <w:spacing w:after="0" w:line="276" w:lineRule="auto"/>
        <w:rPr>
          <w:sz w:val="20"/>
          <w:szCs w:val="20"/>
          <w:color w:val="auto"/>
        </w:rPr>
      </w:pPr>
      <w:r>
        <w:rPr>
          <w:rFonts w:ascii="Arial" w:cs="Arial" w:eastAsia="Arial" w:hAnsi="Arial"/>
          <w:sz w:val="12"/>
          <w:szCs w:val="12"/>
          <w:i w:val="1"/>
          <w:iCs w:val="1"/>
          <w:color w:val="auto"/>
        </w:rPr>
        <w:t xml:space="preserve">Selling, General and Administrative Expenses. </w:t>
      </w:r>
      <w:r>
        <w:rPr>
          <w:rFonts w:ascii="Arial" w:cs="Arial" w:eastAsia="Arial" w:hAnsi="Arial"/>
          <w:sz w:val="12"/>
          <w:szCs w:val="12"/>
          <w:color w:val="auto"/>
        </w:rPr>
        <w:t>Selling, general and administrative expenses include payroll and payroll-related costs (including stock-based compensation), real estate lease expense, insurance costs, legal fees</w:t>
      </w:r>
      <w:r>
        <w:rPr>
          <w:rFonts w:ascii="Arial" w:cs="Arial" w:eastAsia="Arial" w:hAnsi="Arial"/>
          <w:sz w:val="12"/>
          <w:szCs w:val="12"/>
          <w:i w:val="1"/>
          <w:iCs w:val="1"/>
          <w:color w:val="auto"/>
        </w:rPr>
        <w:t xml:space="preserve"> </w:t>
      </w:r>
      <w:r>
        <w:rPr>
          <w:rFonts w:ascii="Arial" w:cs="Arial" w:eastAsia="Arial" w:hAnsi="Arial"/>
          <w:sz w:val="12"/>
          <w:szCs w:val="12"/>
          <w:color w:val="auto"/>
        </w:rPr>
        <w:t>and general corporate expenses.</w:t>
      </w:r>
    </w:p>
    <w:p>
      <w:pPr>
        <w:spacing w:after="0" w:line="115" w:lineRule="exact"/>
        <w:rPr>
          <w:sz w:val="20"/>
          <w:szCs w:val="20"/>
          <w:color w:val="auto"/>
        </w:rPr>
      </w:pPr>
    </w:p>
    <w:p>
      <w:pPr>
        <w:ind w:firstLine="602"/>
        <w:spacing w:after="0" w:line="276" w:lineRule="auto"/>
        <w:rPr>
          <w:sz w:val="20"/>
          <w:szCs w:val="20"/>
          <w:color w:val="auto"/>
        </w:rPr>
      </w:pPr>
      <w:r>
        <w:rPr>
          <w:rFonts w:ascii="Arial" w:cs="Arial" w:eastAsia="Arial" w:hAnsi="Arial"/>
          <w:sz w:val="12"/>
          <w:szCs w:val="12"/>
          <w:i w:val="1"/>
          <w:iCs w:val="1"/>
          <w:color w:val="auto"/>
        </w:rPr>
        <w:t xml:space="preserve">Depreciation, Amortization and (Gain) Loss on Disposal of Assets, Net. </w:t>
      </w:r>
      <w:r>
        <w:rPr>
          <w:rFonts w:ascii="Arial" w:cs="Arial" w:eastAsia="Arial" w:hAnsi="Arial"/>
          <w:sz w:val="12"/>
          <w:szCs w:val="12"/>
          <w:color w:val="auto"/>
        </w:rPr>
        <w:t>Depreciation, amortization and (gain) loss on disposal of assets, net includes depreciation on property, plant and equipment, and amortization of definite-lived intangible assets. This line item also includes any one-time gains or losses incurred in connection with the disposal of certain assets.</w:t>
      </w:r>
    </w:p>
    <w:p>
      <w:pPr>
        <w:spacing w:after="0" w:line="115" w:lineRule="exact"/>
        <w:rPr>
          <w:sz w:val="20"/>
          <w:szCs w:val="20"/>
          <w:color w:val="auto"/>
        </w:rPr>
      </w:pPr>
    </w:p>
    <w:p>
      <w:pPr>
        <w:ind w:left="600"/>
        <w:spacing w:after="0"/>
        <w:rPr>
          <w:sz w:val="20"/>
          <w:szCs w:val="20"/>
          <w:color w:val="auto"/>
        </w:rPr>
      </w:pPr>
      <w:r>
        <w:rPr>
          <w:rFonts w:ascii="Arial" w:cs="Arial" w:eastAsia="Arial" w:hAnsi="Arial"/>
          <w:sz w:val="12"/>
          <w:szCs w:val="12"/>
          <w:i w:val="1"/>
          <w:iCs w:val="1"/>
          <w:color w:val="auto"/>
        </w:rPr>
        <w:t xml:space="preserve">Impairment of Property and Equipment. </w:t>
      </w:r>
      <w:r>
        <w:rPr>
          <w:rFonts w:ascii="Arial" w:cs="Arial" w:eastAsia="Arial" w:hAnsi="Arial"/>
          <w:sz w:val="12"/>
          <w:szCs w:val="12"/>
          <w:color w:val="auto"/>
        </w:rPr>
        <w:t>Impairment of property and equipment includes impairment charges for fixed assets which were held and used in our operations.</w:t>
      </w:r>
    </w:p>
    <w:p>
      <w:pPr>
        <w:spacing w:after="0" w:line="150" w:lineRule="exact"/>
        <w:rPr>
          <w:sz w:val="20"/>
          <w:szCs w:val="20"/>
          <w:color w:val="auto"/>
        </w:rPr>
      </w:pPr>
    </w:p>
    <w:p>
      <w:pPr>
        <w:ind w:left="600"/>
        <w:spacing w:after="0"/>
        <w:rPr>
          <w:sz w:val="20"/>
          <w:szCs w:val="20"/>
          <w:color w:val="auto"/>
        </w:rPr>
      </w:pPr>
      <w:r>
        <w:rPr>
          <w:rFonts w:ascii="Arial" w:cs="Arial" w:eastAsia="Arial" w:hAnsi="Arial"/>
          <w:sz w:val="12"/>
          <w:szCs w:val="12"/>
          <w:i w:val="1"/>
          <w:iCs w:val="1"/>
          <w:color w:val="auto"/>
        </w:rPr>
        <w:t>Interest Expense, Net</w:t>
      </w:r>
      <w:r>
        <w:rPr>
          <w:rFonts w:ascii="Arial" w:cs="Arial" w:eastAsia="Arial" w:hAnsi="Arial"/>
          <w:sz w:val="12"/>
          <w:szCs w:val="12"/>
          <w:color w:val="auto"/>
        </w:rPr>
        <w:t>. Interest expense, net includes interest expense and amortization of deferred financing costs and discounts and is net of interest income.</w:t>
      </w:r>
    </w:p>
    <w:p>
      <w:pPr>
        <w:spacing w:after="0" w:line="150" w:lineRule="exact"/>
        <w:rPr>
          <w:sz w:val="20"/>
          <w:szCs w:val="20"/>
          <w:color w:val="auto"/>
        </w:rPr>
      </w:pPr>
    </w:p>
    <w:p>
      <w:pPr>
        <w:ind w:left="600"/>
        <w:spacing w:after="0"/>
        <w:rPr>
          <w:sz w:val="20"/>
          <w:szCs w:val="20"/>
          <w:color w:val="auto"/>
        </w:rPr>
      </w:pPr>
      <w:r>
        <w:rPr>
          <w:rFonts w:ascii="Arial" w:cs="Arial" w:eastAsia="Arial" w:hAnsi="Arial"/>
          <w:sz w:val="11"/>
          <w:szCs w:val="11"/>
          <w:i w:val="1"/>
          <w:iCs w:val="1"/>
          <w:color w:val="auto"/>
        </w:rPr>
        <w:t xml:space="preserve">Loss on Extinguishment of Debt. </w:t>
      </w:r>
      <w:r>
        <w:rPr>
          <w:rFonts w:ascii="Arial" w:cs="Arial" w:eastAsia="Arial" w:hAnsi="Arial"/>
          <w:sz w:val="11"/>
          <w:szCs w:val="11"/>
          <w:color w:val="auto"/>
        </w:rPr>
        <w:t>Loss on extinguishment of debt generally consists of early payment penalties, the write-off of original issue discounts and deferred financing costs associated with debt extinguishment.</w:t>
      </w:r>
    </w:p>
    <w:p>
      <w:pPr>
        <w:spacing w:after="0" w:line="162" w:lineRule="exact"/>
        <w:rPr>
          <w:sz w:val="20"/>
          <w:szCs w:val="20"/>
          <w:color w:val="auto"/>
        </w:rPr>
      </w:pPr>
    </w:p>
    <w:p>
      <w:pPr>
        <w:ind w:left="600"/>
        <w:spacing w:after="0"/>
        <w:rPr>
          <w:sz w:val="20"/>
          <w:szCs w:val="20"/>
          <w:color w:val="auto"/>
        </w:rPr>
      </w:pPr>
      <w:r>
        <w:rPr>
          <w:rFonts w:ascii="Arial" w:cs="Arial" w:eastAsia="Arial" w:hAnsi="Arial"/>
          <w:sz w:val="12"/>
          <w:szCs w:val="12"/>
          <w:i w:val="1"/>
          <w:iCs w:val="1"/>
          <w:color w:val="auto"/>
        </w:rPr>
        <w:t xml:space="preserve">Other Income, Net. </w:t>
      </w:r>
      <w:r>
        <w:rPr>
          <w:rFonts w:ascii="Arial" w:cs="Arial" w:eastAsia="Arial" w:hAnsi="Arial"/>
          <w:sz w:val="12"/>
          <w:szCs w:val="12"/>
          <w:color w:val="auto"/>
        </w:rPr>
        <w:t>Other income, net primarily consists of volume rebates from total spend on purchasing cards and gain or loss on foreign currency transactions.</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17740" cy="3683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ectPr>
          <w:pgSz w:w="11900" w:h="16838" w:orient="portrait"/>
          <w:cols w:equalWidth="0" w:num="1">
            <w:col w:w="11460"/>
          </w:cols>
          <w:pgMar w:left="220" w:top="275" w:right="219" w:bottom="1440" w:gutter="0" w:footer="0" w:header="0"/>
        </w:sectPr>
      </w:pPr>
    </w:p>
    <w:bookmarkStart w:id="48" w:name="page49"/>
    <w:bookmarkEnd w:id="48"/>
    <w:p>
      <w:pPr>
        <w:spacing w:after="0"/>
        <w:rPr>
          <w:sz w:val="20"/>
          <w:szCs w:val="20"/>
          <w:color w:val="auto"/>
        </w:rPr>
      </w:pPr>
      <w:r>
        <w:rPr>
          <w:rFonts w:ascii="Arial" w:cs="Arial" w:eastAsia="Arial" w:hAnsi="Arial"/>
          <w:sz w:val="12"/>
          <w:szCs w:val="12"/>
          <w:b w:val="1"/>
          <w:bCs w:val="1"/>
          <w:color w:val="auto"/>
        </w:rPr>
        <w:t>Results of Operations</w:t>
      </w:r>
    </w:p>
    <w:p>
      <w:pPr>
        <w:spacing w:after="0" w:line="8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Fiscal Year 2019 Compared to Fiscal Year 2018</w:t>
      </w:r>
    </w:p>
    <w:p>
      <w:pPr>
        <w:spacing w:after="0" w:line="78" w:lineRule="exact"/>
        <w:rPr>
          <w:sz w:val="20"/>
          <w:szCs w:val="20"/>
          <w:color w:val="auto"/>
        </w:rPr>
      </w:pPr>
    </w:p>
    <w:p>
      <w:pPr>
        <w:ind w:right="180" w:firstLine="602"/>
        <w:spacing w:after="0" w:line="276" w:lineRule="auto"/>
        <w:rPr>
          <w:sz w:val="20"/>
          <w:szCs w:val="20"/>
          <w:color w:val="auto"/>
        </w:rPr>
      </w:pPr>
      <w:r>
        <w:rPr>
          <w:rFonts w:ascii="Arial" w:cs="Arial" w:eastAsia="Arial" w:hAnsi="Arial"/>
          <w:sz w:val="12"/>
          <w:szCs w:val="12"/>
          <w:color w:val="auto"/>
        </w:rPr>
        <w:t>The following table sets forth our statements of operations data and expresses each item as a percentage of total revenue for the periods presented as well as the changes between periods. The tables and information provided were derived from exact numbers and may have immaterial rounding differences.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40" w:type="dxa"/>
            <w:vAlign w:val="bottom"/>
          </w:tcPr>
          <w:p>
            <w:pPr>
              <w:spacing w:after="0"/>
              <w:rPr>
                <w:sz w:val="10"/>
                <w:szCs w:val="10"/>
                <w:color w:val="auto"/>
              </w:rPr>
            </w:pPr>
          </w:p>
        </w:tc>
        <w:tc>
          <w:tcPr>
            <w:tcW w:w="2880" w:type="dxa"/>
            <w:vAlign w:val="bottom"/>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1420" w:type="dxa"/>
            <w:vAlign w:val="bottom"/>
            <w:tcBorders>
              <w:bottom w:val="single" w:sz="8" w:color="auto"/>
            </w:tcBorders>
            <w:gridSpan w:val="3"/>
          </w:tcPr>
          <w:p>
            <w:pPr>
              <w:jc w:val="right"/>
              <w:ind w:right="320"/>
              <w:spacing w:after="0"/>
              <w:rPr>
                <w:sz w:val="20"/>
                <w:szCs w:val="20"/>
                <w:color w:val="auto"/>
              </w:rPr>
            </w:pPr>
            <w:r>
              <w:rPr>
                <w:rFonts w:ascii="Arial" w:cs="Arial" w:eastAsia="Arial" w:hAnsi="Arial"/>
                <w:sz w:val="10"/>
                <w:szCs w:val="10"/>
                <w:b w:val="1"/>
                <w:bCs w:val="1"/>
                <w:color w:val="auto"/>
                <w:w w:val="87"/>
              </w:rPr>
              <w:t>Year Ended December 31,</w:t>
            </w:r>
          </w:p>
        </w:tc>
        <w:tc>
          <w:tcPr>
            <w:tcW w:w="36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3"/>
        </w:trPr>
        <w:tc>
          <w:tcPr>
            <w:tcW w:w="640" w:type="dxa"/>
            <w:vAlign w:val="bottom"/>
          </w:tcPr>
          <w:p>
            <w:pPr>
              <w:spacing w:after="0"/>
              <w:rPr>
                <w:sz w:val="7"/>
                <w:szCs w:val="7"/>
                <w:color w:val="auto"/>
              </w:rPr>
            </w:pPr>
          </w:p>
        </w:tc>
        <w:tc>
          <w:tcPr>
            <w:tcW w:w="2880" w:type="dxa"/>
            <w:vAlign w:val="bottom"/>
          </w:tcPr>
          <w:p>
            <w:pPr>
              <w:spacing w:after="0"/>
              <w:rPr>
                <w:sz w:val="7"/>
                <w:szCs w:val="7"/>
                <w:color w:val="auto"/>
              </w:rPr>
            </w:pPr>
          </w:p>
        </w:tc>
        <w:tc>
          <w:tcPr>
            <w:tcW w:w="2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40" w:type="dxa"/>
            <w:vAlign w:val="bottom"/>
          </w:tcPr>
          <w:p>
            <w:pPr>
              <w:spacing w:after="0"/>
              <w:rPr>
                <w:sz w:val="7"/>
                <w:szCs w:val="7"/>
                <w:color w:val="auto"/>
              </w:rPr>
            </w:pPr>
          </w:p>
        </w:tc>
        <w:tc>
          <w:tcPr>
            <w:tcW w:w="8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0" w:type="dxa"/>
            <w:vAlign w:val="bottom"/>
          </w:tcPr>
          <w:p>
            <w:pPr>
              <w:spacing w:after="0"/>
              <w:rPr>
                <w:sz w:val="7"/>
                <w:szCs w:val="7"/>
                <w:color w:val="auto"/>
              </w:rPr>
            </w:pPr>
          </w:p>
        </w:tc>
        <w:tc>
          <w:tcPr>
            <w:tcW w:w="300" w:type="dxa"/>
            <w:vAlign w:val="bottom"/>
          </w:tcPr>
          <w:p>
            <w:pPr>
              <w:spacing w:after="0"/>
              <w:rPr>
                <w:sz w:val="7"/>
                <w:szCs w:val="7"/>
                <w:color w:val="auto"/>
              </w:rPr>
            </w:pPr>
          </w:p>
        </w:tc>
        <w:tc>
          <w:tcPr>
            <w:tcW w:w="720" w:type="dxa"/>
            <w:vAlign w:val="bottom"/>
          </w:tcPr>
          <w:p>
            <w:pPr>
              <w:spacing w:after="0"/>
              <w:rPr>
                <w:sz w:val="7"/>
                <w:szCs w:val="7"/>
                <w:color w:val="auto"/>
              </w:rPr>
            </w:pPr>
          </w:p>
        </w:tc>
        <w:tc>
          <w:tcPr>
            <w:tcW w:w="360" w:type="dxa"/>
            <w:vAlign w:val="bottom"/>
          </w:tcPr>
          <w:p>
            <w:pPr>
              <w:spacing w:after="0"/>
              <w:rPr>
                <w:sz w:val="7"/>
                <w:szCs w:val="7"/>
                <w:color w:val="auto"/>
              </w:rPr>
            </w:pPr>
          </w:p>
        </w:tc>
        <w:tc>
          <w:tcPr>
            <w:tcW w:w="2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20" w:type="dxa"/>
            <w:vAlign w:val="bottom"/>
            <w:gridSpan w:val="3"/>
          </w:tcPr>
          <w:p>
            <w:pPr>
              <w:jc w:val="center"/>
              <w:ind w:left="365"/>
              <w:spacing w:after="0" w:line="83" w:lineRule="exact"/>
              <w:rPr>
                <w:sz w:val="20"/>
                <w:szCs w:val="20"/>
                <w:color w:val="auto"/>
              </w:rPr>
            </w:pPr>
            <w:r>
              <w:rPr>
                <w:rFonts w:ascii="Arial" w:cs="Arial" w:eastAsia="Arial" w:hAnsi="Arial"/>
                <w:sz w:val="8"/>
                <w:szCs w:val="8"/>
                <w:b w:val="1"/>
                <w:bCs w:val="1"/>
                <w:color w:val="auto"/>
              </w:rPr>
              <w:t>Increase (Decrease)</w:t>
            </w: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3520" w:type="dxa"/>
            <w:vAlign w:val="bottom"/>
            <w:gridSpan w:val="2"/>
            <w:vMerge w:val="restart"/>
          </w:tcPr>
          <w:p>
            <w:pPr>
              <w:spacing w:after="0"/>
              <w:rPr>
                <w:sz w:val="20"/>
                <w:szCs w:val="20"/>
                <w:color w:val="auto"/>
              </w:rPr>
            </w:pPr>
            <w:r>
              <w:rPr>
                <w:rFonts w:ascii="Arial" w:cs="Arial" w:eastAsia="Arial" w:hAnsi="Arial"/>
                <w:sz w:val="10"/>
                <w:szCs w:val="10"/>
                <w:b w:val="1"/>
                <w:bCs w:val="1"/>
                <w:u w:val="single" w:color="auto"/>
                <w:color w:val="auto"/>
              </w:rPr>
              <w:t>(</w:t>
            </w:r>
            <w:r>
              <w:rPr>
                <w:rFonts w:ascii="Arial" w:cs="Arial" w:eastAsia="Arial" w:hAnsi="Arial"/>
                <w:sz w:val="10"/>
                <w:szCs w:val="10"/>
                <w:b w:val="1"/>
                <w:bCs w:val="1"/>
                <w:color w:val="auto"/>
              </w:rPr>
              <w:t>$ in thousands)</w:t>
            </w:r>
          </w:p>
        </w:tc>
        <w:tc>
          <w:tcPr>
            <w:tcW w:w="240" w:type="dxa"/>
            <w:vAlign w:val="bottom"/>
          </w:tcPr>
          <w:p>
            <w:pPr>
              <w:spacing w:after="0"/>
              <w:rPr>
                <w:sz w:val="9"/>
                <w:szCs w:val="9"/>
                <w:color w:val="auto"/>
              </w:rPr>
            </w:pPr>
          </w:p>
        </w:tc>
        <w:tc>
          <w:tcPr>
            <w:tcW w:w="820" w:type="dxa"/>
            <w:vAlign w:val="bottom"/>
            <w:vMerge w:val="restart"/>
          </w:tcPr>
          <w:p>
            <w:pPr>
              <w:jc w:val="right"/>
              <w:ind w:right="383"/>
              <w:spacing w:after="0"/>
              <w:rPr>
                <w:sz w:val="20"/>
                <w:szCs w:val="20"/>
                <w:color w:val="auto"/>
              </w:rPr>
            </w:pPr>
            <w:r>
              <w:rPr>
                <w:rFonts w:ascii="Arial" w:cs="Arial" w:eastAsia="Arial" w:hAnsi="Arial"/>
                <w:sz w:val="10"/>
                <w:szCs w:val="10"/>
                <w:b w:val="1"/>
                <w:bCs w:val="1"/>
                <w:color w:val="auto"/>
              </w:rPr>
              <w:t>2019</w:t>
            </w: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vMerge w:val="restart"/>
          </w:tcPr>
          <w:p>
            <w:pPr>
              <w:jc w:val="right"/>
              <w:ind w:right="383"/>
              <w:spacing w:after="0"/>
              <w:rPr>
                <w:sz w:val="20"/>
                <w:szCs w:val="20"/>
                <w:color w:val="auto"/>
              </w:rPr>
            </w:pPr>
            <w:r>
              <w:rPr>
                <w:rFonts w:ascii="Arial" w:cs="Arial" w:eastAsia="Arial" w:hAnsi="Arial"/>
                <w:sz w:val="10"/>
                <w:szCs w:val="10"/>
                <w:b w:val="1"/>
                <w:bCs w:val="1"/>
                <w:color w:val="auto"/>
              </w:rPr>
              <w:t>2018</w:t>
            </w:r>
          </w:p>
        </w:tc>
        <w:tc>
          <w:tcPr>
            <w:tcW w:w="280" w:type="dxa"/>
            <w:vAlign w:val="bottom"/>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420" w:type="dxa"/>
            <w:vAlign w:val="bottom"/>
            <w:tcBorders>
              <w:bottom w:val="single" w:sz="8" w:color="auto"/>
            </w:tcBorders>
            <w:gridSpan w:val="3"/>
          </w:tcPr>
          <w:p>
            <w:pPr>
              <w:jc w:val="right"/>
              <w:ind w:right="400"/>
              <w:spacing w:after="0" w:line="114" w:lineRule="exact"/>
              <w:rPr>
                <w:sz w:val="20"/>
                <w:szCs w:val="20"/>
                <w:color w:val="auto"/>
              </w:rPr>
            </w:pPr>
            <w:r>
              <w:rPr>
                <w:rFonts w:ascii="Arial" w:cs="Arial" w:eastAsia="Arial" w:hAnsi="Arial"/>
                <w:sz w:val="10"/>
                <w:szCs w:val="10"/>
                <w:b w:val="1"/>
                <w:bCs w:val="1"/>
                <w:color w:val="auto"/>
                <w:w w:val="90"/>
              </w:rPr>
              <w:t>Percentage of Revenue</w:t>
            </w:r>
          </w:p>
        </w:tc>
        <w:tc>
          <w:tcPr>
            <w:tcW w:w="36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420" w:type="dxa"/>
            <w:vAlign w:val="bottom"/>
            <w:tcBorders>
              <w:bottom w:val="single" w:sz="8" w:color="auto"/>
            </w:tcBorders>
            <w:gridSpan w:val="3"/>
          </w:tcPr>
          <w:p>
            <w:pPr>
              <w:jc w:val="center"/>
              <w:ind w:left="365"/>
              <w:spacing w:after="0" w:line="114" w:lineRule="exact"/>
              <w:rPr>
                <w:sz w:val="20"/>
                <w:szCs w:val="20"/>
                <w:color w:val="auto"/>
              </w:rPr>
            </w:pPr>
            <w:r>
              <w:rPr>
                <w:rFonts w:ascii="Arial" w:cs="Arial" w:eastAsia="Arial" w:hAnsi="Arial"/>
                <w:sz w:val="10"/>
                <w:szCs w:val="10"/>
                <w:b w:val="1"/>
                <w:bCs w:val="1"/>
                <w:color w:val="auto"/>
                <w:w w:val="84"/>
              </w:rPr>
              <w:t>2019 vs 2018</w:t>
            </w:r>
          </w:p>
        </w:tc>
        <w:tc>
          <w:tcPr>
            <w:tcW w:w="70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3520" w:type="dxa"/>
            <w:vAlign w:val="bottom"/>
            <w:gridSpan w:val="2"/>
            <w:vMerge w:val="continue"/>
          </w:tcPr>
          <w:p>
            <w:pPr>
              <w:spacing w:after="0"/>
              <w:rPr>
                <w:sz w:val="7"/>
                <w:szCs w:val="7"/>
                <w:color w:val="auto"/>
              </w:rPr>
            </w:pPr>
          </w:p>
        </w:tc>
        <w:tc>
          <w:tcPr>
            <w:tcW w:w="24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4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jc w:val="right"/>
              <w:spacing w:after="0" w:line="88" w:lineRule="exact"/>
              <w:rPr>
                <w:sz w:val="20"/>
                <w:szCs w:val="20"/>
                <w:color w:val="auto"/>
              </w:rPr>
            </w:pPr>
            <w:r>
              <w:rPr>
                <w:rFonts w:ascii="Arial" w:cs="Arial" w:eastAsia="Arial" w:hAnsi="Arial"/>
                <w:sz w:val="10"/>
                <w:szCs w:val="10"/>
                <w:b w:val="1"/>
                <w:bCs w:val="1"/>
                <w:color w:val="auto"/>
              </w:rPr>
              <w:t>2019</w:t>
            </w:r>
          </w:p>
        </w:tc>
        <w:tc>
          <w:tcPr>
            <w:tcW w:w="1420" w:type="dxa"/>
            <w:vAlign w:val="bottom"/>
            <w:gridSpan w:val="3"/>
          </w:tcPr>
          <w:p>
            <w:pPr>
              <w:jc w:val="right"/>
              <w:ind w:right="100"/>
              <w:spacing w:after="0" w:line="88" w:lineRule="exact"/>
              <w:rPr>
                <w:sz w:val="20"/>
                <w:szCs w:val="20"/>
                <w:color w:val="auto"/>
              </w:rPr>
            </w:pPr>
            <w:r>
              <w:rPr>
                <w:rFonts w:ascii="Arial" w:cs="Arial" w:eastAsia="Arial" w:hAnsi="Arial"/>
                <w:sz w:val="10"/>
                <w:szCs w:val="10"/>
                <w:b w:val="1"/>
                <w:bCs w:val="1"/>
                <w:color w:val="auto"/>
              </w:rPr>
              <w:t>2018</w:t>
            </w:r>
          </w:p>
        </w:tc>
        <w:tc>
          <w:tcPr>
            <w:tcW w:w="360" w:type="dxa"/>
            <w:vAlign w:val="bottom"/>
          </w:tcPr>
          <w:p>
            <w:pPr>
              <w:spacing w:after="0"/>
              <w:rPr>
                <w:sz w:val="7"/>
                <w:szCs w:val="7"/>
                <w:color w:val="auto"/>
              </w:rPr>
            </w:pPr>
          </w:p>
        </w:tc>
        <w:tc>
          <w:tcPr>
            <w:tcW w:w="280" w:type="dxa"/>
            <w:vAlign w:val="bottom"/>
          </w:tcPr>
          <w:p>
            <w:pPr>
              <w:spacing w:after="0"/>
              <w:rPr>
                <w:sz w:val="7"/>
                <w:szCs w:val="7"/>
                <w:color w:val="auto"/>
              </w:rPr>
            </w:pPr>
          </w:p>
        </w:tc>
        <w:tc>
          <w:tcPr>
            <w:tcW w:w="300" w:type="dxa"/>
            <w:vAlign w:val="bottom"/>
          </w:tcPr>
          <w:p>
            <w:pPr>
              <w:spacing w:after="0"/>
              <w:rPr>
                <w:sz w:val="7"/>
                <w:szCs w:val="7"/>
                <w:color w:val="auto"/>
              </w:rPr>
            </w:pPr>
          </w:p>
        </w:tc>
        <w:tc>
          <w:tcPr>
            <w:tcW w:w="780" w:type="dxa"/>
            <w:vAlign w:val="bottom"/>
          </w:tcPr>
          <w:p>
            <w:pPr>
              <w:jc w:val="right"/>
              <w:ind w:right="465"/>
              <w:spacing w:after="0" w:line="88" w:lineRule="exact"/>
              <w:rPr>
                <w:sz w:val="20"/>
                <w:szCs w:val="20"/>
                <w:color w:val="auto"/>
              </w:rPr>
            </w:pPr>
            <w:r>
              <w:rPr>
                <w:rFonts w:ascii="Arial" w:cs="Arial" w:eastAsia="Arial" w:hAnsi="Arial"/>
                <w:sz w:val="10"/>
                <w:szCs w:val="10"/>
                <w:b w:val="1"/>
                <w:bCs w:val="1"/>
                <w:color w:val="auto"/>
              </w:rPr>
              <w:t>$</w:t>
            </w:r>
          </w:p>
        </w:tc>
        <w:tc>
          <w:tcPr>
            <w:tcW w:w="260" w:type="dxa"/>
            <w:vAlign w:val="bottom"/>
          </w:tcPr>
          <w:p>
            <w:pPr>
              <w:spacing w:after="0"/>
              <w:rPr>
                <w:sz w:val="7"/>
                <w:szCs w:val="7"/>
                <w:color w:val="auto"/>
              </w:rPr>
            </w:pPr>
          </w:p>
        </w:tc>
        <w:tc>
          <w:tcPr>
            <w:tcW w:w="380" w:type="dxa"/>
            <w:vAlign w:val="bottom"/>
          </w:tcPr>
          <w:p>
            <w:pPr>
              <w:spacing w:after="0"/>
              <w:rPr>
                <w:sz w:val="7"/>
                <w:szCs w:val="7"/>
                <w:color w:val="auto"/>
              </w:rPr>
            </w:pPr>
          </w:p>
        </w:tc>
        <w:tc>
          <w:tcPr>
            <w:tcW w:w="700" w:type="dxa"/>
            <w:vAlign w:val="bottom"/>
          </w:tcPr>
          <w:p>
            <w:pPr>
              <w:jc w:val="right"/>
              <w:ind w:right="443"/>
              <w:spacing w:after="0" w:line="88" w:lineRule="exact"/>
              <w:rPr>
                <w:sz w:val="20"/>
                <w:szCs w:val="20"/>
                <w:color w:val="auto"/>
              </w:rPr>
            </w:pPr>
            <w:r>
              <w:rPr>
                <w:rFonts w:ascii="Arial" w:cs="Arial" w:eastAsia="Arial" w:hAnsi="Arial"/>
                <w:sz w:val="10"/>
                <w:szCs w:val="10"/>
                <w:b w:val="1"/>
                <w:bCs w:val="1"/>
                <w:color w:val="auto"/>
              </w:rPr>
              <w:t>%</w:t>
            </w: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640" w:type="dxa"/>
            <w:vAlign w:val="bottom"/>
            <w:tcBorders>
              <w:bottom w:val="single" w:sz="8" w:color="CFF0FC"/>
            </w:tcBorders>
            <w:shd w:val="clear" w:color="auto" w:fill="000000"/>
          </w:tcPr>
          <w:p>
            <w:pPr>
              <w:spacing w:after="0" w:line="20" w:lineRule="exact"/>
              <w:rPr>
                <w:sz w:val="1"/>
                <w:szCs w:val="1"/>
                <w:color w:val="auto"/>
              </w:rPr>
            </w:pPr>
          </w:p>
        </w:tc>
        <w:tc>
          <w:tcPr>
            <w:tcW w:w="2880" w:type="dxa"/>
            <w:vAlign w:val="bottom"/>
            <w:tcBorders>
              <w:bottom w:val="single" w:sz="8" w:color="CFF0FC"/>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FF0FC"/>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FF0FC"/>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FF0FC"/>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FF0FC"/>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FF0FC"/>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3520" w:type="dxa"/>
            <w:vAlign w:val="bottom"/>
            <w:gridSpan w:val="2"/>
            <w:shd w:val="clear" w:color="auto" w:fill="CFF0FC"/>
          </w:tcPr>
          <w:p>
            <w:pPr>
              <w:spacing w:after="0" w:line="122" w:lineRule="exact"/>
              <w:rPr>
                <w:sz w:val="20"/>
                <w:szCs w:val="20"/>
                <w:color w:val="auto"/>
              </w:rPr>
            </w:pPr>
            <w:r>
              <w:rPr>
                <w:rFonts w:ascii="Arial" w:cs="Arial" w:eastAsia="Arial" w:hAnsi="Arial"/>
                <w:sz w:val="11"/>
                <w:szCs w:val="11"/>
                <w:color w:val="auto"/>
              </w:rPr>
              <w:t>Service revenue</w:t>
            </w:r>
          </w:p>
        </w:tc>
        <w:tc>
          <w:tcPr>
            <w:tcW w:w="240" w:type="dxa"/>
            <w:vAlign w:val="bottom"/>
            <w:shd w:val="clear" w:color="auto" w:fill="CFF0FC"/>
          </w:tcPr>
          <w:p>
            <w:pPr>
              <w:jc w:val="right"/>
              <w:ind w:right="129"/>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FF0FC"/>
          </w:tcPr>
          <w:p>
            <w:pPr>
              <w:jc w:val="right"/>
              <w:spacing w:after="0" w:line="122" w:lineRule="exact"/>
              <w:rPr>
                <w:sz w:val="20"/>
                <w:szCs w:val="20"/>
                <w:color w:val="auto"/>
              </w:rPr>
            </w:pPr>
            <w:r>
              <w:rPr>
                <w:rFonts w:ascii="Arial" w:cs="Arial" w:eastAsia="Arial" w:hAnsi="Arial"/>
                <w:sz w:val="11"/>
                <w:szCs w:val="11"/>
                <w:color w:val="auto"/>
              </w:rPr>
              <w:t>416,723</w:t>
            </w:r>
          </w:p>
        </w:tc>
        <w:tc>
          <w:tcPr>
            <w:tcW w:w="1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240" w:type="dxa"/>
            <w:vAlign w:val="bottom"/>
            <w:shd w:val="clear" w:color="auto" w:fill="CFF0FC"/>
          </w:tcPr>
          <w:p>
            <w:pPr>
              <w:jc w:val="right"/>
              <w:ind w:right="129"/>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FF0FC"/>
          </w:tcPr>
          <w:p>
            <w:pPr>
              <w:jc w:val="right"/>
              <w:spacing w:after="0" w:line="122" w:lineRule="exact"/>
              <w:rPr>
                <w:sz w:val="20"/>
                <w:szCs w:val="20"/>
                <w:color w:val="auto"/>
              </w:rPr>
            </w:pPr>
            <w:r>
              <w:rPr>
                <w:rFonts w:ascii="Arial" w:cs="Arial" w:eastAsia="Arial" w:hAnsi="Arial"/>
                <w:sz w:val="11"/>
                <w:szCs w:val="11"/>
                <w:color w:val="auto"/>
              </w:rPr>
              <w:t>365,076</w:t>
            </w:r>
          </w:p>
        </w:tc>
        <w:tc>
          <w:tcPr>
            <w:tcW w:w="28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700" w:type="dxa"/>
            <w:vAlign w:val="bottom"/>
            <w:gridSpan w:val="2"/>
            <w:shd w:val="clear" w:color="auto" w:fill="CFF0FC"/>
          </w:tcPr>
          <w:p>
            <w:pPr>
              <w:jc w:val="right"/>
              <w:ind w:right="200"/>
              <w:spacing w:after="0" w:line="122" w:lineRule="exact"/>
              <w:rPr>
                <w:sz w:val="20"/>
                <w:szCs w:val="20"/>
                <w:color w:val="auto"/>
              </w:rPr>
            </w:pPr>
            <w:r>
              <w:rPr>
                <w:rFonts w:ascii="Arial" w:cs="Arial" w:eastAsia="Arial" w:hAnsi="Arial"/>
                <w:sz w:val="11"/>
                <w:szCs w:val="11"/>
                <w:color w:val="auto"/>
              </w:rPr>
              <w:t>92.9%</w:t>
            </w:r>
          </w:p>
        </w:tc>
        <w:tc>
          <w:tcPr>
            <w:tcW w:w="720" w:type="dxa"/>
            <w:vAlign w:val="bottom"/>
            <w:shd w:val="clear" w:color="auto" w:fill="CFF0FC"/>
          </w:tcPr>
          <w:p>
            <w:pPr>
              <w:spacing w:after="0"/>
              <w:rPr>
                <w:sz w:val="10"/>
                <w:szCs w:val="10"/>
                <w:color w:val="auto"/>
              </w:rPr>
            </w:pPr>
          </w:p>
        </w:tc>
        <w:tc>
          <w:tcPr>
            <w:tcW w:w="640" w:type="dxa"/>
            <w:vAlign w:val="bottom"/>
            <w:gridSpan w:val="2"/>
            <w:shd w:val="clear" w:color="auto" w:fill="CFF0FC"/>
          </w:tcPr>
          <w:p>
            <w:pPr>
              <w:jc w:val="right"/>
              <w:ind w:right="200"/>
              <w:spacing w:after="0" w:line="122" w:lineRule="exact"/>
              <w:rPr>
                <w:sz w:val="20"/>
                <w:szCs w:val="20"/>
                <w:color w:val="auto"/>
              </w:rPr>
            </w:pPr>
            <w:r>
              <w:rPr>
                <w:rFonts w:ascii="Arial" w:cs="Arial" w:eastAsia="Arial" w:hAnsi="Arial"/>
                <w:sz w:val="11"/>
                <w:szCs w:val="11"/>
                <w:color w:val="auto"/>
              </w:rPr>
              <w:t>98.6%</w:t>
            </w:r>
          </w:p>
        </w:tc>
        <w:tc>
          <w:tcPr>
            <w:tcW w:w="300" w:type="dxa"/>
            <w:vAlign w:val="bottom"/>
            <w:shd w:val="clear" w:color="auto" w:fill="CFF0FC"/>
          </w:tcPr>
          <w:p>
            <w:pPr>
              <w:jc w:val="right"/>
              <w:ind w:right="189"/>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FF0FC"/>
          </w:tcPr>
          <w:p>
            <w:pPr>
              <w:jc w:val="right"/>
              <w:spacing w:after="0" w:line="122" w:lineRule="exact"/>
              <w:rPr>
                <w:sz w:val="20"/>
                <w:szCs w:val="20"/>
                <w:color w:val="auto"/>
              </w:rPr>
            </w:pPr>
            <w:r>
              <w:rPr>
                <w:rFonts w:ascii="Arial" w:cs="Arial" w:eastAsia="Arial" w:hAnsi="Arial"/>
                <w:sz w:val="11"/>
                <w:szCs w:val="11"/>
                <w:color w:val="auto"/>
              </w:rPr>
              <w:t>51,647</w:t>
            </w:r>
          </w:p>
        </w:tc>
        <w:tc>
          <w:tcPr>
            <w:tcW w:w="26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860" w:type="dxa"/>
            <w:vAlign w:val="bottom"/>
            <w:gridSpan w:val="2"/>
            <w:shd w:val="clear" w:color="auto" w:fill="CFF0FC"/>
          </w:tcPr>
          <w:p>
            <w:pPr>
              <w:jc w:val="right"/>
              <w:ind w:right="60"/>
              <w:spacing w:after="0" w:line="122" w:lineRule="exact"/>
              <w:rPr>
                <w:sz w:val="20"/>
                <w:szCs w:val="20"/>
                <w:color w:val="auto"/>
              </w:rPr>
            </w:pPr>
            <w:r>
              <w:rPr>
                <w:rFonts w:ascii="Arial" w:cs="Arial" w:eastAsia="Arial" w:hAnsi="Arial"/>
                <w:sz w:val="11"/>
                <w:szCs w:val="11"/>
                <w:color w:val="auto"/>
              </w:rPr>
              <w:t>14.1%</w:t>
            </w:r>
          </w:p>
        </w:tc>
        <w:tc>
          <w:tcPr>
            <w:tcW w:w="0" w:type="dxa"/>
            <w:vAlign w:val="bottom"/>
          </w:tcPr>
          <w:p>
            <w:pPr>
              <w:spacing w:after="0"/>
              <w:rPr>
                <w:sz w:val="1"/>
                <w:szCs w:val="1"/>
                <w:color w:val="auto"/>
              </w:rPr>
            </w:pPr>
          </w:p>
        </w:tc>
      </w:tr>
      <w:tr>
        <w:trPr>
          <w:trHeight w:val="144"/>
        </w:trPr>
        <w:tc>
          <w:tcPr>
            <w:tcW w:w="3520" w:type="dxa"/>
            <w:vAlign w:val="bottom"/>
            <w:gridSpan w:val="2"/>
          </w:tcPr>
          <w:p>
            <w:pPr>
              <w:spacing w:after="0"/>
              <w:rPr>
                <w:sz w:val="20"/>
                <w:szCs w:val="20"/>
                <w:color w:val="auto"/>
              </w:rPr>
            </w:pPr>
            <w:r>
              <w:rPr>
                <w:rFonts w:ascii="Arial" w:cs="Arial" w:eastAsia="Arial" w:hAnsi="Arial"/>
                <w:sz w:val="11"/>
                <w:szCs w:val="11"/>
                <w:color w:val="auto"/>
              </w:rPr>
              <w:t>Product sales</w:t>
            </w:r>
          </w:p>
        </w:tc>
        <w:tc>
          <w:tcPr>
            <w:tcW w:w="24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32,014</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5,070</w:t>
            </w: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1"/>
                <w:szCs w:val="11"/>
                <w:color w:val="auto"/>
              </w:rPr>
              <w:t>7.1%</w:t>
            </w:r>
          </w:p>
        </w:tc>
        <w:tc>
          <w:tcPr>
            <w:tcW w:w="720" w:type="dxa"/>
            <w:vAlign w:val="bottom"/>
          </w:tcPr>
          <w:p>
            <w:pPr>
              <w:spacing w:after="0"/>
              <w:rPr>
                <w:sz w:val="12"/>
                <w:szCs w:val="12"/>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1"/>
                <w:szCs w:val="11"/>
                <w:color w:val="auto"/>
              </w:rPr>
              <w:t>1.4%</w:t>
            </w:r>
          </w:p>
        </w:tc>
        <w:tc>
          <w:tcPr>
            <w:tcW w:w="30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26,944</w:t>
            </w: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1"/>
                <w:szCs w:val="11"/>
                <w:color w:val="auto"/>
              </w:rPr>
              <w:t>531.4%</w:t>
            </w:r>
          </w:p>
        </w:tc>
        <w:tc>
          <w:tcPr>
            <w:tcW w:w="0" w:type="dxa"/>
            <w:vAlign w:val="bottom"/>
          </w:tcPr>
          <w:p>
            <w:pPr>
              <w:spacing w:after="0"/>
              <w:rPr>
                <w:sz w:val="1"/>
                <w:szCs w:val="1"/>
                <w:color w:val="auto"/>
              </w:rPr>
            </w:pPr>
          </w:p>
        </w:tc>
      </w:tr>
      <w:tr>
        <w:trPr>
          <w:trHeight w:val="20"/>
        </w:trPr>
        <w:tc>
          <w:tcPr>
            <w:tcW w:w="3520" w:type="dxa"/>
            <w:vAlign w:val="bottom"/>
            <w:gridSpan w:val="2"/>
            <w:vMerge w:val="restart"/>
            <w:shd w:val="clear" w:color="auto" w:fill="CFF0FC"/>
          </w:tcPr>
          <w:p>
            <w:pPr>
              <w:ind w:left="160"/>
              <w:spacing w:after="0"/>
              <w:rPr>
                <w:sz w:val="20"/>
                <w:szCs w:val="20"/>
                <w:color w:val="auto"/>
              </w:rPr>
            </w:pPr>
            <w:r>
              <w:rPr>
                <w:rFonts w:ascii="Arial" w:cs="Arial" w:eastAsia="Arial" w:hAnsi="Arial"/>
                <w:sz w:val="11"/>
                <w:szCs w:val="11"/>
                <w:b w:val="1"/>
                <w:bCs w:val="1"/>
                <w:color w:val="auto"/>
              </w:rPr>
              <w:t>Total revenue</w:t>
            </w: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860" w:type="dxa"/>
            <w:vAlign w:val="bottom"/>
            <w:gridSpan w:val="2"/>
            <w:vMerge w:val="restart"/>
            <w:shd w:val="clear" w:color="auto" w:fill="CFF0FC"/>
          </w:tcPr>
          <w:p>
            <w:pPr>
              <w:jc w:val="right"/>
              <w:ind w:right="60"/>
              <w:spacing w:after="0"/>
              <w:rPr>
                <w:sz w:val="20"/>
                <w:szCs w:val="20"/>
                <w:color w:val="auto"/>
              </w:rPr>
            </w:pPr>
            <w:r>
              <w:rPr>
                <w:rFonts w:ascii="Arial" w:cs="Arial" w:eastAsia="Arial" w:hAnsi="Arial"/>
                <w:sz w:val="11"/>
                <w:szCs w:val="11"/>
                <w:color w:val="auto"/>
              </w:rPr>
              <w:t>21.2%</w:t>
            </w:r>
          </w:p>
        </w:tc>
        <w:tc>
          <w:tcPr>
            <w:tcW w:w="0" w:type="dxa"/>
            <w:vAlign w:val="bottom"/>
          </w:tcPr>
          <w:p>
            <w:pPr>
              <w:spacing w:after="0" w:line="20" w:lineRule="exact"/>
              <w:rPr>
                <w:sz w:val="1"/>
                <w:szCs w:val="1"/>
                <w:color w:val="auto"/>
              </w:rPr>
            </w:pPr>
          </w:p>
        </w:tc>
      </w:tr>
      <w:tr>
        <w:trPr>
          <w:trHeight w:val="133"/>
        </w:trPr>
        <w:tc>
          <w:tcPr>
            <w:tcW w:w="3520" w:type="dxa"/>
            <w:vAlign w:val="bottom"/>
            <w:gridSpan w:val="2"/>
            <w:vMerge w:val="continue"/>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448,737</w:t>
            </w:r>
          </w:p>
        </w:tc>
        <w:tc>
          <w:tcPr>
            <w:tcW w:w="1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370,146</w:t>
            </w:r>
          </w:p>
        </w:tc>
        <w:tc>
          <w:tcPr>
            <w:tcW w:w="2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70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100.0%</w:t>
            </w:r>
          </w:p>
        </w:tc>
        <w:tc>
          <w:tcPr>
            <w:tcW w:w="720" w:type="dxa"/>
            <w:vAlign w:val="bottom"/>
            <w:shd w:val="clear" w:color="auto" w:fill="CFF0FC"/>
          </w:tcPr>
          <w:p>
            <w:pPr>
              <w:spacing w:after="0"/>
              <w:rPr>
                <w:sz w:val="11"/>
                <w:szCs w:val="11"/>
                <w:color w:val="auto"/>
              </w:rPr>
            </w:pPr>
          </w:p>
        </w:tc>
        <w:tc>
          <w:tcPr>
            <w:tcW w:w="64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100.0%</w:t>
            </w:r>
          </w:p>
        </w:tc>
        <w:tc>
          <w:tcPr>
            <w:tcW w:w="300" w:type="dxa"/>
            <w:vAlign w:val="bottom"/>
            <w:shd w:val="clear" w:color="auto" w:fill="CFF0FC"/>
          </w:tcPr>
          <w:p>
            <w:pPr>
              <w:spacing w:after="0"/>
              <w:rPr>
                <w:sz w:val="11"/>
                <w:szCs w:val="1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78,591</w:t>
            </w:r>
          </w:p>
        </w:tc>
        <w:tc>
          <w:tcPr>
            <w:tcW w:w="26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860" w:type="dxa"/>
            <w:vAlign w:val="bottom"/>
            <w:gridSpan w:val="2"/>
            <w:vMerge w:val="continue"/>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3520" w:type="dxa"/>
            <w:vAlign w:val="bottom"/>
            <w:gridSpan w:val="2"/>
          </w:tcPr>
          <w:p>
            <w:pPr>
              <w:spacing w:after="0"/>
              <w:rPr>
                <w:sz w:val="20"/>
                <w:szCs w:val="20"/>
                <w:color w:val="auto"/>
              </w:rPr>
            </w:pPr>
            <w:r>
              <w:rPr>
                <w:rFonts w:ascii="Arial" w:cs="Arial" w:eastAsia="Arial" w:hAnsi="Arial"/>
                <w:sz w:val="11"/>
                <w:szCs w:val="11"/>
                <w:color w:val="auto"/>
              </w:rPr>
              <w:t>Cost of service revenue</w:t>
            </w:r>
          </w:p>
        </w:tc>
        <w:tc>
          <w:tcPr>
            <w:tcW w:w="24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5,561</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5,788</w:t>
            </w: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1"/>
                <w:szCs w:val="11"/>
                <w:color w:val="auto"/>
              </w:rPr>
              <w:t>1.2%</w:t>
            </w:r>
          </w:p>
        </w:tc>
        <w:tc>
          <w:tcPr>
            <w:tcW w:w="720" w:type="dxa"/>
            <w:vAlign w:val="bottom"/>
          </w:tcPr>
          <w:p>
            <w:pPr>
              <w:spacing w:after="0"/>
              <w:rPr>
                <w:sz w:val="12"/>
                <w:szCs w:val="12"/>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1"/>
                <w:szCs w:val="11"/>
                <w:color w:val="auto"/>
              </w:rPr>
              <w:t>1.6%</w:t>
            </w:r>
          </w:p>
        </w:tc>
        <w:tc>
          <w:tcPr>
            <w:tcW w:w="300" w:type="dxa"/>
            <w:vAlign w:val="bottom"/>
          </w:tcPr>
          <w:p>
            <w:pPr>
              <w:spacing w:after="0"/>
              <w:rPr>
                <w:sz w:val="12"/>
                <w:szCs w:val="12"/>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1"/>
                <w:szCs w:val="11"/>
                <w:color w:val="auto"/>
              </w:rPr>
              <w:t>(227)</w:t>
            </w:r>
          </w:p>
        </w:tc>
        <w:tc>
          <w:tcPr>
            <w:tcW w:w="380" w:type="dxa"/>
            <w:vAlign w:val="bottom"/>
          </w:tcPr>
          <w:p>
            <w:pPr>
              <w:spacing w:after="0"/>
              <w:rPr>
                <w:sz w:val="12"/>
                <w:szCs w:val="12"/>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1"/>
                <w:szCs w:val="11"/>
                <w:color w:val="auto"/>
              </w:rPr>
              <w:t>(3.9)%</w:t>
            </w:r>
          </w:p>
        </w:tc>
        <w:tc>
          <w:tcPr>
            <w:tcW w:w="0" w:type="dxa"/>
            <w:vAlign w:val="bottom"/>
          </w:tcPr>
          <w:p>
            <w:pPr>
              <w:spacing w:after="0"/>
              <w:rPr>
                <w:sz w:val="1"/>
                <w:szCs w:val="1"/>
                <w:color w:val="auto"/>
              </w:rPr>
            </w:pPr>
          </w:p>
        </w:tc>
      </w:tr>
      <w:tr>
        <w:trPr>
          <w:trHeight w:val="144"/>
        </w:trPr>
        <w:tc>
          <w:tcPr>
            <w:tcW w:w="3520" w:type="dxa"/>
            <w:vAlign w:val="bottom"/>
            <w:gridSpan w:val="2"/>
            <w:shd w:val="clear" w:color="auto" w:fill="CFF0FC"/>
          </w:tcPr>
          <w:p>
            <w:pPr>
              <w:spacing w:after="0"/>
              <w:rPr>
                <w:sz w:val="20"/>
                <w:szCs w:val="20"/>
                <w:color w:val="auto"/>
              </w:rPr>
            </w:pPr>
            <w:r>
              <w:rPr>
                <w:rFonts w:ascii="Arial" w:cs="Arial" w:eastAsia="Arial" w:hAnsi="Arial"/>
                <w:sz w:val="11"/>
                <w:szCs w:val="11"/>
                <w:color w:val="auto"/>
              </w:rPr>
              <w:t>Cost of product sales</w:t>
            </w:r>
          </w:p>
        </w:tc>
        <w:tc>
          <w:tcPr>
            <w:tcW w:w="24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13,919</w:t>
            </w: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3,447</w:t>
            </w:r>
          </w:p>
        </w:tc>
        <w:tc>
          <w:tcPr>
            <w:tcW w:w="28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3.1%</w:t>
            </w:r>
          </w:p>
        </w:tc>
        <w:tc>
          <w:tcPr>
            <w:tcW w:w="720" w:type="dxa"/>
            <w:vAlign w:val="bottom"/>
            <w:shd w:val="clear" w:color="auto" w:fill="CFF0FC"/>
          </w:tcPr>
          <w:p>
            <w:pPr>
              <w:spacing w:after="0"/>
              <w:rPr>
                <w:sz w:val="12"/>
                <w:szCs w:val="12"/>
                <w:color w:val="auto"/>
              </w:rPr>
            </w:pPr>
          </w:p>
        </w:tc>
        <w:tc>
          <w:tcPr>
            <w:tcW w:w="64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0.9%</w:t>
            </w:r>
          </w:p>
        </w:tc>
        <w:tc>
          <w:tcPr>
            <w:tcW w:w="30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10,472</w:t>
            </w:r>
          </w:p>
        </w:tc>
        <w:tc>
          <w:tcPr>
            <w:tcW w:w="2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60"/>
              <w:spacing w:after="0"/>
              <w:rPr>
                <w:sz w:val="20"/>
                <w:szCs w:val="20"/>
                <w:color w:val="auto"/>
              </w:rPr>
            </w:pPr>
            <w:r>
              <w:rPr>
                <w:rFonts w:ascii="Arial" w:cs="Arial" w:eastAsia="Arial" w:hAnsi="Arial"/>
                <w:sz w:val="11"/>
                <w:szCs w:val="11"/>
                <w:color w:val="auto"/>
              </w:rPr>
              <w:t>303.8%</w:t>
            </w:r>
          </w:p>
        </w:tc>
        <w:tc>
          <w:tcPr>
            <w:tcW w:w="0" w:type="dxa"/>
            <w:vAlign w:val="bottom"/>
          </w:tcPr>
          <w:p>
            <w:pPr>
              <w:spacing w:after="0"/>
              <w:rPr>
                <w:sz w:val="1"/>
                <w:szCs w:val="1"/>
                <w:color w:val="auto"/>
              </w:rPr>
            </w:pPr>
          </w:p>
        </w:tc>
      </w:tr>
      <w:tr>
        <w:trPr>
          <w:trHeight w:val="144"/>
        </w:trPr>
        <w:tc>
          <w:tcPr>
            <w:tcW w:w="3520" w:type="dxa"/>
            <w:vAlign w:val="bottom"/>
            <w:gridSpan w:val="2"/>
          </w:tcPr>
          <w:p>
            <w:pPr>
              <w:spacing w:after="0"/>
              <w:rPr>
                <w:sz w:val="20"/>
                <w:szCs w:val="20"/>
                <w:color w:val="auto"/>
              </w:rPr>
            </w:pPr>
            <w:r>
              <w:rPr>
                <w:rFonts w:ascii="Arial" w:cs="Arial" w:eastAsia="Arial" w:hAnsi="Arial"/>
                <w:sz w:val="11"/>
                <w:szCs w:val="11"/>
                <w:color w:val="auto"/>
              </w:rPr>
              <w:t>Operating expenses</w:t>
            </w:r>
          </w:p>
        </w:tc>
        <w:tc>
          <w:tcPr>
            <w:tcW w:w="24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125,640</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108,883</w:t>
            </w: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1"/>
                <w:szCs w:val="11"/>
                <w:color w:val="auto"/>
              </w:rPr>
              <w:t>28.0%</w:t>
            </w:r>
          </w:p>
        </w:tc>
        <w:tc>
          <w:tcPr>
            <w:tcW w:w="720" w:type="dxa"/>
            <w:vAlign w:val="bottom"/>
          </w:tcPr>
          <w:p>
            <w:pPr>
              <w:spacing w:after="0"/>
              <w:rPr>
                <w:sz w:val="12"/>
                <w:szCs w:val="12"/>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1"/>
                <w:szCs w:val="11"/>
                <w:color w:val="auto"/>
              </w:rPr>
              <w:t>29.4%</w:t>
            </w:r>
          </w:p>
        </w:tc>
        <w:tc>
          <w:tcPr>
            <w:tcW w:w="30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16,757</w:t>
            </w: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1"/>
                <w:szCs w:val="11"/>
                <w:color w:val="auto"/>
              </w:rPr>
              <w:t>15.4%</w:t>
            </w:r>
          </w:p>
        </w:tc>
        <w:tc>
          <w:tcPr>
            <w:tcW w:w="0" w:type="dxa"/>
            <w:vAlign w:val="bottom"/>
          </w:tcPr>
          <w:p>
            <w:pPr>
              <w:spacing w:after="0"/>
              <w:rPr>
                <w:sz w:val="1"/>
                <w:szCs w:val="1"/>
                <w:color w:val="auto"/>
              </w:rPr>
            </w:pPr>
          </w:p>
        </w:tc>
      </w:tr>
      <w:tr>
        <w:trPr>
          <w:trHeight w:val="144"/>
        </w:trPr>
        <w:tc>
          <w:tcPr>
            <w:tcW w:w="3520" w:type="dxa"/>
            <w:vAlign w:val="bottom"/>
            <w:gridSpan w:val="2"/>
            <w:shd w:val="clear" w:color="auto" w:fill="CFF0FC"/>
          </w:tcPr>
          <w:p>
            <w:pPr>
              <w:spacing w:after="0"/>
              <w:rPr>
                <w:sz w:val="20"/>
                <w:szCs w:val="20"/>
                <w:color w:val="auto"/>
              </w:rPr>
            </w:pPr>
            <w:r>
              <w:rPr>
                <w:rFonts w:ascii="Arial" w:cs="Arial" w:eastAsia="Arial" w:hAnsi="Arial"/>
                <w:sz w:val="11"/>
                <w:szCs w:val="11"/>
                <w:color w:val="auto"/>
              </w:rPr>
              <w:t>Selling, general and administrative expenses</w:t>
            </w:r>
          </w:p>
        </w:tc>
        <w:tc>
          <w:tcPr>
            <w:tcW w:w="24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85,493</w:t>
            </w: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136,069</w:t>
            </w:r>
          </w:p>
        </w:tc>
        <w:tc>
          <w:tcPr>
            <w:tcW w:w="28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19.1%</w:t>
            </w:r>
          </w:p>
        </w:tc>
        <w:tc>
          <w:tcPr>
            <w:tcW w:w="720" w:type="dxa"/>
            <w:vAlign w:val="bottom"/>
            <w:shd w:val="clear" w:color="auto" w:fill="CFF0FC"/>
          </w:tcPr>
          <w:p>
            <w:pPr>
              <w:spacing w:after="0"/>
              <w:rPr>
                <w:sz w:val="12"/>
                <w:szCs w:val="12"/>
                <w:color w:val="auto"/>
              </w:rPr>
            </w:pPr>
          </w:p>
        </w:tc>
        <w:tc>
          <w:tcPr>
            <w:tcW w:w="64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36.8%</w:t>
            </w:r>
          </w:p>
        </w:tc>
        <w:tc>
          <w:tcPr>
            <w:tcW w:w="30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(50,576)</w:t>
            </w:r>
          </w:p>
        </w:tc>
        <w:tc>
          <w:tcPr>
            <w:tcW w:w="38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1"/>
                <w:szCs w:val="11"/>
                <w:color w:val="auto"/>
              </w:rPr>
              <w:t>(37.2)%</w:t>
            </w:r>
          </w:p>
        </w:tc>
        <w:tc>
          <w:tcPr>
            <w:tcW w:w="0" w:type="dxa"/>
            <w:vAlign w:val="bottom"/>
          </w:tcPr>
          <w:p>
            <w:pPr>
              <w:spacing w:after="0"/>
              <w:rPr>
                <w:sz w:val="1"/>
                <w:szCs w:val="1"/>
                <w:color w:val="auto"/>
              </w:rPr>
            </w:pPr>
          </w:p>
        </w:tc>
      </w:tr>
      <w:tr>
        <w:trPr>
          <w:trHeight w:val="144"/>
        </w:trPr>
        <w:tc>
          <w:tcPr>
            <w:tcW w:w="3520" w:type="dxa"/>
            <w:vAlign w:val="bottom"/>
            <w:gridSpan w:val="2"/>
          </w:tcPr>
          <w:p>
            <w:pPr>
              <w:spacing w:after="0"/>
              <w:rPr>
                <w:sz w:val="20"/>
                <w:szCs w:val="20"/>
                <w:color w:val="auto"/>
              </w:rPr>
            </w:pPr>
            <w:r>
              <w:rPr>
                <w:rFonts w:ascii="Arial" w:cs="Arial" w:eastAsia="Arial" w:hAnsi="Arial"/>
                <w:sz w:val="11"/>
                <w:szCs w:val="11"/>
                <w:color w:val="auto"/>
              </w:rPr>
              <w:t>Depreciation, amortization and (gain) loss on disposal of assets, net</w:t>
            </w:r>
          </w:p>
        </w:tc>
        <w:tc>
          <w:tcPr>
            <w:tcW w:w="24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115,771</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103,353</w:t>
            </w: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1"/>
                <w:szCs w:val="11"/>
                <w:color w:val="auto"/>
              </w:rPr>
              <w:t>25.8%</w:t>
            </w:r>
          </w:p>
        </w:tc>
        <w:tc>
          <w:tcPr>
            <w:tcW w:w="720" w:type="dxa"/>
            <w:vAlign w:val="bottom"/>
          </w:tcPr>
          <w:p>
            <w:pPr>
              <w:spacing w:after="0"/>
              <w:rPr>
                <w:sz w:val="12"/>
                <w:szCs w:val="12"/>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1"/>
                <w:szCs w:val="11"/>
                <w:color w:val="auto"/>
              </w:rPr>
              <w:t>27.9%</w:t>
            </w:r>
          </w:p>
        </w:tc>
        <w:tc>
          <w:tcPr>
            <w:tcW w:w="30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12,418</w:t>
            </w: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1"/>
                <w:szCs w:val="11"/>
                <w:color w:val="auto"/>
              </w:rPr>
              <w:t>12.0%</w:t>
            </w:r>
          </w:p>
        </w:tc>
        <w:tc>
          <w:tcPr>
            <w:tcW w:w="0" w:type="dxa"/>
            <w:vAlign w:val="bottom"/>
          </w:tcPr>
          <w:p>
            <w:pPr>
              <w:spacing w:after="0"/>
              <w:rPr>
                <w:sz w:val="1"/>
                <w:szCs w:val="1"/>
                <w:color w:val="auto"/>
              </w:rPr>
            </w:pPr>
          </w:p>
        </w:tc>
      </w:tr>
      <w:tr>
        <w:trPr>
          <w:trHeight w:val="144"/>
        </w:trPr>
        <w:tc>
          <w:tcPr>
            <w:tcW w:w="3520" w:type="dxa"/>
            <w:vAlign w:val="bottom"/>
            <w:gridSpan w:val="2"/>
            <w:shd w:val="clear" w:color="auto" w:fill="CFF0FC"/>
          </w:tcPr>
          <w:p>
            <w:pPr>
              <w:spacing w:after="0"/>
              <w:rPr>
                <w:sz w:val="20"/>
                <w:szCs w:val="20"/>
                <w:color w:val="auto"/>
              </w:rPr>
            </w:pPr>
            <w:r>
              <w:rPr>
                <w:rFonts w:ascii="Arial" w:cs="Arial" w:eastAsia="Arial" w:hAnsi="Arial"/>
                <w:sz w:val="11"/>
                <w:szCs w:val="11"/>
                <w:color w:val="auto"/>
              </w:rPr>
              <w:t>Impairment of property and equipment</w:t>
            </w:r>
          </w:p>
        </w:tc>
        <w:tc>
          <w:tcPr>
            <w:tcW w:w="24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5,898</w:t>
            </w: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100" w:type="dxa"/>
            <w:vAlign w:val="bottom"/>
            <w:gridSpan w:val="2"/>
            <w:shd w:val="clear" w:color="auto" w:fill="CFF0FC"/>
          </w:tcPr>
          <w:p>
            <w:pPr>
              <w:jc w:val="right"/>
              <w:ind w:right="280"/>
              <w:spacing w:after="0"/>
              <w:rPr>
                <w:sz w:val="20"/>
                <w:szCs w:val="20"/>
                <w:color w:val="auto"/>
              </w:rPr>
            </w:pPr>
            <w:r>
              <w:rPr>
                <w:rFonts w:ascii="Arial" w:cs="Arial" w:eastAsia="Arial" w:hAnsi="Arial"/>
                <w:sz w:val="11"/>
                <w:szCs w:val="11"/>
                <w:color w:val="auto"/>
              </w:rPr>
              <w:t>—</w:t>
            </w:r>
          </w:p>
        </w:tc>
        <w:tc>
          <w:tcPr>
            <w:tcW w:w="66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1.3%</w:t>
            </w:r>
          </w:p>
        </w:tc>
        <w:tc>
          <w:tcPr>
            <w:tcW w:w="720" w:type="dxa"/>
            <w:vAlign w:val="bottom"/>
            <w:shd w:val="clear" w:color="auto" w:fill="CFF0FC"/>
          </w:tcPr>
          <w:p>
            <w:pPr>
              <w:spacing w:after="0"/>
              <w:rPr>
                <w:sz w:val="12"/>
                <w:szCs w:val="12"/>
                <w:color w:val="auto"/>
              </w:rPr>
            </w:pPr>
          </w:p>
        </w:tc>
        <w:tc>
          <w:tcPr>
            <w:tcW w:w="640" w:type="dxa"/>
            <w:vAlign w:val="bottom"/>
            <w:gridSpan w:val="2"/>
            <w:shd w:val="clear" w:color="auto" w:fill="CFF0FC"/>
          </w:tcPr>
          <w:p>
            <w:pPr>
              <w:jc w:val="right"/>
              <w:ind w:right="300"/>
              <w:spacing w:after="0"/>
              <w:rPr>
                <w:sz w:val="20"/>
                <w:szCs w:val="20"/>
                <w:color w:val="auto"/>
              </w:rPr>
            </w:pPr>
            <w:r>
              <w:rPr>
                <w:rFonts w:ascii="Arial" w:cs="Arial" w:eastAsia="Arial" w:hAnsi="Arial"/>
                <w:sz w:val="11"/>
                <w:szCs w:val="11"/>
                <w:color w:val="auto"/>
              </w:rPr>
              <w:t>—</w:t>
            </w:r>
          </w:p>
        </w:tc>
        <w:tc>
          <w:tcPr>
            <w:tcW w:w="30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5,898</w:t>
            </w:r>
          </w:p>
        </w:tc>
        <w:tc>
          <w:tcPr>
            <w:tcW w:w="2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160"/>
              <w:spacing w:after="0"/>
              <w:rPr>
                <w:sz w:val="20"/>
                <w:szCs w:val="20"/>
                <w:color w:val="auto"/>
              </w:rPr>
            </w:pPr>
            <w:r>
              <w:rPr>
                <w:rFonts w:ascii="Arial" w:cs="Arial" w:eastAsia="Arial" w:hAnsi="Arial"/>
                <w:sz w:val="11"/>
                <w:szCs w:val="11"/>
                <w:color w:val="auto"/>
              </w:rPr>
              <w:t>n/a</w:t>
            </w:r>
          </w:p>
        </w:tc>
        <w:tc>
          <w:tcPr>
            <w:tcW w:w="0" w:type="dxa"/>
            <w:vAlign w:val="bottom"/>
          </w:tcPr>
          <w:p>
            <w:pPr>
              <w:spacing w:after="0"/>
              <w:rPr>
                <w:sz w:val="1"/>
                <w:szCs w:val="1"/>
                <w:color w:val="auto"/>
              </w:rPr>
            </w:pPr>
          </w:p>
        </w:tc>
      </w:tr>
      <w:tr>
        <w:trPr>
          <w:trHeight w:val="20"/>
        </w:trPr>
        <w:tc>
          <w:tcPr>
            <w:tcW w:w="3520" w:type="dxa"/>
            <w:vAlign w:val="bottom"/>
            <w:gridSpan w:val="2"/>
            <w:vMerge w:val="restart"/>
          </w:tcPr>
          <w:p>
            <w:pPr>
              <w:ind w:left="160"/>
              <w:spacing w:after="0"/>
              <w:rPr>
                <w:sz w:val="20"/>
                <w:szCs w:val="20"/>
                <w:color w:val="auto"/>
              </w:rPr>
            </w:pPr>
            <w:r>
              <w:rPr>
                <w:rFonts w:ascii="Arial" w:cs="Arial" w:eastAsia="Arial" w:hAnsi="Arial"/>
                <w:sz w:val="11"/>
                <w:szCs w:val="11"/>
                <w:color w:val="auto"/>
              </w:rPr>
              <w:t>Total costs and expenses</w:t>
            </w: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860" w:type="dxa"/>
            <w:vAlign w:val="bottom"/>
            <w:gridSpan w:val="2"/>
            <w:vMerge w:val="restart"/>
          </w:tcPr>
          <w:p>
            <w:pPr>
              <w:jc w:val="right"/>
              <w:ind w:right="20"/>
              <w:spacing w:after="0"/>
              <w:rPr>
                <w:sz w:val="20"/>
                <w:szCs w:val="20"/>
                <w:color w:val="auto"/>
              </w:rPr>
            </w:pPr>
            <w:r>
              <w:rPr>
                <w:rFonts w:ascii="Arial" w:cs="Arial" w:eastAsia="Arial" w:hAnsi="Arial"/>
                <w:sz w:val="11"/>
                <w:szCs w:val="11"/>
                <w:color w:val="auto"/>
              </w:rPr>
              <w:t>(1.5)%</w:t>
            </w:r>
          </w:p>
        </w:tc>
        <w:tc>
          <w:tcPr>
            <w:tcW w:w="0" w:type="dxa"/>
            <w:vAlign w:val="bottom"/>
          </w:tcPr>
          <w:p>
            <w:pPr>
              <w:spacing w:after="0" w:line="20" w:lineRule="exact"/>
              <w:rPr>
                <w:sz w:val="1"/>
                <w:szCs w:val="1"/>
                <w:color w:val="auto"/>
              </w:rPr>
            </w:pPr>
          </w:p>
        </w:tc>
      </w:tr>
      <w:tr>
        <w:trPr>
          <w:trHeight w:val="133"/>
        </w:trPr>
        <w:tc>
          <w:tcPr>
            <w:tcW w:w="352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352,282</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357,540</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1"/>
                <w:szCs w:val="11"/>
                <w:color w:val="auto"/>
              </w:rPr>
              <w:t>78.5%</w:t>
            </w:r>
          </w:p>
        </w:tc>
        <w:tc>
          <w:tcPr>
            <w:tcW w:w="720" w:type="dxa"/>
            <w:vAlign w:val="bottom"/>
          </w:tcPr>
          <w:p>
            <w:pPr>
              <w:spacing w:after="0"/>
              <w:rPr>
                <w:sz w:val="11"/>
                <w:szCs w:val="11"/>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1"/>
                <w:szCs w:val="11"/>
                <w:color w:val="auto"/>
              </w:rPr>
              <w:t>96.6%</w:t>
            </w:r>
          </w:p>
        </w:tc>
        <w:tc>
          <w:tcPr>
            <w:tcW w:w="30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(5,258)</w:t>
            </w:r>
          </w:p>
        </w:tc>
        <w:tc>
          <w:tcPr>
            <w:tcW w:w="260" w:type="dxa"/>
            <w:vAlign w:val="bottom"/>
            <w:vMerge w:val="continue"/>
          </w:tcPr>
          <w:p>
            <w:pPr>
              <w:spacing w:after="0"/>
              <w:rPr>
                <w:sz w:val="11"/>
                <w:szCs w:val="11"/>
                <w:color w:val="auto"/>
              </w:rPr>
            </w:pPr>
          </w:p>
        </w:tc>
        <w:tc>
          <w:tcPr>
            <w:tcW w:w="380" w:type="dxa"/>
            <w:vAlign w:val="bottom"/>
            <w:vMerge w:val="continue"/>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520" w:type="dxa"/>
            <w:vAlign w:val="bottom"/>
            <w:gridSpan w:val="2"/>
            <w:vMerge w:val="restart"/>
            <w:shd w:val="clear" w:color="auto" w:fill="CFF0FC"/>
          </w:tcPr>
          <w:p>
            <w:pPr>
              <w:ind w:left="160"/>
              <w:spacing w:after="0"/>
              <w:rPr>
                <w:sz w:val="20"/>
                <w:szCs w:val="20"/>
                <w:color w:val="auto"/>
              </w:rPr>
            </w:pPr>
            <w:r>
              <w:rPr>
                <w:rFonts w:ascii="Arial" w:cs="Arial" w:eastAsia="Arial" w:hAnsi="Arial"/>
                <w:sz w:val="11"/>
                <w:szCs w:val="11"/>
                <w:b w:val="1"/>
                <w:bCs w:val="1"/>
                <w:color w:val="auto"/>
              </w:rPr>
              <w:t>Income from operations</w:t>
            </w: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860" w:type="dxa"/>
            <w:vAlign w:val="bottom"/>
            <w:gridSpan w:val="2"/>
            <w:vMerge w:val="restart"/>
            <w:shd w:val="clear" w:color="auto" w:fill="CFF0FC"/>
          </w:tcPr>
          <w:p>
            <w:pPr>
              <w:jc w:val="right"/>
              <w:ind w:right="60"/>
              <w:spacing w:after="0"/>
              <w:rPr>
                <w:sz w:val="20"/>
                <w:szCs w:val="20"/>
                <w:color w:val="auto"/>
              </w:rPr>
            </w:pPr>
            <w:r>
              <w:rPr>
                <w:rFonts w:ascii="Arial" w:cs="Arial" w:eastAsia="Arial" w:hAnsi="Arial"/>
                <w:sz w:val="11"/>
                <w:szCs w:val="11"/>
                <w:color w:val="auto"/>
              </w:rPr>
              <w:t>665.2%</w:t>
            </w:r>
          </w:p>
        </w:tc>
        <w:tc>
          <w:tcPr>
            <w:tcW w:w="0" w:type="dxa"/>
            <w:vAlign w:val="bottom"/>
          </w:tcPr>
          <w:p>
            <w:pPr>
              <w:spacing w:after="0" w:line="20" w:lineRule="exact"/>
              <w:rPr>
                <w:sz w:val="1"/>
                <w:szCs w:val="1"/>
                <w:color w:val="auto"/>
              </w:rPr>
            </w:pPr>
          </w:p>
        </w:tc>
      </w:tr>
      <w:tr>
        <w:trPr>
          <w:trHeight w:val="133"/>
        </w:trPr>
        <w:tc>
          <w:tcPr>
            <w:tcW w:w="3520" w:type="dxa"/>
            <w:vAlign w:val="bottom"/>
            <w:gridSpan w:val="2"/>
            <w:vMerge w:val="continue"/>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96,455</w:t>
            </w:r>
          </w:p>
        </w:tc>
        <w:tc>
          <w:tcPr>
            <w:tcW w:w="1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12,606</w:t>
            </w:r>
          </w:p>
        </w:tc>
        <w:tc>
          <w:tcPr>
            <w:tcW w:w="2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70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21.5%</w:t>
            </w:r>
          </w:p>
        </w:tc>
        <w:tc>
          <w:tcPr>
            <w:tcW w:w="720" w:type="dxa"/>
            <w:vAlign w:val="bottom"/>
            <w:shd w:val="clear" w:color="auto" w:fill="CFF0FC"/>
          </w:tcPr>
          <w:p>
            <w:pPr>
              <w:spacing w:after="0"/>
              <w:rPr>
                <w:sz w:val="11"/>
                <w:szCs w:val="11"/>
                <w:color w:val="auto"/>
              </w:rPr>
            </w:pPr>
          </w:p>
        </w:tc>
        <w:tc>
          <w:tcPr>
            <w:tcW w:w="64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3.4%</w:t>
            </w:r>
          </w:p>
        </w:tc>
        <w:tc>
          <w:tcPr>
            <w:tcW w:w="300" w:type="dxa"/>
            <w:vAlign w:val="bottom"/>
            <w:shd w:val="clear" w:color="auto" w:fill="CFF0FC"/>
          </w:tcPr>
          <w:p>
            <w:pPr>
              <w:spacing w:after="0"/>
              <w:rPr>
                <w:sz w:val="11"/>
                <w:szCs w:val="1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83,849</w:t>
            </w:r>
          </w:p>
        </w:tc>
        <w:tc>
          <w:tcPr>
            <w:tcW w:w="26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860" w:type="dxa"/>
            <w:vAlign w:val="bottom"/>
            <w:gridSpan w:val="2"/>
            <w:vMerge w:val="continue"/>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3520" w:type="dxa"/>
            <w:vAlign w:val="bottom"/>
            <w:gridSpan w:val="2"/>
          </w:tcPr>
          <w:p>
            <w:pPr>
              <w:spacing w:after="0"/>
              <w:rPr>
                <w:sz w:val="20"/>
                <w:szCs w:val="20"/>
                <w:color w:val="auto"/>
              </w:rPr>
            </w:pPr>
            <w:r>
              <w:rPr>
                <w:rFonts w:ascii="Arial" w:cs="Arial" w:eastAsia="Arial" w:hAnsi="Arial"/>
                <w:sz w:val="11"/>
                <w:szCs w:val="11"/>
                <w:color w:val="auto"/>
              </w:rPr>
              <w:t>Interest expense, net</w:t>
            </w:r>
          </w:p>
        </w:tc>
        <w:tc>
          <w:tcPr>
            <w:tcW w:w="24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60,729</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69,550</w:t>
            </w: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1"/>
                <w:szCs w:val="11"/>
                <w:color w:val="auto"/>
              </w:rPr>
              <w:t>13.5%</w:t>
            </w:r>
          </w:p>
        </w:tc>
        <w:tc>
          <w:tcPr>
            <w:tcW w:w="720" w:type="dxa"/>
            <w:vAlign w:val="bottom"/>
          </w:tcPr>
          <w:p>
            <w:pPr>
              <w:spacing w:after="0"/>
              <w:rPr>
                <w:sz w:val="12"/>
                <w:szCs w:val="12"/>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1"/>
                <w:szCs w:val="11"/>
                <w:color w:val="auto"/>
              </w:rPr>
              <w:t>18.8%</w:t>
            </w:r>
          </w:p>
        </w:tc>
        <w:tc>
          <w:tcPr>
            <w:tcW w:w="300" w:type="dxa"/>
            <w:vAlign w:val="bottom"/>
          </w:tcPr>
          <w:p>
            <w:pPr>
              <w:spacing w:after="0"/>
              <w:rPr>
                <w:sz w:val="12"/>
                <w:szCs w:val="12"/>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1"/>
                <w:szCs w:val="11"/>
                <w:color w:val="auto"/>
              </w:rPr>
              <w:t>(8,821)</w:t>
            </w:r>
          </w:p>
        </w:tc>
        <w:tc>
          <w:tcPr>
            <w:tcW w:w="380" w:type="dxa"/>
            <w:vAlign w:val="bottom"/>
          </w:tcPr>
          <w:p>
            <w:pPr>
              <w:spacing w:after="0"/>
              <w:rPr>
                <w:sz w:val="12"/>
                <w:szCs w:val="12"/>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1"/>
                <w:szCs w:val="11"/>
                <w:color w:val="auto"/>
              </w:rPr>
              <w:t>(12.7)%</w:t>
            </w:r>
          </w:p>
        </w:tc>
        <w:tc>
          <w:tcPr>
            <w:tcW w:w="0" w:type="dxa"/>
            <w:vAlign w:val="bottom"/>
          </w:tcPr>
          <w:p>
            <w:pPr>
              <w:spacing w:after="0"/>
              <w:rPr>
                <w:sz w:val="1"/>
                <w:szCs w:val="1"/>
                <w:color w:val="auto"/>
              </w:rPr>
            </w:pPr>
          </w:p>
        </w:tc>
      </w:tr>
      <w:tr>
        <w:trPr>
          <w:trHeight w:val="144"/>
        </w:trPr>
        <w:tc>
          <w:tcPr>
            <w:tcW w:w="3520" w:type="dxa"/>
            <w:vAlign w:val="bottom"/>
            <w:gridSpan w:val="2"/>
            <w:shd w:val="clear" w:color="auto" w:fill="CFF0FC"/>
          </w:tcPr>
          <w:p>
            <w:pPr>
              <w:spacing w:after="0"/>
              <w:rPr>
                <w:sz w:val="20"/>
                <w:szCs w:val="20"/>
                <w:color w:val="auto"/>
              </w:rPr>
            </w:pPr>
            <w:r>
              <w:rPr>
                <w:rFonts w:ascii="Arial" w:cs="Arial" w:eastAsia="Arial" w:hAnsi="Arial"/>
                <w:sz w:val="11"/>
                <w:szCs w:val="11"/>
                <w:color w:val="auto"/>
              </w:rPr>
              <w:t>Loss on extinguishment of debt</w:t>
            </w:r>
          </w:p>
        </w:tc>
        <w:tc>
          <w:tcPr>
            <w:tcW w:w="24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26,486</w:t>
            </w:r>
          </w:p>
        </w:tc>
        <w:tc>
          <w:tcPr>
            <w:tcW w:w="28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420" w:type="dxa"/>
            <w:vAlign w:val="bottom"/>
            <w:gridSpan w:val="3"/>
            <w:shd w:val="clear" w:color="auto" w:fill="CFF0FC"/>
          </w:tcPr>
          <w:p>
            <w:pPr>
              <w:jc w:val="right"/>
              <w:ind w:right="1020"/>
              <w:spacing w:after="0"/>
              <w:rPr>
                <w:sz w:val="20"/>
                <w:szCs w:val="20"/>
                <w:color w:val="auto"/>
              </w:rPr>
            </w:pPr>
            <w:r>
              <w:rPr>
                <w:rFonts w:ascii="Arial" w:cs="Arial" w:eastAsia="Arial" w:hAnsi="Arial"/>
                <w:sz w:val="11"/>
                <w:szCs w:val="11"/>
                <w:color w:val="auto"/>
              </w:rPr>
              <w:t>—</w:t>
            </w:r>
          </w:p>
        </w:tc>
        <w:tc>
          <w:tcPr>
            <w:tcW w:w="64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7.2%</w:t>
            </w:r>
          </w:p>
        </w:tc>
        <w:tc>
          <w:tcPr>
            <w:tcW w:w="30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(26,486)</w:t>
            </w:r>
          </w:p>
        </w:tc>
        <w:tc>
          <w:tcPr>
            <w:tcW w:w="38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1"/>
                <w:szCs w:val="11"/>
                <w:color w:val="auto"/>
              </w:rPr>
              <w:t>(100.0)%</w:t>
            </w:r>
          </w:p>
        </w:tc>
        <w:tc>
          <w:tcPr>
            <w:tcW w:w="0" w:type="dxa"/>
            <w:vAlign w:val="bottom"/>
          </w:tcPr>
          <w:p>
            <w:pPr>
              <w:spacing w:after="0"/>
              <w:rPr>
                <w:sz w:val="1"/>
                <w:szCs w:val="1"/>
                <w:color w:val="auto"/>
              </w:rPr>
            </w:pPr>
          </w:p>
        </w:tc>
      </w:tr>
      <w:tr>
        <w:trPr>
          <w:trHeight w:val="144"/>
        </w:trPr>
        <w:tc>
          <w:tcPr>
            <w:tcW w:w="3520" w:type="dxa"/>
            <w:vAlign w:val="bottom"/>
            <w:gridSpan w:val="2"/>
          </w:tcPr>
          <w:p>
            <w:pPr>
              <w:spacing w:after="0"/>
              <w:rPr>
                <w:sz w:val="20"/>
                <w:szCs w:val="20"/>
                <w:color w:val="auto"/>
              </w:rPr>
            </w:pPr>
            <w:r>
              <w:rPr>
                <w:rFonts w:ascii="Arial" w:cs="Arial" w:eastAsia="Arial" w:hAnsi="Arial"/>
                <w:sz w:val="11"/>
                <w:szCs w:val="11"/>
                <w:color w:val="auto"/>
              </w:rPr>
              <w:t>Other income, net</w:t>
            </w:r>
          </w:p>
        </w:tc>
        <w:tc>
          <w:tcPr>
            <w:tcW w:w="240" w:type="dxa"/>
            <w:vAlign w:val="bottom"/>
          </w:tcPr>
          <w:p>
            <w:pPr>
              <w:spacing w:after="0"/>
              <w:rPr>
                <w:sz w:val="12"/>
                <w:szCs w:val="12"/>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1"/>
                <w:szCs w:val="11"/>
                <w:color w:val="auto"/>
              </w:rPr>
              <w:t>(11,198)</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1"/>
                <w:szCs w:val="11"/>
                <w:color w:val="auto"/>
              </w:rPr>
              <w:t>(8,795)</w:t>
            </w:r>
          </w:p>
        </w:tc>
        <w:tc>
          <w:tcPr>
            <w:tcW w:w="660" w:type="dxa"/>
            <w:vAlign w:val="bottom"/>
          </w:tcPr>
          <w:p>
            <w:pPr>
              <w:spacing w:after="0"/>
              <w:rPr>
                <w:sz w:val="12"/>
                <w:szCs w:val="12"/>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1"/>
                <w:szCs w:val="11"/>
                <w:color w:val="auto"/>
              </w:rPr>
              <w:t>(2.4)%</w:t>
            </w:r>
          </w:p>
        </w:tc>
        <w:tc>
          <w:tcPr>
            <w:tcW w:w="720" w:type="dxa"/>
            <w:vAlign w:val="bottom"/>
          </w:tcPr>
          <w:p>
            <w:pPr>
              <w:spacing w:after="0"/>
              <w:rPr>
                <w:sz w:val="12"/>
                <w:szCs w:val="12"/>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1"/>
                <w:szCs w:val="11"/>
                <w:color w:val="auto"/>
              </w:rPr>
              <w:t>(2.4)%</w:t>
            </w:r>
          </w:p>
        </w:tc>
        <w:tc>
          <w:tcPr>
            <w:tcW w:w="300" w:type="dxa"/>
            <w:vAlign w:val="bottom"/>
          </w:tcPr>
          <w:p>
            <w:pPr>
              <w:spacing w:after="0"/>
              <w:rPr>
                <w:sz w:val="12"/>
                <w:szCs w:val="12"/>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1"/>
                <w:szCs w:val="11"/>
                <w:color w:val="auto"/>
              </w:rPr>
              <w:t>(2,403)</w:t>
            </w:r>
          </w:p>
        </w:tc>
        <w:tc>
          <w:tcPr>
            <w:tcW w:w="380" w:type="dxa"/>
            <w:vAlign w:val="bottom"/>
          </w:tcPr>
          <w:p>
            <w:pPr>
              <w:spacing w:after="0"/>
              <w:rPr>
                <w:sz w:val="12"/>
                <w:szCs w:val="12"/>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1"/>
                <w:szCs w:val="11"/>
                <w:color w:val="auto"/>
              </w:rPr>
              <w:t>27.3%</w:t>
            </w:r>
          </w:p>
        </w:tc>
        <w:tc>
          <w:tcPr>
            <w:tcW w:w="0" w:type="dxa"/>
            <w:vAlign w:val="bottom"/>
          </w:tcPr>
          <w:p>
            <w:pPr>
              <w:spacing w:after="0"/>
              <w:rPr>
                <w:sz w:val="1"/>
                <w:szCs w:val="1"/>
                <w:color w:val="auto"/>
              </w:rPr>
            </w:pPr>
          </w:p>
        </w:tc>
      </w:tr>
      <w:tr>
        <w:trPr>
          <w:trHeight w:val="20"/>
        </w:trPr>
        <w:tc>
          <w:tcPr>
            <w:tcW w:w="3520" w:type="dxa"/>
            <w:vAlign w:val="bottom"/>
            <w:gridSpan w:val="2"/>
            <w:vMerge w:val="restart"/>
            <w:shd w:val="clear" w:color="auto" w:fill="CFF0FC"/>
          </w:tcPr>
          <w:p>
            <w:pPr>
              <w:ind w:left="160"/>
              <w:spacing w:after="0"/>
              <w:rPr>
                <w:sz w:val="20"/>
                <w:szCs w:val="20"/>
                <w:color w:val="auto"/>
              </w:rPr>
            </w:pPr>
            <w:r>
              <w:rPr>
                <w:rFonts w:ascii="Arial" w:cs="Arial" w:eastAsia="Arial" w:hAnsi="Arial"/>
                <w:sz w:val="11"/>
                <w:szCs w:val="11"/>
                <w:color w:val="auto"/>
              </w:rPr>
              <w:t>Total other expenses</w:t>
            </w: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FF0FC"/>
          </w:tcPr>
          <w:p>
            <w:pPr>
              <w:spacing w:after="0" w:line="20" w:lineRule="exact"/>
              <w:rPr>
                <w:sz w:val="1"/>
                <w:szCs w:val="1"/>
                <w:color w:val="auto"/>
              </w:rPr>
            </w:pPr>
          </w:p>
        </w:tc>
        <w:tc>
          <w:tcPr>
            <w:tcW w:w="380" w:type="dxa"/>
            <w:vAlign w:val="bottom"/>
            <w:vMerge w:val="restart"/>
            <w:shd w:val="clear" w:color="auto" w:fill="CFF0FC"/>
          </w:tcPr>
          <w:p>
            <w:pPr>
              <w:spacing w:after="0" w:line="20" w:lineRule="exact"/>
              <w:rPr>
                <w:sz w:val="1"/>
                <w:szCs w:val="1"/>
                <w:color w:val="auto"/>
              </w:rPr>
            </w:pPr>
          </w:p>
        </w:tc>
        <w:tc>
          <w:tcPr>
            <w:tcW w:w="860" w:type="dxa"/>
            <w:vAlign w:val="bottom"/>
            <w:gridSpan w:val="2"/>
            <w:vMerge w:val="restart"/>
            <w:shd w:val="clear" w:color="auto" w:fill="CFF0FC"/>
          </w:tcPr>
          <w:p>
            <w:pPr>
              <w:jc w:val="right"/>
              <w:ind w:right="20"/>
              <w:spacing w:after="0"/>
              <w:rPr>
                <w:sz w:val="20"/>
                <w:szCs w:val="20"/>
                <w:color w:val="auto"/>
              </w:rPr>
            </w:pPr>
            <w:r>
              <w:rPr>
                <w:rFonts w:ascii="Arial" w:cs="Arial" w:eastAsia="Arial" w:hAnsi="Arial"/>
                <w:sz w:val="11"/>
                <w:szCs w:val="11"/>
                <w:color w:val="auto"/>
              </w:rPr>
              <w:t>(43.2)%</w:t>
            </w:r>
          </w:p>
        </w:tc>
        <w:tc>
          <w:tcPr>
            <w:tcW w:w="0" w:type="dxa"/>
            <w:vAlign w:val="bottom"/>
          </w:tcPr>
          <w:p>
            <w:pPr>
              <w:spacing w:after="0" w:line="20" w:lineRule="exact"/>
              <w:rPr>
                <w:sz w:val="1"/>
                <w:szCs w:val="1"/>
                <w:color w:val="auto"/>
              </w:rPr>
            </w:pPr>
          </w:p>
        </w:tc>
      </w:tr>
      <w:tr>
        <w:trPr>
          <w:trHeight w:val="133"/>
        </w:trPr>
        <w:tc>
          <w:tcPr>
            <w:tcW w:w="3520" w:type="dxa"/>
            <w:vAlign w:val="bottom"/>
            <w:gridSpan w:val="2"/>
            <w:vMerge w:val="continue"/>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49,531</w:t>
            </w:r>
          </w:p>
        </w:tc>
        <w:tc>
          <w:tcPr>
            <w:tcW w:w="1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87,241</w:t>
            </w:r>
          </w:p>
        </w:tc>
        <w:tc>
          <w:tcPr>
            <w:tcW w:w="2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70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11.1%</w:t>
            </w:r>
          </w:p>
        </w:tc>
        <w:tc>
          <w:tcPr>
            <w:tcW w:w="720" w:type="dxa"/>
            <w:vAlign w:val="bottom"/>
            <w:shd w:val="clear" w:color="auto" w:fill="CFF0FC"/>
          </w:tcPr>
          <w:p>
            <w:pPr>
              <w:spacing w:after="0"/>
              <w:rPr>
                <w:sz w:val="11"/>
                <w:szCs w:val="11"/>
                <w:color w:val="auto"/>
              </w:rPr>
            </w:pPr>
          </w:p>
        </w:tc>
        <w:tc>
          <w:tcPr>
            <w:tcW w:w="64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23.6%</w:t>
            </w:r>
          </w:p>
        </w:tc>
        <w:tc>
          <w:tcPr>
            <w:tcW w:w="300" w:type="dxa"/>
            <w:vAlign w:val="bottom"/>
            <w:shd w:val="clear" w:color="auto" w:fill="CFF0FC"/>
          </w:tcPr>
          <w:p>
            <w:pPr>
              <w:spacing w:after="0"/>
              <w:rPr>
                <w:sz w:val="11"/>
                <w:szCs w:val="1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(37,710)</w:t>
            </w:r>
          </w:p>
        </w:tc>
        <w:tc>
          <w:tcPr>
            <w:tcW w:w="260" w:type="dxa"/>
            <w:vAlign w:val="bottom"/>
            <w:vMerge w:val="continue"/>
            <w:shd w:val="clear" w:color="auto" w:fill="CFF0FC"/>
          </w:tcPr>
          <w:p>
            <w:pPr>
              <w:spacing w:after="0"/>
              <w:rPr>
                <w:sz w:val="11"/>
                <w:szCs w:val="11"/>
                <w:color w:val="auto"/>
              </w:rPr>
            </w:pPr>
          </w:p>
        </w:tc>
        <w:tc>
          <w:tcPr>
            <w:tcW w:w="380" w:type="dxa"/>
            <w:vAlign w:val="bottom"/>
            <w:vMerge w:val="continue"/>
            <w:shd w:val="clear" w:color="auto" w:fill="CFF0FC"/>
          </w:tcPr>
          <w:p>
            <w:pPr>
              <w:spacing w:after="0"/>
              <w:rPr>
                <w:sz w:val="11"/>
                <w:szCs w:val="11"/>
                <w:color w:val="auto"/>
              </w:rPr>
            </w:pPr>
          </w:p>
        </w:tc>
        <w:tc>
          <w:tcPr>
            <w:tcW w:w="860" w:type="dxa"/>
            <w:vAlign w:val="bottom"/>
            <w:gridSpan w:val="2"/>
            <w:vMerge w:val="continue"/>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520" w:type="dxa"/>
            <w:vAlign w:val="bottom"/>
            <w:gridSpan w:val="2"/>
            <w:vMerge w:val="restart"/>
          </w:tcPr>
          <w:p>
            <w:pPr>
              <w:spacing w:after="0"/>
              <w:rPr>
                <w:sz w:val="20"/>
                <w:szCs w:val="20"/>
                <w:color w:val="auto"/>
              </w:rPr>
            </w:pPr>
            <w:r>
              <w:rPr>
                <w:rFonts w:ascii="Arial" w:cs="Arial" w:eastAsia="Arial" w:hAnsi="Arial"/>
                <w:sz w:val="11"/>
                <w:szCs w:val="11"/>
                <w:color w:val="auto"/>
              </w:rPr>
              <w:t>Income (loss) before income tax provision (benefit)</w:t>
            </w: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gridSpan w:val="2"/>
            <w:vMerge w:val="restart"/>
          </w:tcPr>
          <w:p>
            <w:pPr>
              <w:jc w:val="right"/>
              <w:ind w:right="60"/>
              <w:spacing w:after="0"/>
              <w:rPr>
                <w:sz w:val="20"/>
                <w:szCs w:val="20"/>
                <w:color w:val="auto"/>
              </w:rPr>
            </w:pPr>
            <w:r>
              <w:rPr>
                <w:rFonts w:ascii="Arial" w:cs="Arial" w:eastAsia="Arial" w:hAnsi="Arial"/>
                <w:sz w:val="11"/>
                <w:szCs w:val="11"/>
                <w:color w:val="auto"/>
              </w:rPr>
              <w:t>162.9%</w:t>
            </w:r>
          </w:p>
        </w:tc>
        <w:tc>
          <w:tcPr>
            <w:tcW w:w="0" w:type="dxa"/>
            <w:vAlign w:val="bottom"/>
          </w:tcPr>
          <w:p>
            <w:pPr>
              <w:spacing w:after="0" w:line="20" w:lineRule="exact"/>
              <w:rPr>
                <w:sz w:val="1"/>
                <w:szCs w:val="1"/>
                <w:color w:val="auto"/>
              </w:rPr>
            </w:pPr>
          </w:p>
        </w:tc>
      </w:tr>
      <w:tr>
        <w:trPr>
          <w:trHeight w:val="133"/>
        </w:trPr>
        <w:tc>
          <w:tcPr>
            <w:tcW w:w="352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46,924</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(74,635)</w:t>
            </w:r>
          </w:p>
        </w:tc>
        <w:tc>
          <w:tcPr>
            <w:tcW w:w="280" w:type="dxa"/>
            <w:vAlign w:val="bottom"/>
            <w:vMerge w:val="continue"/>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1"/>
                <w:szCs w:val="11"/>
                <w:color w:val="auto"/>
              </w:rPr>
              <w:t>10.4%</w:t>
            </w:r>
          </w:p>
        </w:tc>
        <w:tc>
          <w:tcPr>
            <w:tcW w:w="720" w:type="dxa"/>
            <w:vAlign w:val="bottom"/>
          </w:tcPr>
          <w:p>
            <w:pPr>
              <w:spacing w:after="0"/>
              <w:rPr>
                <w:sz w:val="11"/>
                <w:szCs w:val="11"/>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1"/>
                <w:szCs w:val="11"/>
                <w:color w:val="auto"/>
              </w:rPr>
              <w:t>(20.2)%</w:t>
            </w:r>
          </w:p>
        </w:tc>
        <w:tc>
          <w:tcPr>
            <w:tcW w:w="30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121,559</w:t>
            </w:r>
          </w:p>
        </w:tc>
        <w:tc>
          <w:tcPr>
            <w:tcW w:w="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3520" w:type="dxa"/>
            <w:vAlign w:val="bottom"/>
            <w:gridSpan w:val="2"/>
            <w:shd w:val="clear" w:color="auto" w:fill="CFF0FC"/>
          </w:tcPr>
          <w:p>
            <w:pPr>
              <w:spacing w:after="0"/>
              <w:rPr>
                <w:sz w:val="20"/>
                <w:szCs w:val="20"/>
                <w:color w:val="auto"/>
              </w:rPr>
            </w:pPr>
            <w:r>
              <w:rPr>
                <w:rFonts w:ascii="Arial" w:cs="Arial" w:eastAsia="Arial" w:hAnsi="Arial"/>
                <w:sz w:val="11"/>
                <w:szCs w:val="11"/>
                <w:color w:val="auto"/>
              </w:rPr>
              <w:t>Income tax provision (benefit)</w:t>
            </w:r>
          </w:p>
        </w:tc>
        <w:tc>
          <w:tcPr>
            <w:tcW w:w="24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13,581</w:t>
            </w: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(16,241)</w:t>
            </w:r>
          </w:p>
        </w:tc>
        <w:tc>
          <w:tcPr>
            <w:tcW w:w="66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3.0%</w:t>
            </w:r>
          </w:p>
        </w:tc>
        <w:tc>
          <w:tcPr>
            <w:tcW w:w="720" w:type="dxa"/>
            <w:vAlign w:val="bottom"/>
            <w:shd w:val="clear" w:color="auto" w:fill="CFF0FC"/>
          </w:tcPr>
          <w:p>
            <w:pPr>
              <w:spacing w:after="0"/>
              <w:rPr>
                <w:sz w:val="12"/>
                <w:szCs w:val="12"/>
                <w:color w:val="auto"/>
              </w:rPr>
            </w:pPr>
          </w:p>
        </w:tc>
        <w:tc>
          <w:tcPr>
            <w:tcW w:w="640" w:type="dxa"/>
            <w:vAlign w:val="bottom"/>
            <w:gridSpan w:val="2"/>
            <w:shd w:val="clear" w:color="auto" w:fill="CFF0FC"/>
          </w:tcPr>
          <w:p>
            <w:pPr>
              <w:jc w:val="right"/>
              <w:ind w:right="160"/>
              <w:spacing w:after="0"/>
              <w:rPr>
                <w:sz w:val="20"/>
                <w:szCs w:val="20"/>
                <w:color w:val="auto"/>
              </w:rPr>
            </w:pPr>
            <w:r>
              <w:rPr>
                <w:rFonts w:ascii="Arial" w:cs="Arial" w:eastAsia="Arial" w:hAnsi="Arial"/>
                <w:sz w:val="11"/>
                <w:szCs w:val="11"/>
                <w:color w:val="auto"/>
              </w:rPr>
              <w:t>(4.4)%</w:t>
            </w:r>
          </w:p>
        </w:tc>
        <w:tc>
          <w:tcPr>
            <w:tcW w:w="30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29,822</w:t>
            </w:r>
          </w:p>
        </w:tc>
        <w:tc>
          <w:tcPr>
            <w:tcW w:w="2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60"/>
              <w:spacing w:after="0"/>
              <w:rPr>
                <w:sz w:val="20"/>
                <w:szCs w:val="20"/>
                <w:color w:val="auto"/>
              </w:rPr>
            </w:pPr>
            <w:r>
              <w:rPr>
                <w:rFonts w:ascii="Arial" w:cs="Arial" w:eastAsia="Arial" w:hAnsi="Arial"/>
                <w:sz w:val="11"/>
                <w:szCs w:val="11"/>
                <w:color w:val="auto"/>
              </w:rPr>
              <w:t>183.6%</w:t>
            </w:r>
          </w:p>
        </w:tc>
        <w:tc>
          <w:tcPr>
            <w:tcW w:w="0" w:type="dxa"/>
            <w:vAlign w:val="bottom"/>
          </w:tcPr>
          <w:p>
            <w:pPr>
              <w:spacing w:after="0"/>
              <w:rPr>
                <w:sz w:val="1"/>
                <w:szCs w:val="1"/>
                <w:color w:val="auto"/>
              </w:rPr>
            </w:pPr>
          </w:p>
        </w:tc>
      </w:tr>
      <w:tr>
        <w:trPr>
          <w:trHeight w:val="20"/>
        </w:trPr>
        <w:tc>
          <w:tcPr>
            <w:tcW w:w="3520" w:type="dxa"/>
            <w:vAlign w:val="bottom"/>
            <w:gridSpan w:val="2"/>
            <w:vMerge w:val="restart"/>
          </w:tcPr>
          <w:p>
            <w:pPr>
              <w:ind w:left="160"/>
              <w:spacing w:after="0"/>
              <w:rPr>
                <w:sz w:val="20"/>
                <w:szCs w:val="20"/>
                <w:color w:val="auto"/>
              </w:rPr>
            </w:pPr>
            <w:r>
              <w:rPr>
                <w:rFonts w:ascii="Arial" w:cs="Arial" w:eastAsia="Arial" w:hAnsi="Arial"/>
                <w:sz w:val="11"/>
                <w:szCs w:val="11"/>
                <w:b w:val="1"/>
                <w:bCs w:val="1"/>
                <w:color w:val="auto"/>
              </w:rPr>
              <w:t>Net income (loss)</w:t>
            </w: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gridSpan w:val="2"/>
            <w:vMerge w:val="restart"/>
          </w:tcPr>
          <w:p>
            <w:pPr>
              <w:jc w:val="right"/>
              <w:ind w:right="60"/>
              <w:spacing w:after="0"/>
              <w:rPr>
                <w:sz w:val="20"/>
                <w:szCs w:val="20"/>
                <w:color w:val="auto"/>
              </w:rPr>
            </w:pPr>
            <w:r>
              <w:rPr>
                <w:rFonts w:ascii="Arial" w:cs="Arial" w:eastAsia="Arial" w:hAnsi="Arial"/>
                <w:sz w:val="11"/>
                <w:szCs w:val="11"/>
                <w:color w:val="auto"/>
              </w:rPr>
              <w:t>157.1%</w:t>
            </w:r>
          </w:p>
        </w:tc>
        <w:tc>
          <w:tcPr>
            <w:tcW w:w="0" w:type="dxa"/>
            <w:vAlign w:val="bottom"/>
          </w:tcPr>
          <w:p>
            <w:pPr>
              <w:spacing w:after="0" w:line="20" w:lineRule="exact"/>
              <w:rPr>
                <w:sz w:val="1"/>
                <w:szCs w:val="1"/>
                <w:color w:val="auto"/>
              </w:rPr>
            </w:pPr>
          </w:p>
        </w:tc>
      </w:tr>
      <w:tr>
        <w:trPr>
          <w:trHeight w:val="133"/>
        </w:trPr>
        <w:tc>
          <w:tcPr>
            <w:tcW w:w="3520" w:type="dxa"/>
            <w:vAlign w:val="bottom"/>
            <w:gridSpan w:val="2"/>
            <w:vMerge w:val="continue"/>
          </w:tcPr>
          <w:p>
            <w:pPr>
              <w:spacing w:after="0"/>
              <w:rPr>
                <w:sz w:val="11"/>
                <w:szCs w:val="11"/>
                <w:color w:val="auto"/>
              </w:rPr>
            </w:pPr>
          </w:p>
        </w:tc>
        <w:tc>
          <w:tcPr>
            <w:tcW w:w="240" w:type="dxa"/>
            <w:vAlign w:val="bottom"/>
          </w:tcPr>
          <w:p>
            <w:pPr>
              <w:jc w:val="right"/>
              <w:ind w:right="129"/>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spacing w:after="0"/>
              <w:rPr>
                <w:sz w:val="20"/>
                <w:szCs w:val="20"/>
                <w:color w:val="auto"/>
              </w:rPr>
            </w:pPr>
            <w:r>
              <w:rPr>
                <w:rFonts w:ascii="Arial" w:cs="Arial" w:eastAsia="Arial" w:hAnsi="Arial"/>
                <w:sz w:val="11"/>
                <w:szCs w:val="11"/>
                <w:color w:val="auto"/>
              </w:rPr>
              <w:t>33,343</w:t>
            </w:r>
          </w:p>
        </w:tc>
        <w:tc>
          <w:tcPr>
            <w:tcW w:w="140" w:type="dxa"/>
            <w:vAlign w:val="bottom"/>
          </w:tcPr>
          <w:p>
            <w:pPr>
              <w:spacing w:after="0"/>
              <w:rPr>
                <w:sz w:val="11"/>
                <w:szCs w:val="11"/>
                <w:color w:val="auto"/>
              </w:rPr>
            </w:pPr>
          </w:p>
        </w:tc>
        <w:tc>
          <w:tcPr>
            <w:tcW w:w="120" w:type="dxa"/>
            <w:vAlign w:val="bottom"/>
            <w:vMerge w:val="continue"/>
          </w:tcPr>
          <w:p>
            <w:pPr>
              <w:spacing w:after="0"/>
              <w:rPr>
                <w:sz w:val="11"/>
                <w:szCs w:val="11"/>
                <w:color w:val="auto"/>
              </w:rPr>
            </w:pPr>
          </w:p>
        </w:tc>
        <w:tc>
          <w:tcPr>
            <w:tcW w:w="240" w:type="dxa"/>
            <w:vAlign w:val="bottom"/>
          </w:tcPr>
          <w:p>
            <w:pPr>
              <w:jc w:val="right"/>
              <w:ind w:right="129"/>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spacing w:after="0"/>
              <w:rPr>
                <w:sz w:val="20"/>
                <w:szCs w:val="20"/>
                <w:color w:val="auto"/>
              </w:rPr>
            </w:pPr>
            <w:r>
              <w:rPr>
                <w:rFonts w:ascii="Arial" w:cs="Arial" w:eastAsia="Arial" w:hAnsi="Arial"/>
                <w:sz w:val="11"/>
                <w:szCs w:val="11"/>
                <w:color w:val="auto"/>
              </w:rPr>
              <w:t>(58,394)</w:t>
            </w:r>
          </w:p>
        </w:tc>
        <w:tc>
          <w:tcPr>
            <w:tcW w:w="280" w:type="dxa"/>
            <w:vAlign w:val="bottom"/>
            <w:vMerge w:val="continue"/>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1"/>
                <w:szCs w:val="11"/>
                <w:color w:val="auto"/>
              </w:rPr>
              <w:t>7.4%</w:t>
            </w:r>
          </w:p>
        </w:tc>
        <w:tc>
          <w:tcPr>
            <w:tcW w:w="720" w:type="dxa"/>
            <w:vAlign w:val="bottom"/>
          </w:tcPr>
          <w:p>
            <w:pPr>
              <w:spacing w:after="0"/>
              <w:rPr>
                <w:sz w:val="11"/>
                <w:szCs w:val="11"/>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1"/>
                <w:szCs w:val="11"/>
                <w:color w:val="auto"/>
              </w:rPr>
              <w:t>(15.8)%</w:t>
            </w:r>
          </w:p>
        </w:tc>
        <w:tc>
          <w:tcPr>
            <w:tcW w:w="300" w:type="dxa"/>
            <w:vAlign w:val="bottom"/>
          </w:tcPr>
          <w:p>
            <w:pPr>
              <w:jc w:val="right"/>
              <w:ind w:right="189"/>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spacing w:after="0"/>
              <w:rPr>
                <w:sz w:val="20"/>
                <w:szCs w:val="20"/>
                <w:color w:val="auto"/>
              </w:rPr>
            </w:pPr>
            <w:r>
              <w:rPr>
                <w:rFonts w:ascii="Arial" w:cs="Arial" w:eastAsia="Arial" w:hAnsi="Arial"/>
                <w:sz w:val="11"/>
                <w:szCs w:val="11"/>
                <w:color w:val="auto"/>
              </w:rPr>
              <w:t>91,737</w:t>
            </w:r>
          </w:p>
        </w:tc>
        <w:tc>
          <w:tcPr>
            <w:tcW w:w="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640" w:type="dxa"/>
            <w:vAlign w:val="bottom"/>
          </w:tcPr>
          <w:p>
            <w:pPr>
              <w:spacing w:after="0"/>
              <w:rPr>
                <w:sz w:val="2"/>
                <w:szCs w:val="2"/>
                <w:color w:val="auto"/>
              </w:rPr>
            </w:pPr>
          </w:p>
        </w:tc>
        <w:tc>
          <w:tcPr>
            <w:tcW w:w="28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ind w:right="140" w:firstLine="602"/>
        <w:spacing w:after="0" w:line="276" w:lineRule="auto"/>
        <w:rPr>
          <w:sz w:val="20"/>
          <w:szCs w:val="20"/>
          <w:color w:val="auto"/>
        </w:rPr>
      </w:pPr>
      <w:r>
        <w:rPr>
          <w:rFonts w:ascii="Arial" w:cs="Arial" w:eastAsia="Arial" w:hAnsi="Arial"/>
          <w:sz w:val="12"/>
          <w:szCs w:val="12"/>
          <w:i w:val="1"/>
          <w:iCs w:val="1"/>
          <w:color w:val="auto"/>
        </w:rPr>
        <w:t>Service Revenue</w:t>
      </w:r>
      <w:r>
        <w:rPr>
          <w:rFonts w:ascii="Arial" w:cs="Arial" w:eastAsia="Arial" w:hAnsi="Arial"/>
          <w:sz w:val="12"/>
          <w:szCs w:val="12"/>
          <w:color w:val="auto"/>
        </w:rPr>
        <w:t>. Service revenue increased by $51.6 million, or 14.1%, to $416.7 million for fiscal year 2019 from $365.1 million for fiscal 2018, representing 92.9% and 98.6% of total revenue, respectively. The following</w:t>
      </w:r>
      <w:r>
        <w:rPr>
          <w:rFonts w:ascii="Arial" w:cs="Arial" w:eastAsia="Arial" w:hAnsi="Arial"/>
          <w:sz w:val="12"/>
          <w:szCs w:val="12"/>
          <w:i w:val="1"/>
          <w:iCs w:val="1"/>
          <w:color w:val="auto"/>
        </w:rPr>
        <w:t xml:space="preserve"> </w:t>
      </w:r>
      <w:r>
        <w:rPr>
          <w:rFonts w:ascii="Arial" w:cs="Arial" w:eastAsia="Arial" w:hAnsi="Arial"/>
          <w:sz w:val="12"/>
          <w:szCs w:val="12"/>
          <w:color w:val="auto"/>
        </w:rPr>
        <w:t>table depicts service revenue by segment:</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40" w:type="dxa"/>
            <w:vAlign w:val="bottom"/>
          </w:tcPr>
          <w:p>
            <w:pPr>
              <w:spacing w:after="0"/>
              <w:rPr>
                <w:sz w:val="10"/>
                <w:szCs w:val="10"/>
                <w:color w:val="auto"/>
              </w:rPr>
            </w:pPr>
          </w:p>
        </w:tc>
        <w:tc>
          <w:tcPr>
            <w:tcW w:w="2900" w:type="dxa"/>
            <w:vAlign w:val="bottom"/>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1420" w:type="dxa"/>
            <w:vAlign w:val="bottom"/>
            <w:tcBorders>
              <w:bottom w:val="single" w:sz="8" w:color="auto"/>
            </w:tcBorders>
            <w:gridSpan w:val="3"/>
          </w:tcPr>
          <w:p>
            <w:pPr>
              <w:jc w:val="right"/>
              <w:ind w:right="320"/>
              <w:spacing w:after="0"/>
              <w:rPr>
                <w:sz w:val="20"/>
                <w:szCs w:val="20"/>
                <w:color w:val="auto"/>
              </w:rPr>
            </w:pPr>
            <w:r>
              <w:rPr>
                <w:rFonts w:ascii="Arial" w:cs="Arial" w:eastAsia="Arial" w:hAnsi="Arial"/>
                <w:sz w:val="10"/>
                <w:szCs w:val="10"/>
                <w:b w:val="1"/>
                <w:bCs w:val="1"/>
                <w:color w:val="auto"/>
                <w:w w:val="87"/>
              </w:rPr>
              <w:t>Year Ended December 31,</w:t>
            </w:r>
          </w:p>
        </w:tc>
        <w:tc>
          <w:tcPr>
            <w:tcW w:w="34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3"/>
        </w:trPr>
        <w:tc>
          <w:tcPr>
            <w:tcW w:w="640" w:type="dxa"/>
            <w:vAlign w:val="bottom"/>
          </w:tcPr>
          <w:p>
            <w:pPr>
              <w:spacing w:after="0"/>
              <w:rPr>
                <w:sz w:val="7"/>
                <w:szCs w:val="7"/>
                <w:color w:val="auto"/>
              </w:rPr>
            </w:pPr>
          </w:p>
        </w:tc>
        <w:tc>
          <w:tcPr>
            <w:tcW w:w="2900" w:type="dxa"/>
            <w:vAlign w:val="bottom"/>
          </w:tcPr>
          <w:p>
            <w:pPr>
              <w:spacing w:after="0"/>
              <w:rPr>
                <w:sz w:val="7"/>
                <w:szCs w:val="7"/>
                <w:color w:val="auto"/>
              </w:rPr>
            </w:pPr>
          </w:p>
        </w:tc>
        <w:tc>
          <w:tcPr>
            <w:tcW w:w="240" w:type="dxa"/>
            <w:vAlign w:val="bottom"/>
          </w:tcPr>
          <w:p>
            <w:pPr>
              <w:spacing w:after="0"/>
              <w:rPr>
                <w:sz w:val="7"/>
                <w:szCs w:val="7"/>
                <w:color w:val="auto"/>
              </w:rPr>
            </w:pPr>
          </w:p>
        </w:tc>
        <w:tc>
          <w:tcPr>
            <w:tcW w:w="8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60" w:type="dxa"/>
            <w:vAlign w:val="bottom"/>
          </w:tcPr>
          <w:p>
            <w:pPr>
              <w:spacing w:after="0"/>
              <w:rPr>
                <w:sz w:val="7"/>
                <w:szCs w:val="7"/>
                <w:color w:val="auto"/>
              </w:rPr>
            </w:pPr>
          </w:p>
        </w:tc>
        <w:tc>
          <w:tcPr>
            <w:tcW w:w="8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0" w:type="dxa"/>
            <w:vAlign w:val="bottom"/>
          </w:tcPr>
          <w:p>
            <w:pPr>
              <w:spacing w:after="0"/>
              <w:rPr>
                <w:sz w:val="7"/>
                <w:szCs w:val="7"/>
                <w:color w:val="auto"/>
              </w:rPr>
            </w:pPr>
          </w:p>
        </w:tc>
        <w:tc>
          <w:tcPr>
            <w:tcW w:w="280" w:type="dxa"/>
            <w:vAlign w:val="bottom"/>
          </w:tcPr>
          <w:p>
            <w:pPr>
              <w:spacing w:after="0"/>
              <w:rPr>
                <w:sz w:val="7"/>
                <w:szCs w:val="7"/>
                <w:color w:val="auto"/>
              </w:rPr>
            </w:pPr>
          </w:p>
        </w:tc>
        <w:tc>
          <w:tcPr>
            <w:tcW w:w="740" w:type="dxa"/>
            <w:vAlign w:val="bottom"/>
          </w:tcPr>
          <w:p>
            <w:pPr>
              <w:spacing w:after="0"/>
              <w:rPr>
                <w:sz w:val="7"/>
                <w:szCs w:val="7"/>
                <w:color w:val="auto"/>
              </w:rPr>
            </w:pPr>
          </w:p>
        </w:tc>
        <w:tc>
          <w:tcPr>
            <w:tcW w:w="34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440" w:type="dxa"/>
            <w:vAlign w:val="bottom"/>
            <w:gridSpan w:val="3"/>
          </w:tcPr>
          <w:p>
            <w:pPr>
              <w:jc w:val="center"/>
              <w:ind w:left="387"/>
              <w:spacing w:after="0" w:line="83" w:lineRule="exact"/>
              <w:rPr>
                <w:sz w:val="20"/>
                <w:szCs w:val="20"/>
                <w:color w:val="auto"/>
              </w:rPr>
            </w:pPr>
            <w:r>
              <w:rPr>
                <w:rFonts w:ascii="Arial" w:cs="Arial" w:eastAsia="Arial" w:hAnsi="Arial"/>
                <w:sz w:val="8"/>
                <w:szCs w:val="8"/>
                <w:b w:val="1"/>
                <w:bCs w:val="1"/>
                <w:color w:val="auto"/>
              </w:rPr>
              <w:t>Increase (Decrease)</w:t>
            </w:r>
          </w:p>
        </w:tc>
        <w:tc>
          <w:tcPr>
            <w:tcW w:w="72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3540" w:type="dxa"/>
            <w:vAlign w:val="bottom"/>
            <w:gridSpan w:val="2"/>
            <w:vMerge w:val="restart"/>
          </w:tcPr>
          <w:p>
            <w:pPr>
              <w:spacing w:after="0"/>
              <w:rPr>
                <w:sz w:val="20"/>
                <w:szCs w:val="20"/>
                <w:color w:val="auto"/>
              </w:rPr>
            </w:pPr>
            <w:r>
              <w:rPr>
                <w:rFonts w:ascii="Arial" w:cs="Arial" w:eastAsia="Arial" w:hAnsi="Arial"/>
                <w:sz w:val="10"/>
                <w:szCs w:val="10"/>
                <w:b w:val="1"/>
                <w:bCs w:val="1"/>
                <w:u w:val="single" w:color="auto"/>
                <w:color w:val="auto"/>
              </w:rPr>
              <w:t>(</w:t>
            </w:r>
            <w:r>
              <w:rPr>
                <w:rFonts w:ascii="Arial" w:cs="Arial" w:eastAsia="Arial" w:hAnsi="Arial"/>
                <w:sz w:val="10"/>
                <w:szCs w:val="10"/>
                <w:b w:val="1"/>
                <w:bCs w:val="1"/>
                <w:color w:val="auto"/>
              </w:rPr>
              <w:t>$ in thousands)</w:t>
            </w:r>
          </w:p>
        </w:tc>
        <w:tc>
          <w:tcPr>
            <w:tcW w:w="240" w:type="dxa"/>
            <w:vAlign w:val="bottom"/>
          </w:tcPr>
          <w:p>
            <w:pPr>
              <w:spacing w:after="0"/>
              <w:rPr>
                <w:sz w:val="9"/>
                <w:szCs w:val="9"/>
                <w:color w:val="auto"/>
              </w:rPr>
            </w:pPr>
          </w:p>
        </w:tc>
        <w:tc>
          <w:tcPr>
            <w:tcW w:w="820" w:type="dxa"/>
            <w:vAlign w:val="bottom"/>
            <w:vMerge w:val="restart"/>
          </w:tcPr>
          <w:p>
            <w:pPr>
              <w:jc w:val="right"/>
              <w:ind w:right="383"/>
              <w:spacing w:after="0"/>
              <w:rPr>
                <w:sz w:val="20"/>
                <w:szCs w:val="20"/>
                <w:color w:val="auto"/>
              </w:rPr>
            </w:pPr>
            <w:r>
              <w:rPr>
                <w:rFonts w:ascii="Arial" w:cs="Arial" w:eastAsia="Arial" w:hAnsi="Arial"/>
                <w:sz w:val="10"/>
                <w:szCs w:val="10"/>
                <w:b w:val="1"/>
                <w:bCs w:val="1"/>
                <w:color w:val="auto"/>
              </w:rPr>
              <w:t>2019</w:t>
            </w: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20" w:type="dxa"/>
            <w:vAlign w:val="bottom"/>
            <w:vMerge w:val="restart"/>
          </w:tcPr>
          <w:p>
            <w:pPr>
              <w:jc w:val="right"/>
              <w:ind w:right="383"/>
              <w:spacing w:after="0"/>
              <w:rPr>
                <w:sz w:val="20"/>
                <w:szCs w:val="20"/>
                <w:color w:val="auto"/>
              </w:rPr>
            </w:pPr>
            <w:r>
              <w:rPr>
                <w:rFonts w:ascii="Arial" w:cs="Arial" w:eastAsia="Arial" w:hAnsi="Arial"/>
                <w:sz w:val="10"/>
                <w:szCs w:val="10"/>
                <w:b w:val="1"/>
                <w:bCs w:val="1"/>
                <w:color w:val="auto"/>
              </w:rPr>
              <w:t>2018</w:t>
            </w:r>
          </w:p>
        </w:tc>
        <w:tc>
          <w:tcPr>
            <w:tcW w:w="260" w:type="dxa"/>
            <w:vAlign w:val="bottom"/>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420" w:type="dxa"/>
            <w:vAlign w:val="bottom"/>
            <w:tcBorders>
              <w:bottom w:val="single" w:sz="8" w:color="auto"/>
            </w:tcBorders>
            <w:gridSpan w:val="3"/>
          </w:tcPr>
          <w:p>
            <w:pPr>
              <w:jc w:val="right"/>
              <w:ind w:right="420"/>
              <w:spacing w:after="0" w:line="114" w:lineRule="exact"/>
              <w:rPr>
                <w:sz w:val="20"/>
                <w:szCs w:val="20"/>
                <w:color w:val="auto"/>
              </w:rPr>
            </w:pPr>
            <w:r>
              <w:rPr>
                <w:rFonts w:ascii="Arial" w:cs="Arial" w:eastAsia="Arial" w:hAnsi="Arial"/>
                <w:sz w:val="10"/>
                <w:szCs w:val="10"/>
                <w:b w:val="1"/>
                <w:bCs w:val="1"/>
                <w:color w:val="auto"/>
                <w:w w:val="88"/>
              </w:rPr>
              <w:t>Percentage of Revenue</w:t>
            </w:r>
          </w:p>
        </w:tc>
        <w:tc>
          <w:tcPr>
            <w:tcW w:w="34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440" w:type="dxa"/>
            <w:vAlign w:val="bottom"/>
            <w:tcBorders>
              <w:bottom w:val="single" w:sz="8" w:color="auto"/>
            </w:tcBorders>
            <w:gridSpan w:val="3"/>
          </w:tcPr>
          <w:p>
            <w:pPr>
              <w:jc w:val="center"/>
              <w:ind w:left="387"/>
              <w:spacing w:after="0" w:line="114" w:lineRule="exact"/>
              <w:rPr>
                <w:sz w:val="20"/>
                <w:szCs w:val="20"/>
                <w:color w:val="auto"/>
              </w:rPr>
            </w:pPr>
            <w:r>
              <w:rPr>
                <w:rFonts w:ascii="Arial" w:cs="Arial" w:eastAsia="Arial" w:hAnsi="Arial"/>
                <w:sz w:val="10"/>
                <w:szCs w:val="10"/>
                <w:b w:val="1"/>
                <w:bCs w:val="1"/>
                <w:color w:val="auto"/>
                <w:w w:val="84"/>
              </w:rPr>
              <w:t>2019 vs 2018</w:t>
            </w:r>
          </w:p>
        </w:tc>
        <w:tc>
          <w:tcPr>
            <w:tcW w:w="72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3540" w:type="dxa"/>
            <w:vAlign w:val="bottom"/>
            <w:gridSpan w:val="2"/>
            <w:vMerge w:val="continue"/>
          </w:tcPr>
          <w:p>
            <w:pPr>
              <w:spacing w:after="0"/>
              <w:rPr>
                <w:sz w:val="7"/>
                <w:szCs w:val="7"/>
                <w:color w:val="auto"/>
              </w:rPr>
            </w:pPr>
          </w:p>
        </w:tc>
        <w:tc>
          <w:tcPr>
            <w:tcW w:w="24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26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Pr>
          <w:p>
            <w:pPr>
              <w:jc w:val="right"/>
              <w:spacing w:after="0" w:line="88" w:lineRule="exact"/>
              <w:rPr>
                <w:sz w:val="20"/>
                <w:szCs w:val="20"/>
                <w:color w:val="auto"/>
              </w:rPr>
            </w:pPr>
            <w:r>
              <w:rPr>
                <w:rFonts w:ascii="Arial" w:cs="Arial" w:eastAsia="Arial" w:hAnsi="Arial"/>
                <w:sz w:val="10"/>
                <w:szCs w:val="10"/>
                <w:b w:val="1"/>
                <w:bCs w:val="1"/>
                <w:color w:val="auto"/>
              </w:rPr>
              <w:t>2019</w:t>
            </w:r>
          </w:p>
        </w:tc>
        <w:tc>
          <w:tcPr>
            <w:tcW w:w="1420" w:type="dxa"/>
            <w:vAlign w:val="bottom"/>
            <w:gridSpan w:val="3"/>
          </w:tcPr>
          <w:p>
            <w:pPr>
              <w:jc w:val="right"/>
              <w:ind w:right="120"/>
              <w:spacing w:after="0" w:line="88" w:lineRule="exact"/>
              <w:rPr>
                <w:sz w:val="20"/>
                <w:szCs w:val="20"/>
                <w:color w:val="auto"/>
              </w:rPr>
            </w:pPr>
            <w:r>
              <w:rPr>
                <w:rFonts w:ascii="Arial" w:cs="Arial" w:eastAsia="Arial" w:hAnsi="Arial"/>
                <w:sz w:val="10"/>
                <w:szCs w:val="10"/>
                <w:b w:val="1"/>
                <w:bCs w:val="1"/>
                <w:color w:val="auto"/>
              </w:rPr>
              <w:t>2018</w:t>
            </w:r>
          </w:p>
        </w:tc>
        <w:tc>
          <w:tcPr>
            <w:tcW w:w="34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0" w:type="dxa"/>
            <w:vAlign w:val="bottom"/>
          </w:tcPr>
          <w:p>
            <w:pPr>
              <w:jc w:val="right"/>
              <w:ind w:right="467"/>
              <w:spacing w:after="0" w:line="88" w:lineRule="exact"/>
              <w:rPr>
                <w:sz w:val="20"/>
                <w:szCs w:val="20"/>
                <w:color w:val="auto"/>
              </w:rPr>
            </w:pPr>
            <w:r>
              <w:rPr>
                <w:rFonts w:ascii="Arial" w:cs="Arial" w:eastAsia="Arial" w:hAnsi="Arial"/>
                <w:sz w:val="10"/>
                <w:szCs w:val="10"/>
                <w:b w:val="1"/>
                <w:bCs w:val="1"/>
                <w:color w:val="auto"/>
              </w:rPr>
              <w:t>$</w:t>
            </w:r>
          </w:p>
        </w:tc>
        <w:tc>
          <w:tcPr>
            <w:tcW w:w="260" w:type="dxa"/>
            <w:vAlign w:val="bottom"/>
          </w:tcPr>
          <w:p>
            <w:pPr>
              <w:spacing w:after="0"/>
              <w:rPr>
                <w:sz w:val="7"/>
                <w:szCs w:val="7"/>
                <w:color w:val="auto"/>
              </w:rPr>
            </w:pPr>
          </w:p>
        </w:tc>
        <w:tc>
          <w:tcPr>
            <w:tcW w:w="380" w:type="dxa"/>
            <w:vAlign w:val="bottom"/>
          </w:tcPr>
          <w:p>
            <w:pPr>
              <w:spacing w:after="0"/>
              <w:rPr>
                <w:sz w:val="7"/>
                <w:szCs w:val="7"/>
                <w:color w:val="auto"/>
              </w:rPr>
            </w:pPr>
          </w:p>
        </w:tc>
        <w:tc>
          <w:tcPr>
            <w:tcW w:w="720" w:type="dxa"/>
            <w:vAlign w:val="bottom"/>
          </w:tcPr>
          <w:p>
            <w:pPr>
              <w:jc w:val="right"/>
              <w:ind w:right="443"/>
              <w:spacing w:after="0" w:line="88" w:lineRule="exact"/>
              <w:rPr>
                <w:sz w:val="20"/>
                <w:szCs w:val="20"/>
                <w:color w:val="auto"/>
              </w:rPr>
            </w:pPr>
            <w:r>
              <w:rPr>
                <w:rFonts w:ascii="Arial" w:cs="Arial" w:eastAsia="Arial" w:hAnsi="Arial"/>
                <w:sz w:val="10"/>
                <w:szCs w:val="10"/>
                <w:b w:val="1"/>
                <w:bCs w:val="1"/>
                <w:color w:val="auto"/>
              </w:rPr>
              <w:t>%</w:t>
            </w: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640" w:type="dxa"/>
            <w:vAlign w:val="bottom"/>
            <w:tcBorders>
              <w:bottom w:val="single" w:sz="8" w:color="CFF0FC"/>
            </w:tcBorders>
            <w:shd w:val="clear" w:color="auto" w:fill="000000"/>
          </w:tcPr>
          <w:p>
            <w:pPr>
              <w:spacing w:after="0" w:line="20" w:lineRule="exact"/>
              <w:rPr>
                <w:sz w:val="1"/>
                <w:szCs w:val="1"/>
                <w:color w:val="auto"/>
              </w:rPr>
            </w:pPr>
          </w:p>
        </w:tc>
        <w:tc>
          <w:tcPr>
            <w:tcW w:w="2900" w:type="dxa"/>
            <w:vAlign w:val="bottom"/>
            <w:tcBorders>
              <w:bottom w:val="single" w:sz="8" w:color="CFF0FC"/>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FF0FC"/>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FF0FC"/>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FF0FC"/>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FF0FC"/>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FF0FC"/>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3540" w:type="dxa"/>
            <w:vAlign w:val="bottom"/>
            <w:gridSpan w:val="2"/>
            <w:shd w:val="clear" w:color="auto" w:fill="CFF0FC"/>
          </w:tcPr>
          <w:p>
            <w:pPr>
              <w:spacing w:after="0" w:line="132" w:lineRule="exact"/>
              <w:rPr>
                <w:sz w:val="20"/>
                <w:szCs w:val="20"/>
                <w:color w:val="auto"/>
              </w:rPr>
            </w:pPr>
            <w:r>
              <w:rPr>
                <w:rFonts w:ascii="Arial" w:cs="Arial" w:eastAsia="Arial" w:hAnsi="Arial"/>
                <w:sz w:val="12"/>
                <w:szCs w:val="12"/>
                <w:b w:val="1"/>
                <w:bCs w:val="1"/>
                <w:color w:val="auto"/>
              </w:rPr>
              <w:t>Service revenue</w:t>
            </w:r>
          </w:p>
        </w:tc>
        <w:tc>
          <w:tcPr>
            <w:tcW w:w="24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540" w:type="dxa"/>
            <w:vAlign w:val="bottom"/>
            <w:gridSpan w:val="2"/>
          </w:tcPr>
          <w:p>
            <w:pPr>
              <w:ind w:left="160"/>
              <w:spacing w:after="0"/>
              <w:rPr>
                <w:sz w:val="20"/>
                <w:szCs w:val="20"/>
                <w:color w:val="auto"/>
              </w:rPr>
            </w:pPr>
            <w:r>
              <w:rPr>
                <w:rFonts w:ascii="Arial" w:cs="Arial" w:eastAsia="Arial" w:hAnsi="Arial"/>
                <w:sz w:val="12"/>
                <w:szCs w:val="12"/>
                <w:color w:val="auto"/>
              </w:rPr>
              <w:t>Commercial Services</w:t>
            </w:r>
          </w:p>
        </w:tc>
        <w:tc>
          <w:tcPr>
            <w:tcW w:w="240" w:type="dxa"/>
            <w:vAlign w:val="bottom"/>
          </w:tcPr>
          <w:p>
            <w:pPr>
              <w:jc w:val="right"/>
              <w:ind w:right="130"/>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spacing w:after="0"/>
              <w:rPr>
                <w:sz w:val="20"/>
                <w:szCs w:val="20"/>
                <w:color w:val="auto"/>
              </w:rPr>
            </w:pPr>
            <w:r>
              <w:rPr>
                <w:rFonts w:ascii="Arial" w:cs="Arial" w:eastAsia="Arial" w:hAnsi="Arial"/>
                <w:sz w:val="12"/>
                <w:szCs w:val="12"/>
                <w:color w:val="auto"/>
              </w:rPr>
              <w:t>276,479</w:t>
            </w:r>
          </w:p>
        </w:tc>
        <w:tc>
          <w:tcPr>
            <w:tcW w:w="520" w:type="dxa"/>
            <w:vAlign w:val="bottom"/>
            <w:gridSpan w:val="2"/>
          </w:tcPr>
          <w:p>
            <w:pPr>
              <w:jc w:val="right"/>
              <w:ind w:right="150"/>
              <w:spacing w:after="0"/>
              <w:rPr>
                <w:sz w:val="20"/>
                <w:szCs w:val="20"/>
                <w:color w:val="auto"/>
              </w:rPr>
            </w:pPr>
            <w:r>
              <w:rPr>
                <w:rFonts w:ascii="Arial" w:cs="Arial" w:eastAsia="Arial" w:hAnsi="Arial"/>
                <w:sz w:val="12"/>
                <w:szCs w:val="12"/>
                <w:color w:val="auto"/>
              </w:rPr>
              <w:t>$</w:t>
            </w:r>
          </w:p>
        </w:tc>
        <w:tc>
          <w:tcPr>
            <w:tcW w:w="820" w:type="dxa"/>
            <w:vAlign w:val="bottom"/>
          </w:tcPr>
          <w:p>
            <w:pPr>
              <w:jc w:val="right"/>
              <w:spacing w:after="0"/>
              <w:rPr>
                <w:sz w:val="20"/>
                <w:szCs w:val="20"/>
                <w:color w:val="auto"/>
              </w:rPr>
            </w:pPr>
            <w:r>
              <w:rPr>
                <w:rFonts w:ascii="Arial" w:cs="Arial" w:eastAsia="Arial" w:hAnsi="Arial"/>
                <w:sz w:val="12"/>
                <w:szCs w:val="12"/>
                <w:color w:val="auto"/>
              </w:rPr>
              <w:t>222,611</w:t>
            </w: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2"/>
                <w:szCs w:val="12"/>
                <w:color w:val="auto"/>
              </w:rPr>
              <w:t>61.6%</w:t>
            </w:r>
          </w:p>
        </w:tc>
        <w:tc>
          <w:tcPr>
            <w:tcW w:w="740" w:type="dxa"/>
            <w:vAlign w:val="bottom"/>
          </w:tcPr>
          <w:p>
            <w:pPr>
              <w:spacing w:after="0"/>
              <w:rPr>
                <w:sz w:val="13"/>
                <w:szCs w:val="13"/>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2"/>
                <w:szCs w:val="12"/>
                <w:color w:val="auto"/>
              </w:rPr>
              <w:t>60.1%</w:t>
            </w:r>
          </w:p>
        </w:tc>
        <w:tc>
          <w:tcPr>
            <w:tcW w:w="280" w:type="dxa"/>
            <w:vAlign w:val="bottom"/>
          </w:tcPr>
          <w:p>
            <w:pPr>
              <w:jc w:val="right"/>
              <w:ind w:right="170"/>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53,868</w:t>
            </w:r>
          </w:p>
        </w:tc>
        <w:tc>
          <w:tcPr>
            <w:tcW w:w="2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2"/>
                <w:szCs w:val="12"/>
                <w:color w:val="auto"/>
              </w:rPr>
              <w:t>24.2%</w:t>
            </w:r>
          </w:p>
        </w:tc>
        <w:tc>
          <w:tcPr>
            <w:tcW w:w="0" w:type="dxa"/>
            <w:vAlign w:val="bottom"/>
          </w:tcPr>
          <w:p>
            <w:pPr>
              <w:spacing w:after="0"/>
              <w:rPr>
                <w:sz w:val="1"/>
                <w:szCs w:val="1"/>
                <w:color w:val="auto"/>
              </w:rPr>
            </w:pPr>
          </w:p>
        </w:tc>
      </w:tr>
      <w:tr>
        <w:trPr>
          <w:trHeight w:val="153"/>
        </w:trPr>
        <w:tc>
          <w:tcPr>
            <w:tcW w:w="3540" w:type="dxa"/>
            <w:vAlign w:val="bottom"/>
            <w:gridSpan w:val="2"/>
            <w:shd w:val="clear" w:color="auto" w:fill="CFF0FC"/>
          </w:tcPr>
          <w:p>
            <w:pPr>
              <w:ind w:left="160"/>
              <w:spacing w:after="0"/>
              <w:rPr>
                <w:sz w:val="20"/>
                <w:szCs w:val="20"/>
                <w:color w:val="auto"/>
              </w:rPr>
            </w:pPr>
            <w:r>
              <w:rPr>
                <w:rFonts w:ascii="Arial" w:cs="Arial" w:eastAsia="Arial" w:hAnsi="Arial"/>
                <w:sz w:val="12"/>
                <w:szCs w:val="12"/>
                <w:color w:val="auto"/>
              </w:rPr>
              <w:t>Government Solutions</w:t>
            </w:r>
          </w:p>
        </w:tc>
        <w:tc>
          <w:tcPr>
            <w:tcW w:w="24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140,244</w:t>
            </w:r>
          </w:p>
        </w:tc>
        <w:tc>
          <w:tcPr>
            <w:tcW w:w="2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142,465</w:t>
            </w:r>
          </w:p>
        </w:tc>
        <w:tc>
          <w:tcPr>
            <w:tcW w:w="26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68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31.3%</w:t>
            </w:r>
          </w:p>
        </w:tc>
        <w:tc>
          <w:tcPr>
            <w:tcW w:w="740" w:type="dxa"/>
            <w:vAlign w:val="bottom"/>
            <w:shd w:val="clear" w:color="auto" w:fill="CFF0FC"/>
          </w:tcPr>
          <w:p>
            <w:pPr>
              <w:spacing w:after="0"/>
              <w:rPr>
                <w:sz w:val="13"/>
                <w:szCs w:val="13"/>
                <w:color w:val="auto"/>
              </w:rPr>
            </w:pPr>
          </w:p>
        </w:tc>
        <w:tc>
          <w:tcPr>
            <w:tcW w:w="60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38.5%</w:t>
            </w:r>
          </w:p>
        </w:tc>
        <w:tc>
          <w:tcPr>
            <w:tcW w:w="280" w:type="dxa"/>
            <w:vAlign w:val="bottom"/>
            <w:shd w:val="clear" w:color="auto" w:fill="CFF0FC"/>
          </w:tcPr>
          <w:p>
            <w:pPr>
              <w:spacing w:after="0"/>
              <w:rPr>
                <w:sz w:val="13"/>
                <w:szCs w:val="13"/>
                <w:color w:val="auto"/>
              </w:rPr>
            </w:pP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(2,221)</w:t>
            </w:r>
          </w:p>
        </w:tc>
        <w:tc>
          <w:tcPr>
            <w:tcW w:w="380" w:type="dxa"/>
            <w:vAlign w:val="bottom"/>
            <w:shd w:val="clear" w:color="auto" w:fill="CFF0FC"/>
          </w:tcPr>
          <w:p>
            <w:pPr>
              <w:spacing w:after="0"/>
              <w:rPr>
                <w:sz w:val="13"/>
                <w:szCs w:val="13"/>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2"/>
                <w:szCs w:val="12"/>
                <w:color w:val="auto"/>
              </w:rPr>
              <w:t>(1.6)%</w:t>
            </w:r>
          </w:p>
        </w:tc>
        <w:tc>
          <w:tcPr>
            <w:tcW w:w="0" w:type="dxa"/>
            <w:vAlign w:val="bottom"/>
          </w:tcPr>
          <w:p>
            <w:pPr>
              <w:spacing w:after="0"/>
              <w:rPr>
                <w:sz w:val="1"/>
                <w:szCs w:val="1"/>
                <w:color w:val="auto"/>
              </w:rPr>
            </w:pPr>
          </w:p>
        </w:tc>
      </w:tr>
      <w:tr>
        <w:trPr>
          <w:trHeight w:val="20"/>
        </w:trPr>
        <w:tc>
          <w:tcPr>
            <w:tcW w:w="3540" w:type="dxa"/>
            <w:vAlign w:val="bottom"/>
            <w:gridSpan w:val="2"/>
            <w:vMerge w:val="restart"/>
          </w:tcPr>
          <w:p>
            <w:pPr>
              <w:spacing w:after="0"/>
              <w:rPr>
                <w:sz w:val="20"/>
                <w:szCs w:val="20"/>
                <w:color w:val="auto"/>
              </w:rPr>
            </w:pPr>
            <w:r>
              <w:rPr>
                <w:rFonts w:ascii="Arial" w:cs="Arial" w:eastAsia="Arial" w:hAnsi="Arial"/>
                <w:sz w:val="12"/>
                <w:szCs w:val="12"/>
                <w:color w:val="auto"/>
              </w:rPr>
              <w:t>Total service revenue</w:t>
            </w: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gridSpan w:val="2"/>
            <w:vMerge w:val="restart"/>
          </w:tcPr>
          <w:p>
            <w:pPr>
              <w:jc w:val="right"/>
              <w:ind w:right="60"/>
              <w:spacing w:after="0"/>
              <w:rPr>
                <w:sz w:val="20"/>
                <w:szCs w:val="20"/>
                <w:color w:val="auto"/>
              </w:rPr>
            </w:pPr>
            <w:r>
              <w:rPr>
                <w:rFonts w:ascii="Arial" w:cs="Arial" w:eastAsia="Arial" w:hAnsi="Arial"/>
                <w:sz w:val="12"/>
                <w:szCs w:val="12"/>
                <w:color w:val="auto"/>
              </w:rPr>
              <w:t>14.1%</w:t>
            </w:r>
          </w:p>
        </w:tc>
        <w:tc>
          <w:tcPr>
            <w:tcW w:w="0" w:type="dxa"/>
            <w:vAlign w:val="bottom"/>
          </w:tcPr>
          <w:p>
            <w:pPr>
              <w:spacing w:after="0" w:line="20" w:lineRule="exact"/>
              <w:rPr>
                <w:sz w:val="1"/>
                <w:szCs w:val="1"/>
                <w:color w:val="auto"/>
              </w:rPr>
            </w:pPr>
          </w:p>
        </w:tc>
      </w:tr>
      <w:tr>
        <w:trPr>
          <w:trHeight w:val="142"/>
        </w:trPr>
        <w:tc>
          <w:tcPr>
            <w:tcW w:w="3540" w:type="dxa"/>
            <w:vAlign w:val="bottom"/>
            <w:gridSpan w:val="2"/>
            <w:vMerge w:val="continue"/>
          </w:tcPr>
          <w:p>
            <w:pPr>
              <w:spacing w:after="0"/>
              <w:rPr>
                <w:sz w:val="12"/>
                <w:szCs w:val="12"/>
                <w:color w:val="auto"/>
              </w:rPr>
            </w:pPr>
          </w:p>
        </w:tc>
        <w:tc>
          <w:tcPr>
            <w:tcW w:w="240" w:type="dxa"/>
            <w:vAlign w:val="bottom"/>
          </w:tcPr>
          <w:p>
            <w:pPr>
              <w:jc w:val="right"/>
              <w:ind w:right="130"/>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spacing w:after="0"/>
              <w:rPr>
                <w:sz w:val="20"/>
                <w:szCs w:val="20"/>
                <w:color w:val="auto"/>
              </w:rPr>
            </w:pPr>
            <w:r>
              <w:rPr>
                <w:rFonts w:ascii="Arial" w:cs="Arial" w:eastAsia="Arial" w:hAnsi="Arial"/>
                <w:sz w:val="12"/>
                <w:szCs w:val="12"/>
                <w:color w:val="auto"/>
              </w:rPr>
              <w:t>416,723</w:t>
            </w:r>
          </w:p>
        </w:tc>
        <w:tc>
          <w:tcPr>
            <w:tcW w:w="260" w:type="dxa"/>
            <w:vAlign w:val="bottom"/>
          </w:tcPr>
          <w:p>
            <w:pPr>
              <w:spacing w:after="0"/>
              <w:rPr>
                <w:sz w:val="12"/>
                <w:szCs w:val="12"/>
                <w:color w:val="auto"/>
              </w:rPr>
            </w:pPr>
          </w:p>
        </w:tc>
        <w:tc>
          <w:tcPr>
            <w:tcW w:w="260" w:type="dxa"/>
            <w:vAlign w:val="bottom"/>
          </w:tcPr>
          <w:p>
            <w:pPr>
              <w:jc w:val="right"/>
              <w:ind w:right="150"/>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spacing w:after="0"/>
              <w:rPr>
                <w:sz w:val="20"/>
                <w:szCs w:val="20"/>
                <w:color w:val="auto"/>
              </w:rPr>
            </w:pPr>
            <w:r>
              <w:rPr>
                <w:rFonts w:ascii="Arial" w:cs="Arial" w:eastAsia="Arial" w:hAnsi="Arial"/>
                <w:sz w:val="12"/>
                <w:szCs w:val="12"/>
                <w:color w:val="auto"/>
              </w:rPr>
              <w:t>365,076</w:t>
            </w: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2"/>
                <w:szCs w:val="12"/>
                <w:color w:val="auto"/>
              </w:rPr>
              <w:t>92.9%</w:t>
            </w:r>
          </w:p>
        </w:tc>
        <w:tc>
          <w:tcPr>
            <w:tcW w:w="740" w:type="dxa"/>
            <w:vAlign w:val="bottom"/>
          </w:tcPr>
          <w:p>
            <w:pPr>
              <w:spacing w:after="0"/>
              <w:rPr>
                <w:sz w:val="12"/>
                <w:szCs w:val="12"/>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2"/>
                <w:szCs w:val="12"/>
                <w:color w:val="auto"/>
              </w:rPr>
              <w:t>98.6%</w:t>
            </w:r>
          </w:p>
        </w:tc>
        <w:tc>
          <w:tcPr>
            <w:tcW w:w="280" w:type="dxa"/>
            <w:vAlign w:val="bottom"/>
          </w:tcPr>
          <w:p>
            <w:pPr>
              <w:jc w:val="right"/>
              <w:ind w:right="170"/>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51,647</w:t>
            </w: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640" w:type="dxa"/>
            <w:vAlign w:val="bottom"/>
          </w:tcPr>
          <w:p>
            <w:pPr>
              <w:spacing w:after="0"/>
              <w:rPr>
                <w:sz w:val="2"/>
                <w:szCs w:val="2"/>
                <w:color w:val="auto"/>
              </w:rPr>
            </w:pPr>
          </w:p>
        </w:tc>
        <w:tc>
          <w:tcPr>
            <w:tcW w:w="29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62" w:lineRule="exact"/>
        <w:rPr>
          <w:sz w:val="20"/>
          <w:szCs w:val="20"/>
          <w:color w:val="auto"/>
        </w:rPr>
      </w:pPr>
    </w:p>
    <w:p>
      <w:pPr>
        <w:ind w:right="100" w:firstLine="602"/>
        <w:spacing w:after="0" w:line="298" w:lineRule="auto"/>
        <w:rPr>
          <w:sz w:val="20"/>
          <w:szCs w:val="20"/>
          <w:color w:val="auto"/>
        </w:rPr>
      </w:pPr>
      <w:r>
        <w:rPr>
          <w:rFonts w:ascii="Arial" w:cs="Arial" w:eastAsia="Arial" w:hAnsi="Arial"/>
          <w:sz w:val="11"/>
          <w:szCs w:val="11"/>
          <w:color w:val="auto"/>
        </w:rPr>
        <w:t>Commercial Services service revenue includes toll and violation management revenues from commercial fleet and rental car companies. Service revenue increased by $53.9 million, or 24.2%, from $222.6 million for fiscal year 2018 to $276.5 million for fiscal 2019. We acquired HTA, a toll and violation processor, on March 1, 2018, and EPC, a European violations processor, on April 6, 2018. These acquisitions contributed $21.6 million to service revenue growth during the period presented. The remaining service revenue is mainly due to a $28.9 million increase from improved volumes in both billable days and tolls processed across our tolling products.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17740" cy="3683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ectPr>
          <w:pgSz w:w="11900" w:h="16838" w:orient="portrait"/>
          <w:cols w:equalWidth="0" w:num="1">
            <w:col w:w="11480"/>
          </w:cols>
          <w:pgMar w:left="220" w:top="343" w:right="199" w:bottom="1440" w:gutter="0" w:footer="0" w:header="0"/>
        </w:sectPr>
      </w:pPr>
    </w:p>
    <w:bookmarkStart w:id="49" w:name="page50"/>
    <w:bookmarkEnd w:id="49"/>
    <w:p>
      <w:pPr>
        <w:ind w:right="20" w:firstLine="602"/>
        <w:spacing w:after="0" w:line="254" w:lineRule="auto"/>
        <w:rPr>
          <w:sz w:val="20"/>
          <w:szCs w:val="20"/>
          <w:color w:val="auto"/>
        </w:rPr>
      </w:pPr>
      <w:r>
        <w:rPr>
          <w:rFonts w:ascii="Arial" w:cs="Arial" w:eastAsia="Arial" w:hAnsi="Arial"/>
          <w:sz w:val="12"/>
          <w:szCs w:val="12"/>
          <w:color w:val="auto"/>
        </w:rPr>
        <w:t>Government Solutions service revenue includes revenue from red-light, speed, school bus arm and bus lane photo enforcement systems. Service revenue decreased by $2.2 million, to $140.2 million for fiscal year 2019 from $142.5 million for fiscal 2018. Our red-light photo enforcement service revenue declined $9.5 million compared to fiscal year 2018. This was primarily due to a $2.7 million decline from the loss of certain Florida programs and $4.5 million due to the loss of Texas programs on June 1, 2019 due to a legislative change that banned most red-light photo enforcement programs in the state. The loss of most of our red-light programs in Texas will negatively impact year over year service revenue comparison for the next two quarters. The remaining decline results from lower price per system in variable contracts. Pricing of red-light photo enforcement programs can be impacted by timing of transaction volume in our variable contracts as well as the pricing of contract renewals. The Company exited its street light maintenance offering at the end of the first quarter of 2019, resulting in a $2.5 million decrease year over year. This street light maintenance offering was not part of our core business and did not meet our profitability criteria. These declines were offset by speed program revenue, which grew approximately $10 million due to increases in the total number of camera systems installed and higher average pricing.</w:t>
      </w:r>
    </w:p>
    <w:p>
      <w:pPr>
        <w:spacing w:after="0" w:line="131" w:lineRule="exact"/>
        <w:rPr>
          <w:sz w:val="20"/>
          <w:szCs w:val="20"/>
          <w:color w:val="auto"/>
        </w:rPr>
      </w:pPr>
    </w:p>
    <w:p>
      <w:pPr>
        <w:ind w:right="140" w:firstLine="602"/>
        <w:spacing w:after="0" w:line="259" w:lineRule="auto"/>
        <w:rPr>
          <w:sz w:val="20"/>
          <w:szCs w:val="20"/>
          <w:color w:val="auto"/>
        </w:rPr>
      </w:pPr>
      <w:r>
        <w:rPr>
          <w:rFonts w:ascii="Arial" w:cs="Arial" w:eastAsia="Arial" w:hAnsi="Arial"/>
          <w:sz w:val="12"/>
          <w:szCs w:val="12"/>
          <w:color w:val="auto"/>
        </w:rPr>
        <w:t>Our previous reporting of installed camera systems included systems connected to suspended programs or spare systems at client locations. We re-evaluated our metric during the first quarter of 2019, and are reporting only installed camera systems that are generating revenue, as we believe this is a more meaningful presentation. There were an average of 4,738 camera systems installed during fiscal year 2019 compared to an average of 4,306 for fiscal year 2018. The increase in camera systems was primarily due to new installations of school bus arm systems and the expansion of speed enforcement systems with existing customers. This increase was partially offset by a decline in red-light photo enforcement systems primarily due to the loss of certain Florida and Texas programs noted above.</w:t>
      </w:r>
    </w:p>
    <w:p>
      <w:pPr>
        <w:spacing w:after="0" w:line="152" w:lineRule="exact"/>
        <w:rPr>
          <w:sz w:val="20"/>
          <w:szCs w:val="20"/>
          <w:color w:val="auto"/>
        </w:rPr>
      </w:pPr>
    </w:p>
    <w:p>
      <w:pPr>
        <w:ind w:left="600"/>
        <w:spacing w:after="0"/>
        <w:rPr>
          <w:sz w:val="20"/>
          <w:szCs w:val="20"/>
          <w:color w:val="auto"/>
        </w:rPr>
      </w:pPr>
      <w:r>
        <w:rPr>
          <w:rFonts w:ascii="Arial" w:cs="Arial" w:eastAsia="Arial" w:hAnsi="Arial"/>
          <w:sz w:val="11"/>
          <w:szCs w:val="11"/>
          <w:i w:val="1"/>
          <w:iCs w:val="1"/>
          <w:color w:val="auto"/>
        </w:rPr>
        <w:t xml:space="preserve">Product Sales. </w:t>
      </w:r>
      <w:r>
        <w:rPr>
          <w:rFonts w:ascii="Arial" w:cs="Arial" w:eastAsia="Arial" w:hAnsi="Arial"/>
          <w:sz w:val="11"/>
          <w:szCs w:val="11"/>
          <w:color w:val="auto"/>
        </w:rPr>
        <w:t>Product sales of $32.0 million for fiscal year 2019 include revenue generated from Government Solutions customers who purchased their equipment. Product sales increased by $26.9 million compared to</w:t>
      </w:r>
    </w:p>
    <w:p>
      <w:pPr>
        <w:spacing w:after="0" w:line="26" w:lineRule="exact"/>
        <w:rPr>
          <w:sz w:val="20"/>
          <w:szCs w:val="20"/>
          <w:color w:val="auto"/>
        </w:rPr>
      </w:pPr>
    </w:p>
    <w:p>
      <w:pPr>
        <w:spacing w:after="0"/>
        <w:rPr>
          <w:sz w:val="20"/>
          <w:szCs w:val="20"/>
          <w:color w:val="auto"/>
        </w:rPr>
      </w:pPr>
      <w:r>
        <w:rPr>
          <w:rFonts w:ascii="Arial" w:cs="Arial" w:eastAsia="Arial" w:hAnsi="Arial"/>
          <w:sz w:val="11"/>
          <w:szCs w:val="11"/>
          <w:color w:val="auto"/>
        </w:rPr>
        <w:t>$5.1 million in fiscal year 2018 which was primarily driven by sales to a single customer who is in the process of expanding their existing school zone speed program. We anticipate continued growth in product sales for fiscal year 2020.</w:t>
      </w:r>
    </w:p>
    <w:p>
      <w:pPr>
        <w:spacing w:after="0" w:line="171" w:lineRule="exact"/>
        <w:rPr>
          <w:sz w:val="20"/>
          <w:szCs w:val="20"/>
          <w:color w:val="auto"/>
        </w:rPr>
      </w:pPr>
    </w:p>
    <w:p>
      <w:pPr>
        <w:ind w:right="160" w:firstLine="602"/>
        <w:spacing w:after="0" w:line="276" w:lineRule="auto"/>
        <w:rPr>
          <w:sz w:val="20"/>
          <w:szCs w:val="20"/>
          <w:color w:val="auto"/>
        </w:rPr>
      </w:pPr>
      <w:r>
        <w:rPr>
          <w:rFonts w:ascii="Arial" w:cs="Arial" w:eastAsia="Arial" w:hAnsi="Arial"/>
          <w:sz w:val="12"/>
          <w:szCs w:val="12"/>
          <w:i w:val="1"/>
          <w:iCs w:val="1"/>
          <w:color w:val="auto"/>
        </w:rPr>
        <w:t xml:space="preserve">Cost of Service Revenue. </w:t>
      </w:r>
      <w:r>
        <w:rPr>
          <w:rFonts w:ascii="Arial" w:cs="Arial" w:eastAsia="Arial" w:hAnsi="Arial"/>
          <w:sz w:val="12"/>
          <w:szCs w:val="12"/>
          <w:color w:val="auto"/>
        </w:rPr>
        <w:t>Cost of service revenue decreased slightly by $0.2 million, to $5.6 million for the fiscal year 2019 from $5.8 million for fiscal 2018. The decline in cost is consistent with a slight decline in ancillary</w:t>
      </w:r>
      <w:r>
        <w:rPr>
          <w:rFonts w:ascii="Arial" w:cs="Arial" w:eastAsia="Arial" w:hAnsi="Arial"/>
          <w:sz w:val="12"/>
          <w:szCs w:val="12"/>
          <w:i w:val="1"/>
          <w:iCs w:val="1"/>
          <w:color w:val="auto"/>
        </w:rPr>
        <w:t xml:space="preserve"> </w:t>
      </w:r>
      <w:r>
        <w:rPr>
          <w:rFonts w:ascii="Arial" w:cs="Arial" w:eastAsia="Arial" w:hAnsi="Arial"/>
          <w:sz w:val="12"/>
          <w:szCs w:val="12"/>
          <w:color w:val="auto"/>
        </w:rPr>
        <w:t>revenue generated from supporting red-light programs.</w:t>
      </w:r>
    </w:p>
    <w:p>
      <w:pPr>
        <w:spacing w:after="0" w:line="142" w:lineRule="exact"/>
        <w:rPr>
          <w:sz w:val="20"/>
          <w:szCs w:val="20"/>
          <w:color w:val="auto"/>
        </w:rPr>
      </w:pPr>
    </w:p>
    <w:p>
      <w:pPr>
        <w:ind w:left="600"/>
        <w:spacing w:after="0"/>
        <w:rPr>
          <w:sz w:val="20"/>
          <w:szCs w:val="20"/>
          <w:color w:val="auto"/>
        </w:rPr>
      </w:pPr>
      <w:r>
        <w:rPr>
          <w:rFonts w:ascii="Arial" w:cs="Arial" w:eastAsia="Arial" w:hAnsi="Arial"/>
          <w:sz w:val="12"/>
          <w:szCs w:val="12"/>
          <w:i w:val="1"/>
          <w:iCs w:val="1"/>
          <w:color w:val="auto"/>
        </w:rPr>
        <w:t xml:space="preserve">Cost of Product Sales. </w:t>
      </w:r>
      <w:r>
        <w:rPr>
          <w:rFonts w:ascii="Arial" w:cs="Arial" w:eastAsia="Arial" w:hAnsi="Arial"/>
          <w:sz w:val="12"/>
          <w:szCs w:val="12"/>
          <w:color w:val="auto"/>
        </w:rPr>
        <w:t>Cost of product sales increased by $10.5 million, to $13.9 million for fiscal year 2019 compared to $3.4 million in fiscal 2018, and was consistent with the change in product sales.</w:t>
      </w:r>
    </w:p>
    <w:p>
      <w:pPr>
        <w:spacing w:after="0" w:line="177" w:lineRule="exact"/>
        <w:rPr>
          <w:sz w:val="20"/>
          <w:szCs w:val="20"/>
          <w:color w:val="auto"/>
        </w:rPr>
      </w:pPr>
    </w:p>
    <w:p>
      <w:pPr>
        <w:jc w:val="both"/>
        <w:ind w:right="60" w:firstLine="602"/>
        <w:spacing w:after="0" w:line="263" w:lineRule="auto"/>
        <w:rPr>
          <w:sz w:val="20"/>
          <w:szCs w:val="20"/>
          <w:color w:val="auto"/>
        </w:rPr>
      </w:pPr>
      <w:r>
        <w:rPr>
          <w:rFonts w:ascii="Arial" w:cs="Arial" w:eastAsia="Arial" w:hAnsi="Arial"/>
          <w:sz w:val="12"/>
          <w:szCs w:val="12"/>
          <w:i w:val="1"/>
          <w:iCs w:val="1"/>
          <w:color w:val="auto"/>
        </w:rPr>
        <w:t xml:space="preserve">Operating Expenses. </w:t>
      </w:r>
      <w:r>
        <w:rPr>
          <w:rFonts w:ascii="Arial" w:cs="Arial" w:eastAsia="Arial" w:hAnsi="Arial"/>
          <w:sz w:val="12"/>
          <w:szCs w:val="12"/>
          <w:color w:val="auto"/>
        </w:rPr>
        <w:t>Operating expenses were $125.6 million for fiscal year 2019, and they increased $16.8 million from $108.9 million in fiscal year 2018 mainly due to the inclusion of HTA and EPC operations for the full</w:t>
      </w:r>
      <w:r>
        <w:rPr>
          <w:rFonts w:ascii="Arial" w:cs="Arial" w:eastAsia="Arial" w:hAnsi="Arial"/>
          <w:sz w:val="12"/>
          <w:szCs w:val="12"/>
          <w:i w:val="1"/>
          <w:iCs w:val="1"/>
          <w:color w:val="auto"/>
        </w:rPr>
        <w:t xml:space="preserve"> </w:t>
      </w:r>
      <w:r>
        <w:rPr>
          <w:rFonts w:ascii="Arial" w:cs="Arial" w:eastAsia="Arial" w:hAnsi="Arial"/>
          <w:sz w:val="12"/>
          <w:szCs w:val="12"/>
          <w:color w:val="auto"/>
        </w:rPr>
        <w:t>year compared to only ten months and nine months, respectively, in 2018, but have decreased as a percentage of revenue from 29.4% to 28.0% in fiscal years 2018 and 2019, respectively. Operating expenses by segment appear in the table below.</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40" w:type="dxa"/>
            <w:vAlign w:val="bottom"/>
          </w:tcPr>
          <w:p>
            <w:pPr>
              <w:spacing w:after="0"/>
              <w:rPr>
                <w:sz w:val="10"/>
                <w:szCs w:val="10"/>
                <w:color w:val="auto"/>
              </w:rPr>
            </w:pPr>
          </w:p>
        </w:tc>
        <w:tc>
          <w:tcPr>
            <w:tcW w:w="25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780" w:type="dxa"/>
            <w:vAlign w:val="bottom"/>
            <w:tcBorders>
              <w:bottom w:val="single" w:sz="8" w:color="auto"/>
            </w:tcBorders>
            <w:gridSpan w:val="3"/>
          </w:tcPr>
          <w:p>
            <w:pPr>
              <w:ind w:left="700"/>
              <w:spacing w:after="0"/>
              <w:rPr>
                <w:sz w:val="20"/>
                <w:szCs w:val="20"/>
                <w:color w:val="auto"/>
              </w:rPr>
            </w:pPr>
            <w:r>
              <w:rPr>
                <w:rFonts w:ascii="Arial" w:cs="Arial" w:eastAsia="Arial" w:hAnsi="Arial"/>
                <w:sz w:val="10"/>
                <w:szCs w:val="10"/>
                <w:b w:val="1"/>
                <w:bCs w:val="1"/>
                <w:color w:val="auto"/>
                <w:w w:val="86"/>
              </w:rPr>
              <w:t>Year Ended December 31,</w:t>
            </w:r>
          </w:p>
        </w:tc>
        <w:tc>
          <w:tcPr>
            <w:tcW w:w="66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3"/>
        </w:trPr>
        <w:tc>
          <w:tcPr>
            <w:tcW w:w="640" w:type="dxa"/>
            <w:vAlign w:val="bottom"/>
          </w:tcPr>
          <w:p>
            <w:pPr>
              <w:spacing w:after="0"/>
              <w:rPr>
                <w:sz w:val="7"/>
                <w:szCs w:val="7"/>
                <w:color w:val="auto"/>
              </w:rPr>
            </w:pPr>
          </w:p>
        </w:tc>
        <w:tc>
          <w:tcPr>
            <w:tcW w:w="2540" w:type="dxa"/>
            <w:vAlign w:val="bottom"/>
          </w:tcPr>
          <w:p>
            <w:pPr>
              <w:spacing w:after="0"/>
              <w:rPr>
                <w:sz w:val="7"/>
                <w:szCs w:val="7"/>
                <w:color w:val="auto"/>
              </w:rPr>
            </w:pPr>
          </w:p>
        </w:tc>
        <w:tc>
          <w:tcPr>
            <w:tcW w:w="3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40" w:type="dxa"/>
            <w:vAlign w:val="bottom"/>
          </w:tcPr>
          <w:p>
            <w:pPr>
              <w:spacing w:after="0"/>
              <w:rPr>
                <w:sz w:val="7"/>
                <w:szCs w:val="7"/>
                <w:color w:val="auto"/>
              </w:rPr>
            </w:pPr>
          </w:p>
        </w:tc>
        <w:tc>
          <w:tcPr>
            <w:tcW w:w="2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280" w:type="dxa"/>
            <w:vAlign w:val="bottom"/>
          </w:tcPr>
          <w:p>
            <w:pPr>
              <w:spacing w:after="0"/>
              <w:rPr>
                <w:sz w:val="7"/>
                <w:szCs w:val="7"/>
                <w:color w:val="auto"/>
              </w:rPr>
            </w:pPr>
          </w:p>
        </w:tc>
        <w:tc>
          <w:tcPr>
            <w:tcW w:w="4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40" w:type="dxa"/>
            <w:vAlign w:val="bottom"/>
            <w:gridSpan w:val="3"/>
          </w:tcPr>
          <w:p>
            <w:pPr>
              <w:jc w:val="center"/>
              <w:ind w:left="345"/>
              <w:spacing w:after="0" w:line="83" w:lineRule="exact"/>
              <w:rPr>
                <w:sz w:val="20"/>
                <w:szCs w:val="20"/>
                <w:color w:val="auto"/>
              </w:rPr>
            </w:pPr>
            <w:r>
              <w:rPr>
                <w:rFonts w:ascii="Arial" w:cs="Arial" w:eastAsia="Arial" w:hAnsi="Arial"/>
                <w:sz w:val="8"/>
                <w:szCs w:val="8"/>
                <w:b w:val="1"/>
                <w:bCs w:val="1"/>
                <w:color w:val="auto"/>
              </w:rPr>
              <w:t>Increase (Decrease)</w:t>
            </w:r>
          </w:p>
        </w:tc>
        <w:tc>
          <w:tcPr>
            <w:tcW w:w="700" w:type="dxa"/>
            <w:vAlign w:val="bottom"/>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3180" w:type="dxa"/>
            <w:vAlign w:val="bottom"/>
            <w:gridSpan w:val="2"/>
            <w:vMerge w:val="restart"/>
          </w:tcPr>
          <w:p>
            <w:pPr>
              <w:spacing w:after="0"/>
              <w:rPr>
                <w:sz w:val="20"/>
                <w:szCs w:val="20"/>
                <w:color w:val="auto"/>
              </w:rPr>
            </w:pPr>
            <w:r>
              <w:rPr>
                <w:rFonts w:ascii="Arial" w:cs="Arial" w:eastAsia="Arial" w:hAnsi="Arial"/>
                <w:sz w:val="10"/>
                <w:szCs w:val="10"/>
                <w:b w:val="1"/>
                <w:bCs w:val="1"/>
                <w:u w:val="single" w:color="auto"/>
                <w:color w:val="auto"/>
              </w:rPr>
              <w:t>(</w:t>
            </w:r>
            <w:r>
              <w:rPr>
                <w:rFonts w:ascii="Arial" w:cs="Arial" w:eastAsia="Arial" w:hAnsi="Arial"/>
                <w:sz w:val="10"/>
                <w:szCs w:val="10"/>
                <w:b w:val="1"/>
                <w:bCs w:val="1"/>
                <w:color w:val="auto"/>
              </w:rPr>
              <w:t>$ in thousands)</w:t>
            </w:r>
          </w:p>
        </w:tc>
        <w:tc>
          <w:tcPr>
            <w:tcW w:w="3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vMerge w:val="restart"/>
          </w:tcPr>
          <w:p>
            <w:pPr>
              <w:jc w:val="right"/>
              <w:ind w:right="402"/>
              <w:spacing w:after="0"/>
              <w:rPr>
                <w:sz w:val="20"/>
                <w:szCs w:val="20"/>
                <w:color w:val="auto"/>
              </w:rPr>
            </w:pPr>
            <w:r>
              <w:rPr>
                <w:rFonts w:ascii="Arial" w:cs="Arial" w:eastAsia="Arial" w:hAnsi="Arial"/>
                <w:sz w:val="10"/>
                <w:szCs w:val="10"/>
                <w:b w:val="1"/>
                <w:bCs w:val="1"/>
                <w:color w:val="auto"/>
              </w:rPr>
              <w:t>2019</w:t>
            </w: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vMerge w:val="restart"/>
          </w:tcPr>
          <w:p>
            <w:pPr>
              <w:jc w:val="right"/>
              <w:ind w:right="382"/>
              <w:spacing w:after="0"/>
              <w:rPr>
                <w:sz w:val="20"/>
                <w:szCs w:val="20"/>
                <w:color w:val="auto"/>
              </w:rPr>
            </w:pPr>
            <w:r>
              <w:rPr>
                <w:rFonts w:ascii="Arial" w:cs="Arial" w:eastAsia="Arial" w:hAnsi="Arial"/>
                <w:sz w:val="10"/>
                <w:szCs w:val="10"/>
                <w:b w:val="1"/>
                <w:bCs w:val="1"/>
                <w:color w:val="auto"/>
              </w:rPr>
              <w:t>2018</w:t>
            </w:r>
          </w:p>
        </w:tc>
        <w:tc>
          <w:tcPr>
            <w:tcW w:w="260" w:type="dxa"/>
            <w:vAlign w:val="bottom"/>
          </w:tcPr>
          <w:p>
            <w:pPr>
              <w:spacing w:after="0"/>
              <w:rPr>
                <w:sz w:val="9"/>
                <w:szCs w:val="9"/>
                <w:color w:val="auto"/>
              </w:rPr>
            </w:pPr>
          </w:p>
        </w:tc>
        <w:tc>
          <w:tcPr>
            <w:tcW w:w="1780" w:type="dxa"/>
            <w:vAlign w:val="bottom"/>
            <w:tcBorders>
              <w:bottom w:val="single" w:sz="8" w:color="auto"/>
            </w:tcBorders>
            <w:gridSpan w:val="3"/>
          </w:tcPr>
          <w:p>
            <w:pPr>
              <w:ind w:left="760"/>
              <w:spacing w:after="0" w:line="114" w:lineRule="exact"/>
              <w:rPr>
                <w:sz w:val="20"/>
                <w:szCs w:val="20"/>
                <w:color w:val="auto"/>
              </w:rPr>
            </w:pPr>
            <w:r>
              <w:rPr>
                <w:rFonts w:ascii="Arial" w:cs="Arial" w:eastAsia="Arial" w:hAnsi="Arial"/>
                <w:sz w:val="10"/>
                <w:szCs w:val="10"/>
                <w:b w:val="1"/>
                <w:bCs w:val="1"/>
                <w:color w:val="auto"/>
                <w:w w:val="90"/>
              </w:rPr>
              <w:t>Percentage of Revenue</w:t>
            </w:r>
          </w:p>
        </w:tc>
        <w:tc>
          <w:tcPr>
            <w:tcW w:w="66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440" w:type="dxa"/>
            <w:vAlign w:val="bottom"/>
            <w:tcBorders>
              <w:bottom w:val="single" w:sz="8" w:color="auto"/>
            </w:tcBorders>
            <w:gridSpan w:val="3"/>
          </w:tcPr>
          <w:p>
            <w:pPr>
              <w:jc w:val="center"/>
              <w:ind w:left="345"/>
              <w:spacing w:after="0" w:line="114" w:lineRule="exact"/>
              <w:rPr>
                <w:sz w:val="20"/>
                <w:szCs w:val="20"/>
                <w:color w:val="auto"/>
              </w:rPr>
            </w:pPr>
            <w:r>
              <w:rPr>
                <w:rFonts w:ascii="Arial" w:cs="Arial" w:eastAsia="Arial" w:hAnsi="Arial"/>
                <w:sz w:val="10"/>
                <w:szCs w:val="10"/>
                <w:b w:val="1"/>
                <w:bCs w:val="1"/>
                <w:color w:val="auto"/>
                <w:w w:val="84"/>
              </w:rPr>
              <w:t>2019 vs 2018</w:t>
            </w:r>
          </w:p>
        </w:tc>
        <w:tc>
          <w:tcPr>
            <w:tcW w:w="70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3180" w:type="dxa"/>
            <w:vAlign w:val="bottom"/>
            <w:gridSpan w:val="2"/>
            <w:vMerge w:val="continue"/>
          </w:tcPr>
          <w:p>
            <w:pPr>
              <w:spacing w:after="0"/>
              <w:rPr>
                <w:sz w:val="7"/>
                <w:szCs w:val="7"/>
                <w:color w:val="auto"/>
              </w:rPr>
            </w:pPr>
          </w:p>
        </w:tc>
        <w:tc>
          <w:tcPr>
            <w:tcW w:w="3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4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1080" w:type="dxa"/>
            <w:vAlign w:val="bottom"/>
          </w:tcPr>
          <w:p>
            <w:pPr>
              <w:jc w:val="right"/>
              <w:ind w:right="384"/>
              <w:spacing w:after="0" w:line="88" w:lineRule="exact"/>
              <w:rPr>
                <w:sz w:val="20"/>
                <w:szCs w:val="20"/>
                <w:color w:val="auto"/>
              </w:rPr>
            </w:pPr>
            <w:r>
              <w:rPr>
                <w:rFonts w:ascii="Arial" w:cs="Arial" w:eastAsia="Arial" w:hAnsi="Arial"/>
                <w:sz w:val="10"/>
                <w:szCs w:val="10"/>
                <w:b w:val="1"/>
                <w:bCs w:val="1"/>
                <w:color w:val="auto"/>
              </w:rPr>
              <w:t>2019</w:t>
            </w:r>
          </w:p>
        </w:tc>
        <w:tc>
          <w:tcPr>
            <w:tcW w:w="280" w:type="dxa"/>
            <w:vAlign w:val="bottom"/>
          </w:tcPr>
          <w:p>
            <w:pPr>
              <w:spacing w:after="0"/>
              <w:rPr>
                <w:sz w:val="7"/>
                <w:szCs w:val="7"/>
                <w:color w:val="auto"/>
              </w:rPr>
            </w:pPr>
          </w:p>
        </w:tc>
        <w:tc>
          <w:tcPr>
            <w:tcW w:w="420" w:type="dxa"/>
            <w:vAlign w:val="bottom"/>
          </w:tcPr>
          <w:p>
            <w:pPr>
              <w:spacing w:after="0"/>
              <w:rPr>
                <w:sz w:val="7"/>
                <w:szCs w:val="7"/>
                <w:color w:val="auto"/>
              </w:rPr>
            </w:pPr>
          </w:p>
        </w:tc>
        <w:tc>
          <w:tcPr>
            <w:tcW w:w="660" w:type="dxa"/>
            <w:vAlign w:val="bottom"/>
          </w:tcPr>
          <w:p>
            <w:pPr>
              <w:jc w:val="right"/>
              <w:ind w:right="402"/>
              <w:spacing w:after="0" w:line="88" w:lineRule="exact"/>
              <w:rPr>
                <w:sz w:val="20"/>
                <w:szCs w:val="20"/>
                <w:color w:val="auto"/>
              </w:rPr>
            </w:pPr>
            <w:r>
              <w:rPr>
                <w:rFonts w:ascii="Arial" w:cs="Arial" w:eastAsia="Arial" w:hAnsi="Arial"/>
                <w:sz w:val="10"/>
                <w:szCs w:val="10"/>
                <w:b w:val="1"/>
                <w:bCs w:val="1"/>
                <w:color w:val="auto"/>
                <w:w w:val="80"/>
              </w:rPr>
              <w:t>2018</w:t>
            </w:r>
          </w:p>
        </w:tc>
        <w:tc>
          <w:tcPr>
            <w:tcW w:w="260" w:type="dxa"/>
            <w:vAlign w:val="bottom"/>
          </w:tcPr>
          <w:p>
            <w:pPr>
              <w:spacing w:after="0"/>
              <w:rPr>
                <w:sz w:val="7"/>
                <w:szCs w:val="7"/>
                <w:color w:val="auto"/>
              </w:rPr>
            </w:pPr>
          </w:p>
        </w:tc>
        <w:tc>
          <w:tcPr>
            <w:tcW w:w="300" w:type="dxa"/>
            <w:vAlign w:val="bottom"/>
          </w:tcPr>
          <w:p>
            <w:pPr>
              <w:spacing w:after="0"/>
              <w:rPr>
                <w:sz w:val="7"/>
                <w:szCs w:val="7"/>
                <w:color w:val="auto"/>
              </w:rPr>
            </w:pPr>
          </w:p>
        </w:tc>
        <w:tc>
          <w:tcPr>
            <w:tcW w:w="780" w:type="dxa"/>
            <w:vAlign w:val="bottom"/>
          </w:tcPr>
          <w:p>
            <w:pPr>
              <w:jc w:val="right"/>
              <w:ind w:right="465"/>
              <w:spacing w:after="0" w:line="88" w:lineRule="exact"/>
              <w:rPr>
                <w:sz w:val="20"/>
                <w:szCs w:val="20"/>
                <w:color w:val="auto"/>
              </w:rPr>
            </w:pPr>
            <w:r>
              <w:rPr>
                <w:rFonts w:ascii="Arial" w:cs="Arial" w:eastAsia="Arial" w:hAnsi="Arial"/>
                <w:sz w:val="10"/>
                <w:szCs w:val="10"/>
                <w:b w:val="1"/>
                <w:bCs w:val="1"/>
                <w:color w:val="auto"/>
              </w:rPr>
              <w:t>$</w:t>
            </w:r>
          </w:p>
        </w:tc>
        <w:tc>
          <w:tcPr>
            <w:tcW w:w="280" w:type="dxa"/>
            <w:vAlign w:val="bottom"/>
          </w:tcPr>
          <w:p>
            <w:pPr>
              <w:spacing w:after="0"/>
              <w:rPr>
                <w:sz w:val="7"/>
                <w:szCs w:val="7"/>
                <w:color w:val="auto"/>
              </w:rPr>
            </w:pPr>
          </w:p>
        </w:tc>
        <w:tc>
          <w:tcPr>
            <w:tcW w:w="380" w:type="dxa"/>
            <w:vAlign w:val="bottom"/>
          </w:tcPr>
          <w:p>
            <w:pPr>
              <w:spacing w:after="0"/>
              <w:rPr>
                <w:sz w:val="7"/>
                <w:szCs w:val="7"/>
                <w:color w:val="auto"/>
              </w:rPr>
            </w:pPr>
          </w:p>
        </w:tc>
        <w:tc>
          <w:tcPr>
            <w:tcW w:w="700" w:type="dxa"/>
            <w:vAlign w:val="bottom"/>
          </w:tcPr>
          <w:p>
            <w:pPr>
              <w:jc w:val="right"/>
              <w:ind w:right="442"/>
              <w:spacing w:after="0" w:line="88" w:lineRule="exact"/>
              <w:rPr>
                <w:sz w:val="20"/>
                <w:szCs w:val="20"/>
                <w:color w:val="auto"/>
              </w:rPr>
            </w:pPr>
            <w:r>
              <w:rPr>
                <w:rFonts w:ascii="Arial" w:cs="Arial" w:eastAsia="Arial" w:hAnsi="Arial"/>
                <w:sz w:val="10"/>
                <w:szCs w:val="10"/>
                <w:b w:val="1"/>
                <w:bCs w:val="1"/>
                <w:color w:val="auto"/>
              </w:rPr>
              <w:t>%</w:t>
            </w: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640" w:type="dxa"/>
            <w:vAlign w:val="bottom"/>
            <w:tcBorders>
              <w:bottom w:val="single" w:sz="8" w:color="CFF0FC"/>
            </w:tcBorders>
            <w:shd w:val="clear" w:color="auto" w:fill="000000"/>
          </w:tcPr>
          <w:p>
            <w:pPr>
              <w:spacing w:after="0" w:line="20" w:lineRule="exact"/>
              <w:rPr>
                <w:sz w:val="1"/>
                <w:szCs w:val="1"/>
                <w:color w:val="auto"/>
              </w:rPr>
            </w:pPr>
          </w:p>
        </w:tc>
        <w:tc>
          <w:tcPr>
            <w:tcW w:w="2540" w:type="dxa"/>
            <w:vAlign w:val="bottom"/>
            <w:tcBorders>
              <w:bottom w:val="single" w:sz="8" w:color="CFF0FC"/>
            </w:tcBorders>
          </w:tcPr>
          <w:p>
            <w:pPr>
              <w:spacing w:after="0" w:line="20" w:lineRule="exact"/>
              <w:rPr>
                <w:sz w:val="1"/>
                <w:szCs w:val="1"/>
                <w:color w:val="auto"/>
              </w:rPr>
            </w:pPr>
          </w:p>
        </w:tc>
        <w:tc>
          <w:tcPr>
            <w:tcW w:w="360" w:type="dxa"/>
            <w:vAlign w:val="bottom"/>
            <w:tcBorders>
              <w:bottom w:val="single" w:sz="8" w:color="CFF0FC"/>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FF0FC"/>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FF0FC"/>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FF0FC"/>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FF0FC"/>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FF0FC"/>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3180" w:type="dxa"/>
            <w:vAlign w:val="bottom"/>
            <w:gridSpan w:val="2"/>
            <w:shd w:val="clear" w:color="auto" w:fill="CFF0FC"/>
          </w:tcPr>
          <w:p>
            <w:pPr>
              <w:spacing w:after="0" w:line="132" w:lineRule="exact"/>
              <w:rPr>
                <w:sz w:val="20"/>
                <w:szCs w:val="20"/>
                <w:color w:val="auto"/>
              </w:rPr>
            </w:pPr>
            <w:r>
              <w:rPr>
                <w:rFonts w:ascii="Arial" w:cs="Arial" w:eastAsia="Arial" w:hAnsi="Arial"/>
                <w:sz w:val="12"/>
                <w:szCs w:val="12"/>
                <w:b w:val="1"/>
                <w:bCs w:val="1"/>
                <w:color w:val="auto"/>
              </w:rPr>
              <w:t>Operating expenses</w:t>
            </w:r>
          </w:p>
        </w:tc>
        <w:tc>
          <w:tcPr>
            <w:tcW w:w="3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180" w:type="dxa"/>
            <w:vAlign w:val="bottom"/>
            <w:gridSpan w:val="2"/>
          </w:tcPr>
          <w:p>
            <w:pPr>
              <w:ind w:left="160"/>
              <w:spacing w:after="0"/>
              <w:rPr>
                <w:sz w:val="20"/>
                <w:szCs w:val="20"/>
                <w:color w:val="auto"/>
              </w:rPr>
            </w:pPr>
            <w:r>
              <w:rPr>
                <w:rFonts w:ascii="Arial" w:cs="Arial" w:eastAsia="Arial" w:hAnsi="Arial"/>
                <w:sz w:val="12"/>
                <w:szCs w:val="12"/>
                <w:color w:val="auto"/>
              </w:rPr>
              <w:t>Commercial Services</w:t>
            </w:r>
          </w:p>
        </w:tc>
        <w:tc>
          <w:tcPr>
            <w:tcW w:w="600" w:type="dxa"/>
            <w:vAlign w:val="bottom"/>
            <w:gridSpan w:val="2"/>
          </w:tcPr>
          <w:p>
            <w:pPr>
              <w:jc w:val="right"/>
              <w:ind w:right="130"/>
              <w:spacing w:after="0"/>
              <w:rPr>
                <w:sz w:val="20"/>
                <w:szCs w:val="20"/>
                <w:color w:val="auto"/>
              </w:rPr>
            </w:pPr>
            <w:r>
              <w:rPr>
                <w:rFonts w:ascii="Arial" w:cs="Arial" w:eastAsia="Arial" w:hAnsi="Arial"/>
                <w:sz w:val="12"/>
                <w:szCs w:val="12"/>
                <w:color w:val="auto"/>
              </w:rPr>
              <w:t>$</w:t>
            </w:r>
          </w:p>
        </w:tc>
        <w:tc>
          <w:tcPr>
            <w:tcW w:w="840" w:type="dxa"/>
            <w:vAlign w:val="bottom"/>
          </w:tcPr>
          <w:p>
            <w:pPr>
              <w:jc w:val="right"/>
              <w:spacing w:after="0"/>
              <w:rPr>
                <w:sz w:val="20"/>
                <w:szCs w:val="20"/>
                <w:color w:val="auto"/>
              </w:rPr>
            </w:pPr>
            <w:r>
              <w:rPr>
                <w:rFonts w:ascii="Arial" w:cs="Arial" w:eastAsia="Arial" w:hAnsi="Arial"/>
                <w:sz w:val="12"/>
                <w:szCs w:val="12"/>
                <w:color w:val="auto"/>
              </w:rPr>
              <w:t>66,916</w:t>
            </w:r>
          </w:p>
        </w:tc>
        <w:tc>
          <w:tcPr>
            <w:tcW w:w="50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820" w:type="dxa"/>
            <w:vAlign w:val="bottom"/>
          </w:tcPr>
          <w:p>
            <w:pPr>
              <w:jc w:val="right"/>
              <w:spacing w:after="0"/>
              <w:rPr>
                <w:sz w:val="20"/>
                <w:szCs w:val="20"/>
                <w:color w:val="auto"/>
              </w:rPr>
            </w:pPr>
            <w:r>
              <w:rPr>
                <w:rFonts w:ascii="Arial" w:cs="Arial" w:eastAsia="Arial" w:hAnsi="Arial"/>
                <w:sz w:val="12"/>
                <w:szCs w:val="12"/>
                <w:color w:val="auto"/>
              </w:rPr>
              <w:t>51,221</w:t>
            </w:r>
          </w:p>
        </w:tc>
        <w:tc>
          <w:tcPr>
            <w:tcW w:w="260" w:type="dxa"/>
            <w:vAlign w:val="bottom"/>
          </w:tcPr>
          <w:p>
            <w:pPr>
              <w:spacing w:after="0"/>
              <w:rPr>
                <w:sz w:val="13"/>
                <w:szCs w:val="13"/>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2"/>
                <w:szCs w:val="12"/>
                <w:color w:val="auto"/>
              </w:rPr>
              <w:t>14.9%</w:t>
            </w:r>
          </w:p>
        </w:tc>
        <w:tc>
          <w:tcPr>
            <w:tcW w:w="420" w:type="dxa"/>
            <w:vAlign w:val="bottom"/>
          </w:tcPr>
          <w:p>
            <w:pPr>
              <w:spacing w:after="0"/>
              <w:rPr>
                <w:sz w:val="13"/>
                <w:szCs w:val="13"/>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2"/>
                <w:szCs w:val="12"/>
                <w:color w:val="auto"/>
              </w:rPr>
              <w:t>13.8%</w:t>
            </w:r>
          </w:p>
        </w:tc>
        <w:tc>
          <w:tcPr>
            <w:tcW w:w="300" w:type="dxa"/>
            <w:vAlign w:val="bottom"/>
          </w:tcPr>
          <w:p>
            <w:pPr>
              <w:jc w:val="right"/>
              <w:ind w:right="190"/>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spacing w:after="0"/>
              <w:rPr>
                <w:sz w:val="20"/>
                <w:szCs w:val="20"/>
                <w:color w:val="auto"/>
              </w:rPr>
            </w:pPr>
            <w:r>
              <w:rPr>
                <w:rFonts w:ascii="Arial" w:cs="Arial" w:eastAsia="Arial" w:hAnsi="Arial"/>
                <w:sz w:val="12"/>
                <w:szCs w:val="12"/>
                <w:color w:val="auto"/>
              </w:rPr>
              <w:t>15,695</w:t>
            </w:r>
          </w:p>
        </w:tc>
        <w:tc>
          <w:tcPr>
            <w:tcW w:w="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2"/>
                <w:szCs w:val="12"/>
                <w:color w:val="auto"/>
              </w:rPr>
              <w:t>30.6%</w:t>
            </w:r>
          </w:p>
        </w:tc>
        <w:tc>
          <w:tcPr>
            <w:tcW w:w="0" w:type="dxa"/>
            <w:vAlign w:val="bottom"/>
          </w:tcPr>
          <w:p>
            <w:pPr>
              <w:spacing w:after="0"/>
              <w:rPr>
                <w:sz w:val="1"/>
                <w:szCs w:val="1"/>
                <w:color w:val="auto"/>
              </w:rPr>
            </w:pPr>
          </w:p>
        </w:tc>
      </w:tr>
      <w:tr>
        <w:trPr>
          <w:trHeight w:val="153"/>
        </w:trPr>
        <w:tc>
          <w:tcPr>
            <w:tcW w:w="3180" w:type="dxa"/>
            <w:vAlign w:val="bottom"/>
            <w:gridSpan w:val="2"/>
            <w:shd w:val="clear" w:color="auto" w:fill="CFF0FC"/>
          </w:tcPr>
          <w:p>
            <w:pPr>
              <w:ind w:left="160"/>
              <w:spacing w:after="0"/>
              <w:rPr>
                <w:sz w:val="20"/>
                <w:szCs w:val="20"/>
                <w:color w:val="auto"/>
              </w:rPr>
            </w:pPr>
            <w:r>
              <w:rPr>
                <w:rFonts w:ascii="Arial" w:cs="Arial" w:eastAsia="Arial" w:hAnsi="Arial"/>
                <w:sz w:val="12"/>
                <w:szCs w:val="12"/>
                <w:color w:val="auto"/>
              </w:rPr>
              <w:t>Government Solutions</w:t>
            </w:r>
          </w:p>
        </w:tc>
        <w:tc>
          <w:tcPr>
            <w:tcW w:w="3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57,905</w:t>
            </w:r>
          </w:p>
        </w:tc>
        <w:tc>
          <w:tcPr>
            <w:tcW w:w="2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57,525</w:t>
            </w:r>
          </w:p>
        </w:tc>
        <w:tc>
          <w:tcPr>
            <w:tcW w:w="260" w:type="dxa"/>
            <w:vAlign w:val="bottom"/>
            <w:shd w:val="clear" w:color="auto" w:fill="CFF0FC"/>
          </w:tcPr>
          <w:p>
            <w:pPr>
              <w:spacing w:after="0"/>
              <w:rPr>
                <w:sz w:val="13"/>
                <w:szCs w:val="13"/>
                <w:color w:val="auto"/>
              </w:rPr>
            </w:pPr>
          </w:p>
        </w:tc>
        <w:tc>
          <w:tcPr>
            <w:tcW w:w="136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12.9%</w:t>
            </w:r>
          </w:p>
        </w:tc>
        <w:tc>
          <w:tcPr>
            <w:tcW w:w="420" w:type="dxa"/>
            <w:vAlign w:val="bottom"/>
            <w:shd w:val="clear" w:color="auto" w:fill="CFF0FC"/>
          </w:tcPr>
          <w:p>
            <w:pPr>
              <w:spacing w:after="0"/>
              <w:rPr>
                <w:sz w:val="13"/>
                <w:szCs w:val="13"/>
                <w:color w:val="auto"/>
              </w:rPr>
            </w:pP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15.6%</w:t>
            </w:r>
          </w:p>
        </w:tc>
        <w:tc>
          <w:tcPr>
            <w:tcW w:w="30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380</w:t>
            </w:r>
          </w:p>
        </w:tc>
        <w:tc>
          <w:tcPr>
            <w:tcW w:w="28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840" w:type="dxa"/>
            <w:vAlign w:val="bottom"/>
            <w:gridSpan w:val="2"/>
            <w:shd w:val="clear" w:color="auto" w:fill="CFF0FC"/>
          </w:tcPr>
          <w:p>
            <w:pPr>
              <w:jc w:val="right"/>
              <w:ind w:right="40"/>
              <w:spacing w:after="0"/>
              <w:rPr>
                <w:sz w:val="20"/>
                <w:szCs w:val="20"/>
                <w:color w:val="auto"/>
              </w:rPr>
            </w:pPr>
            <w:r>
              <w:rPr>
                <w:rFonts w:ascii="Arial" w:cs="Arial" w:eastAsia="Arial" w:hAnsi="Arial"/>
                <w:sz w:val="12"/>
                <w:szCs w:val="12"/>
                <w:color w:val="auto"/>
              </w:rPr>
              <w:t>0.7%</w:t>
            </w:r>
          </w:p>
        </w:tc>
        <w:tc>
          <w:tcPr>
            <w:tcW w:w="0" w:type="dxa"/>
            <w:vAlign w:val="bottom"/>
          </w:tcPr>
          <w:p>
            <w:pPr>
              <w:spacing w:after="0"/>
              <w:rPr>
                <w:sz w:val="1"/>
                <w:szCs w:val="1"/>
                <w:color w:val="auto"/>
              </w:rPr>
            </w:pPr>
          </w:p>
        </w:tc>
      </w:tr>
      <w:tr>
        <w:trPr>
          <w:trHeight w:val="20"/>
        </w:trPr>
        <w:tc>
          <w:tcPr>
            <w:tcW w:w="3180" w:type="dxa"/>
            <w:vAlign w:val="bottom"/>
            <w:gridSpan w:val="2"/>
            <w:vMerge w:val="restart"/>
          </w:tcPr>
          <w:p>
            <w:pPr>
              <w:spacing w:after="0"/>
              <w:rPr>
                <w:sz w:val="20"/>
                <w:szCs w:val="20"/>
                <w:color w:val="auto"/>
              </w:rPr>
            </w:pPr>
            <w:r>
              <w:rPr>
                <w:rFonts w:ascii="Arial" w:cs="Arial" w:eastAsia="Arial" w:hAnsi="Arial"/>
                <w:sz w:val="12"/>
                <w:szCs w:val="12"/>
                <w:color w:val="auto"/>
                <w:w w:val="99"/>
              </w:rPr>
              <w:t>Total operating expenses before stock-based compensation</w:t>
            </w:r>
          </w:p>
        </w:tc>
        <w:tc>
          <w:tcPr>
            <w:tcW w:w="3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gridSpan w:val="2"/>
            <w:vMerge w:val="restart"/>
          </w:tcPr>
          <w:p>
            <w:pPr>
              <w:jc w:val="right"/>
              <w:ind w:right="40"/>
              <w:spacing w:after="0"/>
              <w:rPr>
                <w:sz w:val="20"/>
                <w:szCs w:val="20"/>
                <w:color w:val="auto"/>
              </w:rPr>
            </w:pPr>
            <w:r>
              <w:rPr>
                <w:rFonts w:ascii="Arial" w:cs="Arial" w:eastAsia="Arial" w:hAnsi="Arial"/>
                <w:sz w:val="12"/>
                <w:szCs w:val="12"/>
                <w:color w:val="auto"/>
              </w:rPr>
              <w:t>14.8%</w:t>
            </w:r>
          </w:p>
        </w:tc>
        <w:tc>
          <w:tcPr>
            <w:tcW w:w="0" w:type="dxa"/>
            <w:vAlign w:val="bottom"/>
          </w:tcPr>
          <w:p>
            <w:pPr>
              <w:spacing w:after="0" w:line="20" w:lineRule="exact"/>
              <w:rPr>
                <w:sz w:val="1"/>
                <w:szCs w:val="1"/>
                <w:color w:val="auto"/>
              </w:rPr>
            </w:pPr>
          </w:p>
        </w:tc>
      </w:tr>
      <w:tr>
        <w:trPr>
          <w:trHeight w:val="142"/>
        </w:trPr>
        <w:tc>
          <w:tcPr>
            <w:tcW w:w="318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124,821</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108,746</w:t>
            </w:r>
          </w:p>
        </w:tc>
        <w:tc>
          <w:tcPr>
            <w:tcW w:w="260" w:type="dxa"/>
            <w:vAlign w:val="bottom"/>
          </w:tcPr>
          <w:p>
            <w:pPr>
              <w:spacing w:after="0"/>
              <w:rPr>
                <w:sz w:val="12"/>
                <w:szCs w:val="12"/>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2"/>
                <w:szCs w:val="12"/>
                <w:color w:val="auto"/>
              </w:rPr>
              <w:t>27.8%</w:t>
            </w:r>
          </w:p>
        </w:tc>
        <w:tc>
          <w:tcPr>
            <w:tcW w:w="420" w:type="dxa"/>
            <w:vAlign w:val="bottom"/>
          </w:tcPr>
          <w:p>
            <w:pPr>
              <w:spacing w:after="0"/>
              <w:rPr>
                <w:sz w:val="12"/>
                <w:szCs w:val="12"/>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2"/>
                <w:szCs w:val="12"/>
                <w:color w:val="auto"/>
              </w:rPr>
              <w:t>29.4%</w:t>
            </w:r>
          </w:p>
        </w:tc>
        <w:tc>
          <w:tcPr>
            <w:tcW w:w="30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16,075</w:t>
            </w: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18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Stock-based compensation</w:t>
            </w:r>
          </w:p>
        </w:tc>
        <w:tc>
          <w:tcPr>
            <w:tcW w:w="3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819</w:t>
            </w:r>
          </w:p>
        </w:tc>
        <w:tc>
          <w:tcPr>
            <w:tcW w:w="2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137</w:t>
            </w:r>
          </w:p>
        </w:tc>
        <w:tc>
          <w:tcPr>
            <w:tcW w:w="260" w:type="dxa"/>
            <w:vAlign w:val="bottom"/>
            <w:shd w:val="clear" w:color="auto" w:fill="CFF0FC"/>
          </w:tcPr>
          <w:p>
            <w:pPr>
              <w:spacing w:after="0"/>
              <w:rPr>
                <w:sz w:val="13"/>
                <w:szCs w:val="13"/>
                <w:color w:val="auto"/>
              </w:rPr>
            </w:pPr>
          </w:p>
        </w:tc>
        <w:tc>
          <w:tcPr>
            <w:tcW w:w="136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0.2%</w:t>
            </w:r>
          </w:p>
        </w:tc>
        <w:tc>
          <w:tcPr>
            <w:tcW w:w="420" w:type="dxa"/>
            <w:vAlign w:val="bottom"/>
            <w:shd w:val="clear" w:color="auto" w:fill="CFF0FC"/>
          </w:tcPr>
          <w:p>
            <w:pPr>
              <w:spacing w:after="0"/>
              <w:rPr>
                <w:sz w:val="13"/>
                <w:szCs w:val="13"/>
                <w:color w:val="auto"/>
              </w:rPr>
            </w:pPr>
          </w:p>
        </w:tc>
        <w:tc>
          <w:tcPr>
            <w:tcW w:w="920" w:type="dxa"/>
            <w:vAlign w:val="bottom"/>
            <w:gridSpan w:val="2"/>
            <w:shd w:val="clear" w:color="auto" w:fill="CFF0FC"/>
          </w:tcPr>
          <w:p>
            <w:pPr>
              <w:jc w:val="right"/>
              <w:ind w:right="280"/>
              <w:spacing w:after="0"/>
              <w:rPr>
                <w:sz w:val="20"/>
                <w:szCs w:val="20"/>
                <w:color w:val="auto"/>
              </w:rPr>
            </w:pPr>
            <w:r>
              <w:rPr>
                <w:rFonts w:ascii="Arial" w:cs="Arial" w:eastAsia="Arial" w:hAnsi="Arial"/>
                <w:sz w:val="12"/>
                <w:szCs w:val="12"/>
                <w:color w:val="auto"/>
              </w:rPr>
              <w:t>—</w:t>
            </w:r>
          </w:p>
        </w:tc>
        <w:tc>
          <w:tcPr>
            <w:tcW w:w="30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682</w:t>
            </w:r>
          </w:p>
        </w:tc>
        <w:tc>
          <w:tcPr>
            <w:tcW w:w="28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840" w:type="dxa"/>
            <w:vAlign w:val="bottom"/>
            <w:gridSpan w:val="2"/>
            <w:shd w:val="clear" w:color="auto" w:fill="CFF0FC"/>
          </w:tcPr>
          <w:p>
            <w:pPr>
              <w:jc w:val="right"/>
              <w:ind w:right="40"/>
              <w:spacing w:after="0"/>
              <w:rPr>
                <w:sz w:val="20"/>
                <w:szCs w:val="20"/>
                <w:color w:val="auto"/>
              </w:rPr>
            </w:pPr>
            <w:r>
              <w:rPr>
                <w:rFonts w:ascii="Arial" w:cs="Arial" w:eastAsia="Arial" w:hAnsi="Arial"/>
                <w:sz w:val="12"/>
                <w:szCs w:val="12"/>
                <w:color w:val="auto"/>
              </w:rPr>
              <w:t>497.8%</w:t>
            </w:r>
          </w:p>
        </w:tc>
        <w:tc>
          <w:tcPr>
            <w:tcW w:w="0" w:type="dxa"/>
            <w:vAlign w:val="bottom"/>
          </w:tcPr>
          <w:p>
            <w:pPr>
              <w:spacing w:after="0"/>
              <w:rPr>
                <w:sz w:val="1"/>
                <w:szCs w:val="1"/>
                <w:color w:val="auto"/>
              </w:rPr>
            </w:pPr>
          </w:p>
        </w:tc>
      </w:tr>
      <w:tr>
        <w:trPr>
          <w:trHeight w:val="20"/>
        </w:trPr>
        <w:tc>
          <w:tcPr>
            <w:tcW w:w="3180" w:type="dxa"/>
            <w:vAlign w:val="bottom"/>
            <w:gridSpan w:val="2"/>
            <w:vMerge w:val="restart"/>
          </w:tcPr>
          <w:p>
            <w:pPr>
              <w:spacing w:after="0"/>
              <w:rPr>
                <w:sz w:val="20"/>
                <w:szCs w:val="20"/>
                <w:color w:val="auto"/>
              </w:rPr>
            </w:pPr>
            <w:r>
              <w:rPr>
                <w:rFonts w:ascii="Arial" w:cs="Arial" w:eastAsia="Arial" w:hAnsi="Arial"/>
                <w:sz w:val="12"/>
                <w:szCs w:val="12"/>
                <w:color w:val="auto"/>
              </w:rPr>
              <w:t>Total operating expenses</w:t>
            </w:r>
          </w:p>
        </w:tc>
        <w:tc>
          <w:tcPr>
            <w:tcW w:w="3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gridSpan w:val="2"/>
            <w:vMerge w:val="restart"/>
          </w:tcPr>
          <w:p>
            <w:pPr>
              <w:jc w:val="right"/>
              <w:ind w:right="40"/>
              <w:spacing w:after="0"/>
              <w:rPr>
                <w:sz w:val="20"/>
                <w:szCs w:val="20"/>
                <w:color w:val="auto"/>
              </w:rPr>
            </w:pPr>
            <w:r>
              <w:rPr>
                <w:rFonts w:ascii="Arial" w:cs="Arial" w:eastAsia="Arial" w:hAnsi="Arial"/>
                <w:sz w:val="12"/>
                <w:szCs w:val="12"/>
                <w:color w:val="auto"/>
              </w:rPr>
              <w:t>15.4%</w:t>
            </w:r>
          </w:p>
        </w:tc>
        <w:tc>
          <w:tcPr>
            <w:tcW w:w="0" w:type="dxa"/>
            <w:vAlign w:val="bottom"/>
          </w:tcPr>
          <w:p>
            <w:pPr>
              <w:spacing w:after="0" w:line="20" w:lineRule="exact"/>
              <w:rPr>
                <w:sz w:val="1"/>
                <w:szCs w:val="1"/>
                <w:color w:val="auto"/>
              </w:rPr>
            </w:pPr>
          </w:p>
        </w:tc>
      </w:tr>
      <w:tr>
        <w:trPr>
          <w:trHeight w:val="149"/>
        </w:trPr>
        <w:tc>
          <w:tcPr>
            <w:tcW w:w="318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jc w:val="right"/>
              <w:ind w:right="130"/>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spacing w:after="0"/>
              <w:rPr>
                <w:sz w:val="20"/>
                <w:szCs w:val="20"/>
                <w:color w:val="auto"/>
              </w:rPr>
            </w:pPr>
            <w:r>
              <w:rPr>
                <w:rFonts w:ascii="Arial" w:cs="Arial" w:eastAsia="Arial" w:hAnsi="Arial"/>
                <w:sz w:val="12"/>
                <w:szCs w:val="12"/>
                <w:color w:val="auto"/>
              </w:rPr>
              <w:t>125,640</w:t>
            </w:r>
          </w:p>
        </w:tc>
        <w:tc>
          <w:tcPr>
            <w:tcW w:w="50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820" w:type="dxa"/>
            <w:vAlign w:val="bottom"/>
          </w:tcPr>
          <w:p>
            <w:pPr>
              <w:jc w:val="right"/>
              <w:spacing w:after="0"/>
              <w:rPr>
                <w:sz w:val="20"/>
                <w:szCs w:val="20"/>
                <w:color w:val="auto"/>
              </w:rPr>
            </w:pPr>
            <w:r>
              <w:rPr>
                <w:rFonts w:ascii="Arial" w:cs="Arial" w:eastAsia="Arial" w:hAnsi="Arial"/>
                <w:sz w:val="12"/>
                <w:szCs w:val="12"/>
                <w:color w:val="auto"/>
              </w:rPr>
              <w:t>108,883</w:t>
            </w:r>
          </w:p>
        </w:tc>
        <w:tc>
          <w:tcPr>
            <w:tcW w:w="260" w:type="dxa"/>
            <w:vAlign w:val="bottom"/>
          </w:tcPr>
          <w:p>
            <w:pPr>
              <w:spacing w:after="0"/>
              <w:rPr>
                <w:sz w:val="12"/>
                <w:szCs w:val="12"/>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2"/>
                <w:szCs w:val="12"/>
                <w:color w:val="auto"/>
              </w:rPr>
              <w:t>28.0%</w:t>
            </w:r>
          </w:p>
        </w:tc>
        <w:tc>
          <w:tcPr>
            <w:tcW w:w="420" w:type="dxa"/>
            <w:vAlign w:val="bottom"/>
          </w:tcPr>
          <w:p>
            <w:pPr>
              <w:spacing w:after="0"/>
              <w:rPr>
                <w:sz w:val="12"/>
                <w:szCs w:val="12"/>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2"/>
                <w:szCs w:val="12"/>
                <w:color w:val="auto"/>
              </w:rPr>
              <w:t>29.4%</w:t>
            </w:r>
          </w:p>
        </w:tc>
        <w:tc>
          <w:tcPr>
            <w:tcW w:w="300" w:type="dxa"/>
            <w:vAlign w:val="bottom"/>
          </w:tcPr>
          <w:p>
            <w:pPr>
              <w:jc w:val="right"/>
              <w:ind w:right="190"/>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spacing w:after="0"/>
              <w:rPr>
                <w:sz w:val="20"/>
                <w:szCs w:val="20"/>
                <w:color w:val="auto"/>
              </w:rPr>
            </w:pPr>
            <w:r>
              <w:rPr>
                <w:rFonts w:ascii="Arial" w:cs="Arial" w:eastAsia="Arial" w:hAnsi="Arial"/>
                <w:sz w:val="12"/>
                <w:szCs w:val="12"/>
                <w:color w:val="auto"/>
              </w:rPr>
              <w:t>16,757</w:t>
            </w: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450"/>
        </w:trPr>
        <w:tc>
          <w:tcPr>
            <w:tcW w:w="64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jc w:val="right"/>
              <w:ind w:right="82"/>
              <w:spacing w:after="0"/>
              <w:rPr>
                <w:sz w:val="20"/>
                <w:szCs w:val="20"/>
                <w:color w:val="auto"/>
              </w:rPr>
            </w:pPr>
            <w:r>
              <w:rPr>
                <w:rFonts w:ascii="Arial" w:cs="Arial" w:eastAsia="Arial" w:hAnsi="Arial"/>
                <w:sz w:val="12"/>
                <w:szCs w:val="12"/>
                <w:color w:val="auto"/>
              </w:rPr>
              <w:t>49</w:t>
            </w:r>
          </w:p>
        </w:tc>
        <w:tc>
          <w:tcPr>
            <w:tcW w:w="260" w:type="dxa"/>
            <w:vAlign w:val="bottom"/>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640" w:type="dxa"/>
            <w:vAlign w:val="bottom"/>
            <w:tcBorders>
              <w:bottom w:val="single" w:sz="8" w:color="9A9A9A"/>
            </w:tcBorders>
          </w:tcPr>
          <w:p>
            <w:pPr>
              <w:spacing w:after="0"/>
              <w:rPr>
                <w:sz w:val="6"/>
                <w:szCs w:val="6"/>
                <w:color w:val="auto"/>
              </w:rPr>
            </w:pPr>
          </w:p>
        </w:tc>
        <w:tc>
          <w:tcPr>
            <w:tcW w:w="2540" w:type="dxa"/>
            <w:vAlign w:val="bottom"/>
            <w:tcBorders>
              <w:bottom w:val="single" w:sz="8" w:color="9A9A9A"/>
            </w:tcBorders>
          </w:tcPr>
          <w:p>
            <w:pPr>
              <w:spacing w:after="0"/>
              <w:rPr>
                <w:sz w:val="6"/>
                <w:szCs w:val="6"/>
                <w:color w:val="auto"/>
              </w:rPr>
            </w:pPr>
          </w:p>
        </w:tc>
        <w:tc>
          <w:tcPr>
            <w:tcW w:w="36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108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420" w:type="dxa"/>
            <w:vAlign w:val="bottom"/>
            <w:tcBorders>
              <w:bottom w:val="single" w:sz="8" w:color="9A9A9A"/>
            </w:tcBorders>
          </w:tcPr>
          <w:p>
            <w:pPr>
              <w:spacing w:after="0"/>
              <w:rPr>
                <w:sz w:val="6"/>
                <w:szCs w:val="6"/>
                <w:color w:val="auto"/>
              </w:rPr>
            </w:pPr>
          </w:p>
        </w:tc>
        <w:tc>
          <w:tcPr>
            <w:tcW w:w="66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78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380" w:type="dxa"/>
            <w:vAlign w:val="bottom"/>
            <w:tcBorders>
              <w:bottom w:val="single" w:sz="8" w:color="9A9A9A"/>
            </w:tcBorders>
          </w:tcPr>
          <w:p>
            <w:pPr>
              <w:spacing w:after="0"/>
              <w:rPr>
                <w:sz w:val="6"/>
                <w:szCs w:val="6"/>
                <w:color w:val="auto"/>
              </w:rPr>
            </w:pPr>
          </w:p>
        </w:tc>
        <w:tc>
          <w:tcPr>
            <w:tcW w:w="70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7268845</wp:posOffset>
            </wp:positionH>
            <wp:positionV relativeFrom="paragraph">
              <wp:posOffset>-23495</wp:posOffset>
            </wp:positionV>
            <wp:extent cx="31115" cy="3683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480"/>
          </w:cols>
          <w:pgMar w:left="220" w:top="275" w:right="199" w:bottom="1440" w:gutter="0" w:footer="0" w:header="0"/>
        </w:sectPr>
      </w:pPr>
    </w:p>
    <w:bookmarkStart w:id="50" w:name="page51"/>
    <w:bookmarkEnd w:id="50"/>
    <w:p>
      <w:pPr>
        <w:ind w:right="240" w:firstLine="602"/>
        <w:spacing w:after="0" w:line="290" w:lineRule="auto"/>
        <w:rPr>
          <w:sz w:val="20"/>
          <w:szCs w:val="20"/>
          <w:color w:val="auto"/>
        </w:rPr>
      </w:pPr>
      <w:r>
        <w:rPr>
          <w:rFonts w:ascii="Arial" w:cs="Arial" w:eastAsia="Arial" w:hAnsi="Arial"/>
          <w:sz w:val="11"/>
          <w:szCs w:val="11"/>
          <w:i w:val="1"/>
          <w:iCs w:val="1"/>
          <w:color w:val="auto"/>
        </w:rPr>
        <w:t>Selling, General and Administrative Expenses</w:t>
      </w:r>
      <w:r>
        <w:rPr>
          <w:rFonts w:ascii="Arial" w:cs="Arial" w:eastAsia="Arial" w:hAnsi="Arial"/>
          <w:sz w:val="11"/>
          <w:szCs w:val="11"/>
          <w:color w:val="auto"/>
        </w:rPr>
        <w:t>. Selling, general and administrative expenses were $85.5 million for fiscal year 2019. Expenses in this line item decreased by $50.6 million from $136.1 million in fiscal year</w:t>
      </w:r>
      <w:r>
        <w:rPr>
          <w:rFonts w:ascii="Arial" w:cs="Arial" w:eastAsia="Arial" w:hAnsi="Arial"/>
          <w:sz w:val="11"/>
          <w:szCs w:val="11"/>
          <w:i w:val="1"/>
          <w:iCs w:val="1"/>
          <w:color w:val="auto"/>
        </w:rPr>
        <w:t xml:space="preserve"> </w:t>
      </w:r>
      <w:r>
        <w:rPr>
          <w:rFonts w:ascii="Arial" w:cs="Arial" w:eastAsia="Arial" w:hAnsi="Arial"/>
          <w:sz w:val="11"/>
          <w:szCs w:val="11"/>
          <w:color w:val="auto"/>
        </w:rPr>
        <w:t>2018 primarily due to $56.4 million of transaction expenses for the Business Combination, HTA and EPC acquisitions, non-recurring expenses of $8.8 million and $5.4 million related to fees paid under a corporate advisory services agreement in fiscal 2018 for which there were no comparable amounts in the current year. The decrease was partially offset by the stock-based compensation expense recorded for fiscal year 2019. As a result, Selling, general and administrative expenses as a percentage of revenue decreased from 36.8% to 19.1% for fiscal years 2018 and 2019, respectively. Selling, general and administrative expenses by segment appear in the table below:</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40" w:type="dxa"/>
            <w:vAlign w:val="bottom"/>
          </w:tcPr>
          <w:p>
            <w:pPr>
              <w:spacing w:after="0"/>
              <w:rPr>
                <w:sz w:val="10"/>
                <w:szCs w:val="10"/>
                <w:color w:val="auto"/>
              </w:rPr>
            </w:pPr>
          </w:p>
        </w:tc>
        <w:tc>
          <w:tcPr>
            <w:tcW w:w="2900" w:type="dxa"/>
            <w:vAlign w:val="bottom"/>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1420" w:type="dxa"/>
            <w:vAlign w:val="bottom"/>
            <w:tcBorders>
              <w:bottom w:val="single" w:sz="8" w:color="auto"/>
            </w:tcBorders>
            <w:gridSpan w:val="3"/>
          </w:tcPr>
          <w:p>
            <w:pPr>
              <w:jc w:val="right"/>
              <w:ind w:right="320"/>
              <w:spacing w:after="0"/>
              <w:rPr>
                <w:sz w:val="20"/>
                <w:szCs w:val="20"/>
                <w:color w:val="auto"/>
              </w:rPr>
            </w:pPr>
            <w:r>
              <w:rPr>
                <w:rFonts w:ascii="Arial" w:cs="Arial" w:eastAsia="Arial" w:hAnsi="Arial"/>
                <w:sz w:val="10"/>
                <w:szCs w:val="10"/>
                <w:b w:val="1"/>
                <w:bCs w:val="1"/>
                <w:color w:val="auto"/>
                <w:w w:val="87"/>
              </w:rPr>
              <w:t>Year Ended December 31,</w:t>
            </w:r>
          </w:p>
        </w:tc>
        <w:tc>
          <w:tcPr>
            <w:tcW w:w="34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3"/>
        </w:trPr>
        <w:tc>
          <w:tcPr>
            <w:tcW w:w="640" w:type="dxa"/>
            <w:vAlign w:val="bottom"/>
          </w:tcPr>
          <w:p>
            <w:pPr>
              <w:spacing w:after="0"/>
              <w:rPr>
                <w:sz w:val="7"/>
                <w:szCs w:val="7"/>
                <w:color w:val="auto"/>
              </w:rPr>
            </w:pPr>
          </w:p>
        </w:tc>
        <w:tc>
          <w:tcPr>
            <w:tcW w:w="2900" w:type="dxa"/>
            <w:vAlign w:val="bottom"/>
          </w:tcPr>
          <w:p>
            <w:pPr>
              <w:spacing w:after="0"/>
              <w:rPr>
                <w:sz w:val="7"/>
                <w:szCs w:val="7"/>
                <w:color w:val="auto"/>
              </w:rPr>
            </w:pPr>
          </w:p>
        </w:tc>
        <w:tc>
          <w:tcPr>
            <w:tcW w:w="240" w:type="dxa"/>
            <w:vAlign w:val="bottom"/>
          </w:tcPr>
          <w:p>
            <w:pPr>
              <w:spacing w:after="0"/>
              <w:rPr>
                <w:sz w:val="7"/>
                <w:szCs w:val="7"/>
                <w:color w:val="auto"/>
              </w:rPr>
            </w:pPr>
          </w:p>
        </w:tc>
        <w:tc>
          <w:tcPr>
            <w:tcW w:w="8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60" w:type="dxa"/>
            <w:vAlign w:val="bottom"/>
          </w:tcPr>
          <w:p>
            <w:pPr>
              <w:spacing w:after="0"/>
              <w:rPr>
                <w:sz w:val="7"/>
                <w:szCs w:val="7"/>
                <w:color w:val="auto"/>
              </w:rPr>
            </w:pPr>
          </w:p>
        </w:tc>
        <w:tc>
          <w:tcPr>
            <w:tcW w:w="8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0" w:type="dxa"/>
            <w:vAlign w:val="bottom"/>
          </w:tcPr>
          <w:p>
            <w:pPr>
              <w:spacing w:after="0"/>
              <w:rPr>
                <w:sz w:val="7"/>
                <w:szCs w:val="7"/>
                <w:color w:val="auto"/>
              </w:rPr>
            </w:pPr>
          </w:p>
        </w:tc>
        <w:tc>
          <w:tcPr>
            <w:tcW w:w="280" w:type="dxa"/>
            <w:vAlign w:val="bottom"/>
          </w:tcPr>
          <w:p>
            <w:pPr>
              <w:spacing w:after="0"/>
              <w:rPr>
                <w:sz w:val="7"/>
                <w:szCs w:val="7"/>
                <w:color w:val="auto"/>
              </w:rPr>
            </w:pPr>
          </w:p>
        </w:tc>
        <w:tc>
          <w:tcPr>
            <w:tcW w:w="740" w:type="dxa"/>
            <w:vAlign w:val="bottom"/>
          </w:tcPr>
          <w:p>
            <w:pPr>
              <w:spacing w:after="0"/>
              <w:rPr>
                <w:sz w:val="7"/>
                <w:szCs w:val="7"/>
                <w:color w:val="auto"/>
              </w:rPr>
            </w:pPr>
          </w:p>
        </w:tc>
        <w:tc>
          <w:tcPr>
            <w:tcW w:w="34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440" w:type="dxa"/>
            <w:vAlign w:val="bottom"/>
            <w:gridSpan w:val="3"/>
          </w:tcPr>
          <w:p>
            <w:pPr>
              <w:jc w:val="center"/>
              <w:ind w:left="385"/>
              <w:spacing w:after="0" w:line="83" w:lineRule="exact"/>
              <w:rPr>
                <w:sz w:val="20"/>
                <w:szCs w:val="20"/>
                <w:color w:val="auto"/>
              </w:rPr>
            </w:pPr>
            <w:r>
              <w:rPr>
                <w:rFonts w:ascii="Arial" w:cs="Arial" w:eastAsia="Arial" w:hAnsi="Arial"/>
                <w:sz w:val="8"/>
                <w:szCs w:val="8"/>
                <w:b w:val="1"/>
                <w:bCs w:val="1"/>
                <w:color w:val="auto"/>
              </w:rPr>
              <w:t>Increase (Decrease)</w:t>
            </w:r>
          </w:p>
        </w:tc>
        <w:tc>
          <w:tcPr>
            <w:tcW w:w="72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3540" w:type="dxa"/>
            <w:vAlign w:val="bottom"/>
            <w:gridSpan w:val="2"/>
            <w:vMerge w:val="restart"/>
          </w:tcPr>
          <w:p>
            <w:pPr>
              <w:spacing w:after="0"/>
              <w:rPr>
                <w:sz w:val="20"/>
                <w:szCs w:val="20"/>
                <w:color w:val="auto"/>
              </w:rPr>
            </w:pPr>
            <w:r>
              <w:rPr>
                <w:rFonts w:ascii="Arial" w:cs="Arial" w:eastAsia="Arial" w:hAnsi="Arial"/>
                <w:sz w:val="10"/>
                <w:szCs w:val="10"/>
                <w:b w:val="1"/>
                <w:bCs w:val="1"/>
                <w:u w:val="single" w:color="auto"/>
                <w:color w:val="auto"/>
              </w:rPr>
              <w:t>(</w:t>
            </w:r>
            <w:r>
              <w:rPr>
                <w:rFonts w:ascii="Arial" w:cs="Arial" w:eastAsia="Arial" w:hAnsi="Arial"/>
                <w:sz w:val="10"/>
                <w:szCs w:val="10"/>
                <w:b w:val="1"/>
                <w:bCs w:val="1"/>
                <w:color w:val="auto"/>
              </w:rPr>
              <w:t>$ in thousands)</w:t>
            </w:r>
          </w:p>
        </w:tc>
        <w:tc>
          <w:tcPr>
            <w:tcW w:w="240" w:type="dxa"/>
            <w:vAlign w:val="bottom"/>
          </w:tcPr>
          <w:p>
            <w:pPr>
              <w:spacing w:after="0"/>
              <w:rPr>
                <w:sz w:val="9"/>
                <w:szCs w:val="9"/>
                <w:color w:val="auto"/>
              </w:rPr>
            </w:pPr>
          </w:p>
        </w:tc>
        <w:tc>
          <w:tcPr>
            <w:tcW w:w="820" w:type="dxa"/>
            <w:vAlign w:val="bottom"/>
            <w:vMerge w:val="restart"/>
          </w:tcPr>
          <w:p>
            <w:pPr>
              <w:jc w:val="right"/>
              <w:ind w:right="382"/>
              <w:spacing w:after="0"/>
              <w:rPr>
                <w:sz w:val="20"/>
                <w:szCs w:val="20"/>
                <w:color w:val="auto"/>
              </w:rPr>
            </w:pPr>
            <w:r>
              <w:rPr>
                <w:rFonts w:ascii="Arial" w:cs="Arial" w:eastAsia="Arial" w:hAnsi="Arial"/>
                <w:sz w:val="10"/>
                <w:szCs w:val="10"/>
                <w:b w:val="1"/>
                <w:bCs w:val="1"/>
                <w:color w:val="auto"/>
              </w:rPr>
              <w:t>2019</w:t>
            </w: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20" w:type="dxa"/>
            <w:vAlign w:val="bottom"/>
            <w:vMerge w:val="restart"/>
          </w:tcPr>
          <w:p>
            <w:pPr>
              <w:jc w:val="right"/>
              <w:ind w:right="382"/>
              <w:spacing w:after="0"/>
              <w:rPr>
                <w:sz w:val="20"/>
                <w:szCs w:val="20"/>
                <w:color w:val="auto"/>
              </w:rPr>
            </w:pPr>
            <w:r>
              <w:rPr>
                <w:rFonts w:ascii="Arial" w:cs="Arial" w:eastAsia="Arial" w:hAnsi="Arial"/>
                <w:sz w:val="10"/>
                <w:szCs w:val="10"/>
                <w:b w:val="1"/>
                <w:bCs w:val="1"/>
                <w:color w:val="auto"/>
              </w:rPr>
              <w:t>2018</w:t>
            </w:r>
          </w:p>
        </w:tc>
        <w:tc>
          <w:tcPr>
            <w:tcW w:w="260" w:type="dxa"/>
            <w:vAlign w:val="bottom"/>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420" w:type="dxa"/>
            <w:vAlign w:val="bottom"/>
            <w:tcBorders>
              <w:bottom w:val="single" w:sz="8" w:color="auto"/>
            </w:tcBorders>
            <w:gridSpan w:val="3"/>
          </w:tcPr>
          <w:p>
            <w:pPr>
              <w:jc w:val="right"/>
              <w:ind w:right="420"/>
              <w:spacing w:after="0" w:line="114" w:lineRule="exact"/>
              <w:rPr>
                <w:sz w:val="20"/>
                <w:szCs w:val="20"/>
                <w:color w:val="auto"/>
              </w:rPr>
            </w:pPr>
            <w:r>
              <w:rPr>
                <w:rFonts w:ascii="Arial" w:cs="Arial" w:eastAsia="Arial" w:hAnsi="Arial"/>
                <w:sz w:val="10"/>
                <w:szCs w:val="10"/>
                <w:b w:val="1"/>
                <w:bCs w:val="1"/>
                <w:color w:val="auto"/>
                <w:w w:val="88"/>
              </w:rPr>
              <w:t>Percentage of Revenue</w:t>
            </w:r>
          </w:p>
        </w:tc>
        <w:tc>
          <w:tcPr>
            <w:tcW w:w="34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440" w:type="dxa"/>
            <w:vAlign w:val="bottom"/>
            <w:tcBorders>
              <w:bottom w:val="single" w:sz="8" w:color="auto"/>
            </w:tcBorders>
            <w:gridSpan w:val="3"/>
          </w:tcPr>
          <w:p>
            <w:pPr>
              <w:jc w:val="center"/>
              <w:ind w:left="385"/>
              <w:spacing w:after="0" w:line="114" w:lineRule="exact"/>
              <w:rPr>
                <w:sz w:val="20"/>
                <w:szCs w:val="20"/>
                <w:color w:val="auto"/>
              </w:rPr>
            </w:pPr>
            <w:r>
              <w:rPr>
                <w:rFonts w:ascii="Arial" w:cs="Arial" w:eastAsia="Arial" w:hAnsi="Arial"/>
                <w:sz w:val="10"/>
                <w:szCs w:val="10"/>
                <w:b w:val="1"/>
                <w:bCs w:val="1"/>
                <w:color w:val="auto"/>
                <w:w w:val="84"/>
              </w:rPr>
              <w:t>2019 vs 2018</w:t>
            </w:r>
          </w:p>
        </w:tc>
        <w:tc>
          <w:tcPr>
            <w:tcW w:w="72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3540" w:type="dxa"/>
            <w:vAlign w:val="bottom"/>
            <w:gridSpan w:val="2"/>
            <w:vMerge w:val="continue"/>
          </w:tcPr>
          <w:p>
            <w:pPr>
              <w:spacing w:after="0"/>
              <w:rPr>
                <w:sz w:val="7"/>
                <w:szCs w:val="7"/>
                <w:color w:val="auto"/>
              </w:rPr>
            </w:pPr>
          </w:p>
        </w:tc>
        <w:tc>
          <w:tcPr>
            <w:tcW w:w="24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26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Pr>
          <w:p>
            <w:pPr>
              <w:jc w:val="right"/>
              <w:spacing w:after="0" w:line="88" w:lineRule="exact"/>
              <w:rPr>
                <w:sz w:val="20"/>
                <w:szCs w:val="20"/>
                <w:color w:val="auto"/>
              </w:rPr>
            </w:pPr>
            <w:r>
              <w:rPr>
                <w:rFonts w:ascii="Arial" w:cs="Arial" w:eastAsia="Arial" w:hAnsi="Arial"/>
                <w:sz w:val="10"/>
                <w:szCs w:val="10"/>
                <w:b w:val="1"/>
                <w:bCs w:val="1"/>
                <w:color w:val="auto"/>
              </w:rPr>
              <w:t>2019</w:t>
            </w:r>
          </w:p>
        </w:tc>
        <w:tc>
          <w:tcPr>
            <w:tcW w:w="1420" w:type="dxa"/>
            <w:vAlign w:val="bottom"/>
            <w:gridSpan w:val="3"/>
          </w:tcPr>
          <w:p>
            <w:pPr>
              <w:jc w:val="right"/>
              <w:ind w:right="120"/>
              <w:spacing w:after="0" w:line="88" w:lineRule="exact"/>
              <w:rPr>
                <w:sz w:val="20"/>
                <w:szCs w:val="20"/>
                <w:color w:val="auto"/>
              </w:rPr>
            </w:pPr>
            <w:r>
              <w:rPr>
                <w:rFonts w:ascii="Arial" w:cs="Arial" w:eastAsia="Arial" w:hAnsi="Arial"/>
                <w:sz w:val="10"/>
                <w:szCs w:val="10"/>
                <w:b w:val="1"/>
                <w:bCs w:val="1"/>
                <w:color w:val="auto"/>
              </w:rPr>
              <w:t>2018</w:t>
            </w:r>
          </w:p>
        </w:tc>
        <w:tc>
          <w:tcPr>
            <w:tcW w:w="34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0" w:type="dxa"/>
            <w:vAlign w:val="bottom"/>
          </w:tcPr>
          <w:p>
            <w:pPr>
              <w:jc w:val="right"/>
              <w:ind w:right="465"/>
              <w:spacing w:after="0" w:line="88" w:lineRule="exact"/>
              <w:rPr>
                <w:sz w:val="20"/>
                <w:szCs w:val="20"/>
                <w:color w:val="auto"/>
              </w:rPr>
            </w:pPr>
            <w:r>
              <w:rPr>
                <w:rFonts w:ascii="Arial" w:cs="Arial" w:eastAsia="Arial" w:hAnsi="Arial"/>
                <w:sz w:val="10"/>
                <w:szCs w:val="10"/>
                <w:b w:val="1"/>
                <w:bCs w:val="1"/>
                <w:color w:val="auto"/>
              </w:rPr>
              <w:t>$</w:t>
            </w:r>
          </w:p>
        </w:tc>
        <w:tc>
          <w:tcPr>
            <w:tcW w:w="260" w:type="dxa"/>
            <w:vAlign w:val="bottom"/>
          </w:tcPr>
          <w:p>
            <w:pPr>
              <w:spacing w:after="0"/>
              <w:rPr>
                <w:sz w:val="7"/>
                <w:szCs w:val="7"/>
                <w:color w:val="auto"/>
              </w:rPr>
            </w:pPr>
          </w:p>
        </w:tc>
        <w:tc>
          <w:tcPr>
            <w:tcW w:w="380" w:type="dxa"/>
            <w:vAlign w:val="bottom"/>
          </w:tcPr>
          <w:p>
            <w:pPr>
              <w:spacing w:after="0"/>
              <w:rPr>
                <w:sz w:val="7"/>
                <w:szCs w:val="7"/>
                <w:color w:val="auto"/>
              </w:rPr>
            </w:pPr>
          </w:p>
        </w:tc>
        <w:tc>
          <w:tcPr>
            <w:tcW w:w="720" w:type="dxa"/>
            <w:vAlign w:val="bottom"/>
          </w:tcPr>
          <w:p>
            <w:pPr>
              <w:jc w:val="right"/>
              <w:ind w:right="442"/>
              <w:spacing w:after="0" w:line="88" w:lineRule="exact"/>
              <w:rPr>
                <w:sz w:val="20"/>
                <w:szCs w:val="20"/>
                <w:color w:val="auto"/>
              </w:rPr>
            </w:pPr>
            <w:r>
              <w:rPr>
                <w:rFonts w:ascii="Arial" w:cs="Arial" w:eastAsia="Arial" w:hAnsi="Arial"/>
                <w:sz w:val="10"/>
                <w:szCs w:val="10"/>
                <w:b w:val="1"/>
                <w:bCs w:val="1"/>
                <w:color w:val="auto"/>
              </w:rPr>
              <w:t>%</w:t>
            </w: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640" w:type="dxa"/>
            <w:vAlign w:val="bottom"/>
            <w:tcBorders>
              <w:bottom w:val="single" w:sz="8" w:color="CFF0FC"/>
            </w:tcBorders>
            <w:shd w:val="clear" w:color="auto" w:fill="000000"/>
          </w:tcPr>
          <w:p>
            <w:pPr>
              <w:spacing w:after="0" w:line="20" w:lineRule="exact"/>
              <w:rPr>
                <w:sz w:val="1"/>
                <w:szCs w:val="1"/>
                <w:color w:val="auto"/>
              </w:rPr>
            </w:pPr>
          </w:p>
        </w:tc>
        <w:tc>
          <w:tcPr>
            <w:tcW w:w="2900" w:type="dxa"/>
            <w:vAlign w:val="bottom"/>
            <w:tcBorders>
              <w:bottom w:val="single" w:sz="8" w:color="CFF0FC"/>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FF0FC"/>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FF0FC"/>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FF0FC"/>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FF0FC"/>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FF0FC"/>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3540" w:type="dxa"/>
            <w:vAlign w:val="bottom"/>
            <w:gridSpan w:val="2"/>
            <w:shd w:val="clear" w:color="auto" w:fill="CFF0FC"/>
          </w:tcPr>
          <w:p>
            <w:pPr>
              <w:spacing w:after="0" w:line="132" w:lineRule="exact"/>
              <w:rPr>
                <w:sz w:val="20"/>
                <w:szCs w:val="20"/>
                <w:color w:val="auto"/>
              </w:rPr>
            </w:pPr>
            <w:r>
              <w:rPr>
                <w:rFonts w:ascii="Arial" w:cs="Arial" w:eastAsia="Arial" w:hAnsi="Arial"/>
                <w:sz w:val="12"/>
                <w:szCs w:val="12"/>
                <w:b w:val="1"/>
                <w:bCs w:val="1"/>
                <w:color w:val="auto"/>
              </w:rPr>
              <w:t>Selling, general and administrative expenses</w:t>
            </w:r>
          </w:p>
        </w:tc>
        <w:tc>
          <w:tcPr>
            <w:tcW w:w="24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540" w:type="dxa"/>
            <w:vAlign w:val="bottom"/>
            <w:gridSpan w:val="2"/>
          </w:tcPr>
          <w:p>
            <w:pPr>
              <w:ind w:left="160"/>
              <w:spacing w:after="0"/>
              <w:rPr>
                <w:sz w:val="20"/>
                <w:szCs w:val="20"/>
                <w:color w:val="auto"/>
              </w:rPr>
            </w:pPr>
            <w:r>
              <w:rPr>
                <w:rFonts w:ascii="Arial" w:cs="Arial" w:eastAsia="Arial" w:hAnsi="Arial"/>
                <w:sz w:val="12"/>
                <w:szCs w:val="12"/>
                <w:color w:val="auto"/>
              </w:rPr>
              <w:t>Commercial Services</w:t>
            </w:r>
          </w:p>
        </w:tc>
        <w:tc>
          <w:tcPr>
            <w:tcW w:w="240" w:type="dxa"/>
            <w:vAlign w:val="bottom"/>
          </w:tcPr>
          <w:p>
            <w:pPr>
              <w:jc w:val="right"/>
              <w:ind w:right="130"/>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spacing w:after="0"/>
              <w:rPr>
                <w:sz w:val="20"/>
                <w:szCs w:val="20"/>
                <w:color w:val="auto"/>
              </w:rPr>
            </w:pPr>
            <w:r>
              <w:rPr>
                <w:rFonts w:ascii="Arial" w:cs="Arial" w:eastAsia="Arial" w:hAnsi="Arial"/>
                <w:sz w:val="12"/>
                <w:szCs w:val="12"/>
                <w:color w:val="auto"/>
              </w:rPr>
              <w:t>41,384</w:t>
            </w:r>
          </w:p>
        </w:tc>
        <w:tc>
          <w:tcPr>
            <w:tcW w:w="520" w:type="dxa"/>
            <w:vAlign w:val="bottom"/>
            <w:gridSpan w:val="2"/>
          </w:tcPr>
          <w:p>
            <w:pPr>
              <w:jc w:val="right"/>
              <w:ind w:right="150"/>
              <w:spacing w:after="0"/>
              <w:rPr>
                <w:sz w:val="20"/>
                <w:szCs w:val="20"/>
                <w:color w:val="auto"/>
              </w:rPr>
            </w:pPr>
            <w:r>
              <w:rPr>
                <w:rFonts w:ascii="Arial" w:cs="Arial" w:eastAsia="Arial" w:hAnsi="Arial"/>
                <w:sz w:val="12"/>
                <w:szCs w:val="12"/>
                <w:color w:val="auto"/>
              </w:rPr>
              <w:t>$</w:t>
            </w:r>
          </w:p>
        </w:tc>
        <w:tc>
          <w:tcPr>
            <w:tcW w:w="820" w:type="dxa"/>
            <w:vAlign w:val="bottom"/>
          </w:tcPr>
          <w:p>
            <w:pPr>
              <w:jc w:val="right"/>
              <w:spacing w:after="0"/>
              <w:rPr>
                <w:sz w:val="20"/>
                <w:szCs w:val="20"/>
                <w:color w:val="auto"/>
              </w:rPr>
            </w:pPr>
            <w:r>
              <w:rPr>
                <w:rFonts w:ascii="Arial" w:cs="Arial" w:eastAsia="Arial" w:hAnsi="Arial"/>
                <w:sz w:val="12"/>
                <w:szCs w:val="12"/>
                <w:color w:val="auto"/>
              </w:rPr>
              <w:t>55,370</w:t>
            </w: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2"/>
                <w:szCs w:val="12"/>
                <w:color w:val="auto"/>
              </w:rPr>
              <w:t>9.2%</w:t>
            </w:r>
          </w:p>
        </w:tc>
        <w:tc>
          <w:tcPr>
            <w:tcW w:w="740" w:type="dxa"/>
            <w:vAlign w:val="bottom"/>
          </w:tcPr>
          <w:p>
            <w:pPr>
              <w:spacing w:after="0"/>
              <w:rPr>
                <w:sz w:val="13"/>
                <w:szCs w:val="13"/>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2"/>
                <w:szCs w:val="12"/>
                <w:color w:val="auto"/>
              </w:rPr>
              <w:t>15.0%</w:t>
            </w:r>
          </w:p>
        </w:tc>
        <w:tc>
          <w:tcPr>
            <w:tcW w:w="280" w:type="dxa"/>
            <w:vAlign w:val="bottom"/>
          </w:tcPr>
          <w:p>
            <w:pPr>
              <w:jc w:val="right"/>
              <w:ind w:right="170"/>
              <w:spacing w:after="0"/>
              <w:rPr>
                <w:sz w:val="20"/>
                <w:szCs w:val="20"/>
                <w:color w:val="auto"/>
              </w:rPr>
            </w:pPr>
            <w:r>
              <w:rPr>
                <w:rFonts w:ascii="Arial" w:cs="Arial" w:eastAsia="Arial" w:hAnsi="Arial"/>
                <w:sz w:val="10"/>
                <w:szCs w:val="10"/>
                <w:color w:val="auto"/>
                <w:w w:val="71"/>
              </w:rPr>
              <w:t>$</w:t>
            </w:r>
          </w:p>
        </w:tc>
        <w:tc>
          <w:tcPr>
            <w:tcW w:w="1060" w:type="dxa"/>
            <w:vAlign w:val="bottom"/>
            <w:gridSpan w:val="2"/>
          </w:tcPr>
          <w:p>
            <w:pPr>
              <w:jc w:val="right"/>
              <w:ind w:right="220"/>
              <w:spacing w:after="0"/>
              <w:rPr>
                <w:sz w:val="20"/>
                <w:szCs w:val="20"/>
                <w:color w:val="auto"/>
              </w:rPr>
            </w:pPr>
            <w:r>
              <w:rPr>
                <w:rFonts w:ascii="Arial" w:cs="Arial" w:eastAsia="Arial" w:hAnsi="Arial"/>
                <w:sz w:val="12"/>
                <w:szCs w:val="12"/>
                <w:color w:val="auto"/>
              </w:rPr>
              <w:t>(13,986)</w:t>
            </w:r>
          </w:p>
        </w:tc>
        <w:tc>
          <w:tcPr>
            <w:tcW w:w="380" w:type="dxa"/>
            <w:vAlign w:val="bottom"/>
          </w:tcPr>
          <w:p>
            <w:pPr>
              <w:spacing w:after="0"/>
              <w:rPr>
                <w:sz w:val="13"/>
                <w:szCs w:val="13"/>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2"/>
                <w:szCs w:val="12"/>
                <w:color w:val="auto"/>
              </w:rPr>
              <w:t>(25.3)%</w:t>
            </w:r>
          </w:p>
        </w:tc>
        <w:tc>
          <w:tcPr>
            <w:tcW w:w="0" w:type="dxa"/>
            <w:vAlign w:val="bottom"/>
          </w:tcPr>
          <w:p>
            <w:pPr>
              <w:spacing w:after="0"/>
              <w:rPr>
                <w:sz w:val="1"/>
                <w:szCs w:val="1"/>
                <w:color w:val="auto"/>
              </w:rPr>
            </w:pPr>
          </w:p>
        </w:tc>
      </w:tr>
      <w:tr>
        <w:trPr>
          <w:trHeight w:val="153"/>
        </w:trPr>
        <w:tc>
          <w:tcPr>
            <w:tcW w:w="3540" w:type="dxa"/>
            <w:vAlign w:val="bottom"/>
            <w:gridSpan w:val="2"/>
            <w:shd w:val="clear" w:color="auto" w:fill="CFF0FC"/>
          </w:tcPr>
          <w:p>
            <w:pPr>
              <w:ind w:left="160"/>
              <w:spacing w:after="0"/>
              <w:rPr>
                <w:sz w:val="20"/>
                <w:szCs w:val="20"/>
                <w:color w:val="auto"/>
              </w:rPr>
            </w:pPr>
            <w:r>
              <w:rPr>
                <w:rFonts w:ascii="Arial" w:cs="Arial" w:eastAsia="Arial" w:hAnsi="Arial"/>
                <w:sz w:val="12"/>
                <w:szCs w:val="12"/>
                <w:color w:val="auto"/>
              </w:rPr>
              <w:t>Government Solutions</w:t>
            </w:r>
          </w:p>
        </w:tc>
        <w:tc>
          <w:tcPr>
            <w:tcW w:w="24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32,696</w:t>
            </w:r>
          </w:p>
        </w:tc>
        <w:tc>
          <w:tcPr>
            <w:tcW w:w="2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27,827</w:t>
            </w:r>
          </w:p>
        </w:tc>
        <w:tc>
          <w:tcPr>
            <w:tcW w:w="26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68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7.3%</w:t>
            </w:r>
          </w:p>
        </w:tc>
        <w:tc>
          <w:tcPr>
            <w:tcW w:w="740" w:type="dxa"/>
            <w:vAlign w:val="bottom"/>
            <w:shd w:val="clear" w:color="auto" w:fill="CFF0FC"/>
          </w:tcPr>
          <w:p>
            <w:pPr>
              <w:spacing w:after="0"/>
              <w:rPr>
                <w:sz w:val="13"/>
                <w:szCs w:val="13"/>
                <w:color w:val="auto"/>
              </w:rPr>
            </w:pPr>
          </w:p>
        </w:tc>
        <w:tc>
          <w:tcPr>
            <w:tcW w:w="60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7.5%</w:t>
            </w:r>
          </w:p>
        </w:tc>
        <w:tc>
          <w:tcPr>
            <w:tcW w:w="28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4,869</w:t>
            </w:r>
          </w:p>
        </w:tc>
        <w:tc>
          <w:tcPr>
            <w:tcW w:w="26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880" w:type="dxa"/>
            <w:vAlign w:val="bottom"/>
            <w:gridSpan w:val="2"/>
            <w:shd w:val="clear" w:color="auto" w:fill="CFF0FC"/>
          </w:tcPr>
          <w:p>
            <w:pPr>
              <w:jc w:val="right"/>
              <w:ind w:right="60"/>
              <w:spacing w:after="0"/>
              <w:rPr>
                <w:sz w:val="20"/>
                <w:szCs w:val="20"/>
                <w:color w:val="auto"/>
              </w:rPr>
            </w:pPr>
            <w:r>
              <w:rPr>
                <w:rFonts w:ascii="Arial" w:cs="Arial" w:eastAsia="Arial" w:hAnsi="Arial"/>
                <w:sz w:val="12"/>
                <w:szCs w:val="12"/>
                <w:color w:val="auto"/>
              </w:rPr>
              <w:t>17.5%</w:t>
            </w:r>
          </w:p>
        </w:tc>
        <w:tc>
          <w:tcPr>
            <w:tcW w:w="0" w:type="dxa"/>
            <w:vAlign w:val="bottom"/>
          </w:tcPr>
          <w:p>
            <w:pPr>
              <w:spacing w:after="0"/>
              <w:rPr>
                <w:sz w:val="1"/>
                <w:szCs w:val="1"/>
                <w:color w:val="auto"/>
              </w:rPr>
            </w:pPr>
          </w:p>
        </w:tc>
      </w:tr>
      <w:tr>
        <w:trPr>
          <w:trHeight w:val="153"/>
        </w:trPr>
        <w:tc>
          <w:tcPr>
            <w:tcW w:w="3540" w:type="dxa"/>
            <w:vAlign w:val="bottom"/>
            <w:gridSpan w:val="2"/>
          </w:tcPr>
          <w:p>
            <w:pPr>
              <w:ind w:left="160"/>
              <w:spacing w:after="0"/>
              <w:rPr>
                <w:sz w:val="20"/>
                <w:szCs w:val="20"/>
                <w:color w:val="auto"/>
              </w:rPr>
            </w:pPr>
            <w:r>
              <w:rPr>
                <w:rFonts w:ascii="Arial" w:cs="Arial" w:eastAsia="Arial" w:hAnsi="Arial"/>
                <w:sz w:val="12"/>
                <w:szCs w:val="12"/>
                <w:color w:val="auto"/>
              </w:rPr>
              <w:t>Corporate</w:t>
            </w:r>
          </w:p>
        </w:tc>
        <w:tc>
          <w:tcPr>
            <w:tcW w:w="24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2,220</w:t>
            </w: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50,737</w:t>
            </w: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2"/>
                <w:szCs w:val="12"/>
                <w:color w:val="auto"/>
              </w:rPr>
              <w:t>0.5%</w:t>
            </w:r>
          </w:p>
        </w:tc>
        <w:tc>
          <w:tcPr>
            <w:tcW w:w="740" w:type="dxa"/>
            <w:vAlign w:val="bottom"/>
          </w:tcPr>
          <w:p>
            <w:pPr>
              <w:spacing w:after="0"/>
              <w:rPr>
                <w:sz w:val="13"/>
                <w:szCs w:val="13"/>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2"/>
                <w:szCs w:val="12"/>
                <w:color w:val="auto"/>
              </w:rPr>
              <w:t>13.7%</w:t>
            </w:r>
          </w:p>
        </w:tc>
        <w:tc>
          <w:tcPr>
            <w:tcW w:w="280" w:type="dxa"/>
            <w:vAlign w:val="bottom"/>
          </w:tcPr>
          <w:p>
            <w:pPr>
              <w:spacing w:after="0"/>
              <w:rPr>
                <w:sz w:val="13"/>
                <w:szCs w:val="13"/>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2"/>
                <w:szCs w:val="12"/>
                <w:color w:val="auto"/>
              </w:rPr>
              <w:t>(48,517)</w:t>
            </w:r>
          </w:p>
        </w:tc>
        <w:tc>
          <w:tcPr>
            <w:tcW w:w="380" w:type="dxa"/>
            <w:vAlign w:val="bottom"/>
          </w:tcPr>
          <w:p>
            <w:pPr>
              <w:spacing w:after="0"/>
              <w:rPr>
                <w:sz w:val="13"/>
                <w:szCs w:val="13"/>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2"/>
                <w:szCs w:val="12"/>
                <w:color w:val="auto"/>
              </w:rPr>
              <w:t>(95.6)%</w:t>
            </w:r>
          </w:p>
        </w:tc>
        <w:tc>
          <w:tcPr>
            <w:tcW w:w="0" w:type="dxa"/>
            <w:vAlign w:val="bottom"/>
          </w:tcPr>
          <w:p>
            <w:pPr>
              <w:spacing w:after="0"/>
              <w:rPr>
                <w:sz w:val="1"/>
                <w:szCs w:val="1"/>
                <w:color w:val="auto"/>
              </w:rPr>
            </w:pPr>
          </w:p>
        </w:tc>
      </w:tr>
      <w:tr>
        <w:trPr>
          <w:trHeight w:val="133"/>
        </w:trPr>
        <w:tc>
          <w:tcPr>
            <w:tcW w:w="3540" w:type="dxa"/>
            <w:vAlign w:val="bottom"/>
            <w:tcBorders>
              <w:top w:val="single" w:sz="8" w:color="CFF0FC"/>
            </w:tcBorders>
            <w:gridSpan w:val="2"/>
            <w:shd w:val="clear" w:color="auto" w:fill="CFF0FC"/>
          </w:tcPr>
          <w:p>
            <w:pPr>
              <w:spacing w:after="0" w:line="133" w:lineRule="exact"/>
              <w:rPr>
                <w:sz w:val="20"/>
                <w:szCs w:val="20"/>
                <w:color w:val="auto"/>
              </w:rPr>
            </w:pPr>
            <w:r>
              <w:rPr>
                <w:rFonts w:ascii="Arial" w:cs="Arial" w:eastAsia="Arial" w:hAnsi="Arial"/>
                <w:sz w:val="12"/>
                <w:szCs w:val="12"/>
                <w:color w:val="auto"/>
              </w:rPr>
              <w:t>Total selling, general and administrative expenses before stock-</w:t>
            </w:r>
          </w:p>
        </w:tc>
        <w:tc>
          <w:tcPr>
            <w:tcW w:w="240" w:type="dxa"/>
            <w:vAlign w:val="bottom"/>
            <w:tcBorders>
              <w:top w:val="single" w:sz="8" w:color="auto"/>
            </w:tcBorders>
            <w:shd w:val="clear" w:color="auto" w:fill="CFF0FC"/>
          </w:tcPr>
          <w:p>
            <w:pPr>
              <w:spacing w:after="0"/>
              <w:rPr>
                <w:sz w:val="11"/>
                <w:szCs w:val="11"/>
                <w:color w:val="auto"/>
              </w:rPr>
            </w:pPr>
          </w:p>
        </w:tc>
        <w:tc>
          <w:tcPr>
            <w:tcW w:w="820" w:type="dxa"/>
            <w:vAlign w:val="bottom"/>
            <w:tcBorders>
              <w:top w:val="single" w:sz="8" w:color="auto"/>
            </w:tcBorders>
            <w:shd w:val="clear" w:color="auto" w:fill="CFF0FC"/>
          </w:tcPr>
          <w:p>
            <w:pPr>
              <w:spacing w:after="0"/>
              <w:rPr>
                <w:sz w:val="11"/>
                <w:szCs w:val="11"/>
                <w:color w:val="auto"/>
              </w:rPr>
            </w:pPr>
          </w:p>
        </w:tc>
        <w:tc>
          <w:tcPr>
            <w:tcW w:w="260" w:type="dxa"/>
            <w:vAlign w:val="bottom"/>
            <w:tcBorders>
              <w:top w:val="single" w:sz="8" w:color="CFF0FC"/>
            </w:tcBorders>
            <w:shd w:val="clear" w:color="auto" w:fill="CFF0FC"/>
          </w:tcPr>
          <w:p>
            <w:pPr>
              <w:spacing w:after="0"/>
              <w:rPr>
                <w:sz w:val="11"/>
                <w:szCs w:val="11"/>
                <w:color w:val="auto"/>
              </w:rPr>
            </w:pPr>
          </w:p>
        </w:tc>
        <w:tc>
          <w:tcPr>
            <w:tcW w:w="260" w:type="dxa"/>
            <w:vAlign w:val="bottom"/>
            <w:tcBorders>
              <w:top w:val="single" w:sz="8" w:color="auto"/>
            </w:tcBorders>
            <w:shd w:val="clear" w:color="auto" w:fill="CFF0FC"/>
          </w:tcPr>
          <w:p>
            <w:pPr>
              <w:spacing w:after="0"/>
              <w:rPr>
                <w:sz w:val="11"/>
                <w:szCs w:val="11"/>
                <w:color w:val="auto"/>
              </w:rPr>
            </w:pPr>
          </w:p>
        </w:tc>
        <w:tc>
          <w:tcPr>
            <w:tcW w:w="820" w:type="dxa"/>
            <w:vAlign w:val="bottom"/>
            <w:tcBorders>
              <w:top w:val="single" w:sz="8" w:color="auto"/>
            </w:tcBorders>
            <w:shd w:val="clear" w:color="auto" w:fill="CFF0FC"/>
          </w:tcPr>
          <w:p>
            <w:pPr>
              <w:spacing w:after="0"/>
              <w:rPr>
                <w:sz w:val="11"/>
                <w:szCs w:val="11"/>
                <w:color w:val="auto"/>
              </w:rPr>
            </w:pPr>
          </w:p>
        </w:tc>
        <w:tc>
          <w:tcPr>
            <w:tcW w:w="260" w:type="dxa"/>
            <w:vAlign w:val="bottom"/>
            <w:tcBorders>
              <w:top w:val="single" w:sz="8" w:color="CFF0FC"/>
            </w:tcBorders>
            <w:shd w:val="clear" w:color="auto" w:fill="CFF0FC"/>
          </w:tcPr>
          <w:p>
            <w:pPr>
              <w:spacing w:after="0"/>
              <w:rPr>
                <w:sz w:val="11"/>
                <w:szCs w:val="11"/>
                <w:color w:val="auto"/>
              </w:rPr>
            </w:pPr>
          </w:p>
        </w:tc>
        <w:tc>
          <w:tcPr>
            <w:tcW w:w="660" w:type="dxa"/>
            <w:vAlign w:val="bottom"/>
            <w:tcBorders>
              <w:top w:val="single" w:sz="8" w:color="auto"/>
            </w:tcBorders>
            <w:shd w:val="clear" w:color="auto" w:fill="CFF0FC"/>
          </w:tcPr>
          <w:p>
            <w:pPr>
              <w:spacing w:after="0"/>
              <w:rPr>
                <w:sz w:val="11"/>
                <w:szCs w:val="11"/>
                <w:color w:val="auto"/>
              </w:rPr>
            </w:pPr>
          </w:p>
        </w:tc>
        <w:tc>
          <w:tcPr>
            <w:tcW w:w="400" w:type="dxa"/>
            <w:vAlign w:val="bottom"/>
            <w:tcBorders>
              <w:top w:val="single" w:sz="8" w:color="auto"/>
            </w:tcBorders>
            <w:shd w:val="clear" w:color="auto" w:fill="CFF0FC"/>
          </w:tcPr>
          <w:p>
            <w:pPr>
              <w:spacing w:after="0"/>
              <w:rPr>
                <w:sz w:val="11"/>
                <w:szCs w:val="11"/>
                <w:color w:val="auto"/>
              </w:rPr>
            </w:pPr>
          </w:p>
        </w:tc>
        <w:tc>
          <w:tcPr>
            <w:tcW w:w="280" w:type="dxa"/>
            <w:vAlign w:val="bottom"/>
            <w:tcBorders>
              <w:top w:val="single" w:sz="8" w:color="CFF0FC"/>
            </w:tcBorders>
            <w:shd w:val="clear" w:color="auto" w:fill="CFF0FC"/>
          </w:tcPr>
          <w:p>
            <w:pPr>
              <w:spacing w:after="0"/>
              <w:rPr>
                <w:sz w:val="11"/>
                <w:szCs w:val="11"/>
                <w:color w:val="auto"/>
              </w:rPr>
            </w:pPr>
          </w:p>
        </w:tc>
        <w:tc>
          <w:tcPr>
            <w:tcW w:w="740" w:type="dxa"/>
            <w:vAlign w:val="bottom"/>
            <w:tcBorders>
              <w:top w:val="single" w:sz="8" w:color="auto"/>
            </w:tcBorders>
            <w:shd w:val="clear" w:color="auto" w:fill="CFF0FC"/>
          </w:tcPr>
          <w:p>
            <w:pPr>
              <w:spacing w:after="0"/>
              <w:rPr>
                <w:sz w:val="11"/>
                <w:szCs w:val="11"/>
                <w:color w:val="auto"/>
              </w:rPr>
            </w:pPr>
          </w:p>
        </w:tc>
        <w:tc>
          <w:tcPr>
            <w:tcW w:w="340" w:type="dxa"/>
            <w:vAlign w:val="bottom"/>
            <w:tcBorders>
              <w:top w:val="single" w:sz="8" w:color="auto"/>
            </w:tcBorders>
            <w:shd w:val="clear" w:color="auto" w:fill="CFF0FC"/>
          </w:tcPr>
          <w:p>
            <w:pPr>
              <w:spacing w:after="0"/>
              <w:rPr>
                <w:sz w:val="11"/>
                <w:szCs w:val="11"/>
                <w:color w:val="auto"/>
              </w:rPr>
            </w:pPr>
          </w:p>
        </w:tc>
        <w:tc>
          <w:tcPr>
            <w:tcW w:w="260" w:type="dxa"/>
            <w:vAlign w:val="bottom"/>
            <w:tcBorders>
              <w:top w:val="single" w:sz="8" w:color="CFF0FC"/>
            </w:tcBorders>
            <w:shd w:val="clear" w:color="auto" w:fill="CFF0FC"/>
          </w:tcPr>
          <w:p>
            <w:pPr>
              <w:spacing w:after="0"/>
              <w:rPr>
                <w:sz w:val="11"/>
                <w:szCs w:val="11"/>
                <w:color w:val="auto"/>
              </w:rPr>
            </w:pPr>
          </w:p>
        </w:tc>
        <w:tc>
          <w:tcPr>
            <w:tcW w:w="280" w:type="dxa"/>
            <w:vAlign w:val="bottom"/>
            <w:tcBorders>
              <w:top w:val="single" w:sz="8" w:color="auto"/>
            </w:tcBorders>
            <w:shd w:val="clear" w:color="auto" w:fill="CFF0FC"/>
          </w:tcPr>
          <w:p>
            <w:pPr>
              <w:spacing w:after="0"/>
              <w:rPr>
                <w:sz w:val="11"/>
                <w:szCs w:val="11"/>
                <w:color w:val="auto"/>
              </w:rPr>
            </w:pPr>
          </w:p>
        </w:tc>
        <w:tc>
          <w:tcPr>
            <w:tcW w:w="800" w:type="dxa"/>
            <w:vAlign w:val="bottom"/>
            <w:tcBorders>
              <w:top w:val="single" w:sz="8" w:color="auto"/>
            </w:tcBorders>
            <w:shd w:val="clear" w:color="auto" w:fill="CFF0FC"/>
          </w:tcPr>
          <w:p>
            <w:pPr>
              <w:spacing w:after="0"/>
              <w:rPr>
                <w:sz w:val="11"/>
                <w:szCs w:val="11"/>
                <w:color w:val="auto"/>
              </w:rPr>
            </w:pPr>
          </w:p>
        </w:tc>
        <w:tc>
          <w:tcPr>
            <w:tcW w:w="260" w:type="dxa"/>
            <w:vAlign w:val="bottom"/>
            <w:tcBorders>
              <w:top w:val="single" w:sz="8" w:color="CFF0FC"/>
            </w:tcBorders>
            <w:shd w:val="clear" w:color="auto" w:fill="CFF0FC"/>
          </w:tcPr>
          <w:p>
            <w:pPr>
              <w:spacing w:after="0"/>
              <w:rPr>
                <w:sz w:val="11"/>
                <w:szCs w:val="11"/>
                <w:color w:val="auto"/>
              </w:rPr>
            </w:pPr>
          </w:p>
        </w:tc>
        <w:tc>
          <w:tcPr>
            <w:tcW w:w="380" w:type="dxa"/>
            <w:vAlign w:val="bottom"/>
            <w:tcBorders>
              <w:top w:val="single" w:sz="8" w:color="CFF0FC"/>
            </w:tcBorders>
            <w:shd w:val="clear" w:color="auto" w:fill="CFF0FC"/>
          </w:tcPr>
          <w:p>
            <w:pPr>
              <w:spacing w:after="0"/>
              <w:rPr>
                <w:sz w:val="11"/>
                <w:szCs w:val="11"/>
                <w:color w:val="auto"/>
              </w:rPr>
            </w:pPr>
          </w:p>
        </w:tc>
        <w:tc>
          <w:tcPr>
            <w:tcW w:w="720" w:type="dxa"/>
            <w:vAlign w:val="bottom"/>
            <w:tcBorders>
              <w:top w:val="single" w:sz="8" w:color="CFF0FC"/>
            </w:tcBorders>
            <w:shd w:val="clear" w:color="auto" w:fill="CFF0FC"/>
          </w:tcPr>
          <w:p>
            <w:pPr>
              <w:spacing w:after="0"/>
              <w:rPr>
                <w:sz w:val="11"/>
                <w:szCs w:val="11"/>
                <w:color w:val="auto"/>
              </w:rPr>
            </w:pPr>
          </w:p>
        </w:tc>
        <w:tc>
          <w:tcPr>
            <w:tcW w:w="16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54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based compensation</w:t>
            </w:r>
          </w:p>
        </w:tc>
        <w:tc>
          <w:tcPr>
            <w:tcW w:w="24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76,300</w:t>
            </w:r>
          </w:p>
        </w:tc>
        <w:tc>
          <w:tcPr>
            <w:tcW w:w="2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133,934</w:t>
            </w:r>
          </w:p>
        </w:tc>
        <w:tc>
          <w:tcPr>
            <w:tcW w:w="26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68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17.0%</w:t>
            </w:r>
          </w:p>
        </w:tc>
        <w:tc>
          <w:tcPr>
            <w:tcW w:w="740" w:type="dxa"/>
            <w:vAlign w:val="bottom"/>
            <w:shd w:val="clear" w:color="auto" w:fill="CFF0FC"/>
          </w:tcPr>
          <w:p>
            <w:pPr>
              <w:spacing w:after="0"/>
              <w:rPr>
                <w:sz w:val="13"/>
                <w:szCs w:val="13"/>
                <w:color w:val="auto"/>
              </w:rPr>
            </w:pPr>
          </w:p>
        </w:tc>
        <w:tc>
          <w:tcPr>
            <w:tcW w:w="60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36.2%</w:t>
            </w:r>
          </w:p>
        </w:tc>
        <w:tc>
          <w:tcPr>
            <w:tcW w:w="280" w:type="dxa"/>
            <w:vAlign w:val="bottom"/>
            <w:shd w:val="clear" w:color="auto" w:fill="CFF0FC"/>
          </w:tcPr>
          <w:p>
            <w:pPr>
              <w:spacing w:after="0"/>
              <w:rPr>
                <w:sz w:val="13"/>
                <w:szCs w:val="13"/>
                <w:color w:val="auto"/>
              </w:rPr>
            </w:pP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(57,634)</w:t>
            </w:r>
          </w:p>
        </w:tc>
        <w:tc>
          <w:tcPr>
            <w:tcW w:w="380" w:type="dxa"/>
            <w:vAlign w:val="bottom"/>
            <w:shd w:val="clear" w:color="auto" w:fill="CFF0FC"/>
          </w:tcPr>
          <w:p>
            <w:pPr>
              <w:spacing w:after="0"/>
              <w:rPr>
                <w:sz w:val="13"/>
                <w:szCs w:val="13"/>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2"/>
                <w:szCs w:val="12"/>
                <w:color w:val="auto"/>
              </w:rPr>
              <w:t>(43.0)%</w:t>
            </w:r>
          </w:p>
        </w:tc>
        <w:tc>
          <w:tcPr>
            <w:tcW w:w="0" w:type="dxa"/>
            <w:vAlign w:val="bottom"/>
          </w:tcPr>
          <w:p>
            <w:pPr>
              <w:spacing w:after="0"/>
              <w:rPr>
                <w:sz w:val="1"/>
                <w:szCs w:val="1"/>
                <w:color w:val="auto"/>
              </w:rPr>
            </w:pPr>
          </w:p>
        </w:tc>
      </w:tr>
      <w:tr>
        <w:trPr>
          <w:trHeight w:val="153"/>
        </w:trPr>
        <w:tc>
          <w:tcPr>
            <w:tcW w:w="3540" w:type="dxa"/>
            <w:vAlign w:val="bottom"/>
            <w:gridSpan w:val="2"/>
          </w:tcPr>
          <w:p>
            <w:pPr>
              <w:spacing w:after="0"/>
              <w:rPr>
                <w:sz w:val="20"/>
                <w:szCs w:val="20"/>
                <w:color w:val="auto"/>
              </w:rPr>
            </w:pPr>
            <w:r>
              <w:rPr>
                <w:rFonts w:ascii="Arial" w:cs="Arial" w:eastAsia="Arial" w:hAnsi="Arial"/>
                <w:sz w:val="12"/>
                <w:szCs w:val="12"/>
                <w:color w:val="auto"/>
              </w:rPr>
              <w:t>Stock-based compensation</w:t>
            </w:r>
          </w:p>
        </w:tc>
        <w:tc>
          <w:tcPr>
            <w:tcW w:w="24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9,193</w:t>
            </w: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2,135</w:t>
            </w: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2"/>
                <w:szCs w:val="12"/>
                <w:color w:val="auto"/>
              </w:rPr>
              <w:t>2.1%</w:t>
            </w:r>
          </w:p>
        </w:tc>
        <w:tc>
          <w:tcPr>
            <w:tcW w:w="740" w:type="dxa"/>
            <w:vAlign w:val="bottom"/>
          </w:tcPr>
          <w:p>
            <w:pPr>
              <w:spacing w:after="0"/>
              <w:rPr>
                <w:sz w:val="13"/>
                <w:szCs w:val="13"/>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2"/>
                <w:szCs w:val="12"/>
                <w:color w:val="auto"/>
              </w:rPr>
              <w:t>0.6%</w:t>
            </w:r>
          </w:p>
        </w:tc>
        <w:tc>
          <w:tcPr>
            <w:tcW w:w="28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7,058</w:t>
            </w:r>
          </w:p>
        </w:tc>
        <w:tc>
          <w:tcPr>
            <w:tcW w:w="2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2"/>
                <w:szCs w:val="12"/>
                <w:color w:val="auto"/>
              </w:rPr>
              <w:t>330.6%</w:t>
            </w:r>
          </w:p>
        </w:tc>
        <w:tc>
          <w:tcPr>
            <w:tcW w:w="0" w:type="dxa"/>
            <w:vAlign w:val="bottom"/>
          </w:tcPr>
          <w:p>
            <w:pPr>
              <w:spacing w:after="0"/>
              <w:rPr>
                <w:sz w:val="1"/>
                <w:szCs w:val="1"/>
                <w:color w:val="auto"/>
              </w:rPr>
            </w:pPr>
          </w:p>
        </w:tc>
      </w:tr>
      <w:tr>
        <w:trPr>
          <w:trHeight w:val="20"/>
        </w:trPr>
        <w:tc>
          <w:tcPr>
            <w:tcW w:w="3540" w:type="dxa"/>
            <w:vAlign w:val="bottom"/>
            <w:gridSpan w:val="2"/>
            <w:vMerge w:val="restart"/>
            <w:shd w:val="clear" w:color="auto" w:fill="CFF0FC"/>
          </w:tcPr>
          <w:p>
            <w:pPr>
              <w:spacing w:after="0"/>
              <w:rPr>
                <w:sz w:val="20"/>
                <w:szCs w:val="20"/>
                <w:color w:val="auto"/>
              </w:rPr>
            </w:pPr>
            <w:r>
              <w:rPr>
                <w:rFonts w:ascii="Arial" w:cs="Arial" w:eastAsia="Arial" w:hAnsi="Arial"/>
                <w:sz w:val="12"/>
                <w:szCs w:val="12"/>
                <w:color w:val="auto"/>
              </w:rPr>
              <w:t>Total selling, general and administrative expenses</w:t>
            </w: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880" w:type="dxa"/>
            <w:vAlign w:val="bottom"/>
            <w:gridSpan w:val="2"/>
            <w:vMerge w:val="restart"/>
            <w:shd w:val="clear" w:color="auto" w:fill="CFF0FC"/>
          </w:tcPr>
          <w:p>
            <w:pPr>
              <w:jc w:val="right"/>
              <w:ind w:right="20"/>
              <w:spacing w:after="0"/>
              <w:rPr>
                <w:sz w:val="20"/>
                <w:szCs w:val="20"/>
                <w:color w:val="auto"/>
              </w:rPr>
            </w:pPr>
            <w:r>
              <w:rPr>
                <w:rFonts w:ascii="Arial" w:cs="Arial" w:eastAsia="Arial" w:hAnsi="Arial"/>
                <w:sz w:val="12"/>
                <w:szCs w:val="12"/>
                <w:color w:val="auto"/>
              </w:rPr>
              <w:t>(37.2)%</w:t>
            </w:r>
          </w:p>
        </w:tc>
        <w:tc>
          <w:tcPr>
            <w:tcW w:w="0" w:type="dxa"/>
            <w:vAlign w:val="bottom"/>
          </w:tcPr>
          <w:p>
            <w:pPr>
              <w:spacing w:after="0" w:line="20" w:lineRule="exact"/>
              <w:rPr>
                <w:sz w:val="1"/>
                <w:szCs w:val="1"/>
                <w:color w:val="auto"/>
              </w:rPr>
            </w:pPr>
          </w:p>
        </w:tc>
      </w:tr>
      <w:tr>
        <w:trPr>
          <w:trHeight w:val="142"/>
        </w:trPr>
        <w:tc>
          <w:tcPr>
            <w:tcW w:w="3540" w:type="dxa"/>
            <w:vAlign w:val="bottom"/>
            <w:gridSpan w:val="2"/>
            <w:vMerge w:val="continue"/>
            <w:shd w:val="clear" w:color="auto" w:fill="CFF0FC"/>
          </w:tcPr>
          <w:p>
            <w:pPr>
              <w:spacing w:after="0"/>
              <w:rPr>
                <w:sz w:val="12"/>
                <w:szCs w:val="12"/>
                <w:color w:val="auto"/>
              </w:rPr>
            </w:pPr>
          </w:p>
        </w:tc>
        <w:tc>
          <w:tcPr>
            <w:tcW w:w="240" w:type="dxa"/>
            <w:vAlign w:val="bottom"/>
            <w:shd w:val="clear" w:color="auto" w:fill="CFF0FC"/>
          </w:tcPr>
          <w:p>
            <w:pPr>
              <w:jc w:val="right"/>
              <w:ind w:right="130"/>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85,493</w:t>
            </w:r>
          </w:p>
        </w:tc>
        <w:tc>
          <w:tcPr>
            <w:tcW w:w="260" w:type="dxa"/>
            <w:vAlign w:val="bottom"/>
            <w:shd w:val="clear" w:color="auto" w:fill="CFF0FC"/>
          </w:tcPr>
          <w:p>
            <w:pPr>
              <w:spacing w:after="0"/>
              <w:rPr>
                <w:sz w:val="12"/>
                <w:szCs w:val="12"/>
                <w:color w:val="auto"/>
              </w:rPr>
            </w:pPr>
          </w:p>
        </w:tc>
        <w:tc>
          <w:tcPr>
            <w:tcW w:w="260" w:type="dxa"/>
            <w:vAlign w:val="bottom"/>
            <w:shd w:val="clear" w:color="auto" w:fill="CFF0FC"/>
          </w:tcPr>
          <w:p>
            <w:pPr>
              <w:jc w:val="right"/>
              <w:ind w:right="150"/>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136,069</w:t>
            </w:r>
          </w:p>
        </w:tc>
        <w:tc>
          <w:tcPr>
            <w:tcW w:w="26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19.1%</w:t>
            </w:r>
          </w:p>
        </w:tc>
        <w:tc>
          <w:tcPr>
            <w:tcW w:w="740" w:type="dxa"/>
            <w:vAlign w:val="bottom"/>
            <w:shd w:val="clear" w:color="auto" w:fill="CFF0FC"/>
          </w:tcPr>
          <w:p>
            <w:pPr>
              <w:spacing w:after="0"/>
              <w:rPr>
                <w:sz w:val="12"/>
                <w:szCs w:val="12"/>
                <w:color w:val="auto"/>
              </w:rPr>
            </w:pPr>
          </w:p>
        </w:tc>
        <w:tc>
          <w:tcPr>
            <w:tcW w:w="60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36.8%</w:t>
            </w:r>
          </w:p>
        </w:tc>
        <w:tc>
          <w:tcPr>
            <w:tcW w:w="280" w:type="dxa"/>
            <w:vAlign w:val="bottom"/>
            <w:shd w:val="clear" w:color="auto" w:fill="CFF0FC"/>
          </w:tcPr>
          <w:p>
            <w:pPr>
              <w:jc w:val="right"/>
              <w:ind w:right="170"/>
              <w:spacing w:after="0"/>
              <w:rPr>
                <w:sz w:val="20"/>
                <w:szCs w:val="20"/>
                <w:color w:val="auto"/>
              </w:rPr>
            </w:pPr>
            <w:r>
              <w:rPr>
                <w:rFonts w:ascii="Arial" w:cs="Arial" w:eastAsia="Arial" w:hAnsi="Arial"/>
                <w:sz w:val="10"/>
                <w:szCs w:val="10"/>
                <w:color w:val="auto"/>
                <w:w w:val="71"/>
              </w:rPr>
              <w:t>$</w:t>
            </w: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(50,576)</w:t>
            </w:r>
          </w:p>
        </w:tc>
        <w:tc>
          <w:tcPr>
            <w:tcW w:w="380" w:type="dxa"/>
            <w:vAlign w:val="bottom"/>
            <w:shd w:val="clear" w:color="auto" w:fill="CFF0FC"/>
          </w:tcPr>
          <w:p>
            <w:pPr>
              <w:spacing w:after="0"/>
              <w:rPr>
                <w:sz w:val="12"/>
                <w:szCs w:val="12"/>
                <w:color w:val="auto"/>
              </w:rPr>
            </w:pPr>
          </w:p>
        </w:tc>
        <w:tc>
          <w:tcPr>
            <w:tcW w:w="880" w:type="dxa"/>
            <w:vAlign w:val="bottom"/>
            <w:gridSpan w:val="2"/>
            <w:vMerge w:val="continue"/>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640" w:type="dxa"/>
            <w:vAlign w:val="bottom"/>
            <w:shd w:val="clear" w:color="auto" w:fill="CFF0FC"/>
          </w:tcPr>
          <w:p>
            <w:pPr>
              <w:spacing w:after="0"/>
              <w:rPr>
                <w:sz w:val="2"/>
                <w:szCs w:val="2"/>
                <w:color w:val="auto"/>
              </w:rPr>
            </w:pPr>
          </w:p>
        </w:tc>
        <w:tc>
          <w:tcPr>
            <w:tcW w:w="2900" w:type="dxa"/>
            <w:vAlign w:val="bottom"/>
            <w:shd w:val="clear" w:color="auto" w:fill="CFF0FC"/>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80" w:type="dxa"/>
            <w:vAlign w:val="bottom"/>
            <w:shd w:val="clear" w:color="auto" w:fill="CFF0FC"/>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380" w:type="dxa"/>
            <w:vAlign w:val="bottom"/>
            <w:shd w:val="clear" w:color="auto" w:fill="CFF0FC"/>
          </w:tcPr>
          <w:p>
            <w:pPr>
              <w:spacing w:after="0"/>
              <w:rPr>
                <w:sz w:val="2"/>
                <w:szCs w:val="2"/>
                <w:color w:val="auto"/>
              </w:rPr>
            </w:pPr>
          </w:p>
        </w:tc>
        <w:tc>
          <w:tcPr>
            <w:tcW w:w="720" w:type="dxa"/>
            <w:vAlign w:val="bottom"/>
            <w:shd w:val="clear" w:color="auto" w:fill="CFF0FC"/>
          </w:tcPr>
          <w:p>
            <w:pPr>
              <w:spacing w:after="0"/>
              <w:rPr>
                <w:sz w:val="2"/>
                <w:szCs w:val="2"/>
                <w:color w:val="auto"/>
              </w:rPr>
            </w:pPr>
          </w:p>
        </w:tc>
        <w:tc>
          <w:tcPr>
            <w:tcW w:w="16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ind w:right="100" w:firstLine="602"/>
        <w:spacing w:after="0" w:line="263" w:lineRule="auto"/>
        <w:rPr>
          <w:sz w:val="20"/>
          <w:szCs w:val="20"/>
          <w:color w:val="auto"/>
        </w:rPr>
      </w:pPr>
      <w:r>
        <w:rPr>
          <w:rFonts w:ascii="Arial" w:cs="Arial" w:eastAsia="Arial" w:hAnsi="Arial"/>
          <w:sz w:val="12"/>
          <w:szCs w:val="12"/>
          <w:i w:val="1"/>
          <w:iCs w:val="1"/>
          <w:color w:val="auto"/>
        </w:rPr>
        <w:t xml:space="preserve">Depreciation, Amortization and Gain or Loss on Disposal of Assets, Net. </w:t>
      </w:r>
      <w:r>
        <w:rPr>
          <w:rFonts w:ascii="Arial" w:cs="Arial" w:eastAsia="Arial" w:hAnsi="Arial"/>
          <w:sz w:val="12"/>
          <w:szCs w:val="12"/>
          <w:color w:val="auto"/>
        </w:rPr>
        <w:t>Depreciation, amortization and gain or loss on disposal of assets, net, of $115.8 million for fiscal year 2019 included $22.8 million of depreciation and</w:t>
      </w:r>
      <w:r>
        <w:rPr>
          <w:rFonts w:ascii="Arial" w:cs="Arial" w:eastAsia="Arial" w:hAnsi="Arial"/>
          <w:sz w:val="12"/>
          <w:szCs w:val="12"/>
          <w:i w:val="1"/>
          <w:iCs w:val="1"/>
          <w:color w:val="auto"/>
        </w:rPr>
        <w:t xml:space="preserve"> </w:t>
      </w:r>
      <w:r>
        <w:rPr>
          <w:rFonts w:ascii="Arial" w:cs="Arial" w:eastAsia="Arial" w:hAnsi="Arial"/>
          <w:sz w:val="12"/>
          <w:szCs w:val="12"/>
          <w:color w:val="auto"/>
        </w:rPr>
        <w:t>$92.8 million of amortization. The increase of $12.4 million from $103.4 million in fiscal year 2018 is primarily due to the inclusion of amortization expense resulting from the HTA and EPC acquisitions for the entire fiscal year 2019 compared to partial periods in the 2018 period.</w:t>
      </w:r>
    </w:p>
    <w:p>
      <w:pPr>
        <w:spacing w:after="0" w:line="150" w:lineRule="exact"/>
        <w:rPr>
          <w:sz w:val="20"/>
          <w:szCs w:val="20"/>
          <w:color w:val="auto"/>
        </w:rPr>
      </w:pPr>
    </w:p>
    <w:p>
      <w:pPr>
        <w:ind w:right="100" w:firstLine="602"/>
        <w:spacing w:after="0" w:line="276" w:lineRule="auto"/>
        <w:rPr>
          <w:sz w:val="20"/>
          <w:szCs w:val="20"/>
          <w:color w:val="auto"/>
        </w:rPr>
      </w:pPr>
      <w:r>
        <w:rPr>
          <w:rFonts w:ascii="Arial" w:cs="Arial" w:eastAsia="Arial" w:hAnsi="Arial"/>
          <w:sz w:val="12"/>
          <w:szCs w:val="12"/>
          <w:i w:val="1"/>
          <w:iCs w:val="1"/>
          <w:color w:val="auto"/>
        </w:rPr>
        <w:t xml:space="preserve">Impairment of Property and Equipment. </w:t>
      </w:r>
      <w:r>
        <w:rPr>
          <w:rFonts w:ascii="Arial" w:cs="Arial" w:eastAsia="Arial" w:hAnsi="Arial"/>
          <w:sz w:val="12"/>
          <w:szCs w:val="12"/>
          <w:color w:val="auto"/>
        </w:rPr>
        <w:t>Impairment of property and equipment for fiscal year 2019 consists of a $5.9 million impairment charge as a result of a legislation ban of most red-light photo enforcement programs in</w:t>
      </w:r>
      <w:r>
        <w:rPr>
          <w:rFonts w:ascii="Arial" w:cs="Arial" w:eastAsia="Arial" w:hAnsi="Arial"/>
          <w:sz w:val="12"/>
          <w:szCs w:val="12"/>
          <w:i w:val="1"/>
          <w:iCs w:val="1"/>
          <w:color w:val="auto"/>
        </w:rPr>
        <w:t xml:space="preserve"> </w:t>
      </w:r>
      <w:r>
        <w:rPr>
          <w:rFonts w:ascii="Arial" w:cs="Arial" w:eastAsia="Arial" w:hAnsi="Arial"/>
          <w:sz w:val="12"/>
          <w:szCs w:val="12"/>
          <w:color w:val="auto"/>
        </w:rPr>
        <w:t>Texas on June 1, 2019, which was in the Government Solutions segment.</w:t>
      </w:r>
    </w:p>
    <w:p>
      <w:pPr>
        <w:spacing w:after="0" w:line="115" w:lineRule="exact"/>
        <w:rPr>
          <w:sz w:val="20"/>
          <w:szCs w:val="20"/>
          <w:color w:val="auto"/>
        </w:rPr>
      </w:pPr>
    </w:p>
    <w:p>
      <w:pPr>
        <w:ind w:right="180" w:firstLine="602"/>
        <w:spacing w:after="0" w:line="298" w:lineRule="auto"/>
        <w:rPr>
          <w:sz w:val="20"/>
          <w:szCs w:val="20"/>
          <w:color w:val="auto"/>
        </w:rPr>
      </w:pPr>
      <w:r>
        <w:rPr>
          <w:rFonts w:ascii="Arial" w:cs="Arial" w:eastAsia="Arial" w:hAnsi="Arial"/>
          <w:sz w:val="11"/>
          <w:szCs w:val="11"/>
          <w:i w:val="1"/>
          <w:iCs w:val="1"/>
          <w:color w:val="auto"/>
        </w:rPr>
        <w:t xml:space="preserve">Interest Expense, Net. </w:t>
      </w:r>
      <w:r>
        <w:rPr>
          <w:rFonts w:ascii="Arial" w:cs="Arial" w:eastAsia="Arial" w:hAnsi="Arial"/>
          <w:sz w:val="11"/>
          <w:szCs w:val="11"/>
          <w:color w:val="auto"/>
        </w:rPr>
        <w:t>Interest expense, net decreased by $8.8 million from $69.5 million in fiscal year 2018 to $60.7 million for 2019. The average debt balances as of December 31, 2018 and 2019 were $887.8 million and</w:t>
      </w:r>
      <w:r>
        <w:rPr>
          <w:rFonts w:ascii="Arial" w:cs="Arial" w:eastAsia="Arial" w:hAnsi="Arial"/>
          <w:sz w:val="11"/>
          <w:szCs w:val="11"/>
          <w:i w:val="1"/>
          <w:iCs w:val="1"/>
          <w:color w:val="auto"/>
        </w:rPr>
        <w:t xml:space="preserve"> </w:t>
      </w:r>
      <w:r>
        <w:rPr>
          <w:rFonts w:ascii="Arial" w:cs="Arial" w:eastAsia="Arial" w:hAnsi="Arial"/>
          <w:sz w:val="11"/>
          <w:szCs w:val="11"/>
          <w:color w:val="auto"/>
        </w:rPr>
        <w:t>$899.7 million, respectively. Although the average debt balances remained relatively consistent, interest expense was higher in the 2018 period due to the New Second Lien Term Loan, which had a higher interest rate. The decrease in interest expense in 2019 is due to the full payoff of the New Second Lien Term Loan in the fourth quarter of 2018 and increase in interest income of $1.1 million during fiscal 2019. See “</w:t>
      </w:r>
      <w:r>
        <w:rPr>
          <w:rFonts w:ascii="Arial" w:cs="Arial" w:eastAsia="Arial" w:hAnsi="Arial"/>
          <w:sz w:val="11"/>
          <w:szCs w:val="11"/>
          <w:i w:val="1"/>
          <w:iCs w:val="1"/>
          <w:color w:val="auto"/>
        </w:rPr>
        <w:t>Liquidity and Capital Resources</w:t>
      </w:r>
      <w:r>
        <w:rPr>
          <w:rFonts w:ascii="Arial" w:cs="Arial" w:eastAsia="Arial" w:hAnsi="Arial"/>
          <w:sz w:val="11"/>
          <w:szCs w:val="11"/>
          <w:color w:val="auto"/>
        </w:rPr>
        <w:t>.”</w:t>
      </w:r>
    </w:p>
    <w:p>
      <w:pPr>
        <w:spacing w:after="0" w:line="105" w:lineRule="exact"/>
        <w:rPr>
          <w:sz w:val="20"/>
          <w:szCs w:val="20"/>
          <w:color w:val="auto"/>
        </w:rPr>
      </w:pPr>
    </w:p>
    <w:p>
      <w:pPr>
        <w:ind w:right="40" w:firstLine="602"/>
        <w:spacing w:after="0" w:line="263" w:lineRule="auto"/>
        <w:rPr>
          <w:sz w:val="20"/>
          <w:szCs w:val="20"/>
          <w:color w:val="auto"/>
        </w:rPr>
      </w:pPr>
      <w:r>
        <w:rPr>
          <w:rFonts w:ascii="Arial" w:cs="Arial" w:eastAsia="Arial" w:hAnsi="Arial"/>
          <w:sz w:val="12"/>
          <w:szCs w:val="12"/>
          <w:i w:val="1"/>
          <w:iCs w:val="1"/>
          <w:color w:val="auto"/>
        </w:rPr>
        <w:t xml:space="preserve">Other Income, Net. </w:t>
      </w:r>
      <w:r>
        <w:rPr>
          <w:rFonts w:ascii="Arial" w:cs="Arial" w:eastAsia="Arial" w:hAnsi="Arial"/>
          <w:sz w:val="12"/>
          <w:szCs w:val="12"/>
          <w:color w:val="auto"/>
        </w:rPr>
        <w:t>Other income, net increased $2.4 million, from $8.8 million in fiscal 2018 to $11.2 million for fiscal year 2019 primarily due to the increased purchasing card rebates resulting from the inclusion of HTA</w:t>
      </w:r>
      <w:r>
        <w:rPr>
          <w:rFonts w:ascii="Arial" w:cs="Arial" w:eastAsia="Arial" w:hAnsi="Arial"/>
          <w:sz w:val="12"/>
          <w:szCs w:val="12"/>
          <w:i w:val="1"/>
          <w:iCs w:val="1"/>
          <w:color w:val="auto"/>
        </w:rPr>
        <w:t xml:space="preserve"> </w:t>
      </w:r>
      <w:r>
        <w:rPr>
          <w:rFonts w:ascii="Arial" w:cs="Arial" w:eastAsia="Arial" w:hAnsi="Arial"/>
          <w:sz w:val="12"/>
          <w:szCs w:val="12"/>
          <w:color w:val="auto"/>
        </w:rPr>
        <w:t>operations for the entire period in fiscal 2019 compared to ten months in the 2018 period. We pay a high volume of tolls on behalf of our customers with purchasing cards which generate rebates based on volume, payment terms and rebate frequency.</w:t>
      </w:r>
    </w:p>
    <w:p>
      <w:pPr>
        <w:spacing w:after="0" w:line="123" w:lineRule="exact"/>
        <w:rPr>
          <w:sz w:val="20"/>
          <w:szCs w:val="20"/>
          <w:color w:val="auto"/>
        </w:rPr>
      </w:pPr>
    </w:p>
    <w:p>
      <w:pPr>
        <w:ind w:right="20" w:firstLine="602"/>
        <w:spacing w:after="0" w:line="290" w:lineRule="auto"/>
        <w:rPr>
          <w:sz w:val="20"/>
          <w:szCs w:val="20"/>
          <w:color w:val="auto"/>
        </w:rPr>
      </w:pPr>
      <w:r>
        <w:rPr>
          <w:rFonts w:ascii="Arial" w:cs="Arial" w:eastAsia="Arial" w:hAnsi="Arial"/>
          <w:sz w:val="11"/>
          <w:szCs w:val="11"/>
          <w:i w:val="1"/>
          <w:iCs w:val="1"/>
          <w:color w:val="auto"/>
        </w:rPr>
        <w:t xml:space="preserve">Income Tax Provision (Benefit). </w:t>
      </w:r>
      <w:r>
        <w:rPr>
          <w:rFonts w:ascii="Arial" w:cs="Arial" w:eastAsia="Arial" w:hAnsi="Arial"/>
          <w:sz w:val="11"/>
          <w:szCs w:val="11"/>
          <w:color w:val="auto"/>
        </w:rPr>
        <w:t>The income tax provision was $13.6 million for fiscal year 2019 compared to an income tax benefit of $(16.2) million for fiscal year 2018. The effective tax rate was 28.9% in 2019 compared</w:t>
      </w:r>
      <w:r>
        <w:rPr>
          <w:rFonts w:ascii="Arial" w:cs="Arial" w:eastAsia="Arial" w:hAnsi="Arial"/>
          <w:sz w:val="11"/>
          <w:szCs w:val="11"/>
          <w:i w:val="1"/>
          <w:iCs w:val="1"/>
          <w:color w:val="auto"/>
        </w:rPr>
        <w:t xml:space="preserve"> </w:t>
      </w:r>
      <w:r>
        <w:rPr>
          <w:rFonts w:ascii="Arial" w:cs="Arial" w:eastAsia="Arial" w:hAnsi="Arial"/>
          <w:sz w:val="11"/>
          <w:szCs w:val="11"/>
          <w:color w:val="auto"/>
        </w:rPr>
        <w:t>to an effective tax benefit rate of (21.8)% for 2018. Our effective tax rate for 2019 was higher compared to 2018 primarily due to the impact of permanent items on pre-tax book income in 2019, which increased the effective tax rate, versus the impact of permanent items on a pre-tax book loss in 2018, which had the impact of decreasing the effective tax rate. Our effective tax rate differed from the statutory federal income tax rate in 2019 and 2018 primarily due to state taxes, the impact of permanent items such as transaction costs, executive compensation, changes in uncertain tax positions, changes in the valuation allowance, lobbying expenses and meals.</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17740" cy="3683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ectPr>
          <w:pgSz w:w="11900" w:h="16838" w:orient="portrait"/>
          <w:cols w:equalWidth="0" w:num="1">
            <w:col w:w="11480"/>
          </w:cols>
          <w:pgMar w:left="220" w:top="131" w:right="199" w:bottom="1440" w:gutter="0" w:footer="0" w:header="0"/>
        </w:sectPr>
      </w:pPr>
    </w:p>
    <w:bookmarkStart w:id="51" w:name="page52"/>
    <w:bookmarkEnd w:id="51"/>
    <w:p>
      <w:pPr>
        <w:ind w:right="160" w:firstLine="602"/>
        <w:spacing w:after="0" w:line="263" w:lineRule="auto"/>
        <w:rPr>
          <w:sz w:val="20"/>
          <w:szCs w:val="20"/>
          <w:color w:val="auto"/>
        </w:rPr>
      </w:pPr>
      <w:r>
        <w:rPr>
          <w:rFonts w:ascii="Arial" w:cs="Arial" w:eastAsia="Arial" w:hAnsi="Arial"/>
          <w:sz w:val="12"/>
          <w:szCs w:val="12"/>
          <w:i w:val="1"/>
          <w:iCs w:val="1"/>
          <w:color w:val="auto"/>
        </w:rPr>
        <w:t xml:space="preserve">Net Income (Loss). </w:t>
      </w:r>
      <w:r>
        <w:rPr>
          <w:rFonts w:ascii="Arial" w:cs="Arial" w:eastAsia="Arial" w:hAnsi="Arial"/>
          <w:sz w:val="12"/>
          <w:szCs w:val="12"/>
          <w:color w:val="auto"/>
        </w:rPr>
        <w:t>We had net income of $33.3 million for fiscal year 2019, compared to a net loss of $58.4 million for 2018. The increase in net income was primarily due to expenses in the 2018 period related to an</w:t>
      </w:r>
      <w:r>
        <w:rPr>
          <w:rFonts w:ascii="Arial" w:cs="Arial" w:eastAsia="Arial" w:hAnsi="Arial"/>
          <w:sz w:val="12"/>
          <w:szCs w:val="12"/>
          <w:i w:val="1"/>
          <w:iCs w:val="1"/>
          <w:color w:val="auto"/>
        </w:rPr>
        <w:t xml:space="preserve"> </w:t>
      </w:r>
      <w:r>
        <w:rPr>
          <w:rFonts w:ascii="Arial" w:cs="Arial" w:eastAsia="Arial" w:hAnsi="Arial"/>
          <w:sz w:val="12"/>
          <w:szCs w:val="12"/>
          <w:color w:val="auto"/>
        </w:rPr>
        <w:t>aggregate of $97.1 million of acquisition, refinancing (including loss on extinguishment of debt) and integration costs associated with the HTA and EPC acquisitions for which there were no comparable amounts in fiscal year 2019. This increase was partially offset by related amortization expense and an impairment charge, noted above.</w:t>
      </w:r>
    </w:p>
    <w:p>
      <w:pPr>
        <w:spacing w:after="0" w:line="22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For the Seven Month Period from June 1, 2017 to December 31, 2017</w:t>
      </w:r>
    </w:p>
    <w:p>
      <w:pPr>
        <w:spacing w:after="0" w:line="78" w:lineRule="exact"/>
        <w:rPr>
          <w:sz w:val="20"/>
          <w:szCs w:val="20"/>
          <w:color w:val="auto"/>
        </w:rPr>
      </w:pPr>
    </w:p>
    <w:p>
      <w:pPr>
        <w:ind w:right="240" w:firstLine="602"/>
        <w:spacing w:after="0" w:line="276" w:lineRule="auto"/>
        <w:rPr>
          <w:sz w:val="20"/>
          <w:szCs w:val="20"/>
          <w:color w:val="auto"/>
        </w:rPr>
      </w:pPr>
      <w:r>
        <w:rPr>
          <w:rFonts w:ascii="Arial" w:cs="Arial" w:eastAsia="Arial" w:hAnsi="Arial"/>
          <w:sz w:val="12"/>
          <w:szCs w:val="12"/>
          <w:color w:val="auto"/>
        </w:rPr>
        <w:t>The following table sets forth our statement of operations data for the 2017 Successor Period, and expresses each item as a percentage of total revenue for the same period. The tables and information provided were derived from exact numbers and may have immaterial rounding differences.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40" w:type="dxa"/>
            <w:vAlign w:val="bottom"/>
          </w:tcPr>
          <w:p>
            <w:pPr>
              <w:spacing w:after="0"/>
              <w:rPr>
                <w:sz w:val="10"/>
                <w:szCs w:val="10"/>
                <w:color w:val="auto"/>
              </w:rPr>
            </w:pPr>
          </w:p>
        </w:tc>
        <w:tc>
          <w:tcPr>
            <w:tcW w:w="722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2060" w:type="dxa"/>
            <w:vAlign w:val="bottom"/>
            <w:tcBorders>
              <w:bottom w:val="single" w:sz="8" w:color="auto"/>
            </w:tcBorders>
            <w:gridSpan w:val="3"/>
          </w:tcPr>
          <w:p>
            <w:pPr>
              <w:ind w:left="1240"/>
              <w:spacing w:after="0"/>
              <w:rPr>
                <w:sz w:val="20"/>
                <w:szCs w:val="20"/>
                <w:color w:val="auto"/>
              </w:rPr>
            </w:pPr>
            <w:r>
              <w:rPr>
                <w:rFonts w:ascii="Arial" w:cs="Arial" w:eastAsia="Arial" w:hAnsi="Arial"/>
                <w:sz w:val="10"/>
                <w:szCs w:val="10"/>
                <w:b w:val="1"/>
                <w:bCs w:val="1"/>
                <w:color w:val="auto"/>
              </w:rPr>
              <w:t>Successor</w:t>
            </w:r>
          </w:p>
        </w:tc>
        <w:tc>
          <w:tcPr>
            <w:tcW w:w="1120" w:type="dxa"/>
            <w:vAlign w:val="bottom"/>
            <w:tcBorders>
              <w:bottom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3"/>
        </w:trPr>
        <w:tc>
          <w:tcPr>
            <w:tcW w:w="640" w:type="dxa"/>
            <w:vAlign w:val="bottom"/>
          </w:tcPr>
          <w:p>
            <w:pPr>
              <w:spacing w:after="0"/>
              <w:rPr>
                <w:sz w:val="7"/>
                <w:szCs w:val="7"/>
                <w:color w:val="auto"/>
              </w:rPr>
            </w:pPr>
          </w:p>
        </w:tc>
        <w:tc>
          <w:tcPr>
            <w:tcW w:w="7220" w:type="dxa"/>
            <w:vAlign w:val="bottom"/>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60" w:type="dxa"/>
            <w:vAlign w:val="bottom"/>
            <w:gridSpan w:val="3"/>
          </w:tcPr>
          <w:p>
            <w:pPr>
              <w:jc w:val="center"/>
              <w:ind w:right="1020"/>
              <w:spacing w:after="0" w:line="83" w:lineRule="exact"/>
              <w:rPr>
                <w:sz w:val="20"/>
                <w:szCs w:val="20"/>
                <w:color w:val="auto"/>
              </w:rPr>
            </w:pPr>
            <w:r>
              <w:rPr>
                <w:rFonts w:ascii="Arial" w:cs="Arial" w:eastAsia="Arial" w:hAnsi="Arial"/>
                <w:sz w:val="8"/>
                <w:szCs w:val="8"/>
                <w:b w:val="1"/>
                <w:bCs w:val="1"/>
                <w:color w:val="auto"/>
              </w:rPr>
              <w:t>Period From</w:t>
            </w:r>
          </w:p>
        </w:tc>
        <w:tc>
          <w:tcPr>
            <w:tcW w:w="1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640" w:type="dxa"/>
            <w:vAlign w:val="bottom"/>
          </w:tcPr>
          <w:p>
            <w:pPr>
              <w:spacing w:after="0"/>
              <w:rPr>
                <w:sz w:val="8"/>
                <w:szCs w:val="8"/>
                <w:color w:val="auto"/>
              </w:rPr>
            </w:pPr>
          </w:p>
        </w:tc>
        <w:tc>
          <w:tcPr>
            <w:tcW w:w="722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60" w:type="dxa"/>
            <w:vAlign w:val="bottom"/>
            <w:gridSpan w:val="3"/>
          </w:tcPr>
          <w:p>
            <w:pPr>
              <w:jc w:val="center"/>
              <w:ind w:right="1040"/>
              <w:spacing w:after="0" w:line="99" w:lineRule="exact"/>
              <w:rPr>
                <w:sz w:val="20"/>
                <w:szCs w:val="20"/>
                <w:color w:val="auto"/>
              </w:rPr>
            </w:pPr>
            <w:r>
              <w:rPr>
                <w:rFonts w:ascii="Arial" w:cs="Arial" w:eastAsia="Arial" w:hAnsi="Arial"/>
                <w:sz w:val="10"/>
                <w:szCs w:val="10"/>
                <w:b w:val="1"/>
                <w:bCs w:val="1"/>
                <w:color w:val="auto"/>
                <w:w w:val="86"/>
              </w:rPr>
              <w:t>June 1, 2017 to</w:t>
            </w:r>
          </w:p>
        </w:tc>
        <w:tc>
          <w:tcPr>
            <w:tcW w:w="1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640" w:type="dxa"/>
            <w:vAlign w:val="bottom"/>
          </w:tcPr>
          <w:p>
            <w:pPr>
              <w:spacing w:after="0"/>
              <w:rPr>
                <w:sz w:val="8"/>
                <w:szCs w:val="8"/>
                <w:color w:val="auto"/>
              </w:rPr>
            </w:pPr>
          </w:p>
        </w:tc>
        <w:tc>
          <w:tcPr>
            <w:tcW w:w="722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60" w:type="dxa"/>
            <w:vAlign w:val="bottom"/>
            <w:gridSpan w:val="3"/>
          </w:tcPr>
          <w:p>
            <w:pPr>
              <w:jc w:val="center"/>
              <w:ind w:right="1020"/>
              <w:spacing w:after="0" w:line="99" w:lineRule="exact"/>
              <w:rPr>
                <w:sz w:val="20"/>
                <w:szCs w:val="20"/>
                <w:color w:val="auto"/>
              </w:rPr>
            </w:pPr>
            <w:r>
              <w:rPr>
                <w:rFonts w:ascii="Arial" w:cs="Arial" w:eastAsia="Arial" w:hAnsi="Arial"/>
                <w:sz w:val="10"/>
                <w:szCs w:val="10"/>
                <w:b w:val="1"/>
                <w:bCs w:val="1"/>
                <w:color w:val="auto"/>
                <w:w w:val="86"/>
              </w:rPr>
              <w:t>December 31,</w:t>
            </w:r>
          </w:p>
        </w:tc>
        <w:tc>
          <w:tcPr>
            <w:tcW w:w="1280" w:type="dxa"/>
            <w:vAlign w:val="bottom"/>
            <w:gridSpan w:val="2"/>
          </w:tcPr>
          <w:p>
            <w:pPr>
              <w:jc w:val="right"/>
              <w:ind w:right="680"/>
              <w:spacing w:after="0" w:line="99" w:lineRule="exact"/>
              <w:rPr>
                <w:sz w:val="20"/>
                <w:szCs w:val="20"/>
                <w:color w:val="auto"/>
              </w:rPr>
            </w:pPr>
            <w:r>
              <w:rPr>
                <w:rFonts w:ascii="Arial" w:cs="Arial" w:eastAsia="Arial" w:hAnsi="Arial"/>
                <w:sz w:val="10"/>
                <w:szCs w:val="10"/>
                <w:b w:val="1"/>
                <w:bCs w:val="1"/>
                <w:color w:val="auto"/>
                <w:w w:val="87"/>
              </w:rPr>
              <w:t>Percentage of</w:t>
            </w:r>
          </w:p>
        </w:tc>
        <w:tc>
          <w:tcPr>
            <w:tcW w:w="0" w:type="dxa"/>
            <w:vAlign w:val="bottom"/>
          </w:tcPr>
          <w:p>
            <w:pPr>
              <w:spacing w:after="0"/>
              <w:rPr>
                <w:sz w:val="1"/>
                <w:szCs w:val="1"/>
                <w:color w:val="auto"/>
              </w:rPr>
            </w:pPr>
          </w:p>
        </w:tc>
      </w:tr>
      <w:tr>
        <w:trPr>
          <w:trHeight w:val="105"/>
        </w:trPr>
        <w:tc>
          <w:tcPr>
            <w:tcW w:w="7860" w:type="dxa"/>
            <w:vAlign w:val="bottom"/>
            <w:gridSpan w:val="2"/>
          </w:tcPr>
          <w:p>
            <w:pPr>
              <w:spacing w:after="0" w:line="105" w:lineRule="exact"/>
              <w:rPr>
                <w:sz w:val="20"/>
                <w:szCs w:val="20"/>
                <w:color w:val="auto"/>
              </w:rPr>
            </w:pPr>
            <w:r>
              <w:rPr>
                <w:rFonts w:ascii="Arial" w:cs="Arial" w:eastAsia="Arial" w:hAnsi="Arial"/>
                <w:sz w:val="10"/>
                <w:szCs w:val="10"/>
                <w:b w:val="1"/>
                <w:bCs w:val="1"/>
                <w:u w:val="single" w:color="auto"/>
                <w:color w:val="auto"/>
              </w:rPr>
              <w:t>(</w:t>
            </w:r>
            <w:r>
              <w:rPr>
                <w:rFonts w:ascii="Arial" w:cs="Arial" w:eastAsia="Arial" w:hAnsi="Arial"/>
                <w:sz w:val="10"/>
                <w:szCs w:val="10"/>
                <w:b w:val="1"/>
                <w:bCs w:val="1"/>
                <w:color w:val="auto"/>
              </w:rPr>
              <w:t>$ in thousands)</w:t>
            </w: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300" w:type="dxa"/>
            <w:vAlign w:val="bottom"/>
          </w:tcPr>
          <w:p>
            <w:pPr>
              <w:jc w:val="center"/>
              <w:ind w:right="225"/>
              <w:spacing w:after="0" w:line="105" w:lineRule="exact"/>
              <w:rPr>
                <w:sz w:val="20"/>
                <w:szCs w:val="20"/>
                <w:color w:val="auto"/>
              </w:rPr>
            </w:pPr>
            <w:r>
              <w:rPr>
                <w:rFonts w:ascii="Arial" w:cs="Arial" w:eastAsia="Arial" w:hAnsi="Arial"/>
                <w:sz w:val="10"/>
                <w:szCs w:val="10"/>
                <w:b w:val="1"/>
                <w:bCs w:val="1"/>
                <w:color w:val="auto"/>
                <w:w w:val="80"/>
              </w:rPr>
              <w:t>2017</w:t>
            </w:r>
          </w:p>
        </w:tc>
        <w:tc>
          <w:tcPr>
            <w:tcW w:w="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80" w:type="dxa"/>
            <w:vAlign w:val="bottom"/>
            <w:gridSpan w:val="2"/>
          </w:tcPr>
          <w:p>
            <w:pPr>
              <w:jc w:val="right"/>
              <w:ind w:right="780"/>
              <w:spacing w:after="0" w:line="105" w:lineRule="exact"/>
              <w:rPr>
                <w:sz w:val="20"/>
                <w:szCs w:val="20"/>
                <w:color w:val="auto"/>
              </w:rPr>
            </w:pPr>
            <w:r>
              <w:rPr>
                <w:rFonts w:ascii="Arial" w:cs="Arial" w:eastAsia="Arial" w:hAnsi="Arial"/>
                <w:sz w:val="10"/>
                <w:szCs w:val="10"/>
                <w:b w:val="1"/>
                <w:bCs w:val="1"/>
                <w:color w:val="auto"/>
              </w:rPr>
              <w:t>Revenue</w:t>
            </w:r>
          </w:p>
        </w:tc>
        <w:tc>
          <w:tcPr>
            <w:tcW w:w="0" w:type="dxa"/>
            <w:vAlign w:val="bottom"/>
          </w:tcPr>
          <w:p>
            <w:pPr>
              <w:spacing w:after="0"/>
              <w:rPr>
                <w:sz w:val="1"/>
                <w:szCs w:val="1"/>
                <w:color w:val="auto"/>
              </w:rPr>
            </w:pPr>
          </w:p>
        </w:tc>
      </w:tr>
      <w:tr>
        <w:trPr>
          <w:trHeight w:val="20"/>
        </w:trPr>
        <w:tc>
          <w:tcPr>
            <w:tcW w:w="640" w:type="dxa"/>
            <w:vAlign w:val="bottom"/>
            <w:tcBorders>
              <w:bottom w:val="single" w:sz="8" w:color="CFF0FC"/>
            </w:tcBorders>
            <w:shd w:val="clear" w:color="auto" w:fill="000000"/>
          </w:tcPr>
          <w:p>
            <w:pPr>
              <w:spacing w:after="0" w:line="20" w:lineRule="exact"/>
              <w:rPr>
                <w:sz w:val="1"/>
                <w:szCs w:val="1"/>
                <w:color w:val="auto"/>
              </w:rPr>
            </w:pPr>
          </w:p>
        </w:tc>
        <w:tc>
          <w:tcPr>
            <w:tcW w:w="7220" w:type="dxa"/>
            <w:vAlign w:val="bottom"/>
            <w:tcBorders>
              <w:bottom w:val="single" w:sz="8" w:color="CFF0FC"/>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FF0FC"/>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7860" w:type="dxa"/>
            <w:vAlign w:val="bottom"/>
            <w:gridSpan w:val="2"/>
            <w:shd w:val="clear" w:color="auto" w:fill="CFF0FC"/>
          </w:tcPr>
          <w:p>
            <w:pPr>
              <w:spacing w:after="0" w:line="132" w:lineRule="exact"/>
              <w:rPr>
                <w:sz w:val="20"/>
                <w:szCs w:val="20"/>
                <w:color w:val="auto"/>
              </w:rPr>
            </w:pPr>
            <w:r>
              <w:rPr>
                <w:rFonts w:ascii="Arial" w:cs="Arial" w:eastAsia="Arial" w:hAnsi="Arial"/>
                <w:sz w:val="12"/>
                <w:szCs w:val="12"/>
                <w:color w:val="auto"/>
              </w:rPr>
              <w:t>Service revenue</w:t>
            </w:r>
          </w:p>
        </w:tc>
        <w:tc>
          <w:tcPr>
            <w:tcW w:w="280" w:type="dxa"/>
            <w:vAlign w:val="bottom"/>
            <w:gridSpan w:val="2"/>
            <w:shd w:val="clear" w:color="auto" w:fill="CFF0FC"/>
          </w:tcPr>
          <w:p>
            <w:pPr>
              <w:jc w:val="right"/>
              <w:ind w:right="170"/>
              <w:spacing w:after="0"/>
              <w:rPr>
                <w:sz w:val="20"/>
                <w:szCs w:val="20"/>
                <w:color w:val="auto"/>
              </w:rPr>
            </w:pPr>
            <w:r>
              <w:rPr>
                <w:rFonts w:ascii="Arial" w:cs="Arial" w:eastAsia="Arial" w:hAnsi="Arial"/>
                <w:sz w:val="10"/>
                <w:szCs w:val="10"/>
                <w:color w:val="auto"/>
                <w:w w:val="71"/>
              </w:rPr>
              <w:t>$</w:t>
            </w:r>
          </w:p>
        </w:tc>
        <w:tc>
          <w:tcPr>
            <w:tcW w:w="1300" w:type="dxa"/>
            <w:vAlign w:val="bottom"/>
            <w:shd w:val="clear" w:color="auto" w:fill="CFF0FC"/>
          </w:tcPr>
          <w:p>
            <w:pPr>
              <w:jc w:val="right"/>
              <w:spacing w:after="0" w:line="132" w:lineRule="exact"/>
              <w:rPr>
                <w:sz w:val="20"/>
                <w:szCs w:val="20"/>
                <w:color w:val="auto"/>
              </w:rPr>
            </w:pPr>
            <w:r>
              <w:rPr>
                <w:rFonts w:ascii="Arial" w:cs="Arial" w:eastAsia="Arial" w:hAnsi="Arial"/>
                <w:sz w:val="12"/>
                <w:szCs w:val="12"/>
                <w:color w:val="auto"/>
              </w:rPr>
              <w:t>135,655</w:t>
            </w:r>
          </w:p>
        </w:tc>
        <w:tc>
          <w:tcPr>
            <w:tcW w:w="320" w:type="dxa"/>
            <w:vAlign w:val="bottom"/>
            <w:tcBorders>
              <w:left w:val="single" w:sz="8" w:color="CFF0FC"/>
              <w:right w:val="single" w:sz="8" w:color="CFF0FC"/>
            </w:tcBorders>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1280" w:type="dxa"/>
            <w:vAlign w:val="bottom"/>
            <w:gridSpan w:val="2"/>
            <w:shd w:val="clear" w:color="auto" w:fill="CFF0FC"/>
          </w:tcPr>
          <w:p>
            <w:pPr>
              <w:jc w:val="right"/>
              <w:ind w:right="60"/>
              <w:spacing w:after="0" w:line="132" w:lineRule="exact"/>
              <w:rPr>
                <w:sz w:val="20"/>
                <w:szCs w:val="20"/>
                <w:color w:val="auto"/>
              </w:rPr>
            </w:pPr>
            <w:r>
              <w:rPr>
                <w:rFonts w:ascii="Arial" w:cs="Arial" w:eastAsia="Arial" w:hAnsi="Arial"/>
                <w:sz w:val="12"/>
                <w:szCs w:val="12"/>
                <w:color w:val="auto"/>
              </w:rPr>
              <w:t>98.1%</w:t>
            </w:r>
          </w:p>
        </w:tc>
        <w:tc>
          <w:tcPr>
            <w:tcW w:w="0" w:type="dxa"/>
            <w:vAlign w:val="bottom"/>
          </w:tcPr>
          <w:p>
            <w:pPr>
              <w:spacing w:after="0"/>
              <w:rPr>
                <w:sz w:val="1"/>
                <w:szCs w:val="1"/>
                <w:color w:val="auto"/>
              </w:rPr>
            </w:pPr>
          </w:p>
        </w:tc>
      </w:tr>
      <w:tr>
        <w:trPr>
          <w:trHeight w:val="153"/>
        </w:trPr>
        <w:tc>
          <w:tcPr>
            <w:tcW w:w="7860" w:type="dxa"/>
            <w:vAlign w:val="bottom"/>
            <w:gridSpan w:val="2"/>
          </w:tcPr>
          <w:p>
            <w:pPr>
              <w:spacing w:after="0"/>
              <w:rPr>
                <w:sz w:val="20"/>
                <w:szCs w:val="20"/>
                <w:color w:val="auto"/>
              </w:rPr>
            </w:pPr>
            <w:r>
              <w:rPr>
                <w:rFonts w:ascii="Arial" w:cs="Arial" w:eastAsia="Arial" w:hAnsi="Arial"/>
                <w:sz w:val="12"/>
                <w:szCs w:val="12"/>
                <w:color w:val="auto"/>
              </w:rPr>
              <w:t>Product sales</w:t>
            </w: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2,584</w:t>
            </w: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2"/>
                <w:szCs w:val="12"/>
                <w:color w:val="auto"/>
              </w:rPr>
              <w:t>1.9%</w:t>
            </w:r>
          </w:p>
        </w:tc>
        <w:tc>
          <w:tcPr>
            <w:tcW w:w="0" w:type="dxa"/>
            <w:vAlign w:val="bottom"/>
          </w:tcPr>
          <w:p>
            <w:pPr>
              <w:spacing w:after="0"/>
              <w:rPr>
                <w:sz w:val="1"/>
                <w:szCs w:val="1"/>
                <w:color w:val="auto"/>
              </w:rPr>
            </w:pPr>
          </w:p>
        </w:tc>
      </w:tr>
      <w:tr>
        <w:trPr>
          <w:trHeight w:val="20"/>
        </w:trPr>
        <w:tc>
          <w:tcPr>
            <w:tcW w:w="7860" w:type="dxa"/>
            <w:vAlign w:val="bottom"/>
            <w:gridSpan w:val="2"/>
            <w:vMerge w:val="restart"/>
            <w:shd w:val="clear" w:color="auto" w:fill="CFF0FC"/>
          </w:tcPr>
          <w:p>
            <w:pPr>
              <w:ind w:left="80"/>
              <w:spacing w:after="0"/>
              <w:rPr>
                <w:sz w:val="20"/>
                <w:szCs w:val="20"/>
                <w:color w:val="auto"/>
              </w:rPr>
            </w:pPr>
            <w:r>
              <w:rPr>
                <w:rFonts w:ascii="Arial" w:cs="Arial" w:eastAsia="Arial" w:hAnsi="Arial"/>
                <w:sz w:val="12"/>
                <w:szCs w:val="12"/>
                <w:b w:val="1"/>
                <w:bCs w:val="1"/>
                <w:color w:val="auto"/>
              </w:rPr>
              <w:t>Total revenue</w:t>
            </w:r>
          </w:p>
        </w:tc>
        <w:tc>
          <w:tcPr>
            <w:tcW w:w="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320" w:type="dxa"/>
            <w:vAlign w:val="bottom"/>
            <w:tcBorders>
              <w:left w:val="single" w:sz="8" w:color="CFF0FC"/>
              <w:right w:val="single" w:sz="8" w:color="auto"/>
            </w:tcBorders>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tcBorders>
              <w:left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7860" w:type="dxa"/>
            <w:vAlign w:val="bottom"/>
            <w:gridSpan w:val="2"/>
            <w:vMerge w:val="continue"/>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138,239</w:t>
            </w:r>
          </w:p>
        </w:tc>
        <w:tc>
          <w:tcPr>
            <w:tcW w:w="320" w:type="dxa"/>
            <w:vAlign w:val="bottom"/>
            <w:tcBorders>
              <w:left w:val="single" w:sz="8" w:color="CFF0FC"/>
              <w:right w:val="single" w:sz="8" w:color="CFF0FC"/>
            </w:tcBorders>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jc w:val="right"/>
              <w:ind w:right="60"/>
              <w:spacing w:after="0"/>
              <w:rPr>
                <w:sz w:val="20"/>
                <w:szCs w:val="20"/>
                <w:color w:val="auto"/>
              </w:rPr>
            </w:pPr>
            <w:r>
              <w:rPr>
                <w:rFonts w:ascii="Arial" w:cs="Arial" w:eastAsia="Arial" w:hAnsi="Arial"/>
                <w:sz w:val="12"/>
                <w:szCs w:val="12"/>
                <w:color w:val="auto"/>
              </w:rPr>
              <w:t>100.0%</w:t>
            </w:r>
          </w:p>
        </w:tc>
        <w:tc>
          <w:tcPr>
            <w:tcW w:w="0" w:type="dxa"/>
            <w:vAlign w:val="bottom"/>
          </w:tcPr>
          <w:p>
            <w:pPr>
              <w:spacing w:after="0"/>
              <w:rPr>
                <w:sz w:val="1"/>
                <w:szCs w:val="1"/>
                <w:color w:val="auto"/>
              </w:rPr>
            </w:pPr>
          </w:p>
        </w:tc>
      </w:tr>
      <w:tr>
        <w:trPr>
          <w:trHeight w:val="153"/>
        </w:trPr>
        <w:tc>
          <w:tcPr>
            <w:tcW w:w="7860" w:type="dxa"/>
            <w:vAlign w:val="bottom"/>
            <w:gridSpan w:val="2"/>
          </w:tcPr>
          <w:p>
            <w:pPr>
              <w:spacing w:after="0"/>
              <w:rPr>
                <w:sz w:val="20"/>
                <w:szCs w:val="20"/>
                <w:color w:val="auto"/>
              </w:rPr>
            </w:pPr>
            <w:r>
              <w:rPr>
                <w:rFonts w:ascii="Arial" w:cs="Arial" w:eastAsia="Arial" w:hAnsi="Arial"/>
                <w:sz w:val="12"/>
                <w:szCs w:val="12"/>
                <w:color w:val="auto"/>
              </w:rPr>
              <w:t>Cost of service revenue</w:t>
            </w: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1,936</w:t>
            </w: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2"/>
                <w:szCs w:val="12"/>
                <w:color w:val="auto"/>
              </w:rPr>
              <w:t>1.4%</w:t>
            </w:r>
          </w:p>
        </w:tc>
        <w:tc>
          <w:tcPr>
            <w:tcW w:w="0" w:type="dxa"/>
            <w:vAlign w:val="bottom"/>
          </w:tcPr>
          <w:p>
            <w:pPr>
              <w:spacing w:after="0"/>
              <w:rPr>
                <w:sz w:val="1"/>
                <w:szCs w:val="1"/>
                <w:color w:val="auto"/>
              </w:rPr>
            </w:pPr>
          </w:p>
        </w:tc>
      </w:tr>
      <w:tr>
        <w:trPr>
          <w:trHeight w:val="153"/>
        </w:trPr>
        <w:tc>
          <w:tcPr>
            <w:tcW w:w="786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Cost of product sales</w:t>
            </w:r>
          </w:p>
        </w:tc>
        <w:tc>
          <w:tcPr>
            <w:tcW w:w="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1,590</w:t>
            </w:r>
          </w:p>
        </w:tc>
        <w:tc>
          <w:tcPr>
            <w:tcW w:w="320" w:type="dxa"/>
            <w:vAlign w:val="bottom"/>
            <w:tcBorders>
              <w:left w:val="single" w:sz="8" w:color="CFF0FC"/>
              <w:right w:val="single" w:sz="8" w:color="CFF0FC"/>
            </w:tcBorders>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1280" w:type="dxa"/>
            <w:vAlign w:val="bottom"/>
            <w:gridSpan w:val="2"/>
            <w:shd w:val="clear" w:color="auto" w:fill="CFF0FC"/>
          </w:tcPr>
          <w:p>
            <w:pPr>
              <w:jc w:val="right"/>
              <w:ind w:right="60"/>
              <w:spacing w:after="0"/>
              <w:rPr>
                <w:sz w:val="20"/>
                <w:szCs w:val="20"/>
                <w:color w:val="auto"/>
              </w:rPr>
            </w:pPr>
            <w:r>
              <w:rPr>
                <w:rFonts w:ascii="Arial" w:cs="Arial" w:eastAsia="Arial" w:hAnsi="Arial"/>
                <w:sz w:val="12"/>
                <w:szCs w:val="12"/>
                <w:color w:val="auto"/>
              </w:rPr>
              <w:t>1.2%</w:t>
            </w:r>
          </w:p>
        </w:tc>
        <w:tc>
          <w:tcPr>
            <w:tcW w:w="0" w:type="dxa"/>
            <w:vAlign w:val="bottom"/>
          </w:tcPr>
          <w:p>
            <w:pPr>
              <w:spacing w:after="0"/>
              <w:rPr>
                <w:sz w:val="1"/>
                <w:szCs w:val="1"/>
                <w:color w:val="auto"/>
              </w:rPr>
            </w:pPr>
          </w:p>
        </w:tc>
      </w:tr>
      <w:tr>
        <w:trPr>
          <w:trHeight w:val="153"/>
        </w:trPr>
        <w:tc>
          <w:tcPr>
            <w:tcW w:w="7860" w:type="dxa"/>
            <w:vAlign w:val="bottom"/>
            <w:gridSpan w:val="2"/>
          </w:tcPr>
          <w:p>
            <w:pPr>
              <w:spacing w:after="0"/>
              <w:rPr>
                <w:sz w:val="20"/>
                <w:szCs w:val="20"/>
                <w:color w:val="auto"/>
              </w:rPr>
            </w:pPr>
            <w:r>
              <w:rPr>
                <w:rFonts w:ascii="Arial" w:cs="Arial" w:eastAsia="Arial" w:hAnsi="Arial"/>
                <w:sz w:val="12"/>
                <w:szCs w:val="12"/>
                <w:color w:val="auto"/>
              </w:rPr>
              <w:t>Operating expenses</w:t>
            </w: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50,471</w:t>
            </w: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2"/>
                <w:szCs w:val="12"/>
                <w:color w:val="auto"/>
              </w:rPr>
              <w:t>36.5%</w:t>
            </w:r>
          </w:p>
        </w:tc>
        <w:tc>
          <w:tcPr>
            <w:tcW w:w="0" w:type="dxa"/>
            <w:vAlign w:val="bottom"/>
          </w:tcPr>
          <w:p>
            <w:pPr>
              <w:spacing w:after="0"/>
              <w:rPr>
                <w:sz w:val="1"/>
                <w:szCs w:val="1"/>
                <w:color w:val="auto"/>
              </w:rPr>
            </w:pPr>
          </w:p>
        </w:tc>
      </w:tr>
      <w:tr>
        <w:trPr>
          <w:trHeight w:val="153"/>
        </w:trPr>
        <w:tc>
          <w:tcPr>
            <w:tcW w:w="786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Selling, general and administrative expenses</w:t>
            </w:r>
          </w:p>
        </w:tc>
        <w:tc>
          <w:tcPr>
            <w:tcW w:w="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44,882</w:t>
            </w:r>
          </w:p>
        </w:tc>
        <w:tc>
          <w:tcPr>
            <w:tcW w:w="320" w:type="dxa"/>
            <w:vAlign w:val="bottom"/>
            <w:tcBorders>
              <w:left w:val="single" w:sz="8" w:color="CFF0FC"/>
              <w:right w:val="single" w:sz="8" w:color="CFF0FC"/>
            </w:tcBorders>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1280" w:type="dxa"/>
            <w:vAlign w:val="bottom"/>
            <w:gridSpan w:val="2"/>
            <w:shd w:val="clear" w:color="auto" w:fill="CFF0FC"/>
          </w:tcPr>
          <w:p>
            <w:pPr>
              <w:jc w:val="right"/>
              <w:ind w:right="60"/>
              <w:spacing w:after="0"/>
              <w:rPr>
                <w:sz w:val="20"/>
                <w:szCs w:val="20"/>
                <w:color w:val="auto"/>
              </w:rPr>
            </w:pPr>
            <w:r>
              <w:rPr>
                <w:rFonts w:ascii="Arial" w:cs="Arial" w:eastAsia="Arial" w:hAnsi="Arial"/>
                <w:sz w:val="12"/>
                <w:szCs w:val="12"/>
                <w:color w:val="auto"/>
              </w:rPr>
              <w:t>32.5%</w:t>
            </w:r>
          </w:p>
        </w:tc>
        <w:tc>
          <w:tcPr>
            <w:tcW w:w="0" w:type="dxa"/>
            <w:vAlign w:val="bottom"/>
          </w:tcPr>
          <w:p>
            <w:pPr>
              <w:spacing w:after="0"/>
              <w:rPr>
                <w:sz w:val="1"/>
                <w:szCs w:val="1"/>
                <w:color w:val="auto"/>
              </w:rPr>
            </w:pPr>
          </w:p>
        </w:tc>
      </w:tr>
      <w:tr>
        <w:trPr>
          <w:trHeight w:val="153"/>
        </w:trPr>
        <w:tc>
          <w:tcPr>
            <w:tcW w:w="7860" w:type="dxa"/>
            <w:vAlign w:val="bottom"/>
            <w:gridSpan w:val="2"/>
          </w:tcPr>
          <w:p>
            <w:pPr>
              <w:spacing w:after="0"/>
              <w:rPr>
                <w:sz w:val="20"/>
                <w:szCs w:val="20"/>
                <w:color w:val="auto"/>
              </w:rPr>
            </w:pPr>
            <w:r>
              <w:rPr>
                <w:rFonts w:ascii="Arial" w:cs="Arial" w:eastAsia="Arial" w:hAnsi="Arial"/>
                <w:sz w:val="12"/>
                <w:szCs w:val="12"/>
                <w:color w:val="auto"/>
              </w:rPr>
              <w:t>Depreciation, amortization and (gain) loss on disposal of assets, net</w:t>
            </w: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33,113</w:t>
            </w: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2"/>
                <w:szCs w:val="12"/>
                <w:color w:val="auto"/>
              </w:rPr>
              <w:t>24.0%</w:t>
            </w:r>
          </w:p>
        </w:tc>
        <w:tc>
          <w:tcPr>
            <w:tcW w:w="0" w:type="dxa"/>
            <w:vAlign w:val="bottom"/>
          </w:tcPr>
          <w:p>
            <w:pPr>
              <w:spacing w:after="0"/>
              <w:rPr>
                <w:sz w:val="1"/>
                <w:szCs w:val="1"/>
                <w:color w:val="auto"/>
              </w:rPr>
            </w:pPr>
          </w:p>
        </w:tc>
      </w:tr>
      <w:tr>
        <w:trPr>
          <w:trHeight w:val="20"/>
        </w:trPr>
        <w:tc>
          <w:tcPr>
            <w:tcW w:w="7860" w:type="dxa"/>
            <w:vAlign w:val="bottom"/>
            <w:gridSpan w:val="2"/>
            <w:vMerge w:val="restart"/>
            <w:shd w:val="clear" w:color="auto" w:fill="CFF0FC"/>
          </w:tcPr>
          <w:p>
            <w:pPr>
              <w:ind w:left="80"/>
              <w:spacing w:after="0"/>
              <w:rPr>
                <w:sz w:val="20"/>
                <w:szCs w:val="20"/>
                <w:color w:val="auto"/>
              </w:rPr>
            </w:pPr>
            <w:r>
              <w:rPr>
                <w:rFonts w:ascii="Arial" w:cs="Arial" w:eastAsia="Arial" w:hAnsi="Arial"/>
                <w:sz w:val="12"/>
                <w:szCs w:val="12"/>
                <w:color w:val="auto"/>
              </w:rPr>
              <w:t>Total costs and expenses</w:t>
            </w:r>
          </w:p>
        </w:tc>
        <w:tc>
          <w:tcPr>
            <w:tcW w:w="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320" w:type="dxa"/>
            <w:vAlign w:val="bottom"/>
            <w:tcBorders>
              <w:left w:val="single" w:sz="8" w:color="CFF0FC"/>
              <w:right w:val="single" w:sz="8" w:color="auto"/>
            </w:tcBorders>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tcBorders>
              <w:left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7860" w:type="dxa"/>
            <w:vAlign w:val="bottom"/>
            <w:gridSpan w:val="2"/>
            <w:vMerge w:val="continue"/>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131,992</w:t>
            </w:r>
          </w:p>
        </w:tc>
        <w:tc>
          <w:tcPr>
            <w:tcW w:w="320" w:type="dxa"/>
            <w:vAlign w:val="bottom"/>
            <w:tcBorders>
              <w:left w:val="single" w:sz="8" w:color="CFF0FC"/>
              <w:right w:val="single" w:sz="8" w:color="CFF0FC"/>
            </w:tcBorders>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jc w:val="right"/>
              <w:ind w:right="60"/>
              <w:spacing w:after="0"/>
              <w:rPr>
                <w:sz w:val="20"/>
                <w:szCs w:val="20"/>
                <w:color w:val="auto"/>
              </w:rPr>
            </w:pPr>
            <w:r>
              <w:rPr>
                <w:rFonts w:ascii="Arial" w:cs="Arial" w:eastAsia="Arial" w:hAnsi="Arial"/>
                <w:sz w:val="12"/>
                <w:szCs w:val="12"/>
                <w:color w:val="auto"/>
              </w:rPr>
              <w:t>95.5%</w:t>
            </w:r>
          </w:p>
        </w:tc>
        <w:tc>
          <w:tcPr>
            <w:tcW w:w="0" w:type="dxa"/>
            <w:vAlign w:val="bottom"/>
          </w:tcPr>
          <w:p>
            <w:pPr>
              <w:spacing w:after="0"/>
              <w:rPr>
                <w:sz w:val="1"/>
                <w:szCs w:val="1"/>
                <w:color w:val="auto"/>
              </w:rPr>
            </w:pPr>
          </w:p>
        </w:tc>
      </w:tr>
      <w:tr>
        <w:trPr>
          <w:trHeight w:val="20"/>
        </w:trPr>
        <w:tc>
          <w:tcPr>
            <w:tcW w:w="78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Income from operations</w:t>
            </w:r>
          </w:p>
        </w:tc>
        <w:tc>
          <w:tcPr>
            <w:tcW w:w="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786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6,247</w:t>
            </w:r>
          </w:p>
        </w:tc>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2"/>
                <w:szCs w:val="12"/>
                <w:color w:val="auto"/>
              </w:rPr>
              <w:t>4.5%</w:t>
            </w:r>
          </w:p>
        </w:tc>
        <w:tc>
          <w:tcPr>
            <w:tcW w:w="0" w:type="dxa"/>
            <w:vAlign w:val="bottom"/>
          </w:tcPr>
          <w:p>
            <w:pPr>
              <w:spacing w:after="0"/>
              <w:rPr>
                <w:sz w:val="1"/>
                <w:szCs w:val="1"/>
                <w:color w:val="auto"/>
              </w:rPr>
            </w:pPr>
          </w:p>
        </w:tc>
      </w:tr>
      <w:tr>
        <w:trPr>
          <w:trHeight w:val="153"/>
        </w:trPr>
        <w:tc>
          <w:tcPr>
            <w:tcW w:w="786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Interest expense</w:t>
            </w:r>
          </w:p>
        </w:tc>
        <w:tc>
          <w:tcPr>
            <w:tcW w:w="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20,858</w:t>
            </w:r>
          </w:p>
        </w:tc>
        <w:tc>
          <w:tcPr>
            <w:tcW w:w="320" w:type="dxa"/>
            <w:vAlign w:val="bottom"/>
            <w:tcBorders>
              <w:left w:val="single" w:sz="8" w:color="CFF0FC"/>
              <w:right w:val="single" w:sz="8" w:color="CFF0FC"/>
            </w:tcBorders>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1280" w:type="dxa"/>
            <w:vAlign w:val="bottom"/>
            <w:gridSpan w:val="2"/>
            <w:shd w:val="clear" w:color="auto" w:fill="CFF0FC"/>
          </w:tcPr>
          <w:p>
            <w:pPr>
              <w:jc w:val="right"/>
              <w:ind w:right="60"/>
              <w:spacing w:after="0"/>
              <w:rPr>
                <w:sz w:val="20"/>
                <w:szCs w:val="20"/>
                <w:color w:val="auto"/>
              </w:rPr>
            </w:pPr>
            <w:r>
              <w:rPr>
                <w:rFonts w:ascii="Arial" w:cs="Arial" w:eastAsia="Arial" w:hAnsi="Arial"/>
                <w:sz w:val="12"/>
                <w:szCs w:val="12"/>
                <w:color w:val="auto"/>
              </w:rPr>
              <w:t>15.1%</w:t>
            </w:r>
          </w:p>
        </w:tc>
        <w:tc>
          <w:tcPr>
            <w:tcW w:w="0" w:type="dxa"/>
            <w:vAlign w:val="bottom"/>
          </w:tcPr>
          <w:p>
            <w:pPr>
              <w:spacing w:after="0"/>
              <w:rPr>
                <w:sz w:val="1"/>
                <w:szCs w:val="1"/>
                <w:color w:val="auto"/>
              </w:rPr>
            </w:pPr>
          </w:p>
        </w:tc>
      </w:tr>
      <w:tr>
        <w:trPr>
          <w:trHeight w:val="153"/>
        </w:trPr>
        <w:tc>
          <w:tcPr>
            <w:tcW w:w="7860" w:type="dxa"/>
            <w:vAlign w:val="bottom"/>
            <w:gridSpan w:val="2"/>
          </w:tcPr>
          <w:p>
            <w:pPr>
              <w:spacing w:after="0"/>
              <w:rPr>
                <w:sz w:val="20"/>
                <w:szCs w:val="20"/>
                <w:color w:val="auto"/>
              </w:rPr>
            </w:pPr>
            <w:r>
              <w:rPr>
                <w:rFonts w:ascii="Arial" w:cs="Arial" w:eastAsia="Arial" w:hAnsi="Arial"/>
                <w:sz w:val="12"/>
                <w:szCs w:val="12"/>
                <w:color w:val="auto"/>
              </w:rPr>
              <w:t>Other income, net</w:t>
            </w: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20" w:type="dxa"/>
            <w:vAlign w:val="bottom"/>
            <w:gridSpan w:val="2"/>
          </w:tcPr>
          <w:p>
            <w:pPr>
              <w:jc w:val="right"/>
              <w:ind w:right="280"/>
              <w:spacing w:after="0"/>
              <w:rPr>
                <w:sz w:val="20"/>
                <w:szCs w:val="20"/>
                <w:color w:val="auto"/>
              </w:rPr>
            </w:pPr>
            <w:r>
              <w:rPr>
                <w:rFonts w:ascii="Arial" w:cs="Arial" w:eastAsia="Arial" w:hAnsi="Arial"/>
                <w:sz w:val="12"/>
                <w:szCs w:val="12"/>
                <w:color w:val="auto"/>
              </w:rPr>
              <w:t>(2,172)</w:t>
            </w:r>
          </w:p>
        </w:tc>
        <w:tc>
          <w:tcPr>
            <w:tcW w:w="440" w:type="dxa"/>
            <w:vAlign w:val="bottom"/>
          </w:tcPr>
          <w:p>
            <w:pPr>
              <w:spacing w:after="0"/>
              <w:rPr>
                <w:sz w:val="13"/>
                <w:szCs w:val="13"/>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1"/>
                <w:szCs w:val="11"/>
                <w:color w:val="auto"/>
              </w:rPr>
              <w:t>(1.6)%</w:t>
            </w:r>
          </w:p>
        </w:tc>
        <w:tc>
          <w:tcPr>
            <w:tcW w:w="0" w:type="dxa"/>
            <w:vAlign w:val="bottom"/>
          </w:tcPr>
          <w:p>
            <w:pPr>
              <w:spacing w:after="0"/>
              <w:rPr>
                <w:sz w:val="1"/>
                <w:szCs w:val="1"/>
                <w:color w:val="auto"/>
              </w:rPr>
            </w:pPr>
          </w:p>
        </w:tc>
      </w:tr>
      <w:tr>
        <w:trPr>
          <w:trHeight w:val="20"/>
        </w:trPr>
        <w:tc>
          <w:tcPr>
            <w:tcW w:w="7860" w:type="dxa"/>
            <w:vAlign w:val="bottom"/>
            <w:gridSpan w:val="2"/>
            <w:vMerge w:val="restart"/>
            <w:shd w:val="clear" w:color="auto" w:fill="CFF0FC"/>
          </w:tcPr>
          <w:p>
            <w:pPr>
              <w:ind w:left="80"/>
              <w:spacing w:after="0"/>
              <w:rPr>
                <w:sz w:val="20"/>
                <w:szCs w:val="20"/>
                <w:color w:val="auto"/>
              </w:rPr>
            </w:pPr>
            <w:r>
              <w:rPr>
                <w:rFonts w:ascii="Arial" w:cs="Arial" w:eastAsia="Arial" w:hAnsi="Arial"/>
                <w:sz w:val="12"/>
                <w:szCs w:val="12"/>
                <w:color w:val="auto"/>
              </w:rPr>
              <w:t>Total other expenses</w:t>
            </w:r>
          </w:p>
        </w:tc>
        <w:tc>
          <w:tcPr>
            <w:tcW w:w="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320" w:type="dxa"/>
            <w:vAlign w:val="bottom"/>
            <w:tcBorders>
              <w:left w:val="single" w:sz="8" w:color="CFF0FC"/>
              <w:right w:val="single" w:sz="8" w:color="auto"/>
            </w:tcBorders>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tcBorders>
              <w:left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7860" w:type="dxa"/>
            <w:vAlign w:val="bottom"/>
            <w:gridSpan w:val="2"/>
            <w:vMerge w:val="continue"/>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18,686</w:t>
            </w:r>
          </w:p>
        </w:tc>
        <w:tc>
          <w:tcPr>
            <w:tcW w:w="320" w:type="dxa"/>
            <w:vAlign w:val="bottom"/>
            <w:tcBorders>
              <w:left w:val="single" w:sz="8" w:color="CFF0FC"/>
              <w:right w:val="single" w:sz="8" w:color="CFF0FC"/>
            </w:tcBorders>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jc w:val="right"/>
              <w:ind w:right="60"/>
              <w:spacing w:after="0"/>
              <w:rPr>
                <w:sz w:val="20"/>
                <w:szCs w:val="20"/>
                <w:color w:val="auto"/>
              </w:rPr>
            </w:pPr>
            <w:r>
              <w:rPr>
                <w:rFonts w:ascii="Arial" w:cs="Arial" w:eastAsia="Arial" w:hAnsi="Arial"/>
                <w:sz w:val="12"/>
                <w:szCs w:val="12"/>
                <w:color w:val="auto"/>
              </w:rPr>
              <w:t>13.5%</w:t>
            </w:r>
          </w:p>
        </w:tc>
        <w:tc>
          <w:tcPr>
            <w:tcW w:w="0" w:type="dxa"/>
            <w:vAlign w:val="bottom"/>
          </w:tcPr>
          <w:p>
            <w:pPr>
              <w:spacing w:after="0"/>
              <w:rPr>
                <w:sz w:val="1"/>
                <w:szCs w:val="1"/>
                <w:color w:val="auto"/>
              </w:rPr>
            </w:pPr>
          </w:p>
        </w:tc>
      </w:tr>
      <w:tr>
        <w:trPr>
          <w:trHeight w:val="20"/>
        </w:trPr>
        <w:tc>
          <w:tcPr>
            <w:tcW w:w="7860" w:type="dxa"/>
            <w:vAlign w:val="bottom"/>
            <w:gridSpan w:val="2"/>
            <w:vMerge w:val="restart"/>
          </w:tcPr>
          <w:p>
            <w:pPr>
              <w:spacing w:after="0"/>
              <w:rPr>
                <w:sz w:val="20"/>
                <w:szCs w:val="20"/>
                <w:color w:val="auto"/>
              </w:rPr>
            </w:pPr>
            <w:r>
              <w:rPr>
                <w:rFonts w:ascii="Arial" w:cs="Arial" w:eastAsia="Arial" w:hAnsi="Arial"/>
                <w:sz w:val="12"/>
                <w:szCs w:val="12"/>
                <w:color w:val="auto"/>
              </w:rPr>
              <w:t>Loss before income tax benefit</w:t>
            </w:r>
          </w:p>
        </w:tc>
        <w:tc>
          <w:tcPr>
            <w:tcW w:w="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786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20" w:type="dxa"/>
            <w:vAlign w:val="bottom"/>
            <w:gridSpan w:val="2"/>
          </w:tcPr>
          <w:p>
            <w:pPr>
              <w:jc w:val="right"/>
              <w:ind w:right="280"/>
              <w:spacing w:after="0"/>
              <w:rPr>
                <w:sz w:val="20"/>
                <w:szCs w:val="20"/>
                <w:color w:val="auto"/>
              </w:rPr>
            </w:pPr>
            <w:r>
              <w:rPr>
                <w:rFonts w:ascii="Arial" w:cs="Arial" w:eastAsia="Arial" w:hAnsi="Arial"/>
                <w:sz w:val="12"/>
                <w:szCs w:val="12"/>
                <w:color w:val="auto"/>
              </w:rPr>
              <w:t>(12,439)</w:t>
            </w:r>
          </w:p>
        </w:tc>
        <w:tc>
          <w:tcPr>
            <w:tcW w:w="440" w:type="dxa"/>
            <w:vAlign w:val="bottom"/>
          </w:tcPr>
          <w:p>
            <w:pPr>
              <w:spacing w:after="0"/>
              <w:rPr>
                <w:sz w:val="12"/>
                <w:szCs w:val="12"/>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1"/>
                <w:szCs w:val="11"/>
                <w:color w:val="auto"/>
              </w:rPr>
              <w:t>(9.0)%</w:t>
            </w:r>
          </w:p>
        </w:tc>
        <w:tc>
          <w:tcPr>
            <w:tcW w:w="0" w:type="dxa"/>
            <w:vAlign w:val="bottom"/>
          </w:tcPr>
          <w:p>
            <w:pPr>
              <w:spacing w:after="0"/>
              <w:rPr>
                <w:sz w:val="1"/>
                <w:szCs w:val="1"/>
                <w:color w:val="auto"/>
              </w:rPr>
            </w:pPr>
          </w:p>
        </w:tc>
      </w:tr>
      <w:tr>
        <w:trPr>
          <w:trHeight w:val="153"/>
        </w:trPr>
        <w:tc>
          <w:tcPr>
            <w:tcW w:w="786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Income tax benefit</w:t>
            </w:r>
          </w:p>
        </w:tc>
        <w:tc>
          <w:tcPr>
            <w:tcW w:w="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620" w:type="dxa"/>
            <w:vAlign w:val="bottom"/>
            <w:tcBorders>
              <w:right w:val="single" w:sz="8" w:color="CFF0FC"/>
            </w:tcBorders>
            <w:gridSpan w:val="2"/>
            <w:shd w:val="clear" w:color="auto" w:fill="CFF0FC"/>
          </w:tcPr>
          <w:p>
            <w:pPr>
              <w:jc w:val="right"/>
              <w:ind w:right="280"/>
              <w:spacing w:after="0"/>
              <w:rPr>
                <w:sz w:val="20"/>
                <w:szCs w:val="20"/>
                <w:color w:val="auto"/>
              </w:rPr>
            </w:pPr>
            <w:r>
              <w:rPr>
                <w:rFonts w:ascii="Arial" w:cs="Arial" w:eastAsia="Arial" w:hAnsi="Arial"/>
                <w:sz w:val="12"/>
                <w:szCs w:val="12"/>
                <w:color w:val="auto"/>
              </w:rPr>
              <w:t>(30,677)</w:t>
            </w:r>
          </w:p>
        </w:tc>
        <w:tc>
          <w:tcPr>
            <w:tcW w:w="440" w:type="dxa"/>
            <w:vAlign w:val="bottom"/>
            <w:shd w:val="clear" w:color="auto" w:fill="CFF0FC"/>
          </w:tcPr>
          <w:p>
            <w:pPr>
              <w:spacing w:after="0"/>
              <w:rPr>
                <w:sz w:val="13"/>
                <w:szCs w:val="13"/>
                <w:color w:val="auto"/>
              </w:rPr>
            </w:pPr>
          </w:p>
        </w:tc>
        <w:tc>
          <w:tcPr>
            <w:tcW w:w="1280" w:type="dxa"/>
            <w:vAlign w:val="bottom"/>
            <w:gridSpan w:val="2"/>
            <w:shd w:val="clear" w:color="auto" w:fill="CFF0FC"/>
          </w:tcPr>
          <w:p>
            <w:pPr>
              <w:jc w:val="right"/>
              <w:ind w:right="20"/>
              <w:spacing w:after="0"/>
              <w:rPr>
                <w:sz w:val="20"/>
                <w:szCs w:val="20"/>
                <w:color w:val="auto"/>
              </w:rPr>
            </w:pPr>
            <w:r>
              <w:rPr>
                <w:rFonts w:ascii="Arial" w:cs="Arial" w:eastAsia="Arial" w:hAnsi="Arial"/>
                <w:sz w:val="11"/>
                <w:szCs w:val="11"/>
                <w:color w:val="auto"/>
              </w:rPr>
              <w:t>(22.2)%</w:t>
            </w:r>
          </w:p>
        </w:tc>
        <w:tc>
          <w:tcPr>
            <w:tcW w:w="0" w:type="dxa"/>
            <w:vAlign w:val="bottom"/>
          </w:tcPr>
          <w:p>
            <w:pPr>
              <w:spacing w:after="0"/>
              <w:rPr>
                <w:sz w:val="1"/>
                <w:szCs w:val="1"/>
                <w:color w:val="auto"/>
              </w:rPr>
            </w:pPr>
          </w:p>
        </w:tc>
      </w:tr>
      <w:tr>
        <w:trPr>
          <w:trHeight w:val="20"/>
        </w:trPr>
        <w:tc>
          <w:tcPr>
            <w:tcW w:w="78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Net income</w:t>
            </w:r>
          </w:p>
        </w:tc>
        <w:tc>
          <w:tcPr>
            <w:tcW w:w="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7860" w:type="dxa"/>
            <w:vAlign w:val="bottom"/>
            <w:gridSpan w:val="2"/>
            <w:vMerge w:val="continue"/>
          </w:tcPr>
          <w:p>
            <w:pPr>
              <w:spacing w:after="0"/>
              <w:rPr>
                <w:sz w:val="12"/>
                <w:szCs w:val="12"/>
                <w:color w:val="auto"/>
              </w:rPr>
            </w:pPr>
          </w:p>
        </w:tc>
        <w:tc>
          <w:tcPr>
            <w:tcW w:w="280" w:type="dxa"/>
            <w:vAlign w:val="bottom"/>
            <w:gridSpan w:val="2"/>
          </w:tcPr>
          <w:p>
            <w:pPr>
              <w:jc w:val="right"/>
              <w:ind w:right="170"/>
              <w:spacing w:after="0"/>
              <w:rPr>
                <w:sz w:val="20"/>
                <w:szCs w:val="20"/>
                <w:color w:val="auto"/>
              </w:rPr>
            </w:pPr>
            <w:r>
              <w:rPr>
                <w:rFonts w:ascii="Arial" w:cs="Arial" w:eastAsia="Arial" w:hAnsi="Arial"/>
                <w:sz w:val="10"/>
                <w:szCs w:val="10"/>
                <w:color w:val="auto"/>
                <w:w w:val="71"/>
              </w:rPr>
              <w:t>$</w:t>
            </w:r>
          </w:p>
        </w:tc>
        <w:tc>
          <w:tcPr>
            <w:tcW w:w="1300" w:type="dxa"/>
            <w:vAlign w:val="bottom"/>
          </w:tcPr>
          <w:p>
            <w:pPr>
              <w:jc w:val="right"/>
              <w:spacing w:after="0"/>
              <w:rPr>
                <w:sz w:val="20"/>
                <w:szCs w:val="20"/>
                <w:color w:val="auto"/>
              </w:rPr>
            </w:pPr>
            <w:r>
              <w:rPr>
                <w:rFonts w:ascii="Arial" w:cs="Arial" w:eastAsia="Arial" w:hAnsi="Arial"/>
                <w:sz w:val="12"/>
                <w:szCs w:val="12"/>
                <w:color w:val="auto"/>
              </w:rPr>
              <w:t>18,238</w:t>
            </w:r>
          </w:p>
        </w:tc>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2"/>
                <w:szCs w:val="12"/>
                <w:color w:val="auto"/>
              </w:rPr>
              <w:t>13.2%</w:t>
            </w:r>
          </w:p>
        </w:tc>
        <w:tc>
          <w:tcPr>
            <w:tcW w:w="0" w:type="dxa"/>
            <w:vAlign w:val="bottom"/>
          </w:tcPr>
          <w:p>
            <w:pPr>
              <w:spacing w:after="0"/>
              <w:rPr>
                <w:sz w:val="1"/>
                <w:szCs w:val="1"/>
                <w:color w:val="auto"/>
              </w:rPr>
            </w:pPr>
          </w:p>
        </w:tc>
      </w:tr>
      <w:tr>
        <w:trPr>
          <w:trHeight w:val="27"/>
        </w:trPr>
        <w:tc>
          <w:tcPr>
            <w:tcW w:w="640" w:type="dxa"/>
            <w:vAlign w:val="bottom"/>
          </w:tcPr>
          <w:p>
            <w:pPr>
              <w:spacing w:after="0"/>
              <w:rPr>
                <w:sz w:val="2"/>
                <w:szCs w:val="2"/>
                <w:color w:val="auto"/>
              </w:rPr>
            </w:pPr>
          </w:p>
        </w:tc>
        <w:tc>
          <w:tcPr>
            <w:tcW w:w="7220" w:type="dxa"/>
            <w:vAlign w:val="bottom"/>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560" w:type="dxa"/>
            <w:vAlign w:val="bottom"/>
            <w:gridSpan w:val="2"/>
            <w:shd w:val="clear" w:color="auto" w:fill="000000"/>
          </w:tcPr>
          <w:p>
            <w:pPr>
              <w:spacing w:after="0"/>
              <w:rPr>
                <w:sz w:val="2"/>
                <w:szCs w:val="2"/>
                <w:color w:val="auto"/>
              </w:rPr>
            </w:pPr>
          </w:p>
        </w:tc>
        <w:tc>
          <w:tcPr>
            <w:tcW w:w="320" w:type="dxa"/>
            <w:vAlign w:val="bottom"/>
            <w:tcBorders>
              <w:right w:val="single" w:sz="8" w:color="auto"/>
            </w:tcBorders>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06"/>
        </w:trPr>
        <w:tc>
          <w:tcPr>
            <w:tcW w:w="10200" w:type="dxa"/>
            <w:vAlign w:val="bottom"/>
            <w:gridSpan w:val="7"/>
          </w:tcPr>
          <w:p>
            <w:pPr>
              <w:ind w:left="600"/>
              <w:spacing w:after="0"/>
              <w:rPr>
                <w:sz w:val="20"/>
                <w:szCs w:val="20"/>
                <w:color w:val="auto"/>
              </w:rPr>
            </w:pPr>
            <w:r>
              <w:rPr>
                <w:rFonts w:ascii="Arial" w:cs="Arial" w:eastAsia="Arial" w:hAnsi="Arial"/>
                <w:sz w:val="12"/>
                <w:szCs w:val="12"/>
                <w:i w:val="1"/>
                <w:iCs w:val="1"/>
                <w:color w:val="auto"/>
                <w:w w:val="90"/>
              </w:rPr>
              <w:t xml:space="preserve">Service Revenue. </w:t>
            </w:r>
            <w:r>
              <w:rPr>
                <w:rFonts w:ascii="Arial" w:cs="Arial" w:eastAsia="Arial" w:hAnsi="Arial"/>
                <w:sz w:val="12"/>
                <w:szCs w:val="12"/>
                <w:color w:val="auto"/>
                <w:w w:val="90"/>
              </w:rPr>
              <w:t>Service revenue of $135.7 million for the 2017 Successor Period was 98.1% of total revenue. The following table depicts service revenue by segment for the 2017 Successor Period:</w:t>
            </w: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40" w:type="dxa"/>
            <w:vAlign w:val="bottom"/>
          </w:tcPr>
          <w:p>
            <w:pPr>
              <w:spacing w:after="0"/>
              <w:rPr>
                <w:sz w:val="24"/>
                <w:szCs w:val="24"/>
                <w:color w:val="auto"/>
              </w:rPr>
            </w:pPr>
          </w:p>
        </w:tc>
        <w:tc>
          <w:tcPr>
            <w:tcW w:w="7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3"/>
          </w:tcPr>
          <w:p>
            <w:pPr>
              <w:ind w:left="1280"/>
              <w:spacing w:after="0"/>
              <w:rPr>
                <w:sz w:val="20"/>
                <w:szCs w:val="20"/>
                <w:color w:val="auto"/>
              </w:rPr>
            </w:pPr>
            <w:r>
              <w:rPr>
                <w:rFonts w:ascii="Arial" w:cs="Arial" w:eastAsia="Arial" w:hAnsi="Arial"/>
                <w:sz w:val="10"/>
                <w:szCs w:val="10"/>
                <w:b w:val="1"/>
                <w:bCs w:val="1"/>
                <w:color w:val="auto"/>
              </w:rPr>
              <w:t>Successor</w:t>
            </w:r>
          </w:p>
        </w:tc>
        <w:tc>
          <w:tcPr>
            <w:tcW w:w="112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
        </w:trPr>
        <w:tc>
          <w:tcPr>
            <w:tcW w:w="640" w:type="dxa"/>
            <w:vAlign w:val="bottom"/>
          </w:tcPr>
          <w:p>
            <w:pPr>
              <w:spacing w:after="0"/>
              <w:rPr>
                <w:sz w:val="7"/>
                <w:szCs w:val="7"/>
                <w:color w:val="auto"/>
              </w:rPr>
            </w:pPr>
          </w:p>
        </w:tc>
        <w:tc>
          <w:tcPr>
            <w:tcW w:w="7220" w:type="dxa"/>
            <w:vAlign w:val="bottom"/>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60" w:type="dxa"/>
            <w:vAlign w:val="bottom"/>
            <w:gridSpan w:val="3"/>
          </w:tcPr>
          <w:p>
            <w:pPr>
              <w:jc w:val="center"/>
              <w:ind w:right="1000"/>
              <w:spacing w:after="0" w:line="83" w:lineRule="exact"/>
              <w:rPr>
                <w:sz w:val="20"/>
                <w:szCs w:val="20"/>
                <w:color w:val="auto"/>
              </w:rPr>
            </w:pPr>
            <w:r>
              <w:rPr>
                <w:rFonts w:ascii="Arial" w:cs="Arial" w:eastAsia="Arial" w:hAnsi="Arial"/>
                <w:sz w:val="8"/>
                <w:szCs w:val="8"/>
                <w:b w:val="1"/>
                <w:bCs w:val="1"/>
                <w:color w:val="auto"/>
              </w:rPr>
              <w:t>Period From</w:t>
            </w:r>
          </w:p>
        </w:tc>
        <w:tc>
          <w:tcPr>
            <w:tcW w:w="1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640" w:type="dxa"/>
            <w:vAlign w:val="bottom"/>
          </w:tcPr>
          <w:p>
            <w:pPr>
              <w:spacing w:after="0"/>
              <w:rPr>
                <w:sz w:val="8"/>
                <w:szCs w:val="8"/>
                <w:color w:val="auto"/>
              </w:rPr>
            </w:pPr>
          </w:p>
        </w:tc>
        <w:tc>
          <w:tcPr>
            <w:tcW w:w="722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60" w:type="dxa"/>
            <w:vAlign w:val="bottom"/>
            <w:gridSpan w:val="3"/>
          </w:tcPr>
          <w:p>
            <w:pPr>
              <w:jc w:val="center"/>
              <w:ind w:right="1000"/>
              <w:spacing w:after="0" w:line="99" w:lineRule="exact"/>
              <w:rPr>
                <w:sz w:val="20"/>
                <w:szCs w:val="20"/>
                <w:color w:val="auto"/>
              </w:rPr>
            </w:pPr>
            <w:r>
              <w:rPr>
                <w:rFonts w:ascii="Arial" w:cs="Arial" w:eastAsia="Arial" w:hAnsi="Arial"/>
                <w:sz w:val="10"/>
                <w:szCs w:val="10"/>
                <w:b w:val="1"/>
                <w:bCs w:val="1"/>
                <w:color w:val="auto"/>
                <w:w w:val="86"/>
              </w:rPr>
              <w:t>June 1, 2017 to</w:t>
            </w:r>
          </w:p>
        </w:tc>
        <w:tc>
          <w:tcPr>
            <w:tcW w:w="1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640" w:type="dxa"/>
            <w:vAlign w:val="bottom"/>
          </w:tcPr>
          <w:p>
            <w:pPr>
              <w:spacing w:after="0"/>
              <w:rPr>
                <w:sz w:val="8"/>
                <w:szCs w:val="8"/>
                <w:color w:val="auto"/>
              </w:rPr>
            </w:pPr>
          </w:p>
        </w:tc>
        <w:tc>
          <w:tcPr>
            <w:tcW w:w="722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60" w:type="dxa"/>
            <w:vAlign w:val="bottom"/>
            <w:gridSpan w:val="3"/>
          </w:tcPr>
          <w:p>
            <w:pPr>
              <w:jc w:val="center"/>
              <w:ind w:right="980"/>
              <w:spacing w:after="0" w:line="99" w:lineRule="exact"/>
              <w:rPr>
                <w:sz w:val="20"/>
                <w:szCs w:val="20"/>
                <w:color w:val="auto"/>
              </w:rPr>
            </w:pPr>
            <w:r>
              <w:rPr>
                <w:rFonts w:ascii="Arial" w:cs="Arial" w:eastAsia="Arial" w:hAnsi="Arial"/>
                <w:sz w:val="10"/>
                <w:szCs w:val="10"/>
                <w:b w:val="1"/>
                <w:bCs w:val="1"/>
                <w:color w:val="auto"/>
                <w:w w:val="86"/>
              </w:rPr>
              <w:t>December 31,</w:t>
            </w:r>
          </w:p>
        </w:tc>
        <w:tc>
          <w:tcPr>
            <w:tcW w:w="1280" w:type="dxa"/>
            <w:vAlign w:val="bottom"/>
            <w:gridSpan w:val="2"/>
          </w:tcPr>
          <w:p>
            <w:pPr>
              <w:jc w:val="right"/>
              <w:ind w:right="700"/>
              <w:spacing w:after="0" w:line="99" w:lineRule="exact"/>
              <w:rPr>
                <w:sz w:val="20"/>
                <w:szCs w:val="20"/>
                <w:color w:val="auto"/>
              </w:rPr>
            </w:pPr>
            <w:r>
              <w:rPr>
                <w:rFonts w:ascii="Arial" w:cs="Arial" w:eastAsia="Arial" w:hAnsi="Arial"/>
                <w:sz w:val="10"/>
                <w:szCs w:val="10"/>
                <w:b w:val="1"/>
                <w:bCs w:val="1"/>
                <w:color w:val="auto"/>
              </w:rPr>
              <w:t>Percentage</w:t>
            </w:r>
          </w:p>
        </w:tc>
        <w:tc>
          <w:tcPr>
            <w:tcW w:w="0" w:type="dxa"/>
            <w:vAlign w:val="bottom"/>
          </w:tcPr>
          <w:p>
            <w:pPr>
              <w:spacing w:after="0"/>
              <w:rPr>
                <w:sz w:val="1"/>
                <w:szCs w:val="1"/>
                <w:color w:val="auto"/>
              </w:rPr>
            </w:pPr>
          </w:p>
        </w:tc>
      </w:tr>
      <w:tr>
        <w:trPr>
          <w:trHeight w:val="105"/>
        </w:trPr>
        <w:tc>
          <w:tcPr>
            <w:tcW w:w="7860" w:type="dxa"/>
            <w:vAlign w:val="bottom"/>
            <w:gridSpan w:val="2"/>
          </w:tcPr>
          <w:p>
            <w:pPr>
              <w:spacing w:after="0" w:line="105" w:lineRule="exact"/>
              <w:rPr>
                <w:sz w:val="20"/>
                <w:szCs w:val="20"/>
                <w:color w:val="auto"/>
              </w:rPr>
            </w:pPr>
            <w:r>
              <w:rPr>
                <w:rFonts w:ascii="Arial" w:cs="Arial" w:eastAsia="Arial" w:hAnsi="Arial"/>
                <w:sz w:val="10"/>
                <w:szCs w:val="10"/>
                <w:b w:val="1"/>
                <w:bCs w:val="1"/>
                <w:u w:val="single" w:color="auto"/>
                <w:color w:val="auto"/>
              </w:rPr>
              <w:t>(</w:t>
            </w:r>
            <w:r>
              <w:rPr>
                <w:rFonts w:ascii="Arial" w:cs="Arial" w:eastAsia="Arial" w:hAnsi="Arial"/>
                <w:sz w:val="10"/>
                <w:szCs w:val="10"/>
                <w:b w:val="1"/>
                <w:bCs w:val="1"/>
                <w:color w:val="auto"/>
              </w:rPr>
              <w:t>$ in thousands)</w:t>
            </w: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300" w:type="dxa"/>
            <w:vAlign w:val="bottom"/>
          </w:tcPr>
          <w:p>
            <w:pPr>
              <w:jc w:val="center"/>
              <w:ind w:right="185"/>
              <w:spacing w:after="0" w:line="105" w:lineRule="exact"/>
              <w:rPr>
                <w:sz w:val="20"/>
                <w:szCs w:val="20"/>
                <w:color w:val="auto"/>
              </w:rPr>
            </w:pPr>
            <w:r>
              <w:rPr>
                <w:rFonts w:ascii="Arial" w:cs="Arial" w:eastAsia="Arial" w:hAnsi="Arial"/>
                <w:sz w:val="10"/>
                <w:szCs w:val="10"/>
                <w:b w:val="1"/>
                <w:bCs w:val="1"/>
                <w:color w:val="auto"/>
                <w:w w:val="80"/>
              </w:rPr>
              <w:t>2017</w:t>
            </w:r>
          </w:p>
        </w:tc>
        <w:tc>
          <w:tcPr>
            <w:tcW w:w="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80" w:type="dxa"/>
            <w:vAlign w:val="bottom"/>
            <w:gridSpan w:val="2"/>
          </w:tcPr>
          <w:p>
            <w:pPr>
              <w:jc w:val="right"/>
              <w:ind w:right="700"/>
              <w:spacing w:after="0" w:line="105" w:lineRule="exact"/>
              <w:rPr>
                <w:sz w:val="20"/>
                <w:szCs w:val="20"/>
                <w:color w:val="auto"/>
              </w:rPr>
            </w:pPr>
            <w:r>
              <w:rPr>
                <w:rFonts w:ascii="Arial" w:cs="Arial" w:eastAsia="Arial" w:hAnsi="Arial"/>
                <w:sz w:val="10"/>
                <w:szCs w:val="10"/>
                <w:b w:val="1"/>
                <w:bCs w:val="1"/>
                <w:color w:val="auto"/>
              </w:rPr>
              <w:t>of Revenue</w:t>
            </w:r>
          </w:p>
        </w:tc>
        <w:tc>
          <w:tcPr>
            <w:tcW w:w="0" w:type="dxa"/>
            <w:vAlign w:val="bottom"/>
          </w:tcPr>
          <w:p>
            <w:pPr>
              <w:spacing w:after="0"/>
              <w:rPr>
                <w:sz w:val="1"/>
                <w:szCs w:val="1"/>
                <w:color w:val="auto"/>
              </w:rPr>
            </w:pPr>
          </w:p>
        </w:tc>
      </w:tr>
      <w:tr>
        <w:trPr>
          <w:trHeight w:val="20"/>
        </w:trPr>
        <w:tc>
          <w:tcPr>
            <w:tcW w:w="640" w:type="dxa"/>
            <w:vAlign w:val="bottom"/>
            <w:tcBorders>
              <w:bottom w:val="single" w:sz="8" w:color="CFF0FC"/>
            </w:tcBorders>
            <w:shd w:val="clear" w:color="auto" w:fill="000000"/>
          </w:tcPr>
          <w:p>
            <w:pPr>
              <w:spacing w:after="0" w:line="20" w:lineRule="exact"/>
              <w:rPr>
                <w:sz w:val="1"/>
                <w:szCs w:val="1"/>
                <w:color w:val="auto"/>
              </w:rPr>
            </w:pPr>
          </w:p>
        </w:tc>
        <w:tc>
          <w:tcPr>
            <w:tcW w:w="7220" w:type="dxa"/>
            <w:vAlign w:val="bottom"/>
            <w:tcBorders>
              <w:bottom w:val="single" w:sz="8" w:color="CFF0FC"/>
            </w:tcBorders>
          </w:tcPr>
          <w:p>
            <w:pPr>
              <w:spacing w:after="0" w:line="20" w:lineRule="exact"/>
              <w:rPr>
                <w:sz w:val="1"/>
                <w:szCs w:val="1"/>
                <w:color w:val="auto"/>
              </w:rPr>
            </w:pPr>
          </w:p>
        </w:tc>
        <w:tc>
          <w:tcPr>
            <w:tcW w:w="20" w:type="dxa"/>
            <w:vAlign w:val="bottom"/>
            <w:tcBorders>
              <w:bottom w:val="single" w:sz="8" w:color="CFF0FC"/>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FF0FC"/>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7860" w:type="dxa"/>
            <w:vAlign w:val="bottom"/>
            <w:gridSpan w:val="2"/>
            <w:shd w:val="clear" w:color="auto" w:fill="CFF0FC"/>
          </w:tcPr>
          <w:p>
            <w:pPr>
              <w:spacing w:after="0" w:line="132" w:lineRule="exact"/>
              <w:rPr>
                <w:sz w:val="20"/>
                <w:szCs w:val="20"/>
                <w:color w:val="auto"/>
              </w:rPr>
            </w:pPr>
            <w:r>
              <w:rPr>
                <w:rFonts w:ascii="Arial" w:cs="Arial" w:eastAsia="Arial" w:hAnsi="Arial"/>
                <w:sz w:val="12"/>
                <w:szCs w:val="12"/>
                <w:b w:val="1"/>
                <w:bCs w:val="1"/>
                <w:color w:val="auto"/>
              </w:rPr>
              <w:t>Service revenue</w:t>
            </w:r>
          </w:p>
        </w:tc>
        <w:tc>
          <w:tcPr>
            <w:tcW w:w="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300" w:type="dxa"/>
            <w:vAlign w:val="bottom"/>
            <w:shd w:val="clear" w:color="auto" w:fill="CFF0FC"/>
          </w:tcPr>
          <w:p>
            <w:pPr>
              <w:spacing w:after="0"/>
              <w:rPr>
                <w:sz w:val="11"/>
                <w:szCs w:val="11"/>
                <w:color w:val="auto"/>
              </w:rPr>
            </w:pPr>
          </w:p>
        </w:tc>
        <w:tc>
          <w:tcPr>
            <w:tcW w:w="320" w:type="dxa"/>
            <w:vAlign w:val="bottom"/>
            <w:tcBorders>
              <w:left w:val="single" w:sz="8" w:color="CFF0FC"/>
              <w:right w:val="single" w:sz="8" w:color="CFF0FC"/>
            </w:tcBorders>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1120" w:type="dxa"/>
            <w:vAlign w:val="bottom"/>
            <w:shd w:val="clear" w:color="auto" w:fill="CFF0FC"/>
          </w:tcPr>
          <w:p>
            <w:pPr>
              <w:spacing w:after="0"/>
              <w:rPr>
                <w:sz w:val="11"/>
                <w:szCs w:val="11"/>
                <w:color w:val="auto"/>
              </w:rPr>
            </w:pPr>
          </w:p>
        </w:tc>
        <w:tc>
          <w:tcPr>
            <w:tcW w:w="160" w:type="dxa"/>
            <w:vAlign w:val="bottom"/>
            <w:tcBorders>
              <w:left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7860" w:type="dxa"/>
            <w:vAlign w:val="bottom"/>
            <w:gridSpan w:val="2"/>
          </w:tcPr>
          <w:p>
            <w:pPr>
              <w:ind w:left="160"/>
              <w:spacing w:after="0"/>
              <w:rPr>
                <w:sz w:val="20"/>
                <w:szCs w:val="20"/>
                <w:color w:val="auto"/>
              </w:rPr>
            </w:pPr>
            <w:r>
              <w:rPr>
                <w:rFonts w:ascii="Arial" w:cs="Arial" w:eastAsia="Arial" w:hAnsi="Arial"/>
                <w:sz w:val="12"/>
                <w:szCs w:val="12"/>
                <w:color w:val="auto"/>
              </w:rPr>
              <w:t>Commercial Services</w:t>
            </w:r>
          </w:p>
        </w:tc>
        <w:tc>
          <w:tcPr>
            <w:tcW w:w="280" w:type="dxa"/>
            <w:vAlign w:val="bottom"/>
            <w:gridSpan w:val="2"/>
          </w:tcPr>
          <w:p>
            <w:pPr>
              <w:jc w:val="right"/>
              <w:ind w:right="150"/>
              <w:spacing w:after="0"/>
              <w:rPr>
                <w:sz w:val="20"/>
                <w:szCs w:val="20"/>
                <w:color w:val="auto"/>
              </w:rPr>
            </w:pPr>
            <w:r>
              <w:rPr>
                <w:rFonts w:ascii="Arial" w:cs="Arial" w:eastAsia="Arial" w:hAnsi="Arial"/>
                <w:sz w:val="12"/>
                <w:szCs w:val="12"/>
                <w:color w:val="auto"/>
                <w:w w:val="89"/>
              </w:rPr>
              <w:t>$</w:t>
            </w:r>
          </w:p>
        </w:tc>
        <w:tc>
          <w:tcPr>
            <w:tcW w:w="1300" w:type="dxa"/>
            <w:vAlign w:val="bottom"/>
          </w:tcPr>
          <w:p>
            <w:pPr>
              <w:jc w:val="right"/>
              <w:spacing w:after="0"/>
              <w:rPr>
                <w:sz w:val="20"/>
                <w:szCs w:val="20"/>
                <w:color w:val="auto"/>
              </w:rPr>
            </w:pPr>
            <w:r>
              <w:rPr>
                <w:rFonts w:ascii="Arial" w:cs="Arial" w:eastAsia="Arial" w:hAnsi="Arial"/>
                <w:sz w:val="12"/>
                <w:szCs w:val="12"/>
                <w:color w:val="auto"/>
              </w:rPr>
              <w:t>55,874</w:t>
            </w: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2"/>
                <w:szCs w:val="12"/>
                <w:color w:val="auto"/>
              </w:rPr>
              <w:t>40.4%</w:t>
            </w:r>
          </w:p>
        </w:tc>
        <w:tc>
          <w:tcPr>
            <w:tcW w:w="0" w:type="dxa"/>
            <w:vAlign w:val="bottom"/>
          </w:tcPr>
          <w:p>
            <w:pPr>
              <w:spacing w:after="0"/>
              <w:rPr>
                <w:sz w:val="1"/>
                <w:szCs w:val="1"/>
                <w:color w:val="auto"/>
              </w:rPr>
            </w:pPr>
          </w:p>
        </w:tc>
      </w:tr>
      <w:tr>
        <w:trPr>
          <w:trHeight w:val="153"/>
        </w:trPr>
        <w:tc>
          <w:tcPr>
            <w:tcW w:w="7860" w:type="dxa"/>
            <w:vAlign w:val="bottom"/>
            <w:gridSpan w:val="2"/>
            <w:shd w:val="clear" w:color="auto" w:fill="CFF0FC"/>
          </w:tcPr>
          <w:p>
            <w:pPr>
              <w:ind w:left="160"/>
              <w:spacing w:after="0"/>
              <w:rPr>
                <w:sz w:val="20"/>
                <w:szCs w:val="20"/>
                <w:color w:val="auto"/>
              </w:rPr>
            </w:pPr>
            <w:r>
              <w:rPr>
                <w:rFonts w:ascii="Arial" w:cs="Arial" w:eastAsia="Arial" w:hAnsi="Arial"/>
                <w:sz w:val="12"/>
                <w:szCs w:val="12"/>
                <w:color w:val="auto"/>
              </w:rPr>
              <w:t>Government Solutions</w:t>
            </w:r>
          </w:p>
        </w:tc>
        <w:tc>
          <w:tcPr>
            <w:tcW w:w="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79,781</w:t>
            </w:r>
          </w:p>
        </w:tc>
        <w:tc>
          <w:tcPr>
            <w:tcW w:w="320" w:type="dxa"/>
            <w:vAlign w:val="bottom"/>
            <w:tcBorders>
              <w:left w:val="single" w:sz="8" w:color="CFF0FC"/>
              <w:right w:val="single" w:sz="8" w:color="CFF0FC"/>
            </w:tcBorders>
            <w:shd w:val="clear" w:color="auto" w:fill="CFF0FC"/>
          </w:tcPr>
          <w:p>
            <w:pPr>
              <w:spacing w:after="0"/>
              <w:rPr>
                <w:sz w:val="13"/>
                <w:szCs w:val="13"/>
                <w:color w:val="auto"/>
              </w:rPr>
            </w:pPr>
          </w:p>
        </w:tc>
        <w:tc>
          <w:tcPr>
            <w:tcW w:w="440" w:type="dxa"/>
            <w:vAlign w:val="bottom"/>
            <w:shd w:val="clear" w:color="auto" w:fill="CFF2FA"/>
          </w:tcPr>
          <w:p>
            <w:pPr>
              <w:spacing w:after="0"/>
              <w:rPr>
                <w:sz w:val="13"/>
                <w:szCs w:val="13"/>
                <w:color w:val="auto"/>
              </w:rPr>
            </w:pPr>
          </w:p>
        </w:tc>
        <w:tc>
          <w:tcPr>
            <w:tcW w:w="1280" w:type="dxa"/>
            <w:vAlign w:val="bottom"/>
            <w:gridSpan w:val="2"/>
            <w:shd w:val="clear" w:color="auto" w:fill="CFF2FA"/>
          </w:tcPr>
          <w:p>
            <w:pPr>
              <w:jc w:val="right"/>
              <w:ind w:right="40"/>
              <w:spacing w:after="0"/>
              <w:rPr>
                <w:sz w:val="20"/>
                <w:szCs w:val="20"/>
                <w:color w:val="auto"/>
              </w:rPr>
            </w:pPr>
            <w:r>
              <w:rPr>
                <w:rFonts w:ascii="Arial" w:cs="Arial" w:eastAsia="Arial" w:hAnsi="Arial"/>
                <w:sz w:val="12"/>
                <w:szCs w:val="12"/>
                <w:color w:val="auto"/>
              </w:rPr>
              <w:t>57.7%</w:t>
            </w:r>
          </w:p>
        </w:tc>
        <w:tc>
          <w:tcPr>
            <w:tcW w:w="0" w:type="dxa"/>
            <w:vAlign w:val="bottom"/>
          </w:tcPr>
          <w:p>
            <w:pPr>
              <w:spacing w:after="0"/>
              <w:rPr>
                <w:sz w:val="1"/>
                <w:szCs w:val="1"/>
                <w:color w:val="auto"/>
              </w:rPr>
            </w:pPr>
          </w:p>
        </w:tc>
      </w:tr>
      <w:tr>
        <w:trPr>
          <w:trHeight w:val="20"/>
        </w:trPr>
        <w:tc>
          <w:tcPr>
            <w:tcW w:w="7860" w:type="dxa"/>
            <w:vAlign w:val="bottom"/>
            <w:gridSpan w:val="2"/>
            <w:vMerge w:val="restart"/>
          </w:tcPr>
          <w:p>
            <w:pPr>
              <w:spacing w:after="0"/>
              <w:rPr>
                <w:sz w:val="20"/>
                <w:szCs w:val="20"/>
                <w:color w:val="auto"/>
              </w:rPr>
            </w:pPr>
            <w:r>
              <w:rPr>
                <w:rFonts w:ascii="Arial" w:cs="Arial" w:eastAsia="Arial" w:hAnsi="Arial"/>
                <w:sz w:val="12"/>
                <w:szCs w:val="12"/>
                <w:color w:val="auto"/>
              </w:rPr>
              <w:t>Total service revenue</w:t>
            </w:r>
          </w:p>
        </w:tc>
        <w:tc>
          <w:tcPr>
            <w:tcW w:w="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320" w:type="dxa"/>
            <w:vAlign w:val="bottom"/>
            <w:tcBorders>
              <w:left w:val="single" w:sz="8" w:color="auto"/>
            </w:tcBorders>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786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jc w:val="right"/>
              <w:ind w:right="150"/>
              <w:spacing w:after="0"/>
              <w:rPr>
                <w:sz w:val="20"/>
                <w:szCs w:val="20"/>
                <w:color w:val="auto"/>
              </w:rPr>
            </w:pPr>
            <w:r>
              <w:rPr>
                <w:rFonts w:ascii="Arial" w:cs="Arial" w:eastAsia="Arial" w:hAnsi="Arial"/>
                <w:sz w:val="10"/>
                <w:szCs w:val="10"/>
                <w:color w:val="auto"/>
                <w:w w:val="71"/>
              </w:rPr>
              <w:t>$</w:t>
            </w:r>
          </w:p>
        </w:tc>
        <w:tc>
          <w:tcPr>
            <w:tcW w:w="1300" w:type="dxa"/>
            <w:vAlign w:val="bottom"/>
          </w:tcPr>
          <w:p>
            <w:pPr>
              <w:jc w:val="right"/>
              <w:spacing w:after="0"/>
              <w:rPr>
                <w:sz w:val="20"/>
                <w:szCs w:val="20"/>
                <w:color w:val="auto"/>
              </w:rPr>
            </w:pPr>
            <w:r>
              <w:rPr>
                <w:rFonts w:ascii="Arial" w:cs="Arial" w:eastAsia="Arial" w:hAnsi="Arial"/>
                <w:sz w:val="12"/>
                <w:szCs w:val="12"/>
                <w:color w:val="auto"/>
              </w:rPr>
              <w:t>135,655</w:t>
            </w:r>
          </w:p>
        </w:tc>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2"/>
                <w:szCs w:val="12"/>
                <w:color w:val="auto"/>
              </w:rPr>
              <w:t>98.1%</w:t>
            </w:r>
          </w:p>
        </w:tc>
        <w:tc>
          <w:tcPr>
            <w:tcW w:w="0" w:type="dxa"/>
            <w:vAlign w:val="bottom"/>
          </w:tcPr>
          <w:p>
            <w:pPr>
              <w:spacing w:after="0"/>
              <w:rPr>
                <w:sz w:val="1"/>
                <w:szCs w:val="1"/>
                <w:color w:val="auto"/>
              </w:rPr>
            </w:pPr>
          </w:p>
        </w:tc>
      </w:tr>
      <w:tr>
        <w:trPr>
          <w:trHeight w:val="27"/>
        </w:trPr>
        <w:tc>
          <w:tcPr>
            <w:tcW w:w="640" w:type="dxa"/>
            <w:vAlign w:val="bottom"/>
          </w:tcPr>
          <w:p>
            <w:pPr>
              <w:spacing w:after="0"/>
              <w:rPr>
                <w:sz w:val="2"/>
                <w:szCs w:val="2"/>
                <w:color w:val="auto"/>
              </w:rPr>
            </w:pPr>
          </w:p>
        </w:tc>
        <w:tc>
          <w:tcPr>
            <w:tcW w:w="72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320" w:type="dxa"/>
            <w:vAlign w:val="bottom"/>
            <w:tcBorders>
              <w:left w:val="single" w:sz="8" w:color="auto"/>
            </w:tcBorders>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6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62" w:lineRule="exact"/>
        <w:rPr>
          <w:sz w:val="20"/>
          <w:szCs w:val="20"/>
          <w:color w:val="auto"/>
        </w:rPr>
      </w:pPr>
    </w:p>
    <w:p>
      <w:pPr>
        <w:jc w:val="both"/>
        <w:ind w:right="80" w:firstLine="602"/>
        <w:spacing w:after="0" w:line="263" w:lineRule="auto"/>
        <w:rPr>
          <w:sz w:val="20"/>
          <w:szCs w:val="20"/>
          <w:color w:val="auto"/>
        </w:rPr>
      </w:pPr>
      <w:r>
        <w:rPr>
          <w:rFonts w:ascii="Arial" w:cs="Arial" w:eastAsia="Arial" w:hAnsi="Arial"/>
          <w:sz w:val="12"/>
          <w:szCs w:val="12"/>
          <w:color w:val="auto"/>
        </w:rPr>
        <w:t>Service revenue for the Commercial Services segment was $55.9 million for the 2017 Successor Period and included revenue from tolling services, violation services and title and registration services. Tolling volume trends in the period were positive, with an increased number of tolls incurred by customers and greater adoption of tolling products resulting primarily from an increased number of cashless toll roads. This increase was partially offset by a contract negotiation with a large customer that negatively impacted price during the period.</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17740" cy="3683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ectPr>
          <w:pgSz w:w="11900" w:h="16838" w:orient="portrait"/>
          <w:cols w:equalWidth="0" w:num="1">
            <w:col w:w="11480"/>
          </w:cols>
          <w:pgMar w:left="220" w:top="275" w:right="199" w:bottom="1440" w:gutter="0" w:footer="0" w:header="0"/>
        </w:sectPr>
      </w:pPr>
    </w:p>
    <w:bookmarkStart w:id="52" w:name="page53"/>
    <w:bookmarkEnd w:id="52"/>
    <w:p>
      <w:pPr>
        <w:ind w:right="320" w:firstLine="602"/>
        <w:spacing w:after="0" w:line="263" w:lineRule="auto"/>
        <w:rPr>
          <w:sz w:val="20"/>
          <w:szCs w:val="20"/>
          <w:color w:val="auto"/>
        </w:rPr>
      </w:pPr>
      <w:r>
        <w:rPr>
          <w:rFonts w:ascii="Arial" w:cs="Arial" w:eastAsia="Arial" w:hAnsi="Arial"/>
          <w:sz w:val="12"/>
          <w:szCs w:val="12"/>
          <w:color w:val="auto"/>
        </w:rPr>
        <w:t>Government Solutions service revenue was $79.8 million for the 2017 Successor Period and included revenue from red-light, speed, school bus arm and bus lane photo enforcement systems. Demand for new photo enforcement systems continued, with the number of installed systems during the period increasing for all products. The positive trend was partially offset by a high number of red-light systems that did not generate revenue during the period due to road construction. There were 4,303 systems installed at December 31, 2017.</w:t>
      </w:r>
    </w:p>
    <w:p>
      <w:pPr>
        <w:spacing w:after="0" w:line="123" w:lineRule="exact"/>
        <w:rPr>
          <w:sz w:val="20"/>
          <w:szCs w:val="20"/>
          <w:color w:val="auto"/>
        </w:rPr>
      </w:pPr>
    </w:p>
    <w:p>
      <w:pPr>
        <w:ind w:right="40" w:firstLine="602"/>
        <w:spacing w:after="0" w:line="276" w:lineRule="auto"/>
        <w:rPr>
          <w:sz w:val="20"/>
          <w:szCs w:val="20"/>
          <w:color w:val="auto"/>
        </w:rPr>
      </w:pPr>
      <w:r>
        <w:rPr>
          <w:rFonts w:ascii="Arial" w:cs="Arial" w:eastAsia="Arial" w:hAnsi="Arial"/>
          <w:sz w:val="12"/>
          <w:szCs w:val="12"/>
          <w:i w:val="1"/>
          <w:iCs w:val="1"/>
          <w:color w:val="auto"/>
        </w:rPr>
        <w:t xml:space="preserve">Product Sales. </w:t>
      </w:r>
      <w:r>
        <w:rPr>
          <w:rFonts w:ascii="Arial" w:cs="Arial" w:eastAsia="Arial" w:hAnsi="Arial"/>
          <w:sz w:val="12"/>
          <w:szCs w:val="12"/>
          <w:color w:val="auto"/>
        </w:rPr>
        <w:t>Product sales were $2.6 million for the 2017 Successor Period and included revenue generated from Government Solutions customers who purchased their equipment. Product revenue for the period was limited</w:t>
      </w:r>
      <w:r>
        <w:rPr>
          <w:rFonts w:ascii="Arial" w:cs="Arial" w:eastAsia="Arial" w:hAnsi="Arial"/>
          <w:sz w:val="12"/>
          <w:szCs w:val="12"/>
          <w:i w:val="1"/>
          <w:iCs w:val="1"/>
          <w:color w:val="auto"/>
        </w:rPr>
        <w:t xml:space="preserve"> </w:t>
      </w:r>
      <w:r>
        <w:rPr>
          <w:rFonts w:ascii="Arial" w:cs="Arial" w:eastAsia="Arial" w:hAnsi="Arial"/>
          <w:sz w:val="12"/>
          <w:szCs w:val="12"/>
          <w:color w:val="auto"/>
        </w:rPr>
        <w:t>to bus lane systems. There are a small number of customer who purchase this equipment, and their buying patterns vary greatly from period to period.</w:t>
      </w:r>
    </w:p>
    <w:p>
      <w:pPr>
        <w:spacing w:after="0" w:line="115" w:lineRule="exact"/>
        <w:rPr>
          <w:sz w:val="20"/>
          <w:szCs w:val="20"/>
          <w:color w:val="auto"/>
        </w:rPr>
      </w:pPr>
    </w:p>
    <w:p>
      <w:pPr>
        <w:ind w:right="300" w:firstLine="602"/>
        <w:spacing w:after="0" w:line="276" w:lineRule="auto"/>
        <w:rPr>
          <w:sz w:val="20"/>
          <w:szCs w:val="20"/>
          <w:color w:val="auto"/>
        </w:rPr>
      </w:pPr>
      <w:r>
        <w:rPr>
          <w:rFonts w:ascii="Arial" w:cs="Arial" w:eastAsia="Arial" w:hAnsi="Arial"/>
          <w:sz w:val="12"/>
          <w:szCs w:val="12"/>
          <w:i w:val="1"/>
          <w:iCs w:val="1"/>
          <w:color w:val="auto"/>
        </w:rPr>
        <w:t xml:space="preserve">Cost of Service Revenue. </w:t>
      </w:r>
      <w:r>
        <w:rPr>
          <w:rFonts w:ascii="Arial" w:cs="Arial" w:eastAsia="Arial" w:hAnsi="Arial"/>
          <w:sz w:val="12"/>
          <w:szCs w:val="12"/>
          <w:color w:val="auto"/>
        </w:rPr>
        <w:t>Cost of service revenue was $1.9 million for the 2017 Successor Period and consisted of collection and other professional services contracted with third parties and associated with the delivery of</w:t>
      </w:r>
      <w:r>
        <w:rPr>
          <w:rFonts w:ascii="Arial" w:cs="Arial" w:eastAsia="Arial" w:hAnsi="Arial"/>
          <w:sz w:val="12"/>
          <w:szCs w:val="12"/>
          <w:i w:val="1"/>
          <w:iCs w:val="1"/>
          <w:color w:val="auto"/>
        </w:rPr>
        <w:t xml:space="preserve"> </w:t>
      </w:r>
      <w:r>
        <w:rPr>
          <w:rFonts w:ascii="Arial" w:cs="Arial" w:eastAsia="Arial" w:hAnsi="Arial"/>
          <w:sz w:val="12"/>
          <w:szCs w:val="12"/>
          <w:color w:val="auto"/>
        </w:rPr>
        <w:t>certain ancillary service revenue.</w:t>
      </w:r>
    </w:p>
    <w:p>
      <w:pPr>
        <w:spacing w:after="0" w:line="115" w:lineRule="exact"/>
        <w:rPr>
          <w:sz w:val="20"/>
          <w:szCs w:val="20"/>
          <w:color w:val="auto"/>
        </w:rPr>
      </w:pPr>
    </w:p>
    <w:p>
      <w:pPr>
        <w:ind w:left="600"/>
        <w:spacing w:after="0"/>
        <w:rPr>
          <w:sz w:val="20"/>
          <w:szCs w:val="20"/>
          <w:color w:val="auto"/>
        </w:rPr>
      </w:pPr>
      <w:r>
        <w:rPr>
          <w:rFonts w:ascii="Arial" w:cs="Arial" w:eastAsia="Arial" w:hAnsi="Arial"/>
          <w:sz w:val="12"/>
          <w:szCs w:val="12"/>
          <w:i w:val="1"/>
          <w:iCs w:val="1"/>
          <w:color w:val="auto"/>
        </w:rPr>
        <w:t xml:space="preserve">Cost of Product Sales. </w:t>
      </w:r>
      <w:r>
        <w:rPr>
          <w:rFonts w:ascii="Arial" w:cs="Arial" w:eastAsia="Arial" w:hAnsi="Arial"/>
          <w:sz w:val="12"/>
          <w:szCs w:val="12"/>
          <w:color w:val="auto"/>
        </w:rPr>
        <w:t>Cost of product sales was $1.6 million for the 2017 Successor Period and was directly related to product sales of bus lane systems.</w:t>
      </w:r>
    </w:p>
    <w:p>
      <w:pPr>
        <w:spacing w:after="0" w:line="150" w:lineRule="exact"/>
        <w:rPr>
          <w:sz w:val="20"/>
          <w:szCs w:val="20"/>
          <w:color w:val="auto"/>
        </w:rPr>
      </w:pPr>
    </w:p>
    <w:p>
      <w:pPr>
        <w:ind w:right="40" w:firstLine="602"/>
        <w:spacing w:after="0" w:line="338" w:lineRule="auto"/>
        <w:rPr>
          <w:sz w:val="20"/>
          <w:szCs w:val="20"/>
          <w:color w:val="auto"/>
        </w:rPr>
      </w:pPr>
      <w:r>
        <w:rPr>
          <w:rFonts w:ascii="Arial" w:cs="Arial" w:eastAsia="Arial" w:hAnsi="Arial"/>
          <w:sz w:val="10"/>
          <w:szCs w:val="10"/>
          <w:i w:val="1"/>
          <w:iCs w:val="1"/>
          <w:color w:val="auto"/>
        </w:rPr>
        <w:t xml:space="preserve">Operating Expenses. </w:t>
      </w:r>
      <w:r>
        <w:rPr>
          <w:rFonts w:ascii="Arial" w:cs="Arial" w:eastAsia="Arial" w:hAnsi="Arial"/>
          <w:sz w:val="10"/>
          <w:szCs w:val="10"/>
          <w:color w:val="auto"/>
        </w:rPr>
        <w:t>Operating expenses of $50.5 million for the 2017 Successor Period consisted of payroll and payroll-related costs, costs related to the operation of our call centers and other operational costs, including</w:t>
      </w:r>
      <w:r>
        <w:rPr>
          <w:rFonts w:ascii="Arial" w:cs="Arial" w:eastAsia="Arial" w:hAnsi="Arial"/>
          <w:sz w:val="10"/>
          <w:szCs w:val="10"/>
          <w:i w:val="1"/>
          <w:iCs w:val="1"/>
          <w:color w:val="auto"/>
        </w:rPr>
        <w:t xml:space="preserve"> </w:t>
      </w:r>
      <w:r>
        <w:rPr>
          <w:rFonts w:ascii="Arial" w:cs="Arial" w:eastAsia="Arial" w:hAnsi="Arial"/>
          <w:sz w:val="10"/>
          <w:szCs w:val="10"/>
          <w:color w:val="auto"/>
        </w:rPr>
        <w:t>transaction processing, print, postage and communication costs. Immediately following the ATS Merger, we initiated several operational initiatives, including hiring a third party to review our vendor spend and initiate request for proposals</w:t>
      </w:r>
    </w:p>
    <w:p>
      <w:pPr>
        <w:spacing w:after="0"/>
        <w:rPr>
          <w:sz w:val="20"/>
          <w:szCs w:val="20"/>
          <w:color w:val="auto"/>
        </w:rPr>
      </w:pPr>
      <w:r>
        <w:rPr>
          <w:rFonts w:ascii="Arial" w:cs="Arial" w:eastAsia="Arial" w:hAnsi="Arial"/>
          <w:sz w:val="11"/>
          <w:szCs w:val="11"/>
          <w:color w:val="auto"/>
        </w:rPr>
        <w:t>to help ensure we were receiving high quality service and competitive pricing. Operating expenses were 36.5% of total revenue for the 2017 Successor Period. Operating expenses by segment appear in the table below.</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40" w:type="dxa"/>
            <w:vAlign w:val="bottom"/>
          </w:tcPr>
          <w:p>
            <w:pPr>
              <w:spacing w:after="0"/>
              <w:rPr>
                <w:sz w:val="10"/>
                <w:szCs w:val="10"/>
                <w:color w:val="auto"/>
              </w:rPr>
            </w:pPr>
          </w:p>
        </w:tc>
        <w:tc>
          <w:tcPr>
            <w:tcW w:w="7240" w:type="dxa"/>
            <w:vAlign w:val="bottom"/>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gridSpan w:val="3"/>
          </w:tcPr>
          <w:p>
            <w:pPr>
              <w:ind w:left="360"/>
              <w:spacing w:after="0"/>
              <w:rPr>
                <w:sz w:val="20"/>
                <w:szCs w:val="20"/>
                <w:color w:val="auto"/>
              </w:rPr>
            </w:pPr>
            <w:r>
              <w:rPr>
                <w:rFonts w:ascii="Arial" w:cs="Arial" w:eastAsia="Arial" w:hAnsi="Arial"/>
                <w:sz w:val="10"/>
                <w:szCs w:val="10"/>
                <w:b w:val="1"/>
                <w:bCs w:val="1"/>
                <w:color w:val="auto"/>
              </w:rPr>
              <w:t>Successor</w:t>
            </w:r>
          </w:p>
        </w:tc>
        <w:tc>
          <w:tcPr>
            <w:tcW w:w="128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3"/>
        </w:trPr>
        <w:tc>
          <w:tcPr>
            <w:tcW w:w="640" w:type="dxa"/>
            <w:vAlign w:val="bottom"/>
          </w:tcPr>
          <w:p>
            <w:pPr>
              <w:spacing w:after="0"/>
              <w:rPr>
                <w:sz w:val="7"/>
                <w:szCs w:val="7"/>
                <w:color w:val="auto"/>
              </w:rPr>
            </w:pPr>
          </w:p>
        </w:tc>
        <w:tc>
          <w:tcPr>
            <w:tcW w:w="7240" w:type="dxa"/>
            <w:vAlign w:val="bottom"/>
          </w:tcPr>
          <w:p>
            <w:pPr>
              <w:spacing w:after="0"/>
              <w:rPr>
                <w:sz w:val="7"/>
                <w:szCs w:val="7"/>
                <w:color w:val="auto"/>
              </w:rPr>
            </w:pPr>
          </w:p>
        </w:tc>
        <w:tc>
          <w:tcPr>
            <w:tcW w:w="1180" w:type="dxa"/>
            <w:vAlign w:val="bottom"/>
          </w:tcPr>
          <w:p>
            <w:pPr>
              <w:jc w:val="center"/>
              <w:ind w:left="352"/>
              <w:spacing w:after="0" w:line="83" w:lineRule="exact"/>
              <w:rPr>
                <w:sz w:val="20"/>
                <w:szCs w:val="20"/>
                <w:color w:val="auto"/>
              </w:rPr>
            </w:pPr>
            <w:r>
              <w:rPr>
                <w:rFonts w:ascii="Arial" w:cs="Arial" w:eastAsia="Arial" w:hAnsi="Arial"/>
                <w:sz w:val="8"/>
                <w:szCs w:val="8"/>
                <w:b w:val="1"/>
                <w:bCs w:val="1"/>
                <w:color w:val="auto"/>
              </w:rPr>
              <w:t>Period From</w:t>
            </w:r>
          </w:p>
        </w:tc>
        <w:tc>
          <w:tcPr>
            <w:tcW w:w="400" w:type="dxa"/>
            <w:vAlign w:val="bottom"/>
          </w:tcPr>
          <w:p>
            <w:pPr>
              <w:spacing w:after="0"/>
              <w:rPr>
                <w:sz w:val="7"/>
                <w:szCs w:val="7"/>
                <w:color w:val="auto"/>
              </w:rPr>
            </w:pPr>
          </w:p>
        </w:tc>
        <w:tc>
          <w:tcPr>
            <w:tcW w:w="3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640" w:type="dxa"/>
            <w:vAlign w:val="bottom"/>
          </w:tcPr>
          <w:p>
            <w:pPr>
              <w:spacing w:after="0"/>
              <w:rPr>
                <w:sz w:val="8"/>
                <w:szCs w:val="8"/>
                <w:color w:val="auto"/>
              </w:rPr>
            </w:pPr>
          </w:p>
        </w:tc>
        <w:tc>
          <w:tcPr>
            <w:tcW w:w="7240" w:type="dxa"/>
            <w:vAlign w:val="bottom"/>
          </w:tcPr>
          <w:p>
            <w:pPr>
              <w:spacing w:after="0"/>
              <w:rPr>
                <w:sz w:val="8"/>
                <w:szCs w:val="8"/>
                <w:color w:val="auto"/>
              </w:rPr>
            </w:pPr>
          </w:p>
        </w:tc>
        <w:tc>
          <w:tcPr>
            <w:tcW w:w="1180" w:type="dxa"/>
            <w:vAlign w:val="bottom"/>
          </w:tcPr>
          <w:p>
            <w:pPr>
              <w:jc w:val="center"/>
              <w:ind w:left="352"/>
              <w:spacing w:after="0" w:line="99" w:lineRule="exact"/>
              <w:rPr>
                <w:sz w:val="20"/>
                <w:szCs w:val="20"/>
                <w:color w:val="auto"/>
              </w:rPr>
            </w:pPr>
            <w:r>
              <w:rPr>
                <w:rFonts w:ascii="Arial" w:cs="Arial" w:eastAsia="Arial" w:hAnsi="Arial"/>
                <w:sz w:val="10"/>
                <w:szCs w:val="10"/>
                <w:b w:val="1"/>
                <w:bCs w:val="1"/>
                <w:color w:val="auto"/>
                <w:w w:val="86"/>
              </w:rPr>
              <w:t>June 1, 2017 to</w:t>
            </w: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640" w:type="dxa"/>
            <w:vAlign w:val="bottom"/>
          </w:tcPr>
          <w:p>
            <w:pPr>
              <w:spacing w:after="0"/>
              <w:rPr>
                <w:sz w:val="8"/>
                <w:szCs w:val="8"/>
                <w:color w:val="auto"/>
              </w:rPr>
            </w:pPr>
          </w:p>
        </w:tc>
        <w:tc>
          <w:tcPr>
            <w:tcW w:w="7240" w:type="dxa"/>
            <w:vAlign w:val="bottom"/>
          </w:tcPr>
          <w:p>
            <w:pPr>
              <w:spacing w:after="0"/>
              <w:rPr>
                <w:sz w:val="8"/>
                <w:szCs w:val="8"/>
                <w:color w:val="auto"/>
              </w:rPr>
            </w:pPr>
          </w:p>
        </w:tc>
        <w:tc>
          <w:tcPr>
            <w:tcW w:w="1180" w:type="dxa"/>
            <w:vAlign w:val="bottom"/>
          </w:tcPr>
          <w:p>
            <w:pPr>
              <w:jc w:val="center"/>
              <w:ind w:left="372"/>
              <w:spacing w:after="0" w:line="99" w:lineRule="exact"/>
              <w:rPr>
                <w:sz w:val="20"/>
                <w:szCs w:val="20"/>
                <w:color w:val="auto"/>
              </w:rPr>
            </w:pPr>
            <w:r>
              <w:rPr>
                <w:rFonts w:ascii="Arial" w:cs="Arial" w:eastAsia="Arial" w:hAnsi="Arial"/>
                <w:sz w:val="10"/>
                <w:szCs w:val="10"/>
                <w:b w:val="1"/>
                <w:bCs w:val="1"/>
                <w:color w:val="auto"/>
                <w:w w:val="86"/>
              </w:rPr>
              <w:t>December 31,</w:t>
            </w: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20" w:type="dxa"/>
            <w:vAlign w:val="bottom"/>
            <w:gridSpan w:val="2"/>
          </w:tcPr>
          <w:p>
            <w:pPr>
              <w:jc w:val="right"/>
              <w:ind w:right="700"/>
              <w:spacing w:after="0" w:line="99" w:lineRule="exact"/>
              <w:rPr>
                <w:sz w:val="20"/>
                <w:szCs w:val="20"/>
                <w:color w:val="auto"/>
              </w:rPr>
            </w:pPr>
            <w:r>
              <w:rPr>
                <w:rFonts w:ascii="Arial" w:cs="Arial" w:eastAsia="Arial" w:hAnsi="Arial"/>
                <w:sz w:val="10"/>
                <w:szCs w:val="10"/>
                <w:b w:val="1"/>
                <w:bCs w:val="1"/>
                <w:color w:val="auto"/>
              </w:rPr>
              <w:t>Percentage</w:t>
            </w:r>
          </w:p>
        </w:tc>
        <w:tc>
          <w:tcPr>
            <w:tcW w:w="0" w:type="dxa"/>
            <w:vAlign w:val="bottom"/>
          </w:tcPr>
          <w:p>
            <w:pPr>
              <w:spacing w:after="0"/>
              <w:rPr>
                <w:sz w:val="1"/>
                <w:szCs w:val="1"/>
                <w:color w:val="auto"/>
              </w:rPr>
            </w:pPr>
          </w:p>
        </w:tc>
      </w:tr>
      <w:tr>
        <w:trPr>
          <w:trHeight w:val="105"/>
        </w:trPr>
        <w:tc>
          <w:tcPr>
            <w:tcW w:w="7880" w:type="dxa"/>
            <w:vAlign w:val="bottom"/>
            <w:gridSpan w:val="2"/>
          </w:tcPr>
          <w:p>
            <w:pPr>
              <w:spacing w:after="0" w:line="105" w:lineRule="exact"/>
              <w:rPr>
                <w:sz w:val="20"/>
                <w:szCs w:val="20"/>
                <w:color w:val="auto"/>
              </w:rPr>
            </w:pPr>
            <w:r>
              <w:rPr>
                <w:rFonts w:ascii="Arial" w:cs="Arial" w:eastAsia="Arial" w:hAnsi="Arial"/>
                <w:sz w:val="10"/>
                <w:szCs w:val="10"/>
                <w:b w:val="1"/>
                <w:bCs w:val="1"/>
                <w:u w:val="single" w:color="auto"/>
                <w:color w:val="auto"/>
              </w:rPr>
              <w:t>(</w:t>
            </w:r>
            <w:r>
              <w:rPr>
                <w:rFonts w:ascii="Arial" w:cs="Arial" w:eastAsia="Arial" w:hAnsi="Arial"/>
                <w:sz w:val="10"/>
                <w:szCs w:val="10"/>
                <w:b w:val="1"/>
                <w:bCs w:val="1"/>
                <w:color w:val="auto"/>
              </w:rPr>
              <w:t>$ in thousands)</w:t>
            </w:r>
          </w:p>
        </w:tc>
        <w:tc>
          <w:tcPr>
            <w:tcW w:w="1180" w:type="dxa"/>
            <w:vAlign w:val="bottom"/>
          </w:tcPr>
          <w:p>
            <w:pPr>
              <w:jc w:val="center"/>
              <w:ind w:left="352"/>
              <w:spacing w:after="0" w:line="105" w:lineRule="exact"/>
              <w:rPr>
                <w:sz w:val="20"/>
                <w:szCs w:val="20"/>
                <w:color w:val="auto"/>
              </w:rPr>
            </w:pPr>
            <w:r>
              <w:rPr>
                <w:rFonts w:ascii="Arial" w:cs="Arial" w:eastAsia="Arial" w:hAnsi="Arial"/>
                <w:sz w:val="10"/>
                <w:szCs w:val="10"/>
                <w:b w:val="1"/>
                <w:bCs w:val="1"/>
                <w:color w:val="auto"/>
                <w:w w:val="80"/>
              </w:rPr>
              <w:t>2017</w:t>
            </w: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20" w:type="dxa"/>
            <w:vAlign w:val="bottom"/>
            <w:gridSpan w:val="2"/>
          </w:tcPr>
          <w:p>
            <w:pPr>
              <w:jc w:val="right"/>
              <w:ind w:right="700"/>
              <w:spacing w:after="0" w:line="105" w:lineRule="exact"/>
              <w:rPr>
                <w:sz w:val="20"/>
                <w:szCs w:val="20"/>
                <w:color w:val="auto"/>
              </w:rPr>
            </w:pPr>
            <w:r>
              <w:rPr>
                <w:rFonts w:ascii="Arial" w:cs="Arial" w:eastAsia="Arial" w:hAnsi="Arial"/>
                <w:sz w:val="10"/>
                <w:szCs w:val="10"/>
                <w:b w:val="1"/>
                <w:bCs w:val="1"/>
                <w:color w:val="auto"/>
              </w:rPr>
              <w:t>of Revenue</w:t>
            </w:r>
          </w:p>
        </w:tc>
        <w:tc>
          <w:tcPr>
            <w:tcW w:w="0" w:type="dxa"/>
            <w:vAlign w:val="bottom"/>
          </w:tcPr>
          <w:p>
            <w:pPr>
              <w:spacing w:after="0"/>
              <w:rPr>
                <w:sz w:val="1"/>
                <w:szCs w:val="1"/>
                <w:color w:val="auto"/>
              </w:rPr>
            </w:pPr>
          </w:p>
        </w:tc>
      </w:tr>
      <w:tr>
        <w:trPr>
          <w:trHeight w:val="20"/>
        </w:trPr>
        <w:tc>
          <w:tcPr>
            <w:tcW w:w="640" w:type="dxa"/>
            <w:vAlign w:val="bottom"/>
            <w:tcBorders>
              <w:bottom w:val="single" w:sz="8" w:color="CFF0FC"/>
            </w:tcBorders>
            <w:shd w:val="clear" w:color="auto" w:fill="000000"/>
          </w:tcPr>
          <w:p>
            <w:pPr>
              <w:spacing w:after="0" w:line="20" w:lineRule="exact"/>
              <w:rPr>
                <w:sz w:val="1"/>
                <w:szCs w:val="1"/>
                <w:color w:val="auto"/>
              </w:rPr>
            </w:pPr>
          </w:p>
        </w:tc>
        <w:tc>
          <w:tcPr>
            <w:tcW w:w="7240" w:type="dxa"/>
            <w:vAlign w:val="bottom"/>
            <w:tcBorders>
              <w:bottom w:val="single" w:sz="8" w:color="CFF0FC"/>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FF0FC"/>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7880" w:type="dxa"/>
            <w:vAlign w:val="bottom"/>
            <w:gridSpan w:val="2"/>
            <w:shd w:val="clear" w:color="auto" w:fill="CFF0FC"/>
          </w:tcPr>
          <w:p>
            <w:pPr>
              <w:spacing w:after="0" w:line="132" w:lineRule="exact"/>
              <w:rPr>
                <w:sz w:val="20"/>
                <w:szCs w:val="20"/>
                <w:color w:val="auto"/>
              </w:rPr>
            </w:pPr>
            <w:r>
              <w:rPr>
                <w:rFonts w:ascii="Arial" w:cs="Arial" w:eastAsia="Arial" w:hAnsi="Arial"/>
                <w:sz w:val="12"/>
                <w:szCs w:val="12"/>
                <w:b w:val="1"/>
                <w:bCs w:val="1"/>
                <w:color w:val="auto"/>
              </w:rPr>
              <w:t>Operating expenses</w:t>
            </w:r>
          </w:p>
        </w:tc>
        <w:tc>
          <w:tcPr>
            <w:tcW w:w="118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2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7880" w:type="dxa"/>
            <w:vAlign w:val="bottom"/>
            <w:gridSpan w:val="2"/>
          </w:tcPr>
          <w:p>
            <w:pPr>
              <w:ind w:left="160"/>
              <w:spacing w:after="0"/>
              <w:rPr>
                <w:sz w:val="20"/>
                <w:szCs w:val="20"/>
                <w:color w:val="auto"/>
              </w:rPr>
            </w:pPr>
            <w:r>
              <w:rPr>
                <w:rFonts w:ascii="Arial" w:cs="Arial" w:eastAsia="Arial" w:hAnsi="Arial"/>
                <w:sz w:val="12"/>
                <w:szCs w:val="12"/>
                <w:color w:val="auto"/>
              </w:rPr>
              <w:t>Commercial Services</w:t>
            </w:r>
          </w:p>
        </w:tc>
        <w:tc>
          <w:tcPr>
            <w:tcW w:w="1180" w:type="dxa"/>
            <w:vAlign w:val="bottom"/>
          </w:tcPr>
          <w:p>
            <w:pPr>
              <w:jc w:val="right"/>
              <w:ind w:right="1072"/>
              <w:spacing w:after="0"/>
              <w:rPr>
                <w:sz w:val="20"/>
                <w:szCs w:val="20"/>
                <w:color w:val="auto"/>
              </w:rPr>
            </w:pPr>
            <w:r>
              <w:rPr>
                <w:rFonts w:ascii="Arial" w:cs="Arial" w:eastAsia="Arial" w:hAnsi="Arial"/>
                <w:sz w:val="10"/>
                <w:szCs w:val="10"/>
                <w:color w:val="auto"/>
                <w:w w:val="71"/>
              </w:rPr>
              <w:t>$</w:t>
            </w:r>
          </w:p>
        </w:tc>
        <w:tc>
          <w:tcPr>
            <w:tcW w:w="400" w:type="dxa"/>
            <w:vAlign w:val="bottom"/>
          </w:tcPr>
          <w:p>
            <w:pPr>
              <w:jc w:val="right"/>
              <w:spacing w:after="0"/>
              <w:rPr>
                <w:sz w:val="20"/>
                <w:szCs w:val="20"/>
                <w:color w:val="auto"/>
              </w:rPr>
            </w:pPr>
            <w:r>
              <w:rPr>
                <w:rFonts w:ascii="Arial" w:cs="Arial" w:eastAsia="Arial" w:hAnsi="Arial"/>
                <w:sz w:val="12"/>
                <w:szCs w:val="12"/>
                <w:color w:val="auto"/>
              </w:rPr>
              <w:t>16,425</w:t>
            </w:r>
          </w:p>
        </w:tc>
        <w:tc>
          <w:tcPr>
            <w:tcW w:w="3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2"/>
                <w:szCs w:val="12"/>
                <w:color w:val="auto"/>
              </w:rPr>
              <w:t>11.9%</w:t>
            </w:r>
          </w:p>
        </w:tc>
        <w:tc>
          <w:tcPr>
            <w:tcW w:w="0" w:type="dxa"/>
            <w:vAlign w:val="bottom"/>
          </w:tcPr>
          <w:p>
            <w:pPr>
              <w:spacing w:after="0"/>
              <w:rPr>
                <w:sz w:val="1"/>
                <w:szCs w:val="1"/>
                <w:color w:val="auto"/>
              </w:rPr>
            </w:pPr>
          </w:p>
        </w:tc>
      </w:tr>
      <w:tr>
        <w:trPr>
          <w:trHeight w:val="153"/>
        </w:trPr>
        <w:tc>
          <w:tcPr>
            <w:tcW w:w="7880" w:type="dxa"/>
            <w:vAlign w:val="bottom"/>
            <w:gridSpan w:val="2"/>
            <w:shd w:val="clear" w:color="auto" w:fill="CFF0FC"/>
          </w:tcPr>
          <w:p>
            <w:pPr>
              <w:ind w:left="160"/>
              <w:spacing w:after="0"/>
              <w:rPr>
                <w:sz w:val="20"/>
                <w:szCs w:val="20"/>
                <w:color w:val="auto"/>
              </w:rPr>
            </w:pPr>
            <w:r>
              <w:rPr>
                <w:rFonts w:ascii="Arial" w:cs="Arial" w:eastAsia="Arial" w:hAnsi="Arial"/>
                <w:sz w:val="12"/>
                <w:szCs w:val="12"/>
                <w:color w:val="auto"/>
              </w:rPr>
              <w:t>Government Solutions</w:t>
            </w:r>
          </w:p>
        </w:tc>
        <w:tc>
          <w:tcPr>
            <w:tcW w:w="1180" w:type="dxa"/>
            <w:vAlign w:val="bottom"/>
            <w:shd w:val="clear" w:color="auto" w:fill="CFF0FC"/>
          </w:tcPr>
          <w:p>
            <w:pPr>
              <w:spacing w:after="0"/>
              <w:rPr>
                <w:sz w:val="13"/>
                <w:szCs w:val="13"/>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34,046</w:t>
            </w:r>
          </w:p>
        </w:tc>
        <w:tc>
          <w:tcPr>
            <w:tcW w:w="300" w:type="dxa"/>
            <w:vAlign w:val="bottom"/>
            <w:shd w:val="clear" w:color="auto" w:fill="CFF0FC"/>
          </w:tcPr>
          <w:p>
            <w:pPr>
              <w:spacing w:after="0"/>
              <w:rPr>
                <w:sz w:val="13"/>
                <w:szCs w:val="13"/>
                <w:color w:val="auto"/>
              </w:rPr>
            </w:pPr>
          </w:p>
        </w:tc>
        <w:tc>
          <w:tcPr>
            <w:tcW w:w="300" w:type="dxa"/>
            <w:vAlign w:val="bottom"/>
            <w:shd w:val="clear" w:color="auto" w:fill="CFF2FA"/>
          </w:tcPr>
          <w:p>
            <w:pPr>
              <w:spacing w:after="0"/>
              <w:rPr>
                <w:sz w:val="13"/>
                <w:szCs w:val="13"/>
                <w:color w:val="auto"/>
              </w:rPr>
            </w:pPr>
          </w:p>
        </w:tc>
        <w:tc>
          <w:tcPr>
            <w:tcW w:w="1420" w:type="dxa"/>
            <w:vAlign w:val="bottom"/>
            <w:gridSpan w:val="2"/>
            <w:shd w:val="clear" w:color="auto" w:fill="CFF2FA"/>
          </w:tcPr>
          <w:p>
            <w:pPr>
              <w:jc w:val="right"/>
              <w:ind w:right="40"/>
              <w:spacing w:after="0"/>
              <w:rPr>
                <w:sz w:val="20"/>
                <w:szCs w:val="20"/>
                <w:color w:val="auto"/>
              </w:rPr>
            </w:pPr>
            <w:r>
              <w:rPr>
                <w:rFonts w:ascii="Arial" w:cs="Arial" w:eastAsia="Arial" w:hAnsi="Arial"/>
                <w:sz w:val="12"/>
                <w:szCs w:val="12"/>
                <w:color w:val="auto"/>
              </w:rPr>
              <w:t>24.6%</w:t>
            </w:r>
          </w:p>
        </w:tc>
        <w:tc>
          <w:tcPr>
            <w:tcW w:w="0" w:type="dxa"/>
            <w:vAlign w:val="bottom"/>
          </w:tcPr>
          <w:p>
            <w:pPr>
              <w:spacing w:after="0"/>
              <w:rPr>
                <w:sz w:val="1"/>
                <w:szCs w:val="1"/>
                <w:color w:val="auto"/>
              </w:rPr>
            </w:pPr>
          </w:p>
        </w:tc>
      </w:tr>
      <w:tr>
        <w:trPr>
          <w:trHeight w:val="20"/>
        </w:trPr>
        <w:tc>
          <w:tcPr>
            <w:tcW w:w="7880" w:type="dxa"/>
            <w:vAlign w:val="bottom"/>
            <w:gridSpan w:val="2"/>
            <w:vMerge w:val="restart"/>
          </w:tcPr>
          <w:p>
            <w:pPr>
              <w:spacing w:after="0"/>
              <w:rPr>
                <w:sz w:val="20"/>
                <w:szCs w:val="20"/>
                <w:color w:val="auto"/>
              </w:rPr>
            </w:pPr>
            <w:r>
              <w:rPr>
                <w:rFonts w:ascii="Arial" w:cs="Arial" w:eastAsia="Arial" w:hAnsi="Arial"/>
                <w:sz w:val="12"/>
                <w:szCs w:val="12"/>
                <w:color w:val="auto"/>
              </w:rPr>
              <w:t>Total operating expenses</w:t>
            </w:r>
          </w:p>
        </w:tc>
        <w:tc>
          <w:tcPr>
            <w:tcW w:w="11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7880" w:type="dxa"/>
            <w:vAlign w:val="bottom"/>
            <w:gridSpan w:val="2"/>
            <w:vMerge w:val="continue"/>
          </w:tcPr>
          <w:p>
            <w:pPr>
              <w:spacing w:after="0"/>
              <w:rPr>
                <w:sz w:val="12"/>
                <w:szCs w:val="12"/>
                <w:color w:val="auto"/>
              </w:rPr>
            </w:pPr>
          </w:p>
        </w:tc>
        <w:tc>
          <w:tcPr>
            <w:tcW w:w="1180" w:type="dxa"/>
            <w:vAlign w:val="bottom"/>
          </w:tcPr>
          <w:p>
            <w:pPr>
              <w:jc w:val="right"/>
              <w:ind w:right="1072"/>
              <w:spacing w:after="0"/>
              <w:rPr>
                <w:sz w:val="20"/>
                <w:szCs w:val="20"/>
                <w:color w:val="auto"/>
              </w:rPr>
            </w:pPr>
            <w:r>
              <w:rPr>
                <w:rFonts w:ascii="Arial" w:cs="Arial" w:eastAsia="Arial" w:hAnsi="Arial"/>
                <w:sz w:val="10"/>
                <w:szCs w:val="10"/>
                <w:color w:val="auto"/>
                <w:w w:val="71"/>
              </w:rPr>
              <w:t>$</w:t>
            </w:r>
          </w:p>
        </w:tc>
        <w:tc>
          <w:tcPr>
            <w:tcW w:w="400" w:type="dxa"/>
            <w:vAlign w:val="bottom"/>
          </w:tcPr>
          <w:p>
            <w:pPr>
              <w:jc w:val="right"/>
              <w:spacing w:after="0"/>
              <w:rPr>
                <w:sz w:val="20"/>
                <w:szCs w:val="20"/>
                <w:color w:val="auto"/>
              </w:rPr>
            </w:pPr>
            <w:r>
              <w:rPr>
                <w:rFonts w:ascii="Arial" w:cs="Arial" w:eastAsia="Arial" w:hAnsi="Arial"/>
                <w:sz w:val="12"/>
                <w:szCs w:val="12"/>
                <w:color w:val="auto"/>
              </w:rPr>
              <w:t>50,471</w:t>
            </w: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2"/>
                <w:szCs w:val="12"/>
                <w:color w:val="auto"/>
              </w:rPr>
              <w:t>36.5%</w:t>
            </w:r>
          </w:p>
        </w:tc>
        <w:tc>
          <w:tcPr>
            <w:tcW w:w="0" w:type="dxa"/>
            <w:vAlign w:val="bottom"/>
          </w:tcPr>
          <w:p>
            <w:pPr>
              <w:spacing w:after="0"/>
              <w:rPr>
                <w:sz w:val="1"/>
                <w:szCs w:val="1"/>
                <w:color w:val="auto"/>
              </w:rPr>
            </w:pPr>
          </w:p>
        </w:tc>
      </w:tr>
      <w:tr>
        <w:trPr>
          <w:trHeight w:val="27"/>
        </w:trPr>
        <w:tc>
          <w:tcPr>
            <w:tcW w:w="640" w:type="dxa"/>
            <w:vAlign w:val="bottom"/>
          </w:tcPr>
          <w:p>
            <w:pPr>
              <w:spacing w:after="0"/>
              <w:rPr>
                <w:sz w:val="2"/>
                <w:szCs w:val="2"/>
                <w:color w:val="auto"/>
              </w:rPr>
            </w:pPr>
          </w:p>
        </w:tc>
        <w:tc>
          <w:tcPr>
            <w:tcW w:w="7240" w:type="dxa"/>
            <w:vAlign w:val="bottom"/>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62" w:lineRule="exact"/>
        <w:rPr>
          <w:sz w:val="20"/>
          <w:szCs w:val="20"/>
          <w:color w:val="auto"/>
        </w:rPr>
      </w:pPr>
    </w:p>
    <w:p>
      <w:pPr>
        <w:ind w:right="100" w:firstLine="602"/>
        <w:spacing w:after="0" w:line="263" w:lineRule="auto"/>
        <w:rPr>
          <w:sz w:val="20"/>
          <w:szCs w:val="20"/>
          <w:color w:val="auto"/>
        </w:rPr>
      </w:pPr>
      <w:r>
        <w:rPr>
          <w:rFonts w:ascii="Arial" w:cs="Arial" w:eastAsia="Arial" w:hAnsi="Arial"/>
          <w:sz w:val="12"/>
          <w:szCs w:val="12"/>
          <w:i w:val="1"/>
          <w:iCs w:val="1"/>
          <w:color w:val="auto"/>
        </w:rPr>
        <w:t xml:space="preserve">Selling, General and Administrative Expenses. </w:t>
      </w:r>
      <w:r>
        <w:rPr>
          <w:rFonts w:ascii="Arial" w:cs="Arial" w:eastAsia="Arial" w:hAnsi="Arial"/>
          <w:sz w:val="12"/>
          <w:szCs w:val="12"/>
          <w:color w:val="auto"/>
        </w:rPr>
        <w:t>Selling, general and administrative expenses were $44.9 million for the 2017 Successor Period and consisted of payroll and payroll-related cost, real estate lease expense,</w:t>
      </w:r>
      <w:r>
        <w:rPr>
          <w:rFonts w:ascii="Arial" w:cs="Arial" w:eastAsia="Arial" w:hAnsi="Arial"/>
          <w:sz w:val="12"/>
          <w:szCs w:val="12"/>
          <w:i w:val="1"/>
          <w:iCs w:val="1"/>
          <w:color w:val="auto"/>
        </w:rPr>
        <w:t xml:space="preserve"> </w:t>
      </w:r>
      <w:r>
        <w:rPr>
          <w:rFonts w:ascii="Arial" w:cs="Arial" w:eastAsia="Arial" w:hAnsi="Arial"/>
          <w:sz w:val="12"/>
          <w:szCs w:val="12"/>
          <w:color w:val="auto"/>
        </w:rPr>
        <w:t>insurance costs, legal fees and general corporate expenses. Selling, general and administrative expenses for the 2017 Successor Period included $10.2 million of transaction expenses resulting from or closely aligned with the ATS Merger, $3.9 million of other non-recurring expenses and $4.2 million paid to Platinum Equity Advisors, LLC under a corporate advisory services agreement.</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40" w:type="dxa"/>
            <w:vAlign w:val="bottom"/>
          </w:tcPr>
          <w:p>
            <w:pPr>
              <w:spacing w:after="0"/>
              <w:rPr>
                <w:sz w:val="10"/>
                <w:szCs w:val="10"/>
                <w:color w:val="auto"/>
              </w:rPr>
            </w:pPr>
          </w:p>
        </w:tc>
        <w:tc>
          <w:tcPr>
            <w:tcW w:w="3380" w:type="dxa"/>
            <w:vAlign w:val="bottom"/>
          </w:tcPr>
          <w:p>
            <w:pPr>
              <w:spacing w:after="0"/>
              <w:rPr>
                <w:sz w:val="10"/>
                <w:szCs w:val="10"/>
                <w:color w:val="auto"/>
              </w:rPr>
            </w:pPr>
          </w:p>
        </w:tc>
        <w:tc>
          <w:tcPr>
            <w:tcW w:w="3860" w:type="dxa"/>
            <w:vAlign w:val="bottom"/>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gridSpan w:val="3"/>
          </w:tcPr>
          <w:p>
            <w:pPr>
              <w:ind w:left="360"/>
              <w:spacing w:after="0"/>
              <w:rPr>
                <w:sz w:val="20"/>
                <w:szCs w:val="20"/>
                <w:color w:val="auto"/>
              </w:rPr>
            </w:pPr>
            <w:r>
              <w:rPr>
                <w:rFonts w:ascii="Arial" w:cs="Arial" w:eastAsia="Arial" w:hAnsi="Arial"/>
                <w:sz w:val="10"/>
                <w:szCs w:val="10"/>
                <w:b w:val="1"/>
                <w:bCs w:val="1"/>
                <w:color w:val="auto"/>
              </w:rPr>
              <w:t>Successor</w:t>
            </w:r>
          </w:p>
        </w:tc>
        <w:tc>
          <w:tcPr>
            <w:tcW w:w="128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3"/>
        </w:trPr>
        <w:tc>
          <w:tcPr>
            <w:tcW w:w="640" w:type="dxa"/>
            <w:vAlign w:val="bottom"/>
          </w:tcPr>
          <w:p>
            <w:pPr>
              <w:spacing w:after="0"/>
              <w:rPr>
                <w:sz w:val="7"/>
                <w:szCs w:val="7"/>
                <w:color w:val="auto"/>
              </w:rPr>
            </w:pPr>
          </w:p>
        </w:tc>
        <w:tc>
          <w:tcPr>
            <w:tcW w:w="3380" w:type="dxa"/>
            <w:vAlign w:val="bottom"/>
          </w:tcPr>
          <w:p>
            <w:pPr>
              <w:spacing w:after="0"/>
              <w:rPr>
                <w:sz w:val="7"/>
                <w:szCs w:val="7"/>
                <w:color w:val="auto"/>
              </w:rPr>
            </w:pPr>
          </w:p>
        </w:tc>
        <w:tc>
          <w:tcPr>
            <w:tcW w:w="3860" w:type="dxa"/>
            <w:vAlign w:val="bottom"/>
          </w:tcPr>
          <w:p>
            <w:pPr>
              <w:spacing w:after="0"/>
              <w:rPr>
                <w:sz w:val="7"/>
                <w:szCs w:val="7"/>
                <w:color w:val="auto"/>
              </w:rPr>
            </w:pPr>
          </w:p>
        </w:tc>
        <w:tc>
          <w:tcPr>
            <w:tcW w:w="1180" w:type="dxa"/>
            <w:vAlign w:val="bottom"/>
          </w:tcPr>
          <w:p>
            <w:pPr>
              <w:jc w:val="center"/>
              <w:ind w:left="353"/>
              <w:spacing w:after="0" w:line="83" w:lineRule="exact"/>
              <w:rPr>
                <w:sz w:val="20"/>
                <w:szCs w:val="20"/>
                <w:color w:val="auto"/>
              </w:rPr>
            </w:pPr>
            <w:r>
              <w:rPr>
                <w:rFonts w:ascii="Arial" w:cs="Arial" w:eastAsia="Arial" w:hAnsi="Arial"/>
                <w:sz w:val="8"/>
                <w:szCs w:val="8"/>
                <w:b w:val="1"/>
                <w:bCs w:val="1"/>
                <w:color w:val="auto"/>
              </w:rPr>
              <w:t>Period From</w:t>
            </w:r>
          </w:p>
        </w:tc>
        <w:tc>
          <w:tcPr>
            <w:tcW w:w="400" w:type="dxa"/>
            <w:vAlign w:val="bottom"/>
          </w:tcPr>
          <w:p>
            <w:pPr>
              <w:spacing w:after="0"/>
              <w:rPr>
                <w:sz w:val="7"/>
                <w:szCs w:val="7"/>
                <w:color w:val="auto"/>
              </w:rPr>
            </w:pPr>
          </w:p>
        </w:tc>
        <w:tc>
          <w:tcPr>
            <w:tcW w:w="3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640" w:type="dxa"/>
            <w:vAlign w:val="bottom"/>
          </w:tcPr>
          <w:p>
            <w:pPr>
              <w:spacing w:after="0"/>
              <w:rPr>
                <w:sz w:val="8"/>
                <w:szCs w:val="8"/>
                <w:color w:val="auto"/>
              </w:rPr>
            </w:pPr>
          </w:p>
        </w:tc>
        <w:tc>
          <w:tcPr>
            <w:tcW w:w="3380" w:type="dxa"/>
            <w:vAlign w:val="bottom"/>
          </w:tcPr>
          <w:p>
            <w:pPr>
              <w:spacing w:after="0"/>
              <w:rPr>
                <w:sz w:val="8"/>
                <w:szCs w:val="8"/>
                <w:color w:val="auto"/>
              </w:rPr>
            </w:pPr>
          </w:p>
        </w:tc>
        <w:tc>
          <w:tcPr>
            <w:tcW w:w="3860" w:type="dxa"/>
            <w:vAlign w:val="bottom"/>
          </w:tcPr>
          <w:p>
            <w:pPr>
              <w:spacing w:after="0"/>
              <w:rPr>
                <w:sz w:val="8"/>
                <w:szCs w:val="8"/>
                <w:color w:val="auto"/>
              </w:rPr>
            </w:pPr>
          </w:p>
        </w:tc>
        <w:tc>
          <w:tcPr>
            <w:tcW w:w="1180" w:type="dxa"/>
            <w:vAlign w:val="bottom"/>
          </w:tcPr>
          <w:p>
            <w:pPr>
              <w:jc w:val="center"/>
              <w:ind w:left="353"/>
              <w:spacing w:after="0" w:line="99" w:lineRule="exact"/>
              <w:rPr>
                <w:sz w:val="20"/>
                <w:szCs w:val="20"/>
                <w:color w:val="auto"/>
              </w:rPr>
            </w:pPr>
            <w:r>
              <w:rPr>
                <w:rFonts w:ascii="Arial" w:cs="Arial" w:eastAsia="Arial" w:hAnsi="Arial"/>
                <w:sz w:val="10"/>
                <w:szCs w:val="10"/>
                <w:b w:val="1"/>
                <w:bCs w:val="1"/>
                <w:color w:val="auto"/>
                <w:w w:val="86"/>
              </w:rPr>
              <w:t>June 1, 2017 to</w:t>
            </w: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640" w:type="dxa"/>
            <w:vAlign w:val="bottom"/>
          </w:tcPr>
          <w:p>
            <w:pPr>
              <w:spacing w:after="0"/>
              <w:rPr>
                <w:sz w:val="8"/>
                <w:szCs w:val="8"/>
                <w:color w:val="auto"/>
              </w:rPr>
            </w:pPr>
          </w:p>
        </w:tc>
        <w:tc>
          <w:tcPr>
            <w:tcW w:w="3380" w:type="dxa"/>
            <w:vAlign w:val="bottom"/>
          </w:tcPr>
          <w:p>
            <w:pPr>
              <w:spacing w:after="0"/>
              <w:rPr>
                <w:sz w:val="8"/>
                <w:szCs w:val="8"/>
                <w:color w:val="auto"/>
              </w:rPr>
            </w:pPr>
          </w:p>
        </w:tc>
        <w:tc>
          <w:tcPr>
            <w:tcW w:w="3860" w:type="dxa"/>
            <w:vAlign w:val="bottom"/>
          </w:tcPr>
          <w:p>
            <w:pPr>
              <w:spacing w:after="0"/>
              <w:rPr>
                <w:sz w:val="8"/>
                <w:szCs w:val="8"/>
                <w:color w:val="auto"/>
              </w:rPr>
            </w:pPr>
          </w:p>
        </w:tc>
        <w:tc>
          <w:tcPr>
            <w:tcW w:w="1180" w:type="dxa"/>
            <w:vAlign w:val="bottom"/>
          </w:tcPr>
          <w:p>
            <w:pPr>
              <w:jc w:val="center"/>
              <w:ind w:left="373"/>
              <w:spacing w:after="0" w:line="99" w:lineRule="exact"/>
              <w:rPr>
                <w:sz w:val="20"/>
                <w:szCs w:val="20"/>
                <w:color w:val="auto"/>
              </w:rPr>
            </w:pPr>
            <w:r>
              <w:rPr>
                <w:rFonts w:ascii="Arial" w:cs="Arial" w:eastAsia="Arial" w:hAnsi="Arial"/>
                <w:sz w:val="10"/>
                <w:szCs w:val="10"/>
                <w:b w:val="1"/>
                <w:bCs w:val="1"/>
                <w:color w:val="auto"/>
                <w:w w:val="86"/>
              </w:rPr>
              <w:t>December 31,</w:t>
            </w: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20" w:type="dxa"/>
            <w:vAlign w:val="bottom"/>
            <w:gridSpan w:val="2"/>
          </w:tcPr>
          <w:p>
            <w:pPr>
              <w:jc w:val="right"/>
              <w:ind w:right="700"/>
              <w:spacing w:after="0" w:line="99" w:lineRule="exact"/>
              <w:rPr>
                <w:sz w:val="20"/>
                <w:szCs w:val="20"/>
                <w:color w:val="auto"/>
              </w:rPr>
            </w:pPr>
            <w:r>
              <w:rPr>
                <w:rFonts w:ascii="Arial" w:cs="Arial" w:eastAsia="Arial" w:hAnsi="Arial"/>
                <w:sz w:val="10"/>
                <w:szCs w:val="10"/>
                <w:b w:val="1"/>
                <w:bCs w:val="1"/>
                <w:color w:val="auto"/>
              </w:rPr>
              <w:t>Percentage</w:t>
            </w:r>
          </w:p>
        </w:tc>
        <w:tc>
          <w:tcPr>
            <w:tcW w:w="0" w:type="dxa"/>
            <w:vAlign w:val="bottom"/>
          </w:tcPr>
          <w:p>
            <w:pPr>
              <w:spacing w:after="0"/>
              <w:rPr>
                <w:sz w:val="1"/>
                <w:szCs w:val="1"/>
                <w:color w:val="auto"/>
              </w:rPr>
            </w:pPr>
          </w:p>
        </w:tc>
      </w:tr>
      <w:tr>
        <w:trPr>
          <w:trHeight w:val="105"/>
        </w:trPr>
        <w:tc>
          <w:tcPr>
            <w:tcW w:w="4020" w:type="dxa"/>
            <w:vAlign w:val="bottom"/>
            <w:gridSpan w:val="2"/>
          </w:tcPr>
          <w:p>
            <w:pPr>
              <w:spacing w:after="0" w:line="105" w:lineRule="exact"/>
              <w:rPr>
                <w:sz w:val="20"/>
                <w:szCs w:val="20"/>
                <w:color w:val="auto"/>
              </w:rPr>
            </w:pPr>
            <w:r>
              <w:rPr>
                <w:rFonts w:ascii="Arial" w:cs="Arial" w:eastAsia="Arial" w:hAnsi="Arial"/>
                <w:sz w:val="10"/>
                <w:szCs w:val="10"/>
                <w:b w:val="1"/>
                <w:bCs w:val="1"/>
                <w:u w:val="single" w:color="auto"/>
                <w:color w:val="auto"/>
              </w:rPr>
              <w:t>(</w:t>
            </w:r>
            <w:r>
              <w:rPr>
                <w:rFonts w:ascii="Arial" w:cs="Arial" w:eastAsia="Arial" w:hAnsi="Arial"/>
                <w:sz w:val="10"/>
                <w:szCs w:val="10"/>
                <w:b w:val="1"/>
                <w:bCs w:val="1"/>
                <w:color w:val="auto"/>
              </w:rPr>
              <w:t>$ in thousands)</w:t>
            </w:r>
          </w:p>
        </w:tc>
        <w:tc>
          <w:tcPr>
            <w:tcW w:w="5040" w:type="dxa"/>
            <w:vAlign w:val="bottom"/>
            <w:gridSpan w:val="2"/>
          </w:tcPr>
          <w:p>
            <w:pPr>
              <w:jc w:val="center"/>
              <w:ind w:left="4204"/>
              <w:spacing w:after="0" w:line="105" w:lineRule="exact"/>
              <w:rPr>
                <w:sz w:val="20"/>
                <w:szCs w:val="20"/>
                <w:color w:val="auto"/>
              </w:rPr>
            </w:pPr>
            <w:r>
              <w:rPr>
                <w:rFonts w:ascii="Arial" w:cs="Arial" w:eastAsia="Arial" w:hAnsi="Arial"/>
                <w:sz w:val="10"/>
                <w:szCs w:val="10"/>
                <w:b w:val="1"/>
                <w:bCs w:val="1"/>
                <w:color w:val="auto"/>
                <w:w w:val="80"/>
              </w:rPr>
              <w:t>2017</w:t>
            </w: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20" w:type="dxa"/>
            <w:vAlign w:val="bottom"/>
            <w:gridSpan w:val="2"/>
          </w:tcPr>
          <w:p>
            <w:pPr>
              <w:jc w:val="right"/>
              <w:ind w:right="700"/>
              <w:spacing w:after="0" w:line="105" w:lineRule="exact"/>
              <w:rPr>
                <w:sz w:val="20"/>
                <w:szCs w:val="20"/>
                <w:color w:val="auto"/>
              </w:rPr>
            </w:pPr>
            <w:r>
              <w:rPr>
                <w:rFonts w:ascii="Arial" w:cs="Arial" w:eastAsia="Arial" w:hAnsi="Arial"/>
                <w:sz w:val="10"/>
                <w:szCs w:val="10"/>
                <w:b w:val="1"/>
                <w:bCs w:val="1"/>
                <w:color w:val="auto"/>
              </w:rPr>
              <w:t>of Revenue</w:t>
            </w:r>
          </w:p>
        </w:tc>
        <w:tc>
          <w:tcPr>
            <w:tcW w:w="0" w:type="dxa"/>
            <w:vAlign w:val="bottom"/>
          </w:tcPr>
          <w:p>
            <w:pPr>
              <w:spacing w:after="0"/>
              <w:rPr>
                <w:sz w:val="1"/>
                <w:szCs w:val="1"/>
                <w:color w:val="auto"/>
              </w:rPr>
            </w:pPr>
          </w:p>
        </w:tc>
      </w:tr>
      <w:tr>
        <w:trPr>
          <w:trHeight w:val="20"/>
        </w:trPr>
        <w:tc>
          <w:tcPr>
            <w:tcW w:w="640" w:type="dxa"/>
            <w:vAlign w:val="bottom"/>
            <w:tcBorders>
              <w:bottom w:val="single" w:sz="8" w:color="CFF0FC"/>
            </w:tcBorders>
            <w:shd w:val="clear" w:color="auto" w:fill="000000"/>
          </w:tcPr>
          <w:p>
            <w:pPr>
              <w:spacing w:after="0" w:line="20" w:lineRule="exact"/>
              <w:rPr>
                <w:sz w:val="1"/>
                <w:szCs w:val="1"/>
                <w:color w:val="auto"/>
              </w:rPr>
            </w:pPr>
          </w:p>
        </w:tc>
        <w:tc>
          <w:tcPr>
            <w:tcW w:w="3380" w:type="dxa"/>
            <w:vAlign w:val="bottom"/>
            <w:tcBorders>
              <w:bottom w:val="single" w:sz="8" w:color="CFF0FC"/>
            </w:tcBorders>
          </w:tcPr>
          <w:p>
            <w:pPr>
              <w:spacing w:after="0" w:line="20" w:lineRule="exact"/>
              <w:rPr>
                <w:sz w:val="1"/>
                <w:szCs w:val="1"/>
                <w:color w:val="auto"/>
              </w:rPr>
            </w:pPr>
          </w:p>
        </w:tc>
        <w:tc>
          <w:tcPr>
            <w:tcW w:w="3860" w:type="dxa"/>
            <w:vAlign w:val="bottom"/>
            <w:tcBorders>
              <w:bottom w:val="single" w:sz="8" w:color="CFF0FC"/>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FF0FC"/>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4020" w:type="dxa"/>
            <w:vAlign w:val="bottom"/>
            <w:gridSpan w:val="2"/>
            <w:shd w:val="clear" w:color="auto" w:fill="CFF0FC"/>
          </w:tcPr>
          <w:p>
            <w:pPr>
              <w:spacing w:after="0" w:line="132" w:lineRule="exact"/>
              <w:rPr>
                <w:sz w:val="20"/>
                <w:szCs w:val="20"/>
                <w:color w:val="auto"/>
              </w:rPr>
            </w:pPr>
            <w:r>
              <w:rPr>
                <w:rFonts w:ascii="Arial" w:cs="Arial" w:eastAsia="Arial" w:hAnsi="Arial"/>
                <w:sz w:val="12"/>
                <w:szCs w:val="12"/>
                <w:b w:val="1"/>
                <w:bCs w:val="1"/>
                <w:color w:val="auto"/>
              </w:rPr>
              <w:t>Selling, general and administrative expenses</w:t>
            </w:r>
          </w:p>
        </w:tc>
        <w:tc>
          <w:tcPr>
            <w:tcW w:w="3860" w:type="dxa"/>
            <w:vAlign w:val="bottom"/>
            <w:shd w:val="clear" w:color="auto" w:fill="CFF0FC"/>
          </w:tcPr>
          <w:p>
            <w:pPr>
              <w:spacing w:after="0"/>
              <w:rPr>
                <w:sz w:val="11"/>
                <w:szCs w:val="11"/>
                <w:color w:val="auto"/>
              </w:rPr>
            </w:pPr>
          </w:p>
        </w:tc>
        <w:tc>
          <w:tcPr>
            <w:tcW w:w="118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2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4020" w:type="dxa"/>
            <w:vAlign w:val="bottom"/>
            <w:gridSpan w:val="2"/>
          </w:tcPr>
          <w:p>
            <w:pPr>
              <w:ind w:left="160"/>
              <w:spacing w:after="0"/>
              <w:rPr>
                <w:sz w:val="20"/>
                <w:szCs w:val="20"/>
                <w:color w:val="auto"/>
              </w:rPr>
            </w:pPr>
            <w:r>
              <w:rPr>
                <w:rFonts w:ascii="Arial" w:cs="Arial" w:eastAsia="Arial" w:hAnsi="Arial"/>
                <w:sz w:val="12"/>
                <w:szCs w:val="12"/>
                <w:color w:val="auto"/>
              </w:rPr>
              <w:t>Commercial Services</w:t>
            </w:r>
          </w:p>
        </w:tc>
        <w:tc>
          <w:tcPr>
            <w:tcW w:w="5040" w:type="dxa"/>
            <w:vAlign w:val="bottom"/>
            <w:gridSpan w:val="2"/>
          </w:tcPr>
          <w:p>
            <w:pPr>
              <w:jc w:val="right"/>
              <w:ind w:right="1073"/>
              <w:spacing w:after="0"/>
              <w:rPr>
                <w:sz w:val="20"/>
                <w:szCs w:val="20"/>
                <w:color w:val="auto"/>
              </w:rPr>
            </w:pPr>
            <w:r>
              <w:rPr>
                <w:rFonts w:ascii="Arial" w:cs="Arial" w:eastAsia="Arial" w:hAnsi="Arial"/>
                <w:sz w:val="12"/>
                <w:szCs w:val="12"/>
                <w:color w:val="auto"/>
              </w:rPr>
              <w:t>$</w:t>
            </w:r>
          </w:p>
        </w:tc>
        <w:tc>
          <w:tcPr>
            <w:tcW w:w="400" w:type="dxa"/>
            <w:vAlign w:val="bottom"/>
          </w:tcPr>
          <w:p>
            <w:pPr>
              <w:jc w:val="right"/>
              <w:spacing w:after="0"/>
              <w:rPr>
                <w:sz w:val="20"/>
                <w:szCs w:val="20"/>
                <w:color w:val="auto"/>
              </w:rPr>
            </w:pPr>
            <w:r>
              <w:rPr>
                <w:rFonts w:ascii="Arial" w:cs="Arial" w:eastAsia="Arial" w:hAnsi="Arial"/>
                <w:sz w:val="12"/>
                <w:szCs w:val="12"/>
                <w:color w:val="auto"/>
              </w:rPr>
              <w:t>14,784</w:t>
            </w:r>
          </w:p>
        </w:tc>
        <w:tc>
          <w:tcPr>
            <w:tcW w:w="3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2"/>
                <w:szCs w:val="12"/>
                <w:color w:val="auto"/>
              </w:rPr>
              <w:t>10.7%</w:t>
            </w:r>
          </w:p>
        </w:tc>
        <w:tc>
          <w:tcPr>
            <w:tcW w:w="0" w:type="dxa"/>
            <w:vAlign w:val="bottom"/>
          </w:tcPr>
          <w:p>
            <w:pPr>
              <w:spacing w:after="0"/>
              <w:rPr>
                <w:sz w:val="1"/>
                <w:szCs w:val="1"/>
                <w:color w:val="auto"/>
              </w:rPr>
            </w:pPr>
          </w:p>
        </w:tc>
      </w:tr>
      <w:tr>
        <w:trPr>
          <w:trHeight w:val="153"/>
        </w:trPr>
        <w:tc>
          <w:tcPr>
            <w:tcW w:w="4020" w:type="dxa"/>
            <w:vAlign w:val="bottom"/>
            <w:gridSpan w:val="2"/>
            <w:shd w:val="clear" w:color="auto" w:fill="CFF0FC"/>
          </w:tcPr>
          <w:p>
            <w:pPr>
              <w:ind w:left="160"/>
              <w:spacing w:after="0"/>
              <w:rPr>
                <w:sz w:val="20"/>
                <w:szCs w:val="20"/>
                <w:color w:val="auto"/>
              </w:rPr>
            </w:pPr>
            <w:r>
              <w:rPr>
                <w:rFonts w:ascii="Arial" w:cs="Arial" w:eastAsia="Arial" w:hAnsi="Arial"/>
                <w:sz w:val="12"/>
                <w:szCs w:val="12"/>
                <w:color w:val="auto"/>
              </w:rPr>
              <w:t>Government Solutions</w:t>
            </w:r>
          </w:p>
        </w:tc>
        <w:tc>
          <w:tcPr>
            <w:tcW w:w="3860" w:type="dxa"/>
            <w:vAlign w:val="bottom"/>
            <w:shd w:val="clear" w:color="auto" w:fill="CFF0FC"/>
          </w:tcPr>
          <w:p>
            <w:pPr>
              <w:spacing w:after="0"/>
              <w:rPr>
                <w:sz w:val="13"/>
                <w:szCs w:val="13"/>
                <w:color w:val="auto"/>
              </w:rPr>
            </w:pPr>
          </w:p>
        </w:tc>
        <w:tc>
          <w:tcPr>
            <w:tcW w:w="1180" w:type="dxa"/>
            <w:vAlign w:val="bottom"/>
            <w:shd w:val="clear" w:color="auto" w:fill="CFF0FC"/>
          </w:tcPr>
          <w:p>
            <w:pPr>
              <w:spacing w:after="0"/>
              <w:rPr>
                <w:sz w:val="13"/>
                <w:szCs w:val="13"/>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11,767</w:t>
            </w:r>
          </w:p>
        </w:tc>
        <w:tc>
          <w:tcPr>
            <w:tcW w:w="30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420" w:type="dxa"/>
            <w:vAlign w:val="bottom"/>
            <w:gridSpan w:val="2"/>
            <w:shd w:val="clear" w:color="auto" w:fill="CFF0FC"/>
          </w:tcPr>
          <w:p>
            <w:pPr>
              <w:jc w:val="right"/>
              <w:ind w:right="40"/>
              <w:spacing w:after="0"/>
              <w:rPr>
                <w:sz w:val="20"/>
                <w:szCs w:val="20"/>
                <w:color w:val="auto"/>
              </w:rPr>
            </w:pPr>
            <w:r>
              <w:rPr>
                <w:rFonts w:ascii="Arial" w:cs="Arial" w:eastAsia="Arial" w:hAnsi="Arial"/>
                <w:sz w:val="12"/>
                <w:szCs w:val="12"/>
                <w:color w:val="auto"/>
              </w:rPr>
              <w:t>8.5%</w:t>
            </w:r>
          </w:p>
        </w:tc>
        <w:tc>
          <w:tcPr>
            <w:tcW w:w="0" w:type="dxa"/>
            <w:vAlign w:val="bottom"/>
          </w:tcPr>
          <w:p>
            <w:pPr>
              <w:spacing w:after="0"/>
              <w:rPr>
                <w:sz w:val="1"/>
                <w:szCs w:val="1"/>
                <w:color w:val="auto"/>
              </w:rPr>
            </w:pPr>
          </w:p>
        </w:tc>
      </w:tr>
      <w:tr>
        <w:trPr>
          <w:trHeight w:val="153"/>
        </w:trPr>
        <w:tc>
          <w:tcPr>
            <w:tcW w:w="4020" w:type="dxa"/>
            <w:vAlign w:val="bottom"/>
            <w:gridSpan w:val="2"/>
          </w:tcPr>
          <w:p>
            <w:pPr>
              <w:ind w:left="160"/>
              <w:spacing w:after="0"/>
              <w:rPr>
                <w:sz w:val="20"/>
                <w:szCs w:val="20"/>
                <w:color w:val="auto"/>
              </w:rPr>
            </w:pPr>
            <w:r>
              <w:rPr>
                <w:rFonts w:ascii="Arial" w:cs="Arial" w:eastAsia="Arial" w:hAnsi="Arial"/>
                <w:sz w:val="12"/>
                <w:szCs w:val="12"/>
                <w:color w:val="auto"/>
              </w:rPr>
              <w:t>Corporate</w:t>
            </w:r>
          </w:p>
        </w:tc>
        <w:tc>
          <w:tcPr>
            <w:tcW w:w="38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18,331</w:t>
            </w:r>
          </w:p>
        </w:tc>
        <w:tc>
          <w:tcPr>
            <w:tcW w:w="3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2"/>
                <w:szCs w:val="12"/>
                <w:color w:val="auto"/>
              </w:rPr>
              <w:t>13.3%</w:t>
            </w:r>
          </w:p>
        </w:tc>
        <w:tc>
          <w:tcPr>
            <w:tcW w:w="0" w:type="dxa"/>
            <w:vAlign w:val="bottom"/>
          </w:tcPr>
          <w:p>
            <w:pPr>
              <w:spacing w:after="0"/>
              <w:rPr>
                <w:sz w:val="1"/>
                <w:szCs w:val="1"/>
                <w:color w:val="auto"/>
              </w:rPr>
            </w:pPr>
          </w:p>
        </w:tc>
      </w:tr>
      <w:tr>
        <w:trPr>
          <w:trHeight w:val="20"/>
        </w:trPr>
        <w:tc>
          <w:tcPr>
            <w:tcW w:w="4020" w:type="dxa"/>
            <w:vAlign w:val="bottom"/>
            <w:gridSpan w:val="2"/>
            <w:vMerge w:val="restart"/>
            <w:shd w:val="clear" w:color="auto" w:fill="CFF0FC"/>
          </w:tcPr>
          <w:p>
            <w:pPr>
              <w:spacing w:after="0"/>
              <w:rPr>
                <w:sz w:val="20"/>
                <w:szCs w:val="20"/>
                <w:color w:val="auto"/>
              </w:rPr>
            </w:pPr>
            <w:r>
              <w:rPr>
                <w:rFonts w:ascii="Arial" w:cs="Arial" w:eastAsia="Arial" w:hAnsi="Arial"/>
                <w:sz w:val="12"/>
                <w:szCs w:val="12"/>
                <w:color w:val="auto"/>
              </w:rPr>
              <w:t>Total selling, general and administrative expenses</w:t>
            </w:r>
          </w:p>
        </w:tc>
        <w:tc>
          <w:tcPr>
            <w:tcW w:w="3860" w:type="dxa"/>
            <w:vAlign w:val="bottom"/>
            <w:shd w:val="clear" w:color="auto" w:fill="CFF0FC"/>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4020" w:type="dxa"/>
            <w:vAlign w:val="bottom"/>
            <w:gridSpan w:val="2"/>
            <w:vMerge w:val="continue"/>
            <w:shd w:val="clear" w:color="auto" w:fill="CFF0FC"/>
          </w:tcPr>
          <w:p>
            <w:pPr>
              <w:spacing w:after="0"/>
              <w:rPr>
                <w:sz w:val="14"/>
                <w:szCs w:val="14"/>
                <w:color w:val="auto"/>
              </w:rPr>
            </w:pPr>
          </w:p>
        </w:tc>
        <w:tc>
          <w:tcPr>
            <w:tcW w:w="3860" w:type="dxa"/>
            <w:vAlign w:val="bottom"/>
            <w:shd w:val="clear" w:color="auto" w:fill="CFF0FC"/>
          </w:tcPr>
          <w:p>
            <w:pPr>
              <w:spacing w:after="0"/>
              <w:rPr>
                <w:sz w:val="14"/>
                <w:szCs w:val="14"/>
                <w:color w:val="auto"/>
              </w:rPr>
            </w:pPr>
          </w:p>
        </w:tc>
        <w:tc>
          <w:tcPr>
            <w:tcW w:w="1180" w:type="dxa"/>
            <w:vAlign w:val="bottom"/>
            <w:shd w:val="clear" w:color="auto" w:fill="CFF0FC"/>
          </w:tcPr>
          <w:p>
            <w:pPr>
              <w:jc w:val="right"/>
              <w:ind w:right="1073"/>
              <w:spacing w:after="0"/>
              <w:rPr>
                <w:sz w:val="20"/>
                <w:szCs w:val="20"/>
                <w:color w:val="auto"/>
              </w:rPr>
            </w:pPr>
            <w:r>
              <w:rPr>
                <w:rFonts w:ascii="Arial" w:cs="Arial" w:eastAsia="Arial" w:hAnsi="Arial"/>
                <w:sz w:val="10"/>
                <w:szCs w:val="10"/>
                <w:color w:val="auto"/>
                <w:w w:val="71"/>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44,882</w:t>
            </w:r>
          </w:p>
        </w:tc>
        <w:tc>
          <w:tcPr>
            <w:tcW w:w="3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420" w:type="dxa"/>
            <w:vAlign w:val="bottom"/>
            <w:gridSpan w:val="2"/>
            <w:shd w:val="clear" w:color="auto" w:fill="CFF0FC"/>
          </w:tcPr>
          <w:p>
            <w:pPr>
              <w:jc w:val="right"/>
              <w:ind w:right="40"/>
              <w:spacing w:after="0"/>
              <w:rPr>
                <w:sz w:val="20"/>
                <w:szCs w:val="20"/>
                <w:color w:val="auto"/>
              </w:rPr>
            </w:pPr>
            <w:r>
              <w:rPr>
                <w:rFonts w:ascii="Arial" w:cs="Arial" w:eastAsia="Arial" w:hAnsi="Arial"/>
                <w:sz w:val="12"/>
                <w:szCs w:val="12"/>
                <w:color w:val="auto"/>
              </w:rPr>
              <w:t>32.5%</w:t>
            </w:r>
          </w:p>
        </w:tc>
        <w:tc>
          <w:tcPr>
            <w:tcW w:w="0" w:type="dxa"/>
            <w:vAlign w:val="bottom"/>
          </w:tcPr>
          <w:p>
            <w:pPr>
              <w:spacing w:after="0"/>
              <w:rPr>
                <w:sz w:val="1"/>
                <w:szCs w:val="1"/>
                <w:color w:val="auto"/>
              </w:rPr>
            </w:pPr>
          </w:p>
        </w:tc>
      </w:tr>
      <w:tr>
        <w:trPr>
          <w:trHeight w:val="437"/>
        </w:trPr>
        <w:tc>
          <w:tcPr>
            <w:tcW w:w="640" w:type="dxa"/>
            <w:vAlign w:val="bottom"/>
            <w:tcBorders>
              <w:top w:val="single" w:sz="8" w:color="CFF0FC"/>
            </w:tcBorders>
          </w:tcPr>
          <w:p>
            <w:pPr>
              <w:spacing w:after="0"/>
              <w:rPr>
                <w:sz w:val="24"/>
                <w:szCs w:val="24"/>
                <w:color w:val="auto"/>
              </w:rPr>
            </w:pPr>
          </w:p>
        </w:tc>
        <w:tc>
          <w:tcPr>
            <w:tcW w:w="3380" w:type="dxa"/>
            <w:vAlign w:val="bottom"/>
            <w:tcBorders>
              <w:top w:val="single" w:sz="8" w:color="CFF0FC"/>
            </w:tcBorders>
          </w:tcPr>
          <w:p>
            <w:pPr>
              <w:spacing w:after="0"/>
              <w:rPr>
                <w:sz w:val="24"/>
                <w:szCs w:val="24"/>
                <w:color w:val="auto"/>
              </w:rPr>
            </w:pPr>
          </w:p>
        </w:tc>
        <w:tc>
          <w:tcPr>
            <w:tcW w:w="3860" w:type="dxa"/>
            <w:vAlign w:val="bottom"/>
            <w:tcBorders>
              <w:top w:val="single" w:sz="8" w:color="CFF0FC"/>
            </w:tcBorders>
          </w:tcPr>
          <w:p>
            <w:pPr>
              <w:jc w:val="right"/>
              <w:ind w:right="2024"/>
              <w:spacing w:after="0"/>
              <w:rPr>
                <w:sz w:val="20"/>
                <w:szCs w:val="20"/>
                <w:color w:val="auto"/>
              </w:rPr>
            </w:pPr>
            <w:r>
              <w:rPr>
                <w:rFonts w:ascii="Arial" w:cs="Arial" w:eastAsia="Arial" w:hAnsi="Arial"/>
                <w:sz w:val="12"/>
                <w:szCs w:val="12"/>
                <w:color w:val="auto"/>
              </w:rPr>
              <w:t>52</w:t>
            </w:r>
          </w:p>
        </w:tc>
        <w:tc>
          <w:tcPr>
            <w:tcW w:w="118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300" w:type="dxa"/>
            <w:vAlign w:val="bottom"/>
            <w:tcBorders>
              <w:top w:val="single" w:sz="8" w:color="CFF0FC"/>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640" w:type="dxa"/>
            <w:vAlign w:val="bottom"/>
            <w:tcBorders>
              <w:bottom w:val="single" w:sz="8" w:color="9A9A9A"/>
            </w:tcBorders>
          </w:tcPr>
          <w:p>
            <w:pPr>
              <w:spacing w:after="0"/>
              <w:rPr>
                <w:sz w:val="6"/>
                <w:szCs w:val="6"/>
                <w:color w:val="auto"/>
              </w:rPr>
            </w:pPr>
          </w:p>
        </w:tc>
        <w:tc>
          <w:tcPr>
            <w:tcW w:w="3380" w:type="dxa"/>
            <w:vAlign w:val="bottom"/>
            <w:tcBorders>
              <w:bottom w:val="single" w:sz="8" w:color="9A9A9A"/>
            </w:tcBorders>
          </w:tcPr>
          <w:p>
            <w:pPr>
              <w:spacing w:after="0"/>
              <w:rPr>
                <w:sz w:val="6"/>
                <w:szCs w:val="6"/>
                <w:color w:val="auto"/>
              </w:rPr>
            </w:pPr>
          </w:p>
        </w:tc>
        <w:tc>
          <w:tcPr>
            <w:tcW w:w="3860" w:type="dxa"/>
            <w:vAlign w:val="bottom"/>
            <w:tcBorders>
              <w:bottom w:val="single" w:sz="8" w:color="9A9A9A"/>
            </w:tcBorders>
          </w:tcPr>
          <w:p>
            <w:pPr>
              <w:spacing w:after="0"/>
              <w:rPr>
                <w:sz w:val="6"/>
                <w:szCs w:val="6"/>
                <w:color w:val="auto"/>
              </w:rPr>
            </w:pPr>
          </w:p>
        </w:tc>
        <w:tc>
          <w:tcPr>
            <w:tcW w:w="1180" w:type="dxa"/>
            <w:vAlign w:val="bottom"/>
            <w:tcBorders>
              <w:bottom w:val="single" w:sz="8" w:color="9A9A9A"/>
            </w:tcBorders>
          </w:tcPr>
          <w:p>
            <w:pPr>
              <w:spacing w:after="0"/>
              <w:rPr>
                <w:sz w:val="6"/>
                <w:szCs w:val="6"/>
                <w:color w:val="auto"/>
              </w:rPr>
            </w:pPr>
          </w:p>
        </w:tc>
        <w:tc>
          <w:tcPr>
            <w:tcW w:w="40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128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7268845</wp:posOffset>
            </wp:positionH>
            <wp:positionV relativeFrom="paragraph">
              <wp:posOffset>-23495</wp:posOffset>
            </wp:positionV>
            <wp:extent cx="31115" cy="3683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480"/>
          </w:cols>
          <w:pgMar w:left="220" w:top="275" w:right="199" w:bottom="1440" w:gutter="0" w:footer="0" w:header="0"/>
        </w:sectPr>
      </w:pPr>
    </w:p>
    <w:bookmarkStart w:id="53" w:name="page54"/>
    <w:bookmarkEnd w:id="53"/>
    <w:p>
      <w:pPr>
        <w:ind w:right="560" w:firstLine="602"/>
        <w:spacing w:after="0" w:line="323" w:lineRule="auto"/>
        <w:rPr>
          <w:sz w:val="20"/>
          <w:szCs w:val="20"/>
          <w:color w:val="auto"/>
        </w:rPr>
      </w:pPr>
      <w:r>
        <w:rPr>
          <w:rFonts w:ascii="Arial" w:cs="Arial" w:eastAsia="Arial" w:hAnsi="Arial"/>
          <w:sz w:val="11"/>
          <w:szCs w:val="11"/>
          <w:i w:val="1"/>
          <w:iCs w:val="1"/>
          <w:color w:val="auto"/>
        </w:rPr>
        <w:t xml:space="preserve">Depreciation, Amortization and Gain or Loss on Disposal of Assets, Net. </w:t>
      </w:r>
      <w:r>
        <w:rPr>
          <w:rFonts w:ascii="Arial" w:cs="Arial" w:eastAsia="Arial" w:hAnsi="Arial"/>
          <w:sz w:val="11"/>
          <w:szCs w:val="11"/>
          <w:color w:val="auto"/>
        </w:rPr>
        <w:t>Depreciation, amortization and gain or loss on disposal of assets, net of $33.1 million for the 2017 Successor Period included depreciation of</w:t>
      </w:r>
      <w:r>
        <w:rPr>
          <w:rFonts w:ascii="Arial" w:cs="Arial" w:eastAsia="Arial" w:hAnsi="Arial"/>
          <w:sz w:val="11"/>
          <w:szCs w:val="11"/>
          <w:i w:val="1"/>
          <w:iCs w:val="1"/>
          <w:color w:val="auto"/>
        </w:rPr>
        <w:t xml:space="preserve"> </w:t>
      </w:r>
      <w:r>
        <w:rPr>
          <w:rFonts w:ascii="Arial" w:cs="Arial" w:eastAsia="Arial" w:hAnsi="Arial"/>
          <w:sz w:val="11"/>
          <w:szCs w:val="11"/>
          <w:color w:val="auto"/>
        </w:rPr>
        <w:t>$14.4 million and $18.8 million of amortization. The amortization in the 2017 Successor Period resulted from $222.5 million of identifiable intangible assets recorded in connection with the ATS Merger.</w:t>
      </w:r>
    </w:p>
    <w:p>
      <w:pPr>
        <w:spacing w:after="0" w:line="92" w:lineRule="exact"/>
        <w:rPr>
          <w:sz w:val="20"/>
          <w:szCs w:val="20"/>
          <w:color w:val="auto"/>
        </w:rPr>
      </w:pPr>
    </w:p>
    <w:p>
      <w:pPr>
        <w:ind w:right="240" w:firstLine="602"/>
        <w:spacing w:after="0" w:line="276" w:lineRule="auto"/>
        <w:rPr>
          <w:sz w:val="20"/>
          <w:szCs w:val="20"/>
          <w:color w:val="auto"/>
        </w:rPr>
      </w:pPr>
      <w:r>
        <w:rPr>
          <w:rFonts w:ascii="Arial" w:cs="Arial" w:eastAsia="Arial" w:hAnsi="Arial"/>
          <w:sz w:val="12"/>
          <w:szCs w:val="12"/>
          <w:i w:val="1"/>
          <w:iCs w:val="1"/>
          <w:color w:val="auto"/>
        </w:rPr>
        <w:t xml:space="preserve">Interest Expense. </w:t>
      </w:r>
      <w:r>
        <w:rPr>
          <w:rFonts w:ascii="Arial" w:cs="Arial" w:eastAsia="Arial" w:hAnsi="Arial"/>
          <w:sz w:val="12"/>
          <w:szCs w:val="12"/>
          <w:color w:val="auto"/>
        </w:rPr>
        <w:t>Interest expense was $20.9 million in the 2017 Successor Period and was directly related to the 2017 Credit Facilities (defined below). In connection with the ATS Merger, we entered into the 2017 Credit</w:t>
      </w:r>
      <w:r>
        <w:rPr>
          <w:rFonts w:ascii="Arial" w:cs="Arial" w:eastAsia="Arial" w:hAnsi="Arial"/>
          <w:sz w:val="12"/>
          <w:szCs w:val="12"/>
          <w:i w:val="1"/>
          <w:iCs w:val="1"/>
          <w:color w:val="auto"/>
        </w:rPr>
        <w:t xml:space="preserve"> </w:t>
      </w:r>
      <w:r>
        <w:rPr>
          <w:rFonts w:ascii="Arial" w:cs="Arial" w:eastAsia="Arial" w:hAnsi="Arial"/>
          <w:sz w:val="12"/>
          <w:szCs w:val="12"/>
          <w:color w:val="auto"/>
        </w:rPr>
        <w:t>Facilities, consisting of term loans with an aggregate principal amount of $450 million and a $40 million revolving credit facility. See “</w:t>
      </w:r>
      <w:r>
        <w:rPr>
          <w:rFonts w:ascii="Arial" w:cs="Arial" w:eastAsia="Arial" w:hAnsi="Arial"/>
          <w:sz w:val="12"/>
          <w:szCs w:val="12"/>
          <w:i w:val="1"/>
          <w:iCs w:val="1"/>
          <w:color w:val="auto"/>
        </w:rPr>
        <w:t>Liquidity and Capital Resources</w:t>
      </w:r>
      <w:r>
        <w:rPr>
          <w:rFonts w:ascii="Arial" w:cs="Arial" w:eastAsia="Arial" w:hAnsi="Arial"/>
          <w:sz w:val="12"/>
          <w:szCs w:val="12"/>
          <w:color w:val="auto"/>
        </w:rPr>
        <w:t>.”</w:t>
      </w:r>
    </w:p>
    <w:p>
      <w:pPr>
        <w:spacing w:after="0" w:line="115" w:lineRule="exact"/>
        <w:rPr>
          <w:sz w:val="20"/>
          <w:szCs w:val="20"/>
          <w:color w:val="auto"/>
        </w:rPr>
      </w:pPr>
    </w:p>
    <w:p>
      <w:pPr>
        <w:ind w:right="160" w:firstLine="602"/>
        <w:spacing w:after="0" w:line="276" w:lineRule="auto"/>
        <w:rPr>
          <w:sz w:val="20"/>
          <w:szCs w:val="20"/>
          <w:color w:val="auto"/>
        </w:rPr>
      </w:pPr>
      <w:r>
        <w:rPr>
          <w:rFonts w:ascii="Arial" w:cs="Arial" w:eastAsia="Arial" w:hAnsi="Arial"/>
          <w:sz w:val="12"/>
          <w:szCs w:val="12"/>
          <w:i w:val="1"/>
          <w:iCs w:val="1"/>
          <w:color w:val="auto"/>
        </w:rPr>
        <w:t xml:space="preserve">Other Income, Net. </w:t>
      </w:r>
      <w:r>
        <w:rPr>
          <w:rFonts w:ascii="Arial" w:cs="Arial" w:eastAsia="Arial" w:hAnsi="Arial"/>
          <w:sz w:val="12"/>
          <w:szCs w:val="12"/>
          <w:color w:val="auto"/>
        </w:rPr>
        <w:t>Other income, net of $2.2 million for the 2017 Successor Period primarily related to volume rebates on our total spend on purchasing cards. We pay a high volume of tolls on behalf of our customers with</w:t>
      </w:r>
      <w:r>
        <w:rPr>
          <w:rFonts w:ascii="Arial" w:cs="Arial" w:eastAsia="Arial" w:hAnsi="Arial"/>
          <w:sz w:val="12"/>
          <w:szCs w:val="12"/>
          <w:i w:val="1"/>
          <w:iCs w:val="1"/>
          <w:color w:val="auto"/>
        </w:rPr>
        <w:t xml:space="preserve"> </w:t>
      </w:r>
      <w:r>
        <w:rPr>
          <w:rFonts w:ascii="Arial" w:cs="Arial" w:eastAsia="Arial" w:hAnsi="Arial"/>
          <w:sz w:val="12"/>
          <w:szCs w:val="12"/>
          <w:color w:val="auto"/>
        </w:rPr>
        <w:t>purchasing cards which generate rebates based on volume, payment terms and rebate frequency.</w:t>
      </w:r>
    </w:p>
    <w:p>
      <w:pPr>
        <w:spacing w:after="0" w:line="115" w:lineRule="exact"/>
        <w:rPr>
          <w:sz w:val="20"/>
          <w:szCs w:val="20"/>
          <w:color w:val="auto"/>
        </w:rPr>
      </w:pPr>
    </w:p>
    <w:p>
      <w:pPr>
        <w:ind w:right="160" w:firstLine="602"/>
        <w:spacing w:after="0" w:line="263" w:lineRule="auto"/>
        <w:rPr>
          <w:sz w:val="20"/>
          <w:szCs w:val="20"/>
          <w:color w:val="auto"/>
        </w:rPr>
      </w:pPr>
      <w:r>
        <w:rPr>
          <w:rFonts w:ascii="Arial" w:cs="Arial" w:eastAsia="Arial" w:hAnsi="Arial"/>
          <w:sz w:val="12"/>
          <w:szCs w:val="12"/>
          <w:i w:val="1"/>
          <w:iCs w:val="1"/>
          <w:color w:val="auto"/>
        </w:rPr>
        <w:t xml:space="preserve">Income Tax Benefit. </w:t>
      </w:r>
      <w:r>
        <w:rPr>
          <w:rFonts w:ascii="Arial" w:cs="Arial" w:eastAsia="Arial" w:hAnsi="Arial"/>
          <w:sz w:val="12"/>
          <w:szCs w:val="12"/>
          <w:color w:val="auto"/>
        </w:rPr>
        <w:t>The income tax benefit of $30.7 million for the 2017 Successor Period had an effective benefit rate of 246.6% which was primarily impacted by the accounting for the U.S. tax reform enacted on</w:t>
      </w:r>
      <w:r>
        <w:rPr>
          <w:rFonts w:ascii="Arial" w:cs="Arial" w:eastAsia="Arial" w:hAnsi="Arial"/>
          <w:sz w:val="12"/>
          <w:szCs w:val="12"/>
          <w:i w:val="1"/>
          <w:iCs w:val="1"/>
          <w:color w:val="auto"/>
        </w:rPr>
        <w:t xml:space="preserve"> </w:t>
      </w:r>
      <w:r>
        <w:rPr>
          <w:rFonts w:ascii="Arial" w:cs="Arial" w:eastAsia="Arial" w:hAnsi="Arial"/>
          <w:sz w:val="12"/>
          <w:szCs w:val="12"/>
          <w:color w:val="auto"/>
        </w:rPr>
        <w:t>December 22, 2017, which reduced the federal income tax rate from 35% to 21%. We recognized a net provisional benefit of $27.3 million related to the re-measurement of our net deferred tax liabilities for this rate change, affecting the rate by 219.8%. Excluding the effects of the tax reform, our tax benefit rate for the 2017 Successor Period was 26.9%.</w:t>
      </w:r>
    </w:p>
    <w:p>
      <w:pPr>
        <w:spacing w:after="0" w:line="123" w:lineRule="exact"/>
        <w:rPr>
          <w:sz w:val="20"/>
          <w:szCs w:val="20"/>
          <w:color w:val="auto"/>
        </w:rPr>
      </w:pPr>
    </w:p>
    <w:p>
      <w:pPr>
        <w:ind w:left="600"/>
        <w:spacing w:after="0"/>
        <w:rPr>
          <w:sz w:val="20"/>
          <w:szCs w:val="20"/>
          <w:color w:val="auto"/>
        </w:rPr>
      </w:pPr>
      <w:r>
        <w:rPr>
          <w:rFonts w:ascii="Arial" w:cs="Arial" w:eastAsia="Arial" w:hAnsi="Arial"/>
          <w:sz w:val="12"/>
          <w:szCs w:val="12"/>
          <w:i w:val="1"/>
          <w:iCs w:val="1"/>
          <w:color w:val="auto"/>
        </w:rPr>
        <w:t xml:space="preserve">Net Income. </w:t>
      </w:r>
      <w:r>
        <w:rPr>
          <w:rFonts w:ascii="Arial" w:cs="Arial" w:eastAsia="Arial" w:hAnsi="Arial"/>
          <w:sz w:val="12"/>
          <w:szCs w:val="12"/>
          <w:color w:val="auto"/>
        </w:rPr>
        <w:t>As a result of the statement of operations activity discussed above, we had net income of $18.2 million for the 2017 Successor Period.</w:t>
      </w:r>
    </w:p>
    <w:p>
      <w:pPr>
        <w:spacing w:after="0" w:line="22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For the Five Month Period from January 1, 2017 to May 31, 2017 (Predecessor)</w:t>
      </w:r>
    </w:p>
    <w:p>
      <w:pPr>
        <w:spacing w:after="0" w:line="78" w:lineRule="exact"/>
        <w:rPr>
          <w:sz w:val="20"/>
          <w:szCs w:val="20"/>
          <w:color w:val="auto"/>
        </w:rPr>
      </w:pPr>
    </w:p>
    <w:p>
      <w:pPr>
        <w:ind w:right="180" w:firstLine="602"/>
        <w:spacing w:after="0" w:line="276" w:lineRule="auto"/>
        <w:rPr>
          <w:sz w:val="20"/>
          <w:szCs w:val="20"/>
          <w:color w:val="auto"/>
        </w:rPr>
      </w:pPr>
      <w:r>
        <w:rPr>
          <w:rFonts w:ascii="Arial" w:cs="Arial" w:eastAsia="Arial" w:hAnsi="Arial"/>
          <w:sz w:val="12"/>
          <w:szCs w:val="12"/>
          <w:color w:val="auto"/>
        </w:rPr>
        <w:t>The following table sets forth our statement of operations data for the 2017 Predecessor Period and expresses each item as a percentage of total revenue for the same period. The tables and information provided were derived from exact numbers and may have immaterial rounding differences.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40" w:type="dxa"/>
            <w:vAlign w:val="bottom"/>
          </w:tcPr>
          <w:p>
            <w:pPr>
              <w:spacing w:after="0"/>
              <w:rPr>
                <w:sz w:val="10"/>
                <w:szCs w:val="10"/>
                <w:color w:val="auto"/>
              </w:rPr>
            </w:pPr>
          </w:p>
        </w:tc>
        <w:tc>
          <w:tcPr>
            <w:tcW w:w="3820" w:type="dxa"/>
            <w:vAlign w:val="bottom"/>
          </w:tcPr>
          <w:p>
            <w:pPr>
              <w:spacing w:after="0"/>
              <w:rPr>
                <w:sz w:val="10"/>
                <w:szCs w:val="10"/>
                <w:color w:val="auto"/>
              </w:rPr>
            </w:pPr>
          </w:p>
        </w:tc>
        <w:tc>
          <w:tcPr>
            <w:tcW w:w="3400" w:type="dxa"/>
            <w:vAlign w:val="bottom"/>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gridSpan w:val="3"/>
          </w:tcPr>
          <w:p>
            <w:pPr>
              <w:ind w:left="300"/>
              <w:spacing w:after="0"/>
              <w:rPr>
                <w:sz w:val="20"/>
                <w:szCs w:val="20"/>
                <w:color w:val="auto"/>
              </w:rPr>
            </w:pPr>
            <w:r>
              <w:rPr>
                <w:rFonts w:ascii="Arial" w:cs="Arial" w:eastAsia="Arial" w:hAnsi="Arial"/>
                <w:sz w:val="10"/>
                <w:szCs w:val="10"/>
                <w:b w:val="1"/>
                <w:bCs w:val="1"/>
                <w:color w:val="auto"/>
              </w:rPr>
              <w:t>Predecessor</w:t>
            </w:r>
          </w:p>
        </w:tc>
        <w:tc>
          <w:tcPr>
            <w:tcW w:w="1280" w:type="dxa"/>
            <w:vAlign w:val="bottom"/>
            <w:tcBorders>
              <w:bottom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3"/>
        </w:trPr>
        <w:tc>
          <w:tcPr>
            <w:tcW w:w="640" w:type="dxa"/>
            <w:vAlign w:val="bottom"/>
          </w:tcPr>
          <w:p>
            <w:pPr>
              <w:spacing w:after="0"/>
              <w:rPr>
                <w:sz w:val="7"/>
                <w:szCs w:val="7"/>
                <w:color w:val="auto"/>
              </w:rPr>
            </w:pPr>
          </w:p>
        </w:tc>
        <w:tc>
          <w:tcPr>
            <w:tcW w:w="3820" w:type="dxa"/>
            <w:vAlign w:val="bottom"/>
          </w:tcPr>
          <w:p>
            <w:pPr>
              <w:spacing w:after="0"/>
              <w:rPr>
                <w:sz w:val="7"/>
                <w:szCs w:val="7"/>
                <w:color w:val="auto"/>
              </w:rPr>
            </w:pPr>
          </w:p>
        </w:tc>
        <w:tc>
          <w:tcPr>
            <w:tcW w:w="3400" w:type="dxa"/>
            <w:vAlign w:val="bottom"/>
          </w:tcPr>
          <w:p>
            <w:pPr>
              <w:spacing w:after="0"/>
              <w:rPr>
                <w:sz w:val="7"/>
                <w:szCs w:val="7"/>
                <w:color w:val="auto"/>
              </w:rPr>
            </w:pPr>
          </w:p>
        </w:tc>
        <w:tc>
          <w:tcPr>
            <w:tcW w:w="1180" w:type="dxa"/>
            <w:vAlign w:val="bottom"/>
          </w:tcPr>
          <w:p>
            <w:pPr>
              <w:jc w:val="center"/>
              <w:ind w:left="373"/>
              <w:spacing w:after="0" w:line="83" w:lineRule="exact"/>
              <w:rPr>
                <w:sz w:val="20"/>
                <w:szCs w:val="20"/>
                <w:color w:val="auto"/>
              </w:rPr>
            </w:pPr>
            <w:r>
              <w:rPr>
                <w:rFonts w:ascii="Arial" w:cs="Arial" w:eastAsia="Arial" w:hAnsi="Arial"/>
                <w:sz w:val="8"/>
                <w:szCs w:val="8"/>
                <w:b w:val="1"/>
                <w:bCs w:val="1"/>
                <w:color w:val="auto"/>
              </w:rPr>
              <w:t>Period From</w:t>
            </w:r>
          </w:p>
        </w:tc>
        <w:tc>
          <w:tcPr>
            <w:tcW w:w="400" w:type="dxa"/>
            <w:vAlign w:val="bottom"/>
          </w:tcPr>
          <w:p>
            <w:pPr>
              <w:spacing w:after="0"/>
              <w:rPr>
                <w:sz w:val="7"/>
                <w:szCs w:val="7"/>
                <w:color w:val="auto"/>
              </w:rPr>
            </w:pPr>
          </w:p>
        </w:tc>
        <w:tc>
          <w:tcPr>
            <w:tcW w:w="3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640" w:type="dxa"/>
            <w:vAlign w:val="bottom"/>
          </w:tcPr>
          <w:p>
            <w:pPr>
              <w:spacing w:after="0"/>
              <w:rPr>
                <w:sz w:val="8"/>
                <w:szCs w:val="8"/>
                <w:color w:val="auto"/>
              </w:rPr>
            </w:pPr>
          </w:p>
        </w:tc>
        <w:tc>
          <w:tcPr>
            <w:tcW w:w="3820" w:type="dxa"/>
            <w:vAlign w:val="bottom"/>
          </w:tcPr>
          <w:p>
            <w:pPr>
              <w:spacing w:after="0"/>
              <w:rPr>
                <w:sz w:val="8"/>
                <w:szCs w:val="8"/>
                <w:color w:val="auto"/>
              </w:rPr>
            </w:pPr>
          </w:p>
        </w:tc>
        <w:tc>
          <w:tcPr>
            <w:tcW w:w="3400" w:type="dxa"/>
            <w:vAlign w:val="bottom"/>
          </w:tcPr>
          <w:p>
            <w:pPr>
              <w:spacing w:after="0"/>
              <w:rPr>
                <w:sz w:val="8"/>
                <w:szCs w:val="8"/>
                <w:color w:val="auto"/>
              </w:rPr>
            </w:pPr>
          </w:p>
        </w:tc>
        <w:tc>
          <w:tcPr>
            <w:tcW w:w="1180" w:type="dxa"/>
            <w:vAlign w:val="bottom"/>
          </w:tcPr>
          <w:p>
            <w:pPr>
              <w:jc w:val="center"/>
              <w:ind w:left="353"/>
              <w:spacing w:after="0" w:line="99" w:lineRule="exact"/>
              <w:rPr>
                <w:sz w:val="20"/>
                <w:szCs w:val="20"/>
                <w:color w:val="auto"/>
              </w:rPr>
            </w:pPr>
            <w:r>
              <w:rPr>
                <w:rFonts w:ascii="Arial" w:cs="Arial" w:eastAsia="Arial" w:hAnsi="Arial"/>
                <w:sz w:val="10"/>
                <w:szCs w:val="10"/>
                <w:b w:val="1"/>
                <w:bCs w:val="1"/>
                <w:color w:val="auto"/>
                <w:w w:val="88"/>
              </w:rPr>
              <w:t>January 1, 2017</w:t>
            </w: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640" w:type="dxa"/>
            <w:vAlign w:val="bottom"/>
          </w:tcPr>
          <w:p>
            <w:pPr>
              <w:spacing w:after="0"/>
              <w:rPr>
                <w:sz w:val="8"/>
                <w:szCs w:val="8"/>
                <w:color w:val="auto"/>
              </w:rPr>
            </w:pPr>
          </w:p>
        </w:tc>
        <w:tc>
          <w:tcPr>
            <w:tcW w:w="3820" w:type="dxa"/>
            <w:vAlign w:val="bottom"/>
          </w:tcPr>
          <w:p>
            <w:pPr>
              <w:spacing w:after="0"/>
              <w:rPr>
                <w:sz w:val="8"/>
                <w:szCs w:val="8"/>
                <w:color w:val="auto"/>
              </w:rPr>
            </w:pPr>
          </w:p>
        </w:tc>
        <w:tc>
          <w:tcPr>
            <w:tcW w:w="3400" w:type="dxa"/>
            <w:vAlign w:val="bottom"/>
          </w:tcPr>
          <w:p>
            <w:pPr>
              <w:spacing w:after="0"/>
              <w:rPr>
                <w:sz w:val="8"/>
                <w:szCs w:val="8"/>
                <w:color w:val="auto"/>
              </w:rPr>
            </w:pPr>
          </w:p>
        </w:tc>
        <w:tc>
          <w:tcPr>
            <w:tcW w:w="1180" w:type="dxa"/>
            <w:vAlign w:val="bottom"/>
          </w:tcPr>
          <w:p>
            <w:pPr>
              <w:jc w:val="center"/>
              <w:ind w:left="353"/>
              <w:spacing w:after="0" w:line="99" w:lineRule="exact"/>
              <w:rPr>
                <w:sz w:val="20"/>
                <w:szCs w:val="20"/>
                <w:color w:val="auto"/>
              </w:rPr>
            </w:pPr>
            <w:r>
              <w:rPr>
                <w:rFonts w:ascii="Arial" w:cs="Arial" w:eastAsia="Arial" w:hAnsi="Arial"/>
                <w:sz w:val="10"/>
                <w:szCs w:val="10"/>
                <w:b w:val="1"/>
                <w:bCs w:val="1"/>
                <w:color w:val="auto"/>
                <w:w w:val="86"/>
              </w:rPr>
              <w:t>to May 31,</w:t>
            </w: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40" w:type="dxa"/>
            <w:vAlign w:val="bottom"/>
            <w:gridSpan w:val="2"/>
          </w:tcPr>
          <w:p>
            <w:pPr>
              <w:jc w:val="right"/>
              <w:ind w:right="680"/>
              <w:spacing w:after="0" w:line="99" w:lineRule="exact"/>
              <w:rPr>
                <w:sz w:val="20"/>
                <w:szCs w:val="20"/>
                <w:color w:val="auto"/>
              </w:rPr>
            </w:pPr>
            <w:r>
              <w:rPr>
                <w:rFonts w:ascii="Arial" w:cs="Arial" w:eastAsia="Arial" w:hAnsi="Arial"/>
                <w:sz w:val="10"/>
                <w:szCs w:val="10"/>
                <w:b w:val="1"/>
                <w:bCs w:val="1"/>
                <w:color w:val="auto"/>
              </w:rPr>
              <w:t>Percentage of</w:t>
            </w:r>
          </w:p>
        </w:tc>
        <w:tc>
          <w:tcPr>
            <w:tcW w:w="0" w:type="dxa"/>
            <w:vAlign w:val="bottom"/>
          </w:tcPr>
          <w:p>
            <w:pPr>
              <w:spacing w:after="0"/>
              <w:rPr>
                <w:sz w:val="1"/>
                <w:szCs w:val="1"/>
                <w:color w:val="auto"/>
              </w:rPr>
            </w:pPr>
          </w:p>
        </w:tc>
      </w:tr>
      <w:tr>
        <w:trPr>
          <w:trHeight w:val="105"/>
        </w:trPr>
        <w:tc>
          <w:tcPr>
            <w:tcW w:w="4460" w:type="dxa"/>
            <w:vAlign w:val="bottom"/>
            <w:gridSpan w:val="2"/>
          </w:tcPr>
          <w:p>
            <w:pPr>
              <w:spacing w:after="0" w:line="105" w:lineRule="exact"/>
              <w:rPr>
                <w:sz w:val="20"/>
                <w:szCs w:val="20"/>
                <w:color w:val="auto"/>
              </w:rPr>
            </w:pPr>
            <w:r>
              <w:rPr>
                <w:rFonts w:ascii="Arial" w:cs="Arial" w:eastAsia="Arial" w:hAnsi="Arial"/>
                <w:sz w:val="10"/>
                <w:szCs w:val="10"/>
                <w:b w:val="1"/>
                <w:bCs w:val="1"/>
                <w:u w:val="single" w:color="auto"/>
                <w:color w:val="auto"/>
              </w:rPr>
              <w:t>(</w:t>
            </w:r>
            <w:r>
              <w:rPr>
                <w:rFonts w:ascii="Arial" w:cs="Arial" w:eastAsia="Arial" w:hAnsi="Arial"/>
                <w:sz w:val="10"/>
                <w:szCs w:val="10"/>
                <w:b w:val="1"/>
                <w:bCs w:val="1"/>
                <w:color w:val="auto"/>
              </w:rPr>
              <w:t>$ in thousands)</w:t>
            </w:r>
          </w:p>
        </w:tc>
        <w:tc>
          <w:tcPr>
            <w:tcW w:w="4580" w:type="dxa"/>
            <w:vAlign w:val="bottom"/>
            <w:gridSpan w:val="2"/>
          </w:tcPr>
          <w:p>
            <w:pPr>
              <w:jc w:val="center"/>
              <w:ind w:left="3744"/>
              <w:spacing w:after="0" w:line="105" w:lineRule="exact"/>
              <w:rPr>
                <w:sz w:val="20"/>
                <w:szCs w:val="20"/>
                <w:color w:val="auto"/>
              </w:rPr>
            </w:pPr>
            <w:r>
              <w:rPr>
                <w:rFonts w:ascii="Arial" w:cs="Arial" w:eastAsia="Arial" w:hAnsi="Arial"/>
                <w:sz w:val="10"/>
                <w:szCs w:val="10"/>
                <w:b w:val="1"/>
                <w:bCs w:val="1"/>
                <w:color w:val="auto"/>
                <w:w w:val="80"/>
              </w:rPr>
              <w:t>2017</w:t>
            </w: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40" w:type="dxa"/>
            <w:vAlign w:val="bottom"/>
            <w:gridSpan w:val="2"/>
          </w:tcPr>
          <w:p>
            <w:pPr>
              <w:jc w:val="right"/>
              <w:ind w:right="780"/>
              <w:spacing w:after="0" w:line="105" w:lineRule="exact"/>
              <w:rPr>
                <w:sz w:val="20"/>
                <w:szCs w:val="20"/>
                <w:color w:val="auto"/>
              </w:rPr>
            </w:pPr>
            <w:r>
              <w:rPr>
                <w:rFonts w:ascii="Arial" w:cs="Arial" w:eastAsia="Arial" w:hAnsi="Arial"/>
                <w:sz w:val="10"/>
                <w:szCs w:val="10"/>
                <w:b w:val="1"/>
                <w:bCs w:val="1"/>
                <w:color w:val="auto"/>
              </w:rPr>
              <w:t>Revenue</w:t>
            </w:r>
          </w:p>
        </w:tc>
        <w:tc>
          <w:tcPr>
            <w:tcW w:w="0" w:type="dxa"/>
            <w:vAlign w:val="bottom"/>
          </w:tcPr>
          <w:p>
            <w:pPr>
              <w:spacing w:after="0"/>
              <w:rPr>
                <w:sz w:val="1"/>
                <w:szCs w:val="1"/>
                <w:color w:val="auto"/>
              </w:rPr>
            </w:pPr>
          </w:p>
        </w:tc>
      </w:tr>
      <w:tr>
        <w:trPr>
          <w:trHeight w:val="20"/>
        </w:trPr>
        <w:tc>
          <w:tcPr>
            <w:tcW w:w="640" w:type="dxa"/>
            <w:vAlign w:val="bottom"/>
            <w:tcBorders>
              <w:bottom w:val="single" w:sz="8" w:color="CFF0FC"/>
            </w:tcBorders>
            <w:shd w:val="clear" w:color="auto" w:fill="000000"/>
          </w:tcPr>
          <w:p>
            <w:pPr>
              <w:spacing w:after="0" w:line="20" w:lineRule="exact"/>
              <w:rPr>
                <w:sz w:val="1"/>
                <w:szCs w:val="1"/>
                <w:color w:val="auto"/>
              </w:rPr>
            </w:pPr>
          </w:p>
        </w:tc>
        <w:tc>
          <w:tcPr>
            <w:tcW w:w="3820" w:type="dxa"/>
            <w:vAlign w:val="bottom"/>
            <w:tcBorders>
              <w:bottom w:val="single" w:sz="8" w:color="CFF0FC"/>
            </w:tcBorders>
          </w:tcPr>
          <w:p>
            <w:pPr>
              <w:spacing w:after="0" w:line="20" w:lineRule="exact"/>
              <w:rPr>
                <w:sz w:val="1"/>
                <w:szCs w:val="1"/>
                <w:color w:val="auto"/>
              </w:rPr>
            </w:pPr>
          </w:p>
        </w:tc>
        <w:tc>
          <w:tcPr>
            <w:tcW w:w="3400" w:type="dxa"/>
            <w:vAlign w:val="bottom"/>
            <w:tcBorders>
              <w:bottom w:val="single" w:sz="8" w:color="CFF0FC"/>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FF0FC"/>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4460" w:type="dxa"/>
            <w:vAlign w:val="bottom"/>
            <w:gridSpan w:val="2"/>
            <w:shd w:val="clear" w:color="auto" w:fill="CFF0FC"/>
          </w:tcPr>
          <w:p>
            <w:pPr>
              <w:spacing w:after="0" w:line="132" w:lineRule="exact"/>
              <w:rPr>
                <w:sz w:val="20"/>
                <w:szCs w:val="20"/>
                <w:color w:val="auto"/>
              </w:rPr>
            </w:pPr>
            <w:r>
              <w:rPr>
                <w:rFonts w:ascii="Arial" w:cs="Arial" w:eastAsia="Arial" w:hAnsi="Arial"/>
                <w:sz w:val="12"/>
                <w:szCs w:val="12"/>
                <w:color w:val="auto"/>
              </w:rPr>
              <w:t>Service revenue</w:t>
            </w:r>
          </w:p>
        </w:tc>
        <w:tc>
          <w:tcPr>
            <w:tcW w:w="4580" w:type="dxa"/>
            <w:vAlign w:val="bottom"/>
            <w:gridSpan w:val="2"/>
            <w:shd w:val="clear" w:color="auto" w:fill="CFF0FC"/>
          </w:tcPr>
          <w:p>
            <w:pPr>
              <w:jc w:val="right"/>
              <w:ind w:right="1073"/>
              <w:spacing w:after="0" w:line="132" w:lineRule="exact"/>
              <w:rPr>
                <w:sz w:val="20"/>
                <w:szCs w:val="20"/>
                <w:color w:val="auto"/>
              </w:rPr>
            </w:pPr>
            <w:r>
              <w:rPr>
                <w:rFonts w:ascii="Arial" w:cs="Arial" w:eastAsia="Arial" w:hAnsi="Arial"/>
                <w:sz w:val="12"/>
                <w:szCs w:val="12"/>
                <w:color w:val="auto"/>
              </w:rPr>
              <w:t>$</w:t>
            </w:r>
          </w:p>
        </w:tc>
        <w:tc>
          <w:tcPr>
            <w:tcW w:w="400" w:type="dxa"/>
            <w:vAlign w:val="bottom"/>
            <w:shd w:val="clear" w:color="auto" w:fill="CFF0FC"/>
          </w:tcPr>
          <w:p>
            <w:pPr>
              <w:jc w:val="right"/>
              <w:spacing w:after="0" w:line="132" w:lineRule="exact"/>
              <w:rPr>
                <w:sz w:val="20"/>
                <w:szCs w:val="20"/>
                <w:color w:val="auto"/>
              </w:rPr>
            </w:pPr>
            <w:r>
              <w:rPr>
                <w:rFonts w:ascii="Arial" w:cs="Arial" w:eastAsia="Arial" w:hAnsi="Arial"/>
                <w:sz w:val="12"/>
                <w:szCs w:val="12"/>
                <w:color w:val="auto"/>
              </w:rPr>
              <w:t>92,531</w:t>
            </w:r>
          </w:p>
        </w:tc>
        <w:tc>
          <w:tcPr>
            <w:tcW w:w="30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440" w:type="dxa"/>
            <w:vAlign w:val="bottom"/>
            <w:gridSpan w:val="2"/>
            <w:shd w:val="clear" w:color="auto" w:fill="CFF0FC"/>
          </w:tcPr>
          <w:p>
            <w:pPr>
              <w:jc w:val="right"/>
              <w:ind w:right="60"/>
              <w:spacing w:after="0" w:line="132" w:lineRule="exact"/>
              <w:rPr>
                <w:sz w:val="20"/>
                <w:szCs w:val="20"/>
                <w:color w:val="auto"/>
              </w:rPr>
            </w:pPr>
            <w:r>
              <w:rPr>
                <w:rFonts w:ascii="Arial" w:cs="Arial" w:eastAsia="Arial" w:hAnsi="Arial"/>
                <w:sz w:val="12"/>
                <w:szCs w:val="12"/>
                <w:color w:val="auto"/>
              </w:rPr>
              <w:t>98.6%</w:t>
            </w:r>
          </w:p>
        </w:tc>
        <w:tc>
          <w:tcPr>
            <w:tcW w:w="0" w:type="dxa"/>
            <w:vAlign w:val="bottom"/>
          </w:tcPr>
          <w:p>
            <w:pPr>
              <w:spacing w:after="0"/>
              <w:rPr>
                <w:sz w:val="1"/>
                <w:szCs w:val="1"/>
                <w:color w:val="auto"/>
              </w:rPr>
            </w:pPr>
          </w:p>
        </w:tc>
      </w:tr>
      <w:tr>
        <w:trPr>
          <w:trHeight w:val="153"/>
        </w:trPr>
        <w:tc>
          <w:tcPr>
            <w:tcW w:w="4460" w:type="dxa"/>
            <w:vAlign w:val="bottom"/>
            <w:gridSpan w:val="2"/>
          </w:tcPr>
          <w:p>
            <w:pPr>
              <w:spacing w:after="0"/>
              <w:rPr>
                <w:sz w:val="20"/>
                <w:szCs w:val="20"/>
                <w:color w:val="auto"/>
              </w:rPr>
            </w:pPr>
            <w:r>
              <w:rPr>
                <w:rFonts w:ascii="Arial" w:cs="Arial" w:eastAsia="Arial" w:hAnsi="Arial"/>
                <w:sz w:val="12"/>
                <w:szCs w:val="12"/>
                <w:color w:val="auto"/>
              </w:rPr>
              <w:t>Product sales</w:t>
            </w:r>
          </w:p>
        </w:tc>
        <w:tc>
          <w:tcPr>
            <w:tcW w:w="34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1,340</w:t>
            </w:r>
          </w:p>
        </w:tc>
        <w:tc>
          <w:tcPr>
            <w:tcW w:w="3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2"/>
                <w:szCs w:val="12"/>
                <w:color w:val="auto"/>
              </w:rPr>
              <w:t>1.4%</w:t>
            </w:r>
          </w:p>
        </w:tc>
        <w:tc>
          <w:tcPr>
            <w:tcW w:w="0" w:type="dxa"/>
            <w:vAlign w:val="bottom"/>
          </w:tcPr>
          <w:p>
            <w:pPr>
              <w:spacing w:after="0"/>
              <w:rPr>
                <w:sz w:val="1"/>
                <w:szCs w:val="1"/>
                <w:color w:val="auto"/>
              </w:rPr>
            </w:pPr>
          </w:p>
        </w:tc>
      </w:tr>
      <w:tr>
        <w:trPr>
          <w:trHeight w:val="20"/>
        </w:trPr>
        <w:tc>
          <w:tcPr>
            <w:tcW w:w="4460" w:type="dxa"/>
            <w:vAlign w:val="bottom"/>
            <w:gridSpan w:val="2"/>
            <w:vMerge w:val="restart"/>
            <w:shd w:val="clear" w:color="auto" w:fill="CFF0FC"/>
          </w:tcPr>
          <w:p>
            <w:pPr>
              <w:ind w:left="80"/>
              <w:spacing w:after="0"/>
              <w:rPr>
                <w:sz w:val="20"/>
                <w:szCs w:val="20"/>
                <w:color w:val="auto"/>
              </w:rPr>
            </w:pPr>
            <w:r>
              <w:rPr>
                <w:rFonts w:ascii="Arial" w:cs="Arial" w:eastAsia="Arial" w:hAnsi="Arial"/>
                <w:sz w:val="12"/>
                <w:szCs w:val="12"/>
                <w:b w:val="1"/>
                <w:bCs w:val="1"/>
                <w:color w:val="auto"/>
              </w:rPr>
              <w:t>Total revenue</w:t>
            </w:r>
          </w:p>
        </w:tc>
        <w:tc>
          <w:tcPr>
            <w:tcW w:w="3400" w:type="dxa"/>
            <w:vAlign w:val="bottom"/>
            <w:shd w:val="clear" w:color="auto" w:fill="CFF0FC"/>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460" w:type="dxa"/>
            <w:vAlign w:val="bottom"/>
            <w:gridSpan w:val="2"/>
            <w:vMerge w:val="continue"/>
            <w:shd w:val="clear" w:color="auto" w:fill="CFF0FC"/>
          </w:tcPr>
          <w:p>
            <w:pPr>
              <w:spacing w:after="0"/>
              <w:rPr>
                <w:sz w:val="12"/>
                <w:szCs w:val="12"/>
                <w:color w:val="auto"/>
              </w:rPr>
            </w:pPr>
          </w:p>
        </w:tc>
        <w:tc>
          <w:tcPr>
            <w:tcW w:w="340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93,871</w:t>
            </w:r>
          </w:p>
        </w:tc>
        <w:tc>
          <w:tcPr>
            <w:tcW w:w="3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440" w:type="dxa"/>
            <w:vAlign w:val="bottom"/>
            <w:gridSpan w:val="2"/>
            <w:shd w:val="clear" w:color="auto" w:fill="CFF0FC"/>
          </w:tcPr>
          <w:p>
            <w:pPr>
              <w:jc w:val="right"/>
              <w:ind w:right="60"/>
              <w:spacing w:after="0"/>
              <w:rPr>
                <w:sz w:val="20"/>
                <w:szCs w:val="20"/>
                <w:color w:val="auto"/>
              </w:rPr>
            </w:pPr>
            <w:r>
              <w:rPr>
                <w:rFonts w:ascii="Arial" w:cs="Arial" w:eastAsia="Arial" w:hAnsi="Arial"/>
                <w:sz w:val="12"/>
                <w:szCs w:val="12"/>
                <w:color w:val="auto"/>
              </w:rPr>
              <w:t>100.0%</w:t>
            </w:r>
          </w:p>
        </w:tc>
        <w:tc>
          <w:tcPr>
            <w:tcW w:w="0" w:type="dxa"/>
            <w:vAlign w:val="bottom"/>
          </w:tcPr>
          <w:p>
            <w:pPr>
              <w:spacing w:after="0"/>
              <w:rPr>
                <w:sz w:val="1"/>
                <w:szCs w:val="1"/>
                <w:color w:val="auto"/>
              </w:rPr>
            </w:pPr>
          </w:p>
        </w:tc>
      </w:tr>
      <w:tr>
        <w:trPr>
          <w:trHeight w:val="153"/>
        </w:trPr>
        <w:tc>
          <w:tcPr>
            <w:tcW w:w="4460" w:type="dxa"/>
            <w:vAlign w:val="bottom"/>
            <w:gridSpan w:val="2"/>
          </w:tcPr>
          <w:p>
            <w:pPr>
              <w:spacing w:after="0"/>
              <w:rPr>
                <w:sz w:val="20"/>
                <w:szCs w:val="20"/>
                <w:color w:val="auto"/>
              </w:rPr>
            </w:pPr>
            <w:r>
              <w:rPr>
                <w:rFonts w:ascii="Arial" w:cs="Arial" w:eastAsia="Arial" w:hAnsi="Arial"/>
                <w:sz w:val="12"/>
                <w:szCs w:val="12"/>
                <w:color w:val="auto"/>
              </w:rPr>
              <w:t>Cost of service revenue</w:t>
            </w:r>
          </w:p>
        </w:tc>
        <w:tc>
          <w:tcPr>
            <w:tcW w:w="34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1,369</w:t>
            </w:r>
          </w:p>
        </w:tc>
        <w:tc>
          <w:tcPr>
            <w:tcW w:w="3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2"/>
                <w:szCs w:val="12"/>
                <w:color w:val="auto"/>
              </w:rPr>
              <w:t>1.5%</w:t>
            </w:r>
          </w:p>
        </w:tc>
        <w:tc>
          <w:tcPr>
            <w:tcW w:w="0" w:type="dxa"/>
            <w:vAlign w:val="bottom"/>
          </w:tcPr>
          <w:p>
            <w:pPr>
              <w:spacing w:after="0"/>
              <w:rPr>
                <w:sz w:val="1"/>
                <w:szCs w:val="1"/>
                <w:color w:val="auto"/>
              </w:rPr>
            </w:pPr>
          </w:p>
        </w:tc>
      </w:tr>
      <w:tr>
        <w:trPr>
          <w:trHeight w:val="153"/>
        </w:trPr>
        <w:tc>
          <w:tcPr>
            <w:tcW w:w="446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Cost of product sales</w:t>
            </w:r>
          </w:p>
        </w:tc>
        <w:tc>
          <w:tcPr>
            <w:tcW w:w="3400" w:type="dxa"/>
            <w:vAlign w:val="bottom"/>
            <w:shd w:val="clear" w:color="auto" w:fill="CFF0FC"/>
          </w:tcPr>
          <w:p>
            <w:pPr>
              <w:spacing w:after="0"/>
              <w:rPr>
                <w:sz w:val="13"/>
                <w:szCs w:val="13"/>
                <w:color w:val="auto"/>
              </w:rPr>
            </w:pPr>
          </w:p>
        </w:tc>
        <w:tc>
          <w:tcPr>
            <w:tcW w:w="1180" w:type="dxa"/>
            <w:vAlign w:val="bottom"/>
            <w:shd w:val="clear" w:color="auto" w:fill="CFF0FC"/>
          </w:tcPr>
          <w:p>
            <w:pPr>
              <w:spacing w:after="0"/>
              <w:rPr>
                <w:sz w:val="13"/>
                <w:szCs w:val="13"/>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964</w:t>
            </w:r>
          </w:p>
        </w:tc>
        <w:tc>
          <w:tcPr>
            <w:tcW w:w="30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440" w:type="dxa"/>
            <w:vAlign w:val="bottom"/>
            <w:gridSpan w:val="2"/>
            <w:shd w:val="clear" w:color="auto" w:fill="CFF0FC"/>
          </w:tcPr>
          <w:p>
            <w:pPr>
              <w:jc w:val="right"/>
              <w:ind w:right="60"/>
              <w:spacing w:after="0"/>
              <w:rPr>
                <w:sz w:val="20"/>
                <w:szCs w:val="20"/>
                <w:color w:val="auto"/>
              </w:rPr>
            </w:pPr>
            <w:r>
              <w:rPr>
                <w:rFonts w:ascii="Arial" w:cs="Arial" w:eastAsia="Arial" w:hAnsi="Arial"/>
                <w:sz w:val="12"/>
                <w:szCs w:val="12"/>
                <w:color w:val="auto"/>
              </w:rPr>
              <w:t>1.0%</w:t>
            </w:r>
          </w:p>
        </w:tc>
        <w:tc>
          <w:tcPr>
            <w:tcW w:w="0" w:type="dxa"/>
            <w:vAlign w:val="bottom"/>
          </w:tcPr>
          <w:p>
            <w:pPr>
              <w:spacing w:after="0"/>
              <w:rPr>
                <w:sz w:val="1"/>
                <w:szCs w:val="1"/>
                <w:color w:val="auto"/>
              </w:rPr>
            </w:pPr>
          </w:p>
        </w:tc>
      </w:tr>
      <w:tr>
        <w:trPr>
          <w:trHeight w:val="153"/>
        </w:trPr>
        <w:tc>
          <w:tcPr>
            <w:tcW w:w="4460" w:type="dxa"/>
            <w:vAlign w:val="bottom"/>
            <w:gridSpan w:val="2"/>
          </w:tcPr>
          <w:p>
            <w:pPr>
              <w:spacing w:after="0"/>
              <w:rPr>
                <w:sz w:val="20"/>
                <w:szCs w:val="20"/>
                <w:color w:val="auto"/>
              </w:rPr>
            </w:pPr>
            <w:r>
              <w:rPr>
                <w:rFonts w:ascii="Arial" w:cs="Arial" w:eastAsia="Arial" w:hAnsi="Arial"/>
                <w:sz w:val="12"/>
                <w:szCs w:val="12"/>
                <w:color w:val="auto"/>
              </w:rPr>
              <w:t>Operating expenses</w:t>
            </w:r>
          </w:p>
        </w:tc>
        <w:tc>
          <w:tcPr>
            <w:tcW w:w="34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35,968</w:t>
            </w:r>
          </w:p>
        </w:tc>
        <w:tc>
          <w:tcPr>
            <w:tcW w:w="3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2"/>
                <w:szCs w:val="12"/>
                <w:color w:val="auto"/>
              </w:rPr>
              <w:t>38.3%</w:t>
            </w:r>
          </w:p>
        </w:tc>
        <w:tc>
          <w:tcPr>
            <w:tcW w:w="0" w:type="dxa"/>
            <w:vAlign w:val="bottom"/>
          </w:tcPr>
          <w:p>
            <w:pPr>
              <w:spacing w:after="0"/>
              <w:rPr>
                <w:sz w:val="1"/>
                <w:szCs w:val="1"/>
                <w:color w:val="auto"/>
              </w:rPr>
            </w:pPr>
          </w:p>
        </w:tc>
      </w:tr>
      <w:tr>
        <w:trPr>
          <w:trHeight w:val="153"/>
        </w:trPr>
        <w:tc>
          <w:tcPr>
            <w:tcW w:w="446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Selling, general and administrative expenses</w:t>
            </w:r>
          </w:p>
        </w:tc>
        <w:tc>
          <w:tcPr>
            <w:tcW w:w="3400" w:type="dxa"/>
            <w:vAlign w:val="bottom"/>
            <w:shd w:val="clear" w:color="auto" w:fill="CFF0FC"/>
          </w:tcPr>
          <w:p>
            <w:pPr>
              <w:spacing w:after="0"/>
              <w:rPr>
                <w:sz w:val="13"/>
                <w:szCs w:val="13"/>
                <w:color w:val="auto"/>
              </w:rPr>
            </w:pPr>
          </w:p>
        </w:tc>
        <w:tc>
          <w:tcPr>
            <w:tcW w:w="1180" w:type="dxa"/>
            <w:vAlign w:val="bottom"/>
            <w:shd w:val="clear" w:color="auto" w:fill="CFF0FC"/>
          </w:tcPr>
          <w:p>
            <w:pPr>
              <w:spacing w:after="0"/>
              <w:rPr>
                <w:sz w:val="13"/>
                <w:szCs w:val="13"/>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40,884</w:t>
            </w:r>
          </w:p>
        </w:tc>
        <w:tc>
          <w:tcPr>
            <w:tcW w:w="30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440" w:type="dxa"/>
            <w:vAlign w:val="bottom"/>
            <w:gridSpan w:val="2"/>
            <w:shd w:val="clear" w:color="auto" w:fill="CFF0FC"/>
          </w:tcPr>
          <w:p>
            <w:pPr>
              <w:jc w:val="right"/>
              <w:ind w:right="60"/>
              <w:spacing w:after="0"/>
              <w:rPr>
                <w:sz w:val="20"/>
                <w:szCs w:val="20"/>
                <w:color w:val="auto"/>
              </w:rPr>
            </w:pPr>
            <w:r>
              <w:rPr>
                <w:rFonts w:ascii="Arial" w:cs="Arial" w:eastAsia="Arial" w:hAnsi="Arial"/>
                <w:sz w:val="12"/>
                <w:szCs w:val="12"/>
                <w:color w:val="auto"/>
              </w:rPr>
              <w:t>43.6%</w:t>
            </w:r>
          </w:p>
        </w:tc>
        <w:tc>
          <w:tcPr>
            <w:tcW w:w="0" w:type="dxa"/>
            <w:vAlign w:val="bottom"/>
          </w:tcPr>
          <w:p>
            <w:pPr>
              <w:spacing w:after="0"/>
              <w:rPr>
                <w:sz w:val="1"/>
                <w:szCs w:val="1"/>
                <w:color w:val="auto"/>
              </w:rPr>
            </w:pPr>
          </w:p>
        </w:tc>
      </w:tr>
      <w:tr>
        <w:trPr>
          <w:trHeight w:val="153"/>
        </w:trPr>
        <w:tc>
          <w:tcPr>
            <w:tcW w:w="4460" w:type="dxa"/>
            <w:vAlign w:val="bottom"/>
            <w:gridSpan w:val="2"/>
          </w:tcPr>
          <w:p>
            <w:pPr>
              <w:spacing w:after="0"/>
              <w:rPr>
                <w:sz w:val="20"/>
                <w:szCs w:val="20"/>
                <w:color w:val="auto"/>
              </w:rPr>
            </w:pPr>
            <w:r>
              <w:rPr>
                <w:rFonts w:ascii="Arial" w:cs="Arial" w:eastAsia="Arial" w:hAnsi="Arial"/>
                <w:sz w:val="12"/>
                <w:szCs w:val="12"/>
                <w:color w:val="auto"/>
              </w:rPr>
              <w:t>Depreciation, amortization and (gain) loss on disposal of assets, net</w:t>
            </w:r>
          </w:p>
        </w:tc>
        <w:tc>
          <w:tcPr>
            <w:tcW w:w="34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12,613</w:t>
            </w:r>
          </w:p>
        </w:tc>
        <w:tc>
          <w:tcPr>
            <w:tcW w:w="3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2"/>
                <w:szCs w:val="12"/>
                <w:color w:val="auto"/>
              </w:rPr>
              <w:t>13.4%</w:t>
            </w:r>
          </w:p>
        </w:tc>
        <w:tc>
          <w:tcPr>
            <w:tcW w:w="0" w:type="dxa"/>
            <w:vAlign w:val="bottom"/>
          </w:tcPr>
          <w:p>
            <w:pPr>
              <w:spacing w:after="0"/>
              <w:rPr>
                <w:sz w:val="1"/>
                <w:szCs w:val="1"/>
                <w:color w:val="auto"/>
              </w:rPr>
            </w:pPr>
          </w:p>
        </w:tc>
      </w:tr>
      <w:tr>
        <w:trPr>
          <w:trHeight w:val="20"/>
        </w:trPr>
        <w:tc>
          <w:tcPr>
            <w:tcW w:w="4460" w:type="dxa"/>
            <w:vAlign w:val="bottom"/>
            <w:gridSpan w:val="2"/>
            <w:vMerge w:val="restart"/>
            <w:shd w:val="clear" w:color="auto" w:fill="CFF0FC"/>
          </w:tcPr>
          <w:p>
            <w:pPr>
              <w:ind w:left="80"/>
              <w:spacing w:after="0"/>
              <w:rPr>
                <w:sz w:val="20"/>
                <w:szCs w:val="20"/>
                <w:color w:val="auto"/>
              </w:rPr>
            </w:pPr>
            <w:r>
              <w:rPr>
                <w:rFonts w:ascii="Arial" w:cs="Arial" w:eastAsia="Arial" w:hAnsi="Arial"/>
                <w:sz w:val="12"/>
                <w:szCs w:val="12"/>
                <w:color w:val="auto"/>
              </w:rPr>
              <w:t>Total costs and expenses</w:t>
            </w:r>
          </w:p>
        </w:tc>
        <w:tc>
          <w:tcPr>
            <w:tcW w:w="3400" w:type="dxa"/>
            <w:vAlign w:val="bottom"/>
            <w:shd w:val="clear" w:color="auto" w:fill="CFF0FC"/>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460" w:type="dxa"/>
            <w:vAlign w:val="bottom"/>
            <w:gridSpan w:val="2"/>
            <w:vMerge w:val="continue"/>
            <w:shd w:val="clear" w:color="auto" w:fill="CFF0FC"/>
          </w:tcPr>
          <w:p>
            <w:pPr>
              <w:spacing w:after="0"/>
              <w:rPr>
                <w:sz w:val="12"/>
                <w:szCs w:val="12"/>
                <w:color w:val="auto"/>
              </w:rPr>
            </w:pPr>
          </w:p>
        </w:tc>
        <w:tc>
          <w:tcPr>
            <w:tcW w:w="340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91,798</w:t>
            </w:r>
          </w:p>
        </w:tc>
        <w:tc>
          <w:tcPr>
            <w:tcW w:w="3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440" w:type="dxa"/>
            <w:vAlign w:val="bottom"/>
            <w:gridSpan w:val="2"/>
            <w:shd w:val="clear" w:color="auto" w:fill="CFF0FC"/>
          </w:tcPr>
          <w:p>
            <w:pPr>
              <w:jc w:val="right"/>
              <w:ind w:right="60"/>
              <w:spacing w:after="0"/>
              <w:rPr>
                <w:sz w:val="20"/>
                <w:szCs w:val="20"/>
                <w:color w:val="auto"/>
              </w:rPr>
            </w:pPr>
            <w:r>
              <w:rPr>
                <w:rFonts w:ascii="Arial" w:cs="Arial" w:eastAsia="Arial" w:hAnsi="Arial"/>
                <w:sz w:val="12"/>
                <w:szCs w:val="12"/>
                <w:color w:val="auto"/>
              </w:rPr>
              <w:t>97.8%</w:t>
            </w:r>
          </w:p>
        </w:tc>
        <w:tc>
          <w:tcPr>
            <w:tcW w:w="0" w:type="dxa"/>
            <w:vAlign w:val="bottom"/>
          </w:tcPr>
          <w:p>
            <w:pPr>
              <w:spacing w:after="0"/>
              <w:rPr>
                <w:sz w:val="1"/>
                <w:szCs w:val="1"/>
                <w:color w:val="auto"/>
              </w:rPr>
            </w:pPr>
          </w:p>
        </w:tc>
      </w:tr>
      <w:tr>
        <w:trPr>
          <w:trHeight w:val="20"/>
        </w:trPr>
        <w:tc>
          <w:tcPr>
            <w:tcW w:w="44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Income from operations</w:t>
            </w:r>
          </w:p>
        </w:tc>
        <w:tc>
          <w:tcPr>
            <w:tcW w:w="340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460" w:type="dxa"/>
            <w:vAlign w:val="bottom"/>
            <w:gridSpan w:val="2"/>
            <w:vMerge w:val="continue"/>
          </w:tcPr>
          <w:p>
            <w:pPr>
              <w:spacing w:after="0"/>
              <w:rPr>
                <w:sz w:val="12"/>
                <w:szCs w:val="12"/>
                <w:color w:val="auto"/>
              </w:rPr>
            </w:pPr>
          </w:p>
        </w:tc>
        <w:tc>
          <w:tcPr>
            <w:tcW w:w="34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2,073</w:t>
            </w: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2"/>
                <w:szCs w:val="12"/>
                <w:color w:val="auto"/>
              </w:rPr>
              <w:t>2.2%</w:t>
            </w:r>
          </w:p>
        </w:tc>
        <w:tc>
          <w:tcPr>
            <w:tcW w:w="0" w:type="dxa"/>
            <w:vAlign w:val="bottom"/>
          </w:tcPr>
          <w:p>
            <w:pPr>
              <w:spacing w:after="0"/>
              <w:rPr>
                <w:sz w:val="1"/>
                <w:szCs w:val="1"/>
                <w:color w:val="auto"/>
              </w:rPr>
            </w:pPr>
          </w:p>
        </w:tc>
      </w:tr>
      <w:tr>
        <w:trPr>
          <w:trHeight w:val="153"/>
        </w:trPr>
        <w:tc>
          <w:tcPr>
            <w:tcW w:w="446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Interest expense</w:t>
            </w:r>
          </w:p>
        </w:tc>
        <w:tc>
          <w:tcPr>
            <w:tcW w:w="3400" w:type="dxa"/>
            <w:vAlign w:val="bottom"/>
            <w:shd w:val="clear" w:color="auto" w:fill="CFF0FC"/>
          </w:tcPr>
          <w:p>
            <w:pPr>
              <w:spacing w:after="0"/>
              <w:rPr>
                <w:sz w:val="13"/>
                <w:szCs w:val="13"/>
                <w:color w:val="auto"/>
              </w:rPr>
            </w:pPr>
          </w:p>
        </w:tc>
        <w:tc>
          <w:tcPr>
            <w:tcW w:w="1180" w:type="dxa"/>
            <w:vAlign w:val="bottom"/>
            <w:shd w:val="clear" w:color="auto" w:fill="CFF0FC"/>
          </w:tcPr>
          <w:p>
            <w:pPr>
              <w:spacing w:after="0"/>
              <w:rPr>
                <w:sz w:val="13"/>
                <w:szCs w:val="13"/>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875</w:t>
            </w:r>
          </w:p>
        </w:tc>
        <w:tc>
          <w:tcPr>
            <w:tcW w:w="30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440" w:type="dxa"/>
            <w:vAlign w:val="bottom"/>
            <w:gridSpan w:val="2"/>
            <w:shd w:val="clear" w:color="auto" w:fill="CFF0FC"/>
          </w:tcPr>
          <w:p>
            <w:pPr>
              <w:jc w:val="right"/>
              <w:ind w:right="60"/>
              <w:spacing w:after="0"/>
              <w:rPr>
                <w:sz w:val="20"/>
                <w:szCs w:val="20"/>
                <w:color w:val="auto"/>
              </w:rPr>
            </w:pPr>
            <w:r>
              <w:rPr>
                <w:rFonts w:ascii="Arial" w:cs="Arial" w:eastAsia="Arial" w:hAnsi="Arial"/>
                <w:sz w:val="12"/>
                <w:szCs w:val="12"/>
                <w:color w:val="auto"/>
              </w:rPr>
              <w:t>0.9%</w:t>
            </w:r>
          </w:p>
        </w:tc>
        <w:tc>
          <w:tcPr>
            <w:tcW w:w="0" w:type="dxa"/>
            <w:vAlign w:val="bottom"/>
          </w:tcPr>
          <w:p>
            <w:pPr>
              <w:spacing w:after="0"/>
              <w:rPr>
                <w:sz w:val="1"/>
                <w:szCs w:val="1"/>
                <w:color w:val="auto"/>
              </w:rPr>
            </w:pPr>
          </w:p>
        </w:tc>
      </w:tr>
      <w:tr>
        <w:trPr>
          <w:trHeight w:val="153"/>
        </w:trPr>
        <w:tc>
          <w:tcPr>
            <w:tcW w:w="4460" w:type="dxa"/>
            <w:vAlign w:val="bottom"/>
            <w:gridSpan w:val="2"/>
          </w:tcPr>
          <w:p>
            <w:pPr>
              <w:spacing w:after="0"/>
              <w:rPr>
                <w:sz w:val="20"/>
                <w:szCs w:val="20"/>
                <w:color w:val="auto"/>
              </w:rPr>
            </w:pPr>
            <w:r>
              <w:rPr>
                <w:rFonts w:ascii="Arial" w:cs="Arial" w:eastAsia="Arial" w:hAnsi="Arial"/>
                <w:sz w:val="12"/>
                <w:szCs w:val="12"/>
                <w:color w:val="auto"/>
              </w:rPr>
              <w:t>Other income, net</w:t>
            </w:r>
          </w:p>
        </w:tc>
        <w:tc>
          <w:tcPr>
            <w:tcW w:w="34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2"/>
                <w:szCs w:val="12"/>
                <w:color w:val="auto"/>
              </w:rPr>
              <w:t>(1,294)</w:t>
            </w:r>
          </w:p>
        </w:tc>
        <w:tc>
          <w:tcPr>
            <w:tcW w:w="300" w:type="dxa"/>
            <w:vAlign w:val="bottom"/>
          </w:tcPr>
          <w:p>
            <w:pPr>
              <w:spacing w:after="0"/>
              <w:rPr>
                <w:sz w:val="13"/>
                <w:szCs w:val="13"/>
                <w:color w:val="auto"/>
              </w:rPr>
            </w:pPr>
          </w:p>
        </w:tc>
        <w:tc>
          <w:tcPr>
            <w:tcW w:w="1440" w:type="dxa"/>
            <w:vAlign w:val="bottom"/>
            <w:gridSpan w:val="2"/>
          </w:tcPr>
          <w:p>
            <w:pPr>
              <w:jc w:val="right"/>
              <w:ind w:right="20"/>
              <w:spacing w:after="0"/>
              <w:rPr>
                <w:sz w:val="20"/>
                <w:szCs w:val="20"/>
                <w:color w:val="auto"/>
              </w:rPr>
            </w:pPr>
            <w:r>
              <w:rPr>
                <w:rFonts w:ascii="Arial" w:cs="Arial" w:eastAsia="Arial" w:hAnsi="Arial"/>
                <w:sz w:val="11"/>
                <w:szCs w:val="11"/>
                <w:color w:val="auto"/>
              </w:rPr>
              <w:t>(1.4)%</w:t>
            </w:r>
          </w:p>
        </w:tc>
        <w:tc>
          <w:tcPr>
            <w:tcW w:w="0" w:type="dxa"/>
            <w:vAlign w:val="bottom"/>
          </w:tcPr>
          <w:p>
            <w:pPr>
              <w:spacing w:after="0"/>
              <w:rPr>
                <w:sz w:val="1"/>
                <w:szCs w:val="1"/>
                <w:color w:val="auto"/>
              </w:rPr>
            </w:pPr>
          </w:p>
        </w:tc>
      </w:tr>
      <w:tr>
        <w:trPr>
          <w:trHeight w:val="20"/>
        </w:trPr>
        <w:tc>
          <w:tcPr>
            <w:tcW w:w="4460" w:type="dxa"/>
            <w:vAlign w:val="bottom"/>
            <w:gridSpan w:val="2"/>
            <w:vMerge w:val="restart"/>
            <w:shd w:val="clear" w:color="auto" w:fill="CFF0FC"/>
          </w:tcPr>
          <w:p>
            <w:pPr>
              <w:ind w:left="80"/>
              <w:spacing w:after="0"/>
              <w:rPr>
                <w:sz w:val="20"/>
                <w:szCs w:val="20"/>
                <w:color w:val="auto"/>
              </w:rPr>
            </w:pPr>
            <w:r>
              <w:rPr>
                <w:rFonts w:ascii="Arial" w:cs="Arial" w:eastAsia="Arial" w:hAnsi="Arial"/>
                <w:sz w:val="12"/>
                <w:szCs w:val="12"/>
                <w:color w:val="auto"/>
              </w:rPr>
              <w:t>Total other income</w:t>
            </w:r>
          </w:p>
        </w:tc>
        <w:tc>
          <w:tcPr>
            <w:tcW w:w="3400" w:type="dxa"/>
            <w:vAlign w:val="bottom"/>
            <w:shd w:val="clear" w:color="auto" w:fill="CFF0FC"/>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460" w:type="dxa"/>
            <w:vAlign w:val="bottom"/>
            <w:gridSpan w:val="2"/>
            <w:vMerge w:val="continue"/>
            <w:shd w:val="clear" w:color="auto" w:fill="CFF0FC"/>
          </w:tcPr>
          <w:p>
            <w:pPr>
              <w:spacing w:after="0"/>
              <w:rPr>
                <w:sz w:val="12"/>
                <w:szCs w:val="12"/>
                <w:color w:val="auto"/>
              </w:rPr>
            </w:pPr>
          </w:p>
        </w:tc>
        <w:tc>
          <w:tcPr>
            <w:tcW w:w="340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260"/>
              <w:spacing w:after="0"/>
              <w:rPr>
                <w:sz w:val="20"/>
                <w:szCs w:val="20"/>
                <w:color w:val="auto"/>
              </w:rPr>
            </w:pPr>
            <w:r>
              <w:rPr>
                <w:rFonts w:ascii="Arial" w:cs="Arial" w:eastAsia="Arial" w:hAnsi="Arial"/>
                <w:sz w:val="12"/>
                <w:szCs w:val="12"/>
                <w:color w:val="auto"/>
              </w:rPr>
              <w:t>(419)</w:t>
            </w:r>
          </w:p>
        </w:tc>
        <w:tc>
          <w:tcPr>
            <w:tcW w:w="300" w:type="dxa"/>
            <w:vAlign w:val="bottom"/>
            <w:shd w:val="clear" w:color="auto" w:fill="CFF0FC"/>
          </w:tcPr>
          <w:p>
            <w:pPr>
              <w:spacing w:after="0"/>
              <w:rPr>
                <w:sz w:val="12"/>
                <w:szCs w:val="12"/>
                <w:color w:val="auto"/>
              </w:rPr>
            </w:pPr>
          </w:p>
        </w:tc>
        <w:tc>
          <w:tcPr>
            <w:tcW w:w="1440" w:type="dxa"/>
            <w:vAlign w:val="bottom"/>
            <w:gridSpan w:val="2"/>
            <w:shd w:val="clear" w:color="auto" w:fill="CFF0FC"/>
          </w:tcPr>
          <w:p>
            <w:pPr>
              <w:jc w:val="right"/>
              <w:ind w:right="20"/>
              <w:spacing w:after="0"/>
              <w:rPr>
                <w:sz w:val="20"/>
                <w:szCs w:val="20"/>
                <w:color w:val="auto"/>
              </w:rPr>
            </w:pPr>
            <w:r>
              <w:rPr>
                <w:rFonts w:ascii="Arial" w:cs="Arial" w:eastAsia="Arial" w:hAnsi="Arial"/>
                <w:sz w:val="11"/>
                <w:szCs w:val="11"/>
                <w:color w:val="auto"/>
              </w:rPr>
              <w:t>(0.4)%</w:t>
            </w:r>
          </w:p>
        </w:tc>
        <w:tc>
          <w:tcPr>
            <w:tcW w:w="0" w:type="dxa"/>
            <w:vAlign w:val="bottom"/>
          </w:tcPr>
          <w:p>
            <w:pPr>
              <w:spacing w:after="0"/>
              <w:rPr>
                <w:sz w:val="1"/>
                <w:szCs w:val="1"/>
                <w:color w:val="auto"/>
              </w:rPr>
            </w:pPr>
          </w:p>
        </w:tc>
      </w:tr>
      <w:tr>
        <w:trPr>
          <w:trHeight w:val="20"/>
        </w:trPr>
        <w:tc>
          <w:tcPr>
            <w:tcW w:w="4460" w:type="dxa"/>
            <w:vAlign w:val="bottom"/>
            <w:gridSpan w:val="2"/>
            <w:vMerge w:val="restart"/>
          </w:tcPr>
          <w:p>
            <w:pPr>
              <w:spacing w:after="0"/>
              <w:rPr>
                <w:sz w:val="20"/>
                <w:szCs w:val="20"/>
                <w:color w:val="auto"/>
              </w:rPr>
            </w:pPr>
            <w:r>
              <w:rPr>
                <w:rFonts w:ascii="Arial" w:cs="Arial" w:eastAsia="Arial" w:hAnsi="Arial"/>
                <w:sz w:val="12"/>
                <w:szCs w:val="12"/>
                <w:color w:val="auto"/>
              </w:rPr>
              <w:t>Income before income tax provision</w:t>
            </w:r>
          </w:p>
        </w:tc>
        <w:tc>
          <w:tcPr>
            <w:tcW w:w="340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460" w:type="dxa"/>
            <w:vAlign w:val="bottom"/>
            <w:gridSpan w:val="2"/>
            <w:vMerge w:val="continue"/>
          </w:tcPr>
          <w:p>
            <w:pPr>
              <w:spacing w:after="0"/>
              <w:rPr>
                <w:sz w:val="12"/>
                <w:szCs w:val="12"/>
                <w:color w:val="auto"/>
              </w:rPr>
            </w:pPr>
          </w:p>
        </w:tc>
        <w:tc>
          <w:tcPr>
            <w:tcW w:w="34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2,492</w:t>
            </w: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2"/>
                <w:szCs w:val="12"/>
                <w:color w:val="auto"/>
              </w:rPr>
              <w:t>2.7%</w:t>
            </w:r>
          </w:p>
        </w:tc>
        <w:tc>
          <w:tcPr>
            <w:tcW w:w="0" w:type="dxa"/>
            <w:vAlign w:val="bottom"/>
          </w:tcPr>
          <w:p>
            <w:pPr>
              <w:spacing w:after="0"/>
              <w:rPr>
                <w:sz w:val="1"/>
                <w:szCs w:val="1"/>
                <w:color w:val="auto"/>
              </w:rPr>
            </w:pPr>
          </w:p>
        </w:tc>
      </w:tr>
      <w:tr>
        <w:trPr>
          <w:trHeight w:val="153"/>
        </w:trPr>
        <w:tc>
          <w:tcPr>
            <w:tcW w:w="446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Income tax provision</w:t>
            </w:r>
          </w:p>
        </w:tc>
        <w:tc>
          <w:tcPr>
            <w:tcW w:w="3400" w:type="dxa"/>
            <w:vAlign w:val="bottom"/>
            <w:shd w:val="clear" w:color="auto" w:fill="CFF0FC"/>
          </w:tcPr>
          <w:p>
            <w:pPr>
              <w:spacing w:after="0"/>
              <w:rPr>
                <w:sz w:val="13"/>
                <w:szCs w:val="13"/>
                <w:color w:val="auto"/>
              </w:rPr>
            </w:pPr>
          </w:p>
        </w:tc>
        <w:tc>
          <w:tcPr>
            <w:tcW w:w="1180" w:type="dxa"/>
            <w:vAlign w:val="bottom"/>
            <w:shd w:val="clear" w:color="auto" w:fill="CFF0FC"/>
          </w:tcPr>
          <w:p>
            <w:pPr>
              <w:spacing w:after="0"/>
              <w:rPr>
                <w:sz w:val="13"/>
                <w:szCs w:val="13"/>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1,252</w:t>
            </w:r>
          </w:p>
        </w:tc>
        <w:tc>
          <w:tcPr>
            <w:tcW w:w="30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440" w:type="dxa"/>
            <w:vAlign w:val="bottom"/>
            <w:gridSpan w:val="2"/>
            <w:shd w:val="clear" w:color="auto" w:fill="CFF0FC"/>
          </w:tcPr>
          <w:p>
            <w:pPr>
              <w:jc w:val="right"/>
              <w:ind w:right="60"/>
              <w:spacing w:after="0"/>
              <w:rPr>
                <w:sz w:val="20"/>
                <w:szCs w:val="20"/>
                <w:color w:val="auto"/>
              </w:rPr>
            </w:pPr>
            <w:r>
              <w:rPr>
                <w:rFonts w:ascii="Arial" w:cs="Arial" w:eastAsia="Arial" w:hAnsi="Arial"/>
                <w:sz w:val="12"/>
                <w:szCs w:val="12"/>
                <w:color w:val="auto"/>
              </w:rPr>
              <w:t>1.3%</w:t>
            </w:r>
          </w:p>
        </w:tc>
        <w:tc>
          <w:tcPr>
            <w:tcW w:w="0" w:type="dxa"/>
            <w:vAlign w:val="bottom"/>
          </w:tcPr>
          <w:p>
            <w:pPr>
              <w:spacing w:after="0"/>
              <w:rPr>
                <w:sz w:val="1"/>
                <w:szCs w:val="1"/>
                <w:color w:val="auto"/>
              </w:rPr>
            </w:pPr>
          </w:p>
        </w:tc>
      </w:tr>
      <w:tr>
        <w:trPr>
          <w:trHeight w:val="20"/>
        </w:trPr>
        <w:tc>
          <w:tcPr>
            <w:tcW w:w="44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Net income</w:t>
            </w:r>
          </w:p>
        </w:tc>
        <w:tc>
          <w:tcPr>
            <w:tcW w:w="340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4460" w:type="dxa"/>
            <w:vAlign w:val="bottom"/>
            <w:gridSpan w:val="2"/>
            <w:vMerge w:val="continue"/>
          </w:tcPr>
          <w:p>
            <w:pPr>
              <w:spacing w:after="0"/>
              <w:rPr>
                <w:sz w:val="12"/>
                <w:szCs w:val="12"/>
                <w:color w:val="auto"/>
              </w:rPr>
            </w:pPr>
          </w:p>
        </w:tc>
        <w:tc>
          <w:tcPr>
            <w:tcW w:w="3400" w:type="dxa"/>
            <w:vAlign w:val="bottom"/>
          </w:tcPr>
          <w:p>
            <w:pPr>
              <w:spacing w:after="0"/>
              <w:rPr>
                <w:sz w:val="12"/>
                <w:szCs w:val="12"/>
                <w:color w:val="auto"/>
              </w:rPr>
            </w:pPr>
          </w:p>
        </w:tc>
        <w:tc>
          <w:tcPr>
            <w:tcW w:w="1180" w:type="dxa"/>
            <w:vAlign w:val="bottom"/>
          </w:tcPr>
          <w:p>
            <w:pPr>
              <w:jc w:val="right"/>
              <w:ind w:right="1073"/>
              <w:spacing w:after="0"/>
              <w:rPr>
                <w:sz w:val="20"/>
                <w:szCs w:val="20"/>
                <w:color w:val="auto"/>
              </w:rPr>
            </w:pPr>
            <w:r>
              <w:rPr>
                <w:rFonts w:ascii="Arial" w:cs="Arial" w:eastAsia="Arial" w:hAnsi="Arial"/>
                <w:sz w:val="10"/>
                <w:szCs w:val="10"/>
                <w:color w:val="auto"/>
                <w:w w:val="71"/>
              </w:rPr>
              <w:t>$</w:t>
            </w:r>
          </w:p>
        </w:tc>
        <w:tc>
          <w:tcPr>
            <w:tcW w:w="400" w:type="dxa"/>
            <w:vAlign w:val="bottom"/>
          </w:tcPr>
          <w:p>
            <w:pPr>
              <w:jc w:val="right"/>
              <w:spacing w:after="0"/>
              <w:rPr>
                <w:sz w:val="20"/>
                <w:szCs w:val="20"/>
                <w:color w:val="auto"/>
              </w:rPr>
            </w:pPr>
            <w:r>
              <w:rPr>
                <w:rFonts w:ascii="Arial" w:cs="Arial" w:eastAsia="Arial" w:hAnsi="Arial"/>
                <w:sz w:val="12"/>
                <w:szCs w:val="12"/>
                <w:color w:val="auto"/>
              </w:rPr>
              <w:t>1,240</w:t>
            </w: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2"/>
                <w:szCs w:val="12"/>
                <w:color w:val="auto"/>
              </w:rPr>
              <w:t>1.3%</w:t>
            </w:r>
          </w:p>
        </w:tc>
        <w:tc>
          <w:tcPr>
            <w:tcW w:w="0" w:type="dxa"/>
            <w:vAlign w:val="bottom"/>
          </w:tcPr>
          <w:p>
            <w:pPr>
              <w:spacing w:after="0"/>
              <w:rPr>
                <w:sz w:val="1"/>
                <w:szCs w:val="1"/>
                <w:color w:val="auto"/>
              </w:rPr>
            </w:pPr>
          </w:p>
        </w:tc>
      </w:tr>
      <w:tr>
        <w:trPr>
          <w:trHeight w:val="459"/>
        </w:trPr>
        <w:tc>
          <w:tcPr>
            <w:tcW w:w="64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3400" w:type="dxa"/>
            <w:vAlign w:val="bottom"/>
          </w:tcPr>
          <w:p>
            <w:pPr>
              <w:jc w:val="right"/>
              <w:ind w:right="2004"/>
              <w:spacing w:after="0"/>
              <w:rPr>
                <w:sz w:val="20"/>
                <w:szCs w:val="20"/>
                <w:color w:val="auto"/>
              </w:rPr>
            </w:pPr>
            <w:r>
              <w:rPr>
                <w:rFonts w:ascii="Arial" w:cs="Arial" w:eastAsia="Arial" w:hAnsi="Arial"/>
                <w:sz w:val="12"/>
                <w:szCs w:val="12"/>
                <w:color w:val="auto"/>
              </w:rPr>
              <w:t>53</w:t>
            </w:r>
          </w:p>
        </w:tc>
        <w:tc>
          <w:tcPr>
            <w:tcW w:w="118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640" w:type="dxa"/>
            <w:vAlign w:val="bottom"/>
            <w:tcBorders>
              <w:bottom w:val="single" w:sz="8" w:color="9A9A9A"/>
            </w:tcBorders>
          </w:tcPr>
          <w:p>
            <w:pPr>
              <w:spacing w:after="0"/>
              <w:rPr>
                <w:sz w:val="6"/>
                <w:szCs w:val="6"/>
                <w:color w:val="auto"/>
              </w:rPr>
            </w:pPr>
          </w:p>
        </w:tc>
        <w:tc>
          <w:tcPr>
            <w:tcW w:w="3820" w:type="dxa"/>
            <w:vAlign w:val="bottom"/>
            <w:tcBorders>
              <w:bottom w:val="single" w:sz="8" w:color="9A9A9A"/>
            </w:tcBorders>
          </w:tcPr>
          <w:p>
            <w:pPr>
              <w:spacing w:after="0"/>
              <w:rPr>
                <w:sz w:val="6"/>
                <w:szCs w:val="6"/>
                <w:color w:val="auto"/>
              </w:rPr>
            </w:pPr>
          </w:p>
        </w:tc>
        <w:tc>
          <w:tcPr>
            <w:tcW w:w="3400" w:type="dxa"/>
            <w:vAlign w:val="bottom"/>
            <w:tcBorders>
              <w:bottom w:val="single" w:sz="8" w:color="9A9A9A"/>
            </w:tcBorders>
          </w:tcPr>
          <w:p>
            <w:pPr>
              <w:spacing w:after="0"/>
              <w:rPr>
                <w:sz w:val="6"/>
                <w:szCs w:val="6"/>
                <w:color w:val="auto"/>
              </w:rPr>
            </w:pPr>
          </w:p>
        </w:tc>
        <w:tc>
          <w:tcPr>
            <w:tcW w:w="1180" w:type="dxa"/>
            <w:vAlign w:val="bottom"/>
            <w:tcBorders>
              <w:bottom w:val="single" w:sz="8" w:color="9A9A9A"/>
            </w:tcBorders>
          </w:tcPr>
          <w:p>
            <w:pPr>
              <w:spacing w:after="0"/>
              <w:rPr>
                <w:sz w:val="6"/>
                <w:szCs w:val="6"/>
                <w:color w:val="auto"/>
              </w:rPr>
            </w:pPr>
          </w:p>
        </w:tc>
        <w:tc>
          <w:tcPr>
            <w:tcW w:w="40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128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7268845</wp:posOffset>
            </wp:positionH>
            <wp:positionV relativeFrom="paragraph">
              <wp:posOffset>-23495</wp:posOffset>
            </wp:positionV>
            <wp:extent cx="31115" cy="3683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480"/>
          </w:cols>
          <w:pgMar w:left="220" w:top="131" w:right="199" w:bottom="1440" w:gutter="0" w:footer="0" w:header="0"/>
        </w:sectPr>
      </w:pPr>
    </w:p>
    <w:bookmarkStart w:id="54" w:name="page55"/>
    <w:bookmarkEnd w:id="54"/>
    <w:p>
      <w:pPr>
        <w:ind w:left="600"/>
        <w:spacing w:after="0"/>
        <w:rPr>
          <w:sz w:val="20"/>
          <w:szCs w:val="20"/>
          <w:color w:val="auto"/>
        </w:rPr>
      </w:pPr>
      <w:r>
        <w:rPr>
          <w:rFonts w:ascii="Arial" w:cs="Arial" w:eastAsia="Arial" w:hAnsi="Arial"/>
          <w:sz w:val="12"/>
          <w:szCs w:val="12"/>
          <w:i w:val="1"/>
          <w:iCs w:val="1"/>
          <w:color w:val="auto"/>
        </w:rPr>
        <w:t xml:space="preserve">Service Revenue. </w:t>
      </w:r>
      <w:r>
        <w:rPr>
          <w:rFonts w:ascii="Arial" w:cs="Arial" w:eastAsia="Arial" w:hAnsi="Arial"/>
          <w:sz w:val="12"/>
          <w:szCs w:val="12"/>
          <w:color w:val="auto"/>
        </w:rPr>
        <w:t>Service revenue of $92.5 million for the 2017 Predecessor Period was 98.6% of total revenue. The following table depicts service revenue by segment for the 2017 Predecessor Period: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40" w:type="dxa"/>
            <w:vAlign w:val="bottom"/>
          </w:tcPr>
          <w:p>
            <w:pPr>
              <w:spacing w:after="0"/>
              <w:rPr>
                <w:sz w:val="10"/>
                <w:szCs w:val="10"/>
                <w:color w:val="auto"/>
              </w:rPr>
            </w:pPr>
          </w:p>
        </w:tc>
        <w:tc>
          <w:tcPr>
            <w:tcW w:w="7240" w:type="dxa"/>
            <w:vAlign w:val="bottom"/>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gridSpan w:val="3"/>
          </w:tcPr>
          <w:p>
            <w:pPr>
              <w:ind w:left="300"/>
              <w:spacing w:after="0"/>
              <w:rPr>
                <w:sz w:val="20"/>
                <w:szCs w:val="20"/>
                <w:color w:val="auto"/>
              </w:rPr>
            </w:pPr>
            <w:r>
              <w:rPr>
                <w:rFonts w:ascii="Arial" w:cs="Arial" w:eastAsia="Arial" w:hAnsi="Arial"/>
                <w:sz w:val="10"/>
                <w:szCs w:val="10"/>
                <w:b w:val="1"/>
                <w:bCs w:val="1"/>
                <w:color w:val="auto"/>
              </w:rPr>
              <w:t>Predecessor</w:t>
            </w:r>
          </w:p>
        </w:tc>
        <w:tc>
          <w:tcPr>
            <w:tcW w:w="126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3"/>
        </w:trPr>
        <w:tc>
          <w:tcPr>
            <w:tcW w:w="640" w:type="dxa"/>
            <w:vAlign w:val="bottom"/>
          </w:tcPr>
          <w:p>
            <w:pPr>
              <w:spacing w:after="0"/>
              <w:rPr>
                <w:sz w:val="7"/>
                <w:szCs w:val="7"/>
                <w:color w:val="auto"/>
              </w:rPr>
            </w:pPr>
          </w:p>
        </w:tc>
        <w:tc>
          <w:tcPr>
            <w:tcW w:w="7240" w:type="dxa"/>
            <w:vAlign w:val="bottom"/>
          </w:tcPr>
          <w:p>
            <w:pPr>
              <w:spacing w:after="0"/>
              <w:rPr>
                <w:sz w:val="7"/>
                <w:szCs w:val="7"/>
                <w:color w:val="auto"/>
              </w:rPr>
            </w:pPr>
          </w:p>
        </w:tc>
        <w:tc>
          <w:tcPr>
            <w:tcW w:w="1180" w:type="dxa"/>
            <w:vAlign w:val="bottom"/>
          </w:tcPr>
          <w:p>
            <w:pPr>
              <w:jc w:val="center"/>
              <w:ind w:left="352"/>
              <w:spacing w:after="0" w:line="83" w:lineRule="exact"/>
              <w:rPr>
                <w:sz w:val="20"/>
                <w:szCs w:val="20"/>
                <w:color w:val="auto"/>
              </w:rPr>
            </w:pPr>
            <w:r>
              <w:rPr>
                <w:rFonts w:ascii="Arial" w:cs="Arial" w:eastAsia="Arial" w:hAnsi="Arial"/>
                <w:sz w:val="8"/>
                <w:szCs w:val="8"/>
                <w:b w:val="1"/>
                <w:bCs w:val="1"/>
                <w:color w:val="auto"/>
              </w:rPr>
              <w:t>Period From</w:t>
            </w:r>
          </w:p>
        </w:tc>
        <w:tc>
          <w:tcPr>
            <w:tcW w:w="400" w:type="dxa"/>
            <w:vAlign w:val="bottom"/>
          </w:tcPr>
          <w:p>
            <w:pPr>
              <w:spacing w:after="0"/>
              <w:rPr>
                <w:sz w:val="7"/>
                <w:szCs w:val="7"/>
                <w:color w:val="auto"/>
              </w:rPr>
            </w:pPr>
          </w:p>
        </w:tc>
        <w:tc>
          <w:tcPr>
            <w:tcW w:w="3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640" w:type="dxa"/>
            <w:vAlign w:val="bottom"/>
          </w:tcPr>
          <w:p>
            <w:pPr>
              <w:spacing w:after="0"/>
              <w:rPr>
                <w:sz w:val="8"/>
                <w:szCs w:val="8"/>
                <w:color w:val="auto"/>
              </w:rPr>
            </w:pPr>
          </w:p>
        </w:tc>
        <w:tc>
          <w:tcPr>
            <w:tcW w:w="7240" w:type="dxa"/>
            <w:vAlign w:val="bottom"/>
          </w:tcPr>
          <w:p>
            <w:pPr>
              <w:spacing w:after="0"/>
              <w:rPr>
                <w:sz w:val="8"/>
                <w:szCs w:val="8"/>
                <w:color w:val="auto"/>
              </w:rPr>
            </w:pPr>
          </w:p>
        </w:tc>
        <w:tc>
          <w:tcPr>
            <w:tcW w:w="1180" w:type="dxa"/>
            <w:vAlign w:val="bottom"/>
          </w:tcPr>
          <w:p>
            <w:pPr>
              <w:jc w:val="center"/>
              <w:ind w:left="352"/>
              <w:spacing w:after="0" w:line="99" w:lineRule="exact"/>
              <w:rPr>
                <w:sz w:val="20"/>
                <w:szCs w:val="20"/>
                <w:color w:val="auto"/>
              </w:rPr>
            </w:pPr>
            <w:r>
              <w:rPr>
                <w:rFonts w:ascii="Arial" w:cs="Arial" w:eastAsia="Arial" w:hAnsi="Arial"/>
                <w:sz w:val="10"/>
                <w:szCs w:val="10"/>
                <w:b w:val="1"/>
                <w:bCs w:val="1"/>
                <w:color w:val="auto"/>
                <w:w w:val="88"/>
              </w:rPr>
              <w:t>January 1, 2017</w:t>
            </w: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640" w:type="dxa"/>
            <w:vAlign w:val="bottom"/>
          </w:tcPr>
          <w:p>
            <w:pPr>
              <w:spacing w:after="0"/>
              <w:rPr>
                <w:sz w:val="8"/>
                <w:szCs w:val="8"/>
                <w:color w:val="auto"/>
              </w:rPr>
            </w:pPr>
          </w:p>
        </w:tc>
        <w:tc>
          <w:tcPr>
            <w:tcW w:w="7240" w:type="dxa"/>
            <w:vAlign w:val="bottom"/>
          </w:tcPr>
          <w:p>
            <w:pPr>
              <w:spacing w:after="0"/>
              <w:rPr>
                <w:sz w:val="8"/>
                <w:szCs w:val="8"/>
                <w:color w:val="auto"/>
              </w:rPr>
            </w:pPr>
          </w:p>
        </w:tc>
        <w:tc>
          <w:tcPr>
            <w:tcW w:w="1180" w:type="dxa"/>
            <w:vAlign w:val="bottom"/>
          </w:tcPr>
          <w:p>
            <w:pPr>
              <w:jc w:val="center"/>
              <w:ind w:left="352"/>
              <w:spacing w:after="0" w:line="99" w:lineRule="exact"/>
              <w:rPr>
                <w:sz w:val="20"/>
                <w:szCs w:val="20"/>
                <w:color w:val="auto"/>
              </w:rPr>
            </w:pPr>
            <w:r>
              <w:rPr>
                <w:rFonts w:ascii="Arial" w:cs="Arial" w:eastAsia="Arial" w:hAnsi="Arial"/>
                <w:sz w:val="10"/>
                <w:szCs w:val="10"/>
                <w:b w:val="1"/>
                <w:bCs w:val="1"/>
                <w:color w:val="auto"/>
                <w:w w:val="86"/>
              </w:rPr>
              <w:t>to May 31,</w:t>
            </w: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0" w:type="dxa"/>
            <w:vAlign w:val="bottom"/>
            <w:gridSpan w:val="2"/>
          </w:tcPr>
          <w:p>
            <w:pPr>
              <w:jc w:val="right"/>
              <w:ind w:right="700"/>
              <w:spacing w:after="0" w:line="99" w:lineRule="exact"/>
              <w:rPr>
                <w:sz w:val="20"/>
                <w:szCs w:val="20"/>
                <w:color w:val="auto"/>
              </w:rPr>
            </w:pPr>
            <w:r>
              <w:rPr>
                <w:rFonts w:ascii="Arial" w:cs="Arial" w:eastAsia="Arial" w:hAnsi="Arial"/>
                <w:sz w:val="10"/>
                <w:szCs w:val="10"/>
                <w:b w:val="1"/>
                <w:bCs w:val="1"/>
                <w:color w:val="auto"/>
              </w:rPr>
              <w:t>Percentage</w:t>
            </w:r>
          </w:p>
        </w:tc>
        <w:tc>
          <w:tcPr>
            <w:tcW w:w="0" w:type="dxa"/>
            <w:vAlign w:val="bottom"/>
          </w:tcPr>
          <w:p>
            <w:pPr>
              <w:spacing w:after="0"/>
              <w:rPr>
                <w:sz w:val="1"/>
                <w:szCs w:val="1"/>
                <w:color w:val="auto"/>
              </w:rPr>
            </w:pPr>
          </w:p>
        </w:tc>
      </w:tr>
      <w:tr>
        <w:trPr>
          <w:trHeight w:val="105"/>
        </w:trPr>
        <w:tc>
          <w:tcPr>
            <w:tcW w:w="7880" w:type="dxa"/>
            <w:vAlign w:val="bottom"/>
            <w:gridSpan w:val="2"/>
          </w:tcPr>
          <w:p>
            <w:pPr>
              <w:spacing w:after="0" w:line="105" w:lineRule="exact"/>
              <w:rPr>
                <w:sz w:val="20"/>
                <w:szCs w:val="20"/>
                <w:color w:val="auto"/>
              </w:rPr>
            </w:pPr>
            <w:r>
              <w:rPr>
                <w:rFonts w:ascii="Arial" w:cs="Arial" w:eastAsia="Arial" w:hAnsi="Arial"/>
                <w:sz w:val="10"/>
                <w:szCs w:val="10"/>
                <w:b w:val="1"/>
                <w:bCs w:val="1"/>
                <w:u w:val="single" w:color="auto"/>
                <w:color w:val="auto"/>
              </w:rPr>
              <w:t>(</w:t>
            </w:r>
            <w:r>
              <w:rPr>
                <w:rFonts w:ascii="Arial" w:cs="Arial" w:eastAsia="Arial" w:hAnsi="Arial"/>
                <w:sz w:val="10"/>
                <w:szCs w:val="10"/>
                <w:b w:val="1"/>
                <w:bCs w:val="1"/>
                <w:color w:val="auto"/>
              </w:rPr>
              <w:t>$ in thousands)</w:t>
            </w:r>
          </w:p>
        </w:tc>
        <w:tc>
          <w:tcPr>
            <w:tcW w:w="1180" w:type="dxa"/>
            <w:vAlign w:val="bottom"/>
          </w:tcPr>
          <w:p>
            <w:pPr>
              <w:jc w:val="center"/>
              <w:ind w:left="352"/>
              <w:spacing w:after="0" w:line="105" w:lineRule="exact"/>
              <w:rPr>
                <w:sz w:val="20"/>
                <w:szCs w:val="20"/>
                <w:color w:val="auto"/>
              </w:rPr>
            </w:pPr>
            <w:r>
              <w:rPr>
                <w:rFonts w:ascii="Arial" w:cs="Arial" w:eastAsia="Arial" w:hAnsi="Arial"/>
                <w:sz w:val="10"/>
                <w:szCs w:val="10"/>
                <w:b w:val="1"/>
                <w:bCs w:val="1"/>
                <w:color w:val="auto"/>
                <w:w w:val="80"/>
              </w:rPr>
              <w:t>2017</w:t>
            </w: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0" w:type="dxa"/>
            <w:vAlign w:val="bottom"/>
            <w:gridSpan w:val="2"/>
          </w:tcPr>
          <w:p>
            <w:pPr>
              <w:jc w:val="right"/>
              <w:ind w:right="700"/>
              <w:spacing w:after="0" w:line="105" w:lineRule="exact"/>
              <w:rPr>
                <w:sz w:val="20"/>
                <w:szCs w:val="20"/>
                <w:color w:val="auto"/>
              </w:rPr>
            </w:pPr>
            <w:r>
              <w:rPr>
                <w:rFonts w:ascii="Arial" w:cs="Arial" w:eastAsia="Arial" w:hAnsi="Arial"/>
                <w:sz w:val="10"/>
                <w:szCs w:val="10"/>
                <w:b w:val="1"/>
                <w:bCs w:val="1"/>
                <w:color w:val="auto"/>
              </w:rPr>
              <w:t>of Revenue</w:t>
            </w:r>
          </w:p>
        </w:tc>
        <w:tc>
          <w:tcPr>
            <w:tcW w:w="0" w:type="dxa"/>
            <w:vAlign w:val="bottom"/>
          </w:tcPr>
          <w:p>
            <w:pPr>
              <w:spacing w:after="0"/>
              <w:rPr>
                <w:sz w:val="1"/>
                <w:szCs w:val="1"/>
                <w:color w:val="auto"/>
              </w:rPr>
            </w:pPr>
          </w:p>
        </w:tc>
      </w:tr>
      <w:tr>
        <w:trPr>
          <w:trHeight w:val="20"/>
        </w:trPr>
        <w:tc>
          <w:tcPr>
            <w:tcW w:w="640" w:type="dxa"/>
            <w:vAlign w:val="bottom"/>
            <w:tcBorders>
              <w:bottom w:val="single" w:sz="8" w:color="CFF0FC"/>
            </w:tcBorders>
            <w:shd w:val="clear" w:color="auto" w:fill="000000"/>
          </w:tcPr>
          <w:p>
            <w:pPr>
              <w:spacing w:after="0" w:line="20" w:lineRule="exact"/>
              <w:rPr>
                <w:sz w:val="1"/>
                <w:szCs w:val="1"/>
                <w:color w:val="auto"/>
              </w:rPr>
            </w:pPr>
          </w:p>
        </w:tc>
        <w:tc>
          <w:tcPr>
            <w:tcW w:w="7240" w:type="dxa"/>
            <w:vAlign w:val="bottom"/>
            <w:tcBorders>
              <w:bottom w:val="single" w:sz="8" w:color="CFF0FC"/>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FF0FC"/>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7880" w:type="dxa"/>
            <w:vAlign w:val="bottom"/>
            <w:gridSpan w:val="2"/>
            <w:shd w:val="clear" w:color="auto" w:fill="CFF0FC"/>
          </w:tcPr>
          <w:p>
            <w:pPr>
              <w:spacing w:after="0" w:line="132" w:lineRule="exact"/>
              <w:rPr>
                <w:sz w:val="20"/>
                <w:szCs w:val="20"/>
                <w:color w:val="auto"/>
              </w:rPr>
            </w:pPr>
            <w:r>
              <w:rPr>
                <w:rFonts w:ascii="Arial" w:cs="Arial" w:eastAsia="Arial" w:hAnsi="Arial"/>
                <w:sz w:val="12"/>
                <w:szCs w:val="12"/>
                <w:b w:val="1"/>
                <w:bCs w:val="1"/>
                <w:color w:val="auto"/>
              </w:rPr>
              <w:t>Service revenue</w:t>
            </w:r>
          </w:p>
        </w:tc>
        <w:tc>
          <w:tcPr>
            <w:tcW w:w="118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12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7880" w:type="dxa"/>
            <w:vAlign w:val="bottom"/>
            <w:gridSpan w:val="2"/>
          </w:tcPr>
          <w:p>
            <w:pPr>
              <w:ind w:left="160"/>
              <w:spacing w:after="0"/>
              <w:rPr>
                <w:sz w:val="20"/>
                <w:szCs w:val="20"/>
                <w:color w:val="auto"/>
              </w:rPr>
            </w:pPr>
            <w:r>
              <w:rPr>
                <w:rFonts w:ascii="Arial" w:cs="Arial" w:eastAsia="Arial" w:hAnsi="Arial"/>
                <w:sz w:val="12"/>
                <w:szCs w:val="12"/>
                <w:color w:val="auto"/>
              </w:rPr>
              <w:t>Commercial Services</w:t>
            </w:r>
          </w:p>
        </w:tc>
        <w:tc>
          <w:tcPr>
            <w:tcW w:w="1180" w:type="dxa"/>
            <w:vAlign w:val="bottom"/>
          </w:tcPr>
          <w:p>
            <w:pPr>
              <w:jc w:val="right"/>
              <w:ind w:right="1072"/>
              <w:spacing w:after="0"/>
              <w:rPr>
                <w:sz w:val="20"/>
                <w:szCs w:val="20"/>
                <w:color w:val="auto"/>
              </w:rPr>
            </w:pPr>
            <w:r>
              <w:rPr>
                <w:rFonts w:ascii="Arial" w:cs="Arial" w:eastAsia="Arial" w:hAnsi="Arial"/>
                <w:sz w:val="10"/>
                <w:szCs w:val="10"/>
                <w:color w:val="auto"/>
                <w:w w:val="71"/>
              </w:rPr>
              <w:t>$</w:t>
            </w:r>
          </w:p>
        </w:tc>
        <w:tc>
          <w:tcPr>
            <w:tcW w:w="400" w:type="dxa"/>
            <w:vAlign w:val="bottom"/>
          </w:tcPr>
          <w:p>
            <w:pPr>
              <w:jc w:val="right"/>
              <w:spacing w:after="0"/>
              <w:rPr>
                <w:sz w:val="20"/>
                <w:szCs w:val="20"/>
                <w:color w:val="auto"/>
              </w:rPr>
            </w:pPr>
            <w:r>
              <w:rPr>
                <w:rFonts w:ascii="Arial" w:cs="Arial" w:eastAsia="Arial" w:hAnsi="Arial"/>
                <w:sz w:val="12"/>
                <w:szCs w:val="12"/>
                <w:color w:val="auto"/>
              </w:rPr>
              <w:t>35,509</w:t>
            </w:r>
          </w:p>
        </w:tc>
        <w:tc>
          <w:tcPr>
            <w:tcW w:w="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2"/>
                <w:szCs w:val="12"/>
                <w:color w:val="auto"/>
              </w:rPr>
              <w:t>37.8%</w:t>
            </w:r>
          </w:p>
        </w:tc>
        <w:tc>
          <w:tcPr>
            <w:tcW w:w="0" w:type="dxa"/>
            <w:vAlign w:val="bottom"/>
          </w:tcPr>
          <w:p>
            <w:pPr>
              <w:spacing w:after="0"/>
              <w:rPr>
                <w:sz w:val="1"/>
                <w:szCs w:val="1"/>
                <w:color w:val="auto"/>
              </w:rPr>
            </w:pPr>
          </w:p>
        </w:tc>
      </w:tr>
      <w:tr>
        <w:trPr>
          <w:trHeight w:val="153"/>
        </w:trPr>
        <w:tc>
          <w:tcPr>
            <w:tcW w:w="7880" w:type="dxa"/>
            <w:vAlign w:val="bottom"/>
            <w:gridSpan w:val="2"/>
            <w:shd w:val="clear" w:color="auto" w:fill="CFF0FC"/>
          </w:tcPr>
          <w:p>
            <w:pPr>
              <w:ind w:left="160"/>
              <w:spacing w:after="0"/>
              <w:rPr>
                <w:sz w:val="20"/>
                <w:szCs w:val="20"/>
                <w:color w:val="auto"/>
              </w:rPr>
            </w:pPr>
            <w:r>
              <w:rPr>
                <w:rFonts w:ascii="Arial" w:cs="Arial" w:eastAsia="Arial" w:hAnsi="Arial"/>
                <w:sz w:val="12"/>
                <w:szCs w:val="12"/>
                <w:color w:val="auto"/>
              </w:rPr>
              <w:t>Government Solutions</w:t>
            </w:r>
          </w:p>
        </w:tc>
        <w:tc>
          <w:tcPr>
            <w:tcW w:w="1180" w:type="dxa"/>
            <w:vAlign w:val="bottom"/>
            <w:shd w:val="clear" w:color="auto" w:fill="CFF0FC"/>
          </w:tcPr>
          <w:p>
            <w:pPr>
              <w:spacing w:after="0"/>
              <w:rPr>
                <w:sz w:val="13"/>
                <w:szCs w:val="13"/>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57,022</w:t>
            </w:r>
          </w:p>
        </w:tc>
        <w:tc>
          <w:tcPr>
            <w:tcW w:w="30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400" w:type="dxa"/>
            <w:vAlign w:val="bottom"/>
            <w:gridSpan w:val="2"/>
            <w:shd w:val="clear" w:color="auto" w:fill="CFF0FC"/>
          </w:tcPr>
          <w:p>
            <w:pPr>
              <w:jc w:val="right"/>
              <w:ind w:right="40"/>
              <w:spacing w:after="0"/>
              <w:rPr>
                <w:sz w:val="20"/>
                <w:szCs w:val="20"/>
                <w:color w:val="auto"/>
              </w:rPr>
            </w:pPr>
            <w:r>
              <w:rPr>
                <w:rFonts w:ascii="Arial" w:cs="Arial" w:eastAsia="Arial" w:hAnsi="Arial"/>
                <w:sz w:val="12"/>
                <w:szCs w:val="12"/>
                <w:color w:val="auto"/>
              </w:rPr>
              <w:t>60.7%</w:t>
            </w:r>
          </w:p>
        </w:tc>
        <w:tc>
          <w:tcPr>
            <w:tcW w:w="0" w:type="dxa"/>
            <w:vAlign w:val="bottom"/>
          </w:tcPr>
          <w:p>
            <w:pPr>
              <w:spacing w:after="0"/>
              <w:rPr>
                <w:sz w:val="1"/>
                <w:szCs w:val="1"/>
                <w:color w:val="auto"/>
              </w:rPr>
            </w:pPr>
          </w:p>
        </w:tc>
      </w:tr>
      <w:tr>
        <w:trPr>
          <w:trHeight w:val="20"/>
        </w:trPr>
        <w:tc>
          <w:tcPr>
            <w:tcW w:w="7880" w:type="dxa"/>
            <w:vAlign w:val="bottom"/>
            <w:gridSpan w:val="2"/>
            <w:vMerge w:val="restart"/>
          </w:tcPr>
          <w:p>
            <w:pPr>
              <w:spacing w:after="0"/>
              <w:rPr>
                <w:sz w:val="20"/>
                <w:szCs w:val="20"/>
                <w:color w:val="auto"/>
              </w:rPr>
            </w:pPr>
            <w:r>
              <w:rPr>
                <w:rFonts w:ascii="Arial" w:cs="Arial" w:eastAsia="Arial" w:hAnsi="Arial"/>
                <w:sz w:val="12"/>
                <w:szCs w:val="12"/>
                <w:color w:val="auto"/>
              </w:rPr>
              <w:t>Total service revenue</w:t>
            </w:r>
          </w:p>
        </w:tc>
        <w:tc>
          <w:tcPr>
            <w:tcW w:w="11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7880" w:type="dxa"/>
            <w:vAlign w:val="bottom"/>
            <w:gridSpan w:val="2"/>
            <w:vMerge w:val="continue"/>
          </w:tcPr>
          <w:p>
            <w:pPr>
              <w:spacing w:after="0"/>
              <w:rPr>
                <w:sz w:val="12"/>
                <w:szCs w:val="12"/>
                <w:color w:val="auto"/>
              </w:rPr>
            </w:pPr>
          </w:p>
        </w:tc>
        <w:tc>
          <w:tcPr>
            <w:tcW w:w="1180" w:type="dxa"/>
            <w:vAlign w:val="bottom"/>
          </w:tcPr>
          <w:p>
            <w:pPr>
              <w:jc w:val="right"/>
              <w:ind w:right="1072"/>
              <w:spacing w:after="0"/>
              <w:rPr>
                <w:sz w:val="20"/>
                <w:szCs w:val="20"/>
                <w:color w:val="auto"/>
              </w:rPr>
            </w:pPr>
            <w:r>
              <w:rPr>
                <w:rFonts w:ascii="Arial" w:cs="Arial" w:eastAsia="Arial" w:hAnsi="Arial"/>
                <w:sz w:val="10"/>
                <w:szCs w:val="10"/>
                <w:color w:val="auto"/>
                <w:w w:val="71"/>
              </w:rPr>
              <w:t>$</w:t>
            </w:r>
          </w:p>
        </w:tc>
        <w:tc>
          <w:tcPr>
            <w:tcW w:w="400" w:type="dxa"/>
            <w:vAlign w:val="bottom"/>
          </w:tcPr>
          <w:p>
            <w:pPr>
              <w:jc w:val="right"/>
              <w:spacing w:after="0"/>
              <w:rPr>
                <w:sz w:val="20"/>
                <w:szCs w:val="20"/>
                <w:color w:val="auto"/>
              </w:rPr>
            </w:pPr>
            <w:r>
              <w:rPr>
                <w:rFonts w:ascii="Arial" w:cs="Arial" w:eastAsia="Arial" w:hAnsi="Arial"/>
                <w:sz w:val="12"/>
                <w:szCs w:val="12"/>
                <w:color w:val="auto"/>
              </w:rPr>
              <w:t>92,531</w:t>
            </w: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2"/>
                <w:szCs w:val="12"/>
                <w:color w:val="auto"/>
              </w:rPr>
              <w:t>98.6%</w:t>
            </w:r>
          </w:p>
        </w:tc>
        <w:tc>
          <w:tcPr>
            <w:tcW w:w="0" w:type="dxa"/>
            <w:vAlign w:val="bottom"/>
          </w:tcPr>
          <w:p>
            <w:pPr>
              <w:spacing w:after="0"/>
              <w:rPr>
                <w:sz w:val="1"/>
                <w:szCs w:val="1"/>
                <w:color w:val="auto"/>
              </w:rPr>
            </w:pPr>
          </w:p>
        </w:tc>
      </w:tr>
      <w:tr>
        <w:trPr>
          <w:trHeight w:val="27"/>
        </w:trPr>
        <w:tc>
          <w:tcPr>
            <w:tcW w:w="640" w:type="dxa"/>
            <w:vAlign w:val="bottom"/>
          </w:tcPr>
          <w:p>
            <w:pPr>
              <w:spacing w:after="0"/>
              <w:rPr>
                <w:sz w:val="2"/>
                <w:szCs w:val="2"/>
                <w:color w:val="auto"/>
              </w:rPr>
            </w:pPr>
          </w:p>
        </w:tc>
        <w:tc>
          <w:tcPr>
            <w:tcW w:w="7240" w:type="dxa"/>
            <w:vAlign w:val="bottom"/>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62" w:lineRule="exact"/>
        <w:rPr>
          <w:sz w:val="20"/>
          <w:szCs w:val="20"/>
          <w:color w:val="auto"/>
        </w:rPr>
      </w:pPr>
    </w:p>
    <w:p>
      <w:pPr>
        <w:ind w:right="100" w:firstLine="602"/>
        <w:spacing w:after="0" w:line="276" w:lineRule="auto"/>
        <w:rPr>
          <w:sz w:val="20"/>
          <w:szCs w:val="20"/>
          <w:color w:val="auto"/>
        </w:rPr>
      </w:pPr>
      <w:r>
        <w:rPr>
          <w:rFonts w:ascii="Arial" w:cs="Arial" w:eastAsia="Arial" w:hAnsi="Arial"/>
          <w:sz w:val="12"/>
          <w:szCs w:val="12"/>
          <w:color w:val="auto"/>
        </w:rPr>
        <w:t>Service revenue for the Commercial Services segment was $35.5 million for the 2017 Predecessor Period and included revenue from tolling services, violation services and title and registration services. Tolling volume trends in the period were positive, with an increased number of tolls incurred by customers and greater adoption of tolling products as a result of an increased number of cashless toll roads.</w:t>
      </w:r>
    </w:p>
    <w:p>
      <w:pPr>
        <w:spacing w:after="0" w:line="115" w:lineRule="exact"/>
        <w:rPr>
          <w:sz w:val="20"/>
          <w:szCs w:val="20"/>
          <w:color w:val="auto"/>
        </w:rPr>
      </w:pPr>
    </w:p>
    <w:p>
      <w:pPr>
        <w:ind w:right="540" w:firstLine="602"/>
        <w:spacing w:after="0" w:line="276" w:lineRule="auto"/>
        <w:rPr>
          <w:sz w:val="20"/>
          <w:szCs w:val="20"/>
          <w:color w:val="auto"/>
        </w:rPr>
      </w:pPr>
      <w:r>
        <w:rPr>
          <w:rFonts w:ascii="Arial" w:cs="Arial" w:eastAsia="Arial" w:hAnsi="Arial"/>
          <w:sz w:val="12"/>
          <w:szCs w:val="12"/>
          <w:color w:val="auto"/>
        </w:rPr>
        <w:t>Government Solutions service revenue was $57.0 million for the 2017 Predecessor Period and included revenue from red-light, speed, school bus arm and bus lane photo enforcement systems. Demand for new photo enforcement systems continued with the number of installed systems during the period increasing for all products. There were 4,021 systems installed at May 31, 2017.</w:t>
      </w:r>
    </w:p>
    <w:p>
      <w:pPr>
        <w:spacing w:after="0" w:line="115" w:lineRule="exact"/>
        <w:rPr>
          <w:sz w:val="20"/>
          <w:szCs w:val="20"/>
          <w:color w:val="auto"/>
        </w:rPr>
      </w:pPr>
    </w:p>
    <w:p>
      <w:pPr>
        <w:ind w:right="420" w:firstLine="602"/>
        <w:spacing w:after="0" w:line="276" w:lineRule="auto"/>
        <w:rPr>
          <w:sz w:val="20"/>
          <w:szCs w:val="20"/>
          <w:color w:val="auto"/>
        </w:rPr>
      </w:pPr>
      <w:r>
        <w:rPr>
          <w:rFonts w:ascii="Arial" w:cs="Arial" w:eastAsia="Arial" w:hAnsi="Arial"/>
          <w:sz w:val="12"/>
          <w:szCs w:val="12"/>
          <w:i w:val="1"/>
          <w:iCs w:val="1"/>
          <w:color w:val="auto"/>
        </w:rPr>
        <w:t xml:space="preserve">Product Sales. </w:t>
      </w:r>
      <w:r>
        <w:rPr>
          <w:rFonts w:ascii="Arial" w:cs="Arial" w:eastAsia="Arial" w:hAnsi="Arial"/>
          <w:sz w:val="12"/>
          <w:szCs w:val="12"/>
          <w:color w:val="auto"/>
        </w:rPr>
        <w:t>Product sales of $1.3 million for the 2017 Predecessor Period included revenue generated from Government Solutions customers who purchased their equipment. Product revenue was limited to bus lane</w:t>
      </w:r>
      <w:r>
        <w:rPr>
          <w:rFonts w:ascii="Arial" w:cs="Arial" w:eastAsia="Arial" w:hAnsi="Arial"/>
          <w:sz w:val="12"/>
          <w:szCs w:val="12"/>
          <w:i w:val="1"/>
          <w:iCs w:val="1"/>
          <w:color w:val="auto"/>
        </w:rPr>
        <w:t xml:space="preserve"> </w:t>
      </w:r>
      <w:r>
        <w:rPr>
          <w:rFonts w:ascii="Arial" w:cs="Arial" w:eastAsia="Arial" w:hAnsi="Arial"/>
          <w:sz w:val="12"/>
          <w:szCs w:val="12"/>
          <w:color w:val="auto"/>
        </w:rPr>
        <w:t>systems. There are a small number of customers who purchase this equipment and their buying patterns vary greatly from period to period.</w:t>
      </w:r>
    </w:p>
    <w:p>
      <w:pPr>
        <w:spacing w:after="0" w:line="115" w:lineRule="exact"/>
        <w:rPr>
          <w:sz w:val="20"/>
          <w:szCs w:val="20"/>
          <w:color w:val="auto"/>
        </w:rPr>
      </w:pPr>
    </w:p>
    <w:p>
      <w:pPr>
        <w:ind w:right="200" w:firstLine="602"/>
        <w:spacing w:after="0" w:line="276" w:lineRule="auto"/>
        <w:rPr>
          <w:sz w:val="20"/>
          <w:szCs w:val="20"/>
          <w:color w:val="auto"/>
        </w:rPr>
      </w:pPr>
      <w:r>
        <w:rPr>
          <w:rFonts w:ascii="Arial" w:cs="Arial" w:eastAsia="Arial" w:hAnsi="Arial"/>
          <w:sz w:val="12"/>
          <w:szCs w:val="12"/>
          <w:i w:val="1"/>
          <w:iCs w:val="1"/>
          <w:color w:val="auto"/>
        </w:rPr>
        <w:t xml:space="preserve">Cost of Service Revenue. </w:t>
      </w:r>
      <w:r>
        <w:rPr>
          <w:rFonts w:ascii="Arial" w:cs="Arial" w:eastAsia="Arial" w:hAnsi="Arial"/>
          <w:sz w:val="12"/>
          <w:szCs w:val="12"/>
          <w:color w:val="auto"/>
        </w:rPr>
        <w:t>Cost of service revenue was $1.4 million for the 2017 Predecessor Period and consisted of collection and other professional services contracted with third parties and associated with the delivery of</w:t>
      </w:r>
      <w:r>
        <w:rPr>
          <w:rFonts w:ascii="Arial" w:cs="Arial" w:eastAsia="Arial" w:hAnsi="Arial"/>
          <w:sz w:val="12"/>
          <w:szCs w:val="12"/>
          <w:i w:val="1"/>
          <w:iCs w:val="1"/>
          <w:color w:val="auto"/>
        </w:rPr>
        <w:t xml:space="preserve"> </w:t>
      </w:r>
      <w:r>
        <w:rPr>
          <w:rFonts w:ascii="Arial" w:cs="Arial" w:eastAsia="Arial" w:hAnsi="Arial"/>
          <w:sz w:val="12"/>
          <w:szCs w:val="12"/>
          <w:color w:val="auto"/>
        </w:rPr>
        <w:t>certain ancillary service revenue.</w:t>
      </w:r>
    </w:p>
    <w:p>
      <w:pPr>
        <w:spacing w:after="0" w:line="115" w:lineRule="exact"/>
        <w:rPr>
          <w:sz w:val="20"/>
          <w:szCs w:val="20"/>
          <w:color w:val="auto"/>
        </w:rPr>
      </w:pPr>
    </w:p>
    <w:p>
      <w:pPr>
        <w:ind w:left="600"/>
        <w:spacing w:after="0"/>
        <w:rPr>
          <w:sz w:val="20"/>
          <w:szCs w:val="20"/>
          <w:color w:val="auto"/>
        </w:rPr>
      </w:pPr>
      <w:r>
        <w:rPr>
          <w:rFonts w:ascii="Arial" w:cs="Arial" w:eastAsia="Arial" w:hAnsi="Arial"/>
          <w:sz w:val="12"/>
          <w:szCs w:val="12"/>
          <w:i w:val="1"/>
          <w:iCs w:val="1"/>
          <w:color w:val="auto"/>
        </w:rPr>
        <w:t xml:space="preserve">Cost of Product Sales. </w:t>
      </w:r>
      <w:r>
        <w:rPr>
          <w:rFonts w:ascii="Arial" w:cs="Arial" w:eastAsia="Arial" w:hAnsi="Arial"/>
          <w:sz w:val="12"/>
          <w:szCs w:val="12"/>
          <w:color w:val="auto"/>
        </w:rPr>
        <w:t>Cost of product sales was $1.0 million for the 2017 Predecessor Period and was directly related to product sales of bus lane systems.</w:t>
      </w:r>
    </w:p>
    <w:p>
      <w:pPr>
        <w:spacing w:after="0" w:line="150" w:lineRule="exact"/>
        <w:rPr>
          <w:sz w:val="20"/>
          <w:szCs w:val="20"/>
          <w:color w:val="auto"/>
        </w:rPr>
      </w:pPr>
    </w:p>
    <w:p>
      <w:pPr>
        <w:ind w:left="600"/>
        <w:spacing w:after="0"/>
        <w:rPr>
          <w:sz w:val="20"/>
          <w:szCs w:val="20"/>
          <w:color w:val="auto"/>
        </w:rPr>
      </w:pPr>
      <w:r>
        <w:rPr>
          <w:rFonts w:ascii="Arial" w:cs="Arial" w:eastAsia="Arial" w:hAnsi="Arial"/>
          <w:sz w:val="11"/>
          <w:szCs w:val="11"/>
          <w:i w:val="1"/>
          <w:iCs w:val="1"/>
          <w:color w:val="auto"/>
        </w:rPr>
        <w:t xml:space="preserve">Operating Expenses. </w:t>
      </w:r>
      <w:r>
        <w:rPr>
          <w:rFonts w:ascii="Arial" w:cs="Arial" w:eastAsia="Arial" w:hAnsi="Arial"/>
          <w:sz w:val="11"/>
          <w:szCs w:val="11"/>
          <w:color w:val="auto"/>
        </w:rPr>
        <w:t>Operating expenses of $36.0 million for the 2017 Predecessor Period consisted of payroll and payroll-related costs, costs related to the operation of our call centers and other operational costs, including</w:t>
      </w:r>
    </w:p>
    <w:p>
      <w:pPr>
        <w:spacing w:after="0" w:line="54" w:lineRule="exact"/>
        <w:rPr>
          <w:sz w:val="20"/>
          <w:szCs w:val="20"/>
          <w:color w:val="auto"/>
        </w:rPr>
      </w:pPr>
    </w:p>
    <w:p>
      <w:pPr>
        <w:ind w:right="700"/>
        <w:spacing w:after="0" w:line="292" w:lineRule="auto"/>
        <w:rPr>
          <w:sz w:val="20"/>
          <w:szCs w:val="20"/>
          <w:color w:val="auto"/>
        </w:rPr>
      </w:pPr>
      <w:r>
        <w:rPr>
          <w:rFonts w:ascii="Arial" w:cs="Arial" w:eastAsia="Arial" w:hAnsi="Arial"/>
          <w:sz w:val="12"/>
          <w:szCs w:val="12"/>
          <w:color w:val="auto"/>
        </w:rPr>
        <w:t>transaction processing, print, postage and communication costs. During this period, certain activities in the Commercial Services segment were outsourced, resulting in a decrease in payroll-related expenses and an increase in subcontracting expenses. Operating expenses were 38.3% of total revenue for the 2017 Predecessor Period. Operating expenses by segment appear in the table below.</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40" w:type="dxa"/>
            <w:vAlign w:val="bottom"/>
          </w:tcPr>
          <w:p>
            <w:pPr>
              <w:spacing w:after="0"/>
              <w:rPr>
                <w:sz w:val="10"/>
                <w:szCs w:val="10"/>
                <w:color w:val="auto"/>
              </w:rPr>
            </w:pPr>
          </w:p>
        </w:tc>
        <w:tc>
          <w:tcPr>
            <w:tcW w:w="2820" w:type="dxa"/>
            <w:vAlign w:val="bottom"/>
          </w:tcPr>
          <w:p>
            <w:pPr>
              <w:spacing w:after="0"/>
              <w:rPr>
                <w:sz w:val="10"/>
                <w:szCs w:val="10"/>
                <w:color w:val="auto"/>
              </w:rPr>
            </w:pPr>
          </w:p>
        </w:tc>
        <w:tc>
          <w:tcPr>
            <w:tcW w:w="4420" w:type="dxa"/>
            <w:vAlign w:val="bottom"/>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gridSpan w:val="3"/>
          </w:tcPr>
          <w:p>
            <w:pPr>
              <w:ind w:left="300"/>
              <w:spacing w:after="0"/>
              <w:rPr>
                <w:sz w:val="20"/>
                <w:szCs w:val="20"/>
                <w:color w:val="auto"/>
              </w:rPr>
            </w:pPr>
            <w:r>
              <w:rPr>
                <w:rFonts w:ascii="Arial" w:cs="Arial" w:eastAsia="Arial" w:hAnsi="Arial"/>
                <w:sz w:val="10"/>
                <w:szCs w:val="10"/>
                <w:b w:val="1"/>
                <w:bCs w:val="1"/>
                <w:color w:val="auto"/>
              </w:rPr>
              <w:t>Predecessor</w:t>
            </w:r>
          </w:p>
        </w:tc>
        <w:tc>
          <w:tcPr>
            <w:tcW w:w="126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3"/>
        </w:trPr>
        <w:tc>
          <w:tcPr>
            <w:tcW w:w="640" w:type="dxa"/>
            <w:vAlign w:val="bottom"/>
          </w:tcPr>
          <w:p>
            <w:pPr>
              <w:spacing w:after="0"/>
              <w:rPr>
                <w:sz w:val="7"/>
                <w:szCs w:val="7"/>
                <w:color w:val="auto"/>
              </w:rPr>
            </w:pPr>
          </w:p>
        </w:tc>
        <w:tc>
          <w:tcPr>
            <w:tcW w:w="2820" w:type="dxa"/>
            <w:vAlign w:val="bottom"/>
          </w:tcPr>
          <w:p>
            <w:pPr>
              <w:spacing w:after="0"/>
              <w:rPr>
                <w:sz w:val="7"/>
                <w:szCs w:val="7"/>
                <w:color w:val="auto"/>
              </w:rPr>
            </w:pPr>
          </w:p>
        </w:tc>
        <w:tc>
          <w:tcPr>
            <w:tcW w:w="4420" w:type="dxa"/>
            <w:vAlign w:val="bottom"/>
          </w:tcPr>
          <w:p>
            <w:pPr>
              <w:spacing w:after="0"/>
              <w:rPr>
                <w:sz w:val="7"/>
                <w:szCs w:val="7"/>
                <w:color w:val="auto"/>
              </w:rPr>
            </w:pPr>
          </w:p>
        </w:tc>
        <w:tc>
          <w:tcPr>
            <w:tcW w:w="1180" w:type="dxa"/>
            <w:vAlign w:val="bottom"/>
          </w:tcPr>
          <w:p>
            <w:pPr>
              <w:jc w:val="center"/>
              <w:ind w:left="353"/>
              <w:spacing w:after="0" w:line="83" w:lineRule="exact"/>
              <w:rPr>
                <w:sz w:val="20"/>
                <w:szCs w:val="20"/>
                <w:color w:val="auto"/>
              </w:rPr>
            </w:pPr>
            <w:r>
              <w:rPr>
                <w:rFonts w:ascii="Arial" w:cs="Arial" w:eastAsia="Arial" w:hAnsi="Arial"/>
                <w:sz w:val="8"/>
                <w:szCs w:val="8"/>
                <w:b w:val="1"/>
                <w:bCs w:val="1"/>
                <w:color w:val="auto"/>
              </w:rPr>
              <w:t>Period From</w:t>
            </w:r>
          </w:p>
        </w:tc>
        <w:tc>
          <w:tcPr>
            <w:tcW w:w="400" w:type="dxa"/>
            <w:vAlign w:val="bottom"/>
          </w:tcPr>
          <w:p>
            <w:pPr>
              <w:spacing w:after="0"/>
              <w:rPr>
                <w:sz w:val="7"/>
                <w:szCs w:val="7"/>
                <w:color w:val="auto"/>
              </w:rPr>
            </w:pPr>
          </w:p>
        </w:tc>
        <w:tc>
          <w:tcPr>
            <w:tcW w:w="3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640" w:type="dxa"/>
            <w:vAlign w:val="bottom"/>
          </w:tcPr>
          <w:p>
            <w:pPr>
              <w:spacing w:after="0"/>
              <w:rPr>
                <w:sz w:val="8"/>
                <w:szCs w:val="8"/>
                <w:color w:val="auto"/>
              </w:rPr>
            </w:pPr>
          </w:p>
        </w:tc>
        <w:tc>
          <w:tcPr>
            <w:tcW w:w="2820" w:type="dxa"/>
            <w:vAlign w:val="bottom"/>
          </w:tcPr>
          <w:p>
            <w:pPr>
              <w:spacing w:after="0"/>
              <w:rPr>
                <w:sz w:val="8"/>
                <w:szCs w:val="8"/>
                <w:color w:val="auto"/>
              </w:rPr>
            </w:pPr>
          </w:p>
        </w:tc>
        <w:tc>
          <w:tcPr>
            <w:tcW w:w="4420" w:type="dxa"/>
            <w:vAlign w:val="bottom"/>
          </w:tcPr>
          <w:p>
            <w:pPr>
              <w:spacing w:after="0"/>
              <w:rPr>
                <w:sz w:val="8"/>
                <w:szCs w:val="8"/>
                <w:color w:val="auto"/>
              </w:rPr>
            </w:pPr>
          </w:p>
        </w:tc>
        <w:tc>
          <w:tcPr>
            <w:tcW w:w="1180" w:type="dxa"/>
            <w:vAlign w:val="bottom"/>
          </w:tcPr>
          <w:p>
            <w:pPr>
              <w:jc w:val="center"/>
              <w:ind w:left="353"/>
              <w:spacing w:after="0" w:line="99" w:lineRule="exact"/>
              <w:rPr>
                <w:sz w:val="20"/>
                <w:szCs w:val="20"/>
                <w:color w:val="auto"/>
              </w:rPr>
            </w:pPr>
            <w:r>
              <w:rPr>
                <w:rFonts w:ascii="Arial" w:cs="Arial" w:eastAsia="Arial" w:hAnsi="Arial"/>
                <w:sz w:val="10"/>
                <w:szCs w:val="10"/>
                <w:b w:val="1"/>
                <w:bCs w:val="1"/>
                <w:color w:val="auto"/>
                <w:w w:val="88"/>
              </w:rPr>
              <w:t>January 1, 2017</w:t>
            </w: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640" w:type="dxa"/>
            <w:vAlign w:val="bottom"/>
          </w:tcPr>
          <w:p>
            <w:pPr>
              <w:spacing w:after="0"/>
              <w:rPr>
                <w:sz w:val="8"/>
                <w:szCs w:val="8"/>
                <w:color w:val="auto"/>
              </w:rPr>
            </w:pPr>
          </w:p>
        </w:tc>
        <w:tc>
          <w:tcPr>
            <w:tcW w:w="2820" w:type="dxa"/>
            <w:vAlign w:val="bottom"/>
          </w:tcPr>
          <w:p>
            <w:pPr>
              <w:spacing w:after="0"/>
              <w:rPr>
                <w:sz w:val="8"/>
                <w:szCs w:val="8"/>
                <w:color w:val="auto"/>
              </w:rPr>
            </w:pPr>
          </w:p>
        </w:tc>
        <w:tc>
          <w:tcPr>
            <w:tcW w:w="4420" w:type="dxa"/>
            <w:vAlign w:val="bottom"/>
          </w:tcPr>
          <w:p>
            <w:pPr>
              <w:spacing w:after="0"/>
              <w:rPr>
                <w:sz w:val="8"/>
                <w:szCs w:val="8"/>
                <w:color w:val="auto"/>
              </w:rPr>
            </w:pPr>
          </w:p>
        </w:tc>
        <w:tc>
          <w:tcPr>
            <w:tcW w:w="1180" w:type="dxa"/>
            <w:vAlign w:val="bottom"/>
          </w:tcPr>
          <w:p>
            <w:pPr>
              <w:jc w:val="center"/>
              <w:ind w:left="353"/>
              <w:spacing w:after="0" w:line="99" w:lineRule="exact"/>
              <w:rPr>
                <w:sz w:val="20"/>
                <w:szCs w:val="20"/>
                <w:color w:val="auto"/>
              </w:rPr>
            </w:pPr>
            <w:r>
              <w:rPr>
                <w:rFonts w:ascii="Arial" w:cs="Arial" w:eastAsia="Arial" w:hAnsi="Arial"/>
                <w:sz w:val="10"/>
                <w:szCs w:val="10"/>
                <w:b w:val="1"/>
                <w:bCs w:val="1"/>
                <w:color w:val="auto"/>
                <w:w w:val="86"/>
              </w:rPr>
              <w:t>to May 31,</w:t>
            </w: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0" w:type="dxa"/>
            <w:vAlign w:val="bottom"/>
            <w:gridSpan w:val="2"/>
          </w:tcPr>
          <w:p>
            <w:pPr>
              <w:jc w:val="right"/>
              <w:ind w:right="700"/>
              <w:spacing w:after="0" w:line="99" w:lineRule="exact"/>
              <w:rPr>
                <w:sz w:val="20"/>
                <w:szCs w:val="20"/>
                <w:color w:val="auto"/>
              </w:rPr>
            </w:pPr>
            <w:r>
              <w:rPr>
                <w:rFonts w:ascii="Arial" w:cs="Arial" w:eastAsia="Arial" w:hAnsi="Arial"/>
                <w:sz w:val="10"/>
                <w:szCs w:val="10"/>
                <w:b w:val="1"/>
                <w:bCs w:val="1"/>
                <w:color w:val="auto"/>
              </w:rPr>
              <w:t>Percentage</w:t>
            </w:r>
          </w:p>
        </w:tc>
        <w:tc>
          <w:tcPr>
            <w:tcW w:w="0" w:type="dxa"/>
            <w:vAlign w:val="bottom"/>
          </w:tcPr>
          <w:p>
            <w:pPr>
              <w:spacing w:after="0"/>
              <w:rPr>
                <w:sz w:val="1"/>
                <w:szCs w:val="1"/>
                <w:color w:val="auto"/>
              </w:rPr>
            </w:pPr>
          </w:p>
        </w:tc>
      </w:tr>
      <w:tr>
        <w:trPr>
          <w:trHeight w:val="105"/>
        </w:trPr>
        <w:tc>
          <w:tcPr>
            <w:tcW w:w="3460" w:type="dxa"/>
            <w:vAlign w:val="bottom"/>
            <w:gridSpan w:val="2"/>
          </w:tcPr>
          <w:p>
            <w:pPr>
              <w:spacing w:after="0" w:line="105" w:lineRule="exact"/>
              <w:rPr>
                <w:sz w:val="20"/>
                <w:szCs w:val="20"/>
                <w:color w:val="auto"/>
              </w:rPr>
            </w:pPr>
            <w:r>
              <w:rPr>
                <w:rFonts w:ascii="Arial" w:cs="Arial" w:eastAsia="Arial" w:hAnsi="Arial"/>
                <w:sz w:val="10"/>
                <w:szCs w:val="10"/>
                <w:b w:val="1"/>
                <w:bCs w:val="1"/>
                <w:u w:val="single" w:color="auto"/>
                <w:color w:val="auto"/>
              </w:rPr>
              <w:t>(</w:t>
            </w:r>
            <w:r>
              <w:rPr>
                <w:rFonts w:ascii="Arial" w:cs="Arial" w:eastAsia="Arial" w:hAnsi="Arial"/>
                <w:sz w:val="10"/>
                <w:szCs w:val="10"/>
                <w:b w:val="1"/>
                <w:bCs w:val="1"/>
                <w:color w:val="auto"/>
              </w:rPr>
              <w:t>$ in thousands)</w:t>
            </w:r>
          </w:p>
        </w:tc>
        <w:tc>
          <w:tcPr>
            <w:tcW w:w="5600" w:type="dxa"/>
            <w:vAlign w:val="bottom"/>
            <w:gridSpan w:val="2"/>
          </w:tcPr>
          <w:p>
            <w:pPr>
              <w:jc w:val="center"/>
              <w:ind w:left="4764"/>
              <w:spacing w:after="0" w:line="105" w:lineRule="exact"/>
              <w:rPr>
                <w:sz w:val="20"/>
                <w:szCs w:val="20"/>
                <w:color w:val="auto"/>
              </w:rPr>
            </w:pPr>
            <w:r>
              <w:rPr>
                <w:rFonts w:ascii="Arial" w:cs="Arial" w:eastAsia="Arial" w:hAnsi="Arial"/>
                <w:sz w:val="10"/>
                <w:szCs w:val="10"/>
                <w:b w:val="1"/>
                <w:bCs w:val="1"/>
                <w:color w:val="auto"/>
                <w:w w:val="80"/>
              </w:rPr>
              <w:t>2017</w:t>
            </w: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0" w:type="dxa"/>
            <w:vAlign w:val="bottom"/>
            <w:gridSpan w:val="2"/>
          </w:tcPr>
          <w:p>
            <w:pPr>
              <w:jc w:val="right"/>
              <w:ind w:right="700"/>
              <w:spacing w:after="0" w:line="105" w:lineRule="exact"/>
              <w:rPr>
                <w:sz w:val="20"/>
                <w:szCs w:val="20"/>
                <w:color w:val="auto"/>
              </w:rPr>
            </w:pPr>
            <w:r>
              <w:rPr>
                <w:rFonts w:ascii="Arial" w:cs="Arial" w:eastAsia="Arial" w:hAnsi="Arial"/>
                <w:sz w:val="10"/>
                <w:szCs w:val="10"/>
                <w:b w:val="1"/>
                <w:bCs w:val="1"/>
                <w:color w:val="auto"/>
              </w:rPr>
              <w:t>of Revenue</w:t>
            </w:r>
          </w:p>
        </w:tc>
        <w:tc>
          <w:tcPr>
            <w:tcW w:w="0" w:type="dxa"/>
            <w:vAlign w:val="bottom"/>
          </w:tcPr>
          <w:p>
            <w:pPr>
              <w:spacing w:after="0"/>
              <w:rPr>
                <w:sz w:val="1"/>
                <w:szCs w:val="1"/>
                <w:color w:val="auto"/>
              </w:rPr>
            </w:pPr>
          </w:p>
        </w:tc>
      </w:tr>
      <w:tr>
        <w:trPr>
          <w:trHeight w:val="20"/>
        </w:trPr>
        <w:tc>
          <w:tcPr>
            <w:tcW w:w="640" w:type="dxa"/>
            <w:vAlign w:val="bottom"/>
            <w:tcBorders>
              <w:bottom w:val="single" w:sz="8" w:color="CFF0FC"/>
            </w:tcBorders>
            <w:shd w:val="clear" w:color="auto" w:fill="000000"/>
          </w:tcPr>
          <w:p>
            <w:pPr>
              <w:spacing w:after="0" w:line="20" w:lineRule="exact"/>
              <w:rPr>
                <w:sz w:val="1"/>
                <w:szCs w:val="1"/>
                <w:color w:val="auto"/>
              </w:rPr>
            </w:pPr>
          </w:p>
        </w:tc>
        <w:tc>
          <w:tcPr>
            <w:tcW w:w="2820" w:type="dxa"/>
            <w:vAlign w:val="bottom"/>
            <w:tcBorders>
              <w:bottom w:val="single" w:sz="8" w:color="CFF0FC"/>
            </w:tcBorders>
          </w:tcPr>
          <w:p>
            <w:pPr>
              <w:spacing w:after="0" w:line="20" w:lineRule="exact"/>
              <w:rPr>
                <w:sz w:val="1"/>
                <w:szCs w:val="1"/>
                <w:color w:val="auto"/>
              </w:rPr>
            </w:pPr>
          </w:p>
        </w:tc>
        <w:tc>
          <w:tcPr>
            <w:tcW w:w="4420" w:type="dxa"/>
            <w:vAlign w:val="bottom"/>
            <w:tcBorders>
              <w:bottom w:val="single" w:sz="8" w:color="CFF0FC"/>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FF0FC"/>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3460" w:type="dxa"/>
            <w:vAlign w:val="bottom"/>
            <w:gridSpan w:val="2"/>
            <w:shd w:val="clear" w:color="auto" w:fill="CFF0FC"/>
          </w:tcPr>
          <w:p>
            <w:pPr>
              <w:spacing w:after="0" w:line="132" w:lineRule="exact"/>
              <w:rPr>
                <w:sz w:val="20"/>
                <w:szCs w:val="20"/>
                <w:color w:val="auto"/>
              </w:rPr>
            </w:pPr>
            <w:r>
              <w:rPr>
                <w:rFonts w:ascii="Arial" w:cs="Arial" w:eastAsia="Arial" w:hAnsi="Arial"/>
                <w:sz w:val="12"/>
                <w:szCs w:val="12"/>
                <w:b w:val="1"/>
                <w:bCs w:val="1"/>
                <w:color w:val="auto"/>
              </w:rPr>
              <w:t>Operating expenses</w:t>
            </w:r>
          </w:p>
        </w:tc>
        <w:tc>
          <w:tcPr>
            <w:tcW w:w="4420" w:type="dxa"/>
            <w:vAlign w:val="bottom"/>
            <w:shd w:val="clear" w:color="auto" w:fill="CFF0FC"/>
          </w:tcPr>
          <w:p>
            <w:pPr>
              <w:spacing w:after="0"/>
              <w:rPr>
                <w:sz w:val="11"/>
                <w:szCs w:val="11"/>
                <w:color w:val="auto"/>
              </w:rPr>
            </w:pPr>
          </w:p>
        </w:tc>
        <w:tc>
          <w:tcPr>
            <w:tcW w:w="118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12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460" w:type="dxa"/>
            <w:vAlign w:val="bottom"/>
            <w:gridSpan w:val="2"/>
          </w:tcPr>
          <w:p>
            <w:pPr>
              <w:ind w:left="160"/>
              <w:spacing w:after="0"/>
              <w:rPr>
                <w:sz w:val="20"/>
                <w:szCs w:val="20"/>
                <w:color w:val="auto"/>
              </w:rPr>
            </w:pPr>
            <w:r>
              <w:rPr>
                <w:rFonts w:ascii="Arial" w:cs="Arial" w:eastAsia="Arial" w:hAnsi="Arial"/>
                <w:sz w:val="12"/>
                <w:szCs w:val="12"/>
                <w:color w:val="auto"/>
              </w:rPr>
              <w:t>Commercial Services</w:t>
            </w:r>
          </w:p>
        </w:tc>
        <w:tc>
          <w:tcPr>
            <w:tcW w:w="5600" w:type="dxa"/>
            <w:vAlign w:val="bottom"/>
            <w:gridSpan w:val="2"/>
          </w:tcPr>
          <w:p>
            <w:pPr>
              <w:jc w:val="right"/>
              <w:ind w:right="1073"/>
              <w:spacing w:after="0"/>
              <w:rPr>
                <w:sz w:val="20"/>
                <w:szCs w:val="20"/>
                <w:color w:val="auto"/>
              </w:rPr>
            </w:pPr>
            <w:r>
              <w:rPr>
                <w:rFonts w:ascii="Arial" w:cs="Arial" w:eastAsia="Arial" w:hAnsi="Arial"/>
                <w:sz w:val="12"/>
                <w:szCs w:val="12"/>
                <w:color w:val="auto"/>
              </w:rPr>
              <w:t>$</w:t>
            </w:r>
          </w:p>
        </w:tc>
        <w:tc>
          <w:tcPr>
            <w:tcW w:w="400" w:type="dxa"/>
            <w:vAlign w:val="bottom"/>
          </w:tcPr>
          <w:p>
            <w:pPr>
              <w:jc w:val="right"/>
              <w:spacing w:after="0"/>
              <w:rPr>
                <w:sz w:val="20"/>
                <w:szCs w:val="20"/>
                <w:color w:val="auto"/>
              </w:rPr>
            </w:pPr>
            <w:r>
              <w:rPr>
                <w:rFonts w:ascii="Arial" w:cs="Arial" w:eastAsia="Arial" w:hAnsi="Arial"/>
                <w:sz w:val="12"/>
                <w:szCs w:val="12"/>
                <w:color w:val="auto"/>
              </w:rPr>
              <w:t>11,266</w:t>
            </w:r>
          </w:p>
        </w:tc>
        <w:tc>
          <w:tcPr>
            <w:tcW w:w="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2"/>
                <w:szCs w:val="12"/>
                <w:color w:val="auto"/>
              </w:rPr>
              <w:t>12.0%</w:t>
            </w:r>
          </w:p>
        </w:tc>
        <w:tc>
          <w:tcPr>
            <w:tcW w:w="0" w:type="dxa"/>
            <w:vAlign w:val="bottom"/>
          </w:tcPr>
          <w:p>
            <w:pPr>
              <w:spacing w:after="0"/>
              <w:rPr>
                <w:sz w:val="1"/>
                <w:szCs w:val="1"/>
                <w:color w:val="auto"/>
              </w:rPr>
            </w:pPr>
          </w:p>
        </w:tc>
      </w:tr>
      <w:tr>
        <w:trPr>
          <w:trHeight w:val="153"/>
        </w:trPr>
        <w:tc>
          <w:tcPr>
            <w:tcW w:w="3460" w:type="dxa"/>
            <w:vAlign w:val="bottom"/>
            <w:gridSpan w:val="2"/>
            <w:shd w:val="clear" w:color="auto" w:fill="CFF0FC"/>
          </w:tcPr>
          <w:p>
            <w:pPr>
              <w:ind w:left="160"/>
              <w:spacing w:after="0"/>
              <w:rPr>
                <w:sz w:val="20"/>
                <w:szCs w:val="20"/>
                <w:color w:val="auto"/>
              </w:rPr>
            </w:pPr>
            <w:r>
              <w:rPr>
                <w:rFonts w:ascii="Arial" w:cs="Arial" w:eastAsia="Arial" w:hAnsi="Arial"/>
                <w:sz w:val="12"/>
                <w:szCs w:val="12"/>
                <w:color w:val="auto"/>
              </w:rPr>
              <w:t>Government Solutions</w:t>
            </w:r>
          </w:p>
        </w:tc>
        <w:tc>
          <w:tcPr>
            <w:tcW w:w="4420" w:type="dxa"/>
            <w:vAlign w:val="bottom"/>
            <w:shd w:val="clear" w:color="auto" w:fill="CFF0FC"/>
          </w:tcPr>
          <w:p>
            <w:pPr>
              <w:spacing w:after="0"/>
              <w:rPr>
                <w:sz w:val="13"/>
                <w:szCs w:val="13"/>
                <w:color w:val="auto"/>
              </w:rPr>
            </w:pPr>
          </w:p>
        </w:tc>
        <w:tc>
          <w:tcPr>
            <w:tcW w:w="1180" w:type="dxa"/>
            <w:vAlign w:val="bottom"/>
            <w:shd w:val="clear" w:color="auto" w:fill="CFF0FC"/>
          </w:tcPr>
          <w:p>
            <w:pPr>
              <w:spacing w:after="0"/>
              <w:rPr>
                <w:sz w:val="13"/>
                <w:szCs w:val="13"/>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24,702</w:t>
            </w:r>
          </w:p>
        </w:tc>
        <w:tc>
          <w:tcPr>
            <w:tcW w:w="30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400" w:type="dxa"/>
            <w:vAlign w:val="bottom"/>
            <w:gridSpan w:val="2"/>
            <w:shd w:val="clear" w:color="auto" w:fill="CFF0FC"/>
          </w:tcPr>
          <w:p>
            <w:pPr>
              <w:jc w:val="right"/>
              <w:ind w:right="40"/>
              <w:spacing w:after="0"/>
              <w:rPr>
                <w:sz w:val="20"/>
                <w:szCs w:val="20"/>
                <w:color w:val="auto"/>
              </w:rPr>
            </w:pPr>
            <w:r>
              <w:rPr>
                <w:rFonts w:ascii="Arial" w:cs="Arial" w:eastAsia="Arial" w:hAnsi="Arial"/>
                <w:sz w:val="12"/>
                <w:szCs w:val="12"/>
                <w:color w:val="auto"/>
              </w:rPr>
              <w:t>26.3%</w:t>
            </w:r>
          </w:p>
        </w:tc>
        <w:tc>
          <w:tcPr>
            <w:tcW w:w="0" w:type="dxa"/>
            <w:vAlign w:val="bottom"/>
          </w:tcPr>
          <w:p>
            <w:pPr>
              <w:spacing w:after="0"/>
              <w:rPr>
                <w:sz w:val="1"/>
                <w:szCs w:val="1"/>
                <w:color w:val="auto"/>
              </w:rPr>
            </w:pPr>
          </w:p>
        </w:tc>
      </w:tr>
      <w:tr>
        <w:trPr>
          <w:trHeight w:val="20"/>
        </w:trPr>
        <w:tc>
          <w:tcPr>
            <w:tcW w:w="3460" w:type="dxa"/>
            <w:vAlign w:val="bottom"/>
            <w:gridSpan w:val="2"/>
            <w:vMerge w:val="restart"/>
          </w:tcPr>
          <w:p>
            <w:pPr>
              <w:spacing w:after="0"/>
              <w:rPr>
                <w:sz w:val="20"/>
                <w:szCs w:val="20"/>
                <w:color w:val="auto"/>
              </w:rPr>
            </w:pPr>
            <w:r>
              <w:rPr>
                <w:rFonts w:ascii="Arial" w:cs="Arial" w:eastAsia="Arial" w:hAnsi="Arial"/>
                <w:sz w:val="12"/>
                <w:szCs w:val="12"/>
                <w:color w:val="auto"/>
              </w:rPr>
              <w:t>Total operating expenses</w:t>
            </w:r>
          </w:p>
        </w:tc>
        <w:tc>
          <w:tcPr>
            <w:tcW w:w="442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3460" w:type="dxa"/>
            <w:vAlign w:val="bottom"/>
            <w:gridSpan w:val="2"/>
            <w:vMerge w:val="continue"/>
          </w:tcPr>
          <w:p>
            <w:pPr>
              <w:spacing w:after="0"/>
              <w:rPr>
                <w:sz w:val="12"/>
                <w:szCs w:val="12"/>
                <w:color w:val="auto"/>
              </w:rPr>
            </w:pPr>
          </w:p>
        </w:tc>
        <w:tc>
          <w:tcPr>
            <w:tcW w:w="4420" w:type="dxa"/>
            <w:vAlign w:val="bottom"/>
          </w:tcPr>
          <w:p>
            <w:pPr>
              <w:spacing w:after="0"/>
              <w:rPr>
                <w:sz w:val="12"/>
                <w:szCs w:val="12"/>
                <w:color w:val="auto"/>
              </w:rPr>
            </w:pPr>
          </w:p>
        </w:tc>
        <w:tc>
          <w:tcPr>
            <w:tcW w:w="1180" w:type="dxa"/>
            <w:vAlign w:val="bottom"/>
          </w:tcPr>
          <w:p>
            <w:pPr>
              <w:jc w:val="right"/>
              <w:ind w:right="1073"/>
              <w:spacing w:after="0"/>
              <w:rPr>
                <w:sz w:val="20"/>
                <w:szCs w:val="20"/>
                <w:color w:val="auto"/>
              </w:rPr>
            </w:pPr>
            <w:r>
              <w:rPr>
                <w:rFonts w:ascii="Arial" w:cs="Arial" w:eastAsia="Arial" w:hAnsi="Arial"/>
                <w:sz w:val="10"/>
                <w:szCs w:val="10"/>
                <w:color w:val="auto"/>
                <w:w w:val="71"/>
              </w:rPr>
              <w:t>$</w:t>
            </w:r>
          </w:p>
        </w:tc>
        <w:tc>
          <w:tcPr>
            <w:tcW w:w="400" w:type="dxa"/>
            <w:vAlign w:val="bottom"/>
          </w:tcPr>
          <w:p>
            <w:pPr>
              <w:jc w:val="right"/>
              <w:spacing w:after="0"/>
              <w:rPr>
                <w:sz w:val="20"/>
                <w:szCs w:val="20"/>
                <w:color w:val="auto"/>
              </w:rPr>
            </w:pPr>
            <w:r>
              <w:rPr>
                <w:rFonts w:ascii="Arial" w:cs="Arial" w:eastAsia="Arial" w:hAnsi="Arial"/>
                <w:sz w:val="12"/>
                <w:szCs w:val="12"/>
                <w:color w:val="auto"/>
              </w:rPr>
              <w:t>35,968</w:t>
            </w: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2"/>
                <w:szCs w:val="12"/>
                <w:color w:val="auto"/>
              </w:rPr>
              <w:t>38.3%</w:t>
            </w:r>
          </w:p>
        </w:tc>
        <w:tc>
          <w:tcPr>
            <w:tcW w:w="0" w:type="dxa"/>
            <w:vAlign w:val="bottom"/>
          </w:tcPr>
          <w:p>
            <w:pPr>
              <w:spacing w:after="0"/>
              <w:rPr>
                <w:sz w:val="1"/>
                <w:szCs w:val="1"/>
                <w:color w:val="auto"/>
              </w:rPr>
            </w:pPr>
          </w:p>
        </w:tc>
      </w:tr>
      <w:tr>
        <w:trPr>
          <w:trHeight w:val="450"/>
        </w:trPr>
        <w:tc>
          <w:tcPr>
            <w:tcW w:w="64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4420" w:type="dxa"/>
            <w:vAlign w:val="bottom"/>
          </w:tcPr>
          <w:p>
            <w:pPr>
              <w:jc w:val="right"/>
              <w:ind w:right="2024"/>
              <w:spacing w:after="0"/>
              <w:rPr>
                <w:sz w:val="20"/>
                <w:szCs w:val="20"/>
                <w:color w:val="auto"/>
              </w:rPr>
            </w:pPr>
            <w:r>
              <w:rPr>
                <w:rFonts w:ascii="Arial" w:cs="Arial" w:eastAsia="Arial" w:hAnsi="Arial"/>
                <w:sz w:val="12"/>
                <w:szCs w:val="12"/>
                <w:color w:val="auto"/>
              </w:rPr>
              <w:t>54</w:t>
            </w:r>
          </w:p>
        </w:tc>
        <w:tc>
          <w:tcPr>
            <w:tcW w:w="118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640" w:type="dxa"/>
            <w:vAlign w:val="bottom"/>
            <w:tcBorders>
              <w:bottom w:val="single" w:sz="8" w:color="9A9A9A"/>
            </w:tcBorders>
          </w:tcPr>
          <w:p>
            <w:pPr>
              <w:spacing w:after="0"/>
              <w:rPr>
                <w:sz w:val="6"/>
                <w:szCs w:val="6"/>
                <w:color w:val="auto"/>
              </w:rPr>
            </w:pPr>
          </w:p>
        </w:tc>
        <w:tc>
          <w:tcPr>
            <w:tcW w:w="2820" w:type="dxa"/>
            <w:vAlign w:val="bottom"/>
            <w:tcBorders>
              <w:bottom w:val="single" w:sz="8" w:color="9A9A9A"/>
            </w:tcBorders>
          </w:tcPr>
          <w:p>
            <w:pPr>
              <w:spacing w:after="0"/>
              <w:rPr>
                <w:sz w:val="6"/>
                <w:szCs w:val="6"/>
                <w:color w:val="auto"/>
              </w:rPr>
            </w:pPr>
          </w:p>
        </w:tc>
        <w:tc>
          <w:tcPr>
            <w:tcW w:w="4420" w:type="dxa"/>
            <w:vAlign w:val="bottom"/>
            <w:tcBorders>
              <w:bottom w:val="single" w:sz="8" w:color="9A9A9A"/>
            </w:tcBorders>
          </w:tcPr>
          <w:p>
            <w:pPr>
              <w:spacing w:after="0"/>
              <w:rPr>
                <w:sz w:val="6"/>
                <w:szCs w:val="6"/>
                <w:color w:val="auto"/>
              </w:rPr>
            </w:pPr>
          </w:p>
        </w:tc>
        <w:tc>
          <w:tcPr>
            <w:tcW w:w="1180" w:type="dxa"/>
            <w:vAlign w:val="bottom"/>
            <w:tcBorders>
              <w:bottom w:val="single" w:sz="8" w:color="9A9A9A"/>
            </w:tcBorders>
          </w:tcPr>
          <w:p>
            <w:pPr>
              <w:spacing w:after="0"/>
              <w:rPr>
                <w:sz w:val="6"/>
                <w:szCs w:val="6"/>
                <w:color w:val="auto"/>
              </w:rPr>
            </w:pPr>
          </w:p>
        </w:tc>
        <w:tc>
          <w:tcPr>
            <w:tcW w:w="40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320" w:type="dxa"/>
            <w:vAlign w:val="bottom"/>
            <w:tcBorders>
              <w:bottom w:val="single" w:sz="8" w:color="9A9A9A"/>
            </w:tcBorders>
          </w:tcPr>
          <w:p>
            <w:pPr>
              <w:spacing w:after="0"/>
              <w:rPr>
                <w:sz w:val="6"/>
                <w:szCs w:val="6"/>
                <w:color w:val="auto"/>
              </w:rPr>
            </w:pPr>
          </w:p>
        </w:tc>
        <w:tc>
          <w:tcPr>
            <w:tcW w:w="126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7268845</wp:posOffset>
            </wp:positionH>
            <wp:positionV relativeFrom="paragraph">
              <wp:posOffset>-23495</wp:posOffset>
            </wp:positionV>
            <wp:extent cx="31115" cy="3683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480"/>
          </w:cols>
          <w:pgMar w:left="220" w:top="131" w:right="199" w:bottom="1440" w:gutter="0" w:footer="0" w:header="0"/>
        </w:sectPr>
      </w:pPr>
    </w:p>
    <w:bookmarkStart w:id="55" w:name="page56"/>
    <w:bookmarkEnd w:id="55"/>
    <w:p>
      <w:pPr>
        <w:jc w:val="both"/>
        <w:ind w:right="140" w:firstLine="602"/>
        <w:spacing w:after="0" w:line="263" w:lineRule="auto"/>
        <w:rPr>
          <w:sz w:val="20"/>
          <w:szCs w:val="20"/>
          <w:color w:val="auto"/>
        </w:rPr>
      </w:pPr>
      <w:r>
        <w:rPr>
          <w:rFonts w:ascii="Arial" w:cs="Arial" w:eastAsia="Arial" w:hAnsi="Arial"/>
          <w:sz w:val="12"/>
          <w:szCs w:val="12"/>
          <w:i w:val="1"/>
          <w:iCs w:val="1"/>
          <w:color w:val="auto"/>
        </w:rPr>
        <w:t xml:space="preserve">Selling, General and Administrative Expenses. </w:t>
      </w:r>
      <w:r>
        <w:rPr>
          <w:rFonts w:ascii="Arial" w:cs="Arial" w:eastAsia="Arial" w:hAnsi="Arial"/>
          <w:sz w:val="12"/>
          <w:szCs w:val="12"/>
          <w:color w:val="auto"/>
        </w:rPr>
        <w:t>Selling, general and administrative expenses of $40.9 million for the 2017 Predecessor Period consisted of payroll and payroll-related costs, real estate lease expense, insurance</w:t>
      </w:r>
      <w:r>
        <w:rPr>
          <w:rFonts w:ascii="Arial" w:cs="Arial" w:eastAsia="Arial" w:hAnsi="Arial"/>
          <w:sz w:val="12"/>
          <w:szCs w:val="12"/>
          <w:i w:val="1"/>
          <w:iCs w:val="1"/>
          <w:color w:val="auto"/>
        </w:rPr>
        <w:t xml:space="preserve"> </w:t>
      </w:r>
      <w:r>
        <w:rPr>
          <w:rFonts w:ascii="Arial" w:cs="Arial" w:eastAsia="Arial" w:hAnsi="Arial"/>
          <w:sz w:val="12"/>
          <w:szCs w:val="12"/>
          <w:color w:val="auto"/>
        </w:rPr>
        <w:t>costs, legal fees and general corporate expenses. Selling, general and administrative expenses for the 2017 Predecessor Period included $21.8 million of transaction expenses resulting from or closely aligned with the ATS Merger, which were retained at Corporate and not allocated to the business segments. Selling, general and administrative expenses by segment appear in the table below.</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260" w:type="dxa"/>
            <w:vAlign w:val="bottom"/>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gridSpan w:val="3"/>
          </w:tcPr>
          <w:p>
            <w:pPr>
              <w:ind w:left="300"/>
              <w:spacing w:after="0"/>
              <w:rPr>
                <w:sz w:val="20"/>
                <w:szCs w:val="20"/>
                <w:color w:val="auto"/>
              </w:rPr>
            </w:pPr>
            <w:r>
              <w:rPr>
                <w:rFonts w:ascii="Arial" w:cs="Arial" w:eastAsia="Arial" w:hAnsi="Arial"/>
                <w:sz w:val="10"/>
                <w:szCs w:val="10"/>
                <w:b w:val="1"/>
                <w:bCs w:val="1"/>
                <w:color w:val="auto"/>
              </w:rPr>
              <w:t>Predecessor</w:t>
            </w:r>
          </w:p>
        </w:tc>
        <w:tc>
          <w:tcPr>
            <w:tcW w:w="126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7260" w:type="dxa"/>
            <w:vAlign w:val="bottom"/>
          </w:tcPr>
          <w:p>
            <w:pPr>
              <w:spacing w:after="0"/>
              <w:rPr>
                <w:sz w:val="7"/>
                <w:szCs w:val="7"/>
                <w:color w:val="auto"/>
              </w:rPr>
            </w:pPr>
          </w:p>
        </w:tc>
        <w:tc>
          <w:tcPr>
            <w:tcW w:w="1180" w:type="dxa"/>
            <w:vAlign w:val="bottom"/>
          </w:tcPr>
          <w:p>
            <w:pPr>
              <w:jc w:val="center"/>
              <w:ind w:left="352"/>
              <w:spacing w:after="0" w:line="83" w:lineRule="exact"/>
              <w:rPr>
                <w:sz w:val="20"/>
                <w:szCs w:val="20"/>
                <w:color w:val="auto"/>
              </w:rPr>
            </w:pPr>
            <w:r>
              <w:rPr>
                <w:rFonts w:ascii="Arial" w:cs="Arial" w:eastAsia="Arial" w:hAnsi="Arial"/>
                <w:sz w:val="8"/>
                <w:szCs w:val="8"/>
                <w:b w:val="1"/>
                <w:bCs w:val="1"/>
                <w:color w:val="auto"/>
              </w:rPr>
              <w:t>Period From</w:t>
            </w:r>
          </w:p>
        </w:tc>
        <w:tc>
          <w:tcPr>
            <w:tcW w:w="400" w:type="dxa"/>
            <w:vAlign w:val="bottom"/>
          </w:tcPr>
          <w:p>
            <w:pPr>
              <w:spacing w:after="0"/>
              <w:rPr>
                <w:sz w:val="7"/>
                <w:szCs w:val="7"/>
                <w:color w:val="auto"/>
              </w:rPr>
            </w:pPr>
          </w:p>
        </w:tc>
        <w:tc>
          <w:tcPr>
            <w:tcW w:w="3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7260" w:type="dxa"/>
            <w:vAlign w:val="bottom"/>
          </w:tcPr>
          <w:p>
            <w:pPr>
              <w:spacing w:after="0"/>
              <w:rPr>
                <w:sz w:val="8"/>
                <w:szCs w:val="8"/>
                <w:color w:val="auto"/>
              </w:rPr>
            </w:pPr>
          </w:p>
        </w:tc>
        <w:tc>
          <w:tcPr>
            <w:tcW w:w="1180" w:type="dxa"/>
            <w:vAlign w:val="bottom"/>
          </w:tcPr>
          <w:p>
            <w:pPr>
              <w:jc w:val="center"/>
              <w:ind w:left="352"/>
              <w:spacing w:after="0" w:line="99" w:lineRule="exact"/>
              <w:rPr>
                <w:sz w:val="20"/>
                <w:szCs w:val="20"/>
                <w:color w:val="auto"/>
              </w:rPr>
            </w:pPr>
            <w:r>
              <w:rPr>
                <w:rFonts w:ascii="Arial" w:cs="Arial" w:eastAsia="Arial" w:hAnsi="Arial"/>
                <w:sz w:val="10"/>
                <w:szCs w:val="10"/>
                <w:b w:val="1"/>
                <w:bCs w:val="1"/>
                <w:color w:val="auto"/>
                <w:w w:val="88"/>
              </w:rPr>
              <w:t>January 1, 2017</w:t>
            </w: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7260" w:type="dxa"/>
            <w:vAlign w:val="bottom"/>
          </w:tcPr>
          <w:p>
            <w:pPr>
              <w:spacing w:after="0"/>
              <w:rPr>
                <w:sz w:val="8"/>
                <w:szCs w:val="8"/>
                <w:color w:val="auto"/>
              </w:rPr>
            </w:pPr>
          </w:p>
        </w:tc>
        <w:tc>
          <w:tcPr>
            <w:tcW w:w="1180" w:type="dxa"/>
            <w:vAlign w:val="bottom"/>
          </w:tcPr>
          <w:p>
            <w:pPr>
              <w:jc w:val="center"/>
              <w:ind w:left="352"/>
              <w:spacing w:after="0" w:line="99" w:lineRule="exact"/>
              <w:rPr>
                <w:sz w:val="20"/>
                <w:szCs w:val="20"/>
                <w:color w:val="auto"/>
              </w:rPr>
            </w:pPr>
            <w:r>
              <w:rPr>
                <w:rFonts w:ascii="Arial" w:cs="Arial" w:eastAsia="Arial" w:hAnsi="Arial"/>
                <w:sz w:val="10"/>
                <w:szCs w:val="10"/>
                <w:b w:val="1"/>
                <w:bCs w:val="1"/>
                <w:color w:val="auto"/>
                <w:w w:val="86"/>
              </w:rPr>
              <w:t>to May 31,</w:t>
            </w: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0" w:type="dxa"/>
            <w:vAlign w:val="bottom"/>
            <w:gridSpan w:val="2"/>
          </w:tcPr>
          <w:p>
            <w:pPr>
              <w:jc w:val="right"/>
              <w:ind w:right="700"/>
              <w:spacing w:after="0" w:line="99" w:lineRule="exact"/>
              <w:rPr>
                <w:sz w:val="20"/>
                <w:szCs w:val="20"/>
                <w:color w:val="auto"/>
              </w:rPr>
            </w:pPr>
            <w:r>
              <w:rPr>
                <w:rFonts w:ascii="Arial" w:cs="Arial" w:eastAsia="Arial" w:hAnsi="Arial"/>
                <w:sz w:val="10"/>
                <w:szCs w:val="10"/>
                <w:b w:val="1"/>
                <w:bCs w:val="1"/>
                <w:color w:val="auto"/>
              </w:rPr>
              <w:t>Percentage</w:t>
            </w:r>
          </w:p>
        </w:tc>
        <w:tc>
          <w:tcPr>
            <w:tcW w:w="0" w:type="dxa"/>
            <w:vAlign w:val="bottom"/>
          </w:tcPr>
          <w:p>
            <w:pPr>
              <w:spacing w:after="0"/>
              <w:rPr>
                <w:sz w:val="1"/>
                <w:szCs w:val="1"/>
                <w:color w:val="auto"/>
              </w:rPr>
            </w:pPr>
          </w:p>
        </w:tc>
      </w:tr>
      <w:tr>
        <w:trPr>
          <w:trHeight w:val="105"/>
        </w:trPr>
        <w:tc>
          <w:tcPr>
            <w:tcW w:w="7880" w:type="dxa"/>
            <w:vAlign w:val="bottom"/>
            <w:gridSpan w:val="3"/>
          </w:tcPr>
          <w:p>
            <w:pPr>
              <w:spacing w:after="0" w:line="105" w:lineRule="exact"/>
              <w:rPr>
                <w:sz w:val="20"/>
                <w:szCs w:val="20"/>
                <w:color w:val="auto"/>
              </w:rPr>
            </w:pPr>
            <w:r>
              <w:rPr>
                <w:rFonts w:ascii="Arial" w:cs="Arial" w:eastAsia="Arial" w:hAnsi="Arial"/>
                <w:sz w:val="10"/>
                <w:szCs w:val="10"/>
                <w:b w:val="1"/>
                <w:bCs w:val="1"/>
                <w:color w:val="auto"/>
              </w:rPr>
              <w:t>($ in thousands)</w:t>
            </w:r>
          </w:p>
        </w:tc>
        <w:tc>
          <w:tcPr>
            <w:tcW w:w="1180" w:type="dxa"/>
            <w:vAlign w:val="bottom"/>
          </w:tcPr>
          <w:p>
            <w:pPr>
              <w:jc w:val="center"/>
              <w:ind w:left="352"/>
              <w:spacing w:after="0" w:line="105" w:lineRule="exact"/>
              <w:rPr>
                <w:sz w:val="20"/>
                <w:szCs w:val="20"/>
                <w:color w:val="auto"/>
              </w:rPr>
            </w:pPr>
            <w:r>
              <w:rPr>
                <w:rFonts w:ascii="Arial" w:cs="Arial" w:eastAsia="Arial" w:hAnsi="Arial"/>
                <w:sz w:val="10"/>
                <w:szCs w:val="10"/>
                <w:b w:val="1"/>
                <w:bCs w:val="1"/>
                <w:color w:val="auto"/>
                <w:w w:val="80"/>
              </w:rPr>
              <w:t>2017</w:t>
            </w: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0" w:type="dxa"/>
            <w:vAlign w:val="bottom"/>
            <w:gridSpan w:val="2"/>
          </w:tcPr>
          <w:p>
            <w:pPr>
              <w:jc w:val="right"/>
              <w:ind w:right="700"/>
              <w:spacing w:after="0" w:line="105" w:lineRule="exact"/>
              <w:rPr>
                <w:sz w:val="20"/>
                <w:szCs w:val="20"/>
                <w:color w:val="auto"/>
              </w:rPr>
            </w:pPr>
            <w:r>
              <w:rPr>
                <w:rFonts w:ascii="Arial" w:cs="Arial" w:eastAsia="Arial" w:hAnsi="Arial"/>
                <w:sz w:val="10"/>
                <w:szCs w:val="10"/>
                <w:b w:val="1"/>
                <w:bCs w:val="1"/>
                <w:color w:val="auto"/>
              </w:rPr>
              <w:t>of Revenue</w:t>
            </w:r>
          </w:p>
        </w:tc>
        <w:tc>
          <w:tcPr>
            <w:tcW w:w="0" w:type="dxa"/>
            <w:vAlign w:val="bottom"/>
          </w:tcPr>
          <w:p>
            <w:pPr>
              <w:spacing w:after="0"/>
              <w:rPr>
                <w:sz w:val="1"/>
                <w:szCs w:val="1"/>
                <w:color w:val="auto"/>
              </w:rPr>
            </w:pPr>
          </w:p>
        </w:tc>
      </w:tr>
      <w:tr>
        <w:trPr>
          <w:trHeight w:val="20"/>
        </w:trPr>
        <w:tc>
          <w:tcPr>
            <w:tcW w:w="20" w:type="dxa"/>
            <w:vAlign w:val="bottom"/>
            <w:tcBorders>
              <w:bottom w:val="single" w:sz="8" w:color="CFF0FC"/>
            </w:tcBorders>
          </w:tcPr>
          <w:p>
            <w:pPr>
              <w:spacing w:after="0" w:line="20" w:lineRule="exact"/>
              <w:rPr>
                <w:sz w:val="1"/>
                <w:szCs w:val="1"/>
                <w:color w:val="auto"/>
              </w:rPr>
            </w:pPr>
          </w:p>
        </w:tc>
        <w:tc>
          <w:tcPr>
            <w:tcW w:w="600" w:type="dxa"/>
            <w:vAlign w:val="bottom"/>
            <w:tcBorders>
              <w:bottom w:val="single" w:sz="8" w:color="CFF0FC"/>
            </w:tcBorders>
            <w:shd w:val="clear" w:color="auto" w:fill="000000"/>
          </w:tcPr>
          <w:p>
            <w:pPr>
              <w:spacing w:after="0" w:line="20" w:lineRule="exact"/>
              <w:rPr>
                <w:sz w:val="1"/>
                <w:szCs w:val="1"/>
                <w:color w:val="auto"/>
              </w:rPr>
            </w:pPr>
          </w:p>
        </w:tc>
        <w:tc>
          <w:tcPr>
            <w:tcW w:w="7260" w:type="dxa"/>
            <w:vAlign w:val="bottom"/>
            <w:tcBorders>
              <w:bottom w:val="single" w:sz="8" w:color="CFF0FC"/>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FF0FC"/>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7880" w:type="dxa"/>
            <w:vAlign w:val="bottom"/>
            <w:gridSpan w:val="3"/>
            <w:shd w:val="clear" w:color="auto" w:fill="CFF0FC"/>
          </w:tcPr>
          <w:p>
            <w:pPr>
              <w:spacing w:after="0" w:line="132" w:lineRule="exact"/>
              <w:rPr>
                <w:sz w:val="20"/>
                <w:szCs w:val="20"/>
                <w:color w:val="auto"/>
              </w:rPr>
            </w:pPr>
            <w:r>
              <w:rPr>
                <w:rFonts w:ascii="Arial" w:cs="Arial" w:eastAsia="Arial" w:hAnsi="Arial"/>
                <w:sz w:val="12"/>
                <w:szCs w:val="12"/>
                <w:b w:val="1"/>
                <w:bCs w:val="1"/>
                <w:color w:val="auto"/>
              </w:rPr>
              <w:t>Selling, general and administrative expenses</w:t>
            </w:r>
          </w:p>
        </w:tc>
        <w:tc>
          <w:tcPr>
            <w:tcW w:w="118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12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860" w:type="dxa"/>
            <w:vAlign w:val="bottom"/>
            <w:gridSpan w:val="2"/>
          </w:tcPr>
          <w:p>
            <w:pPr>
              <w:ind w:left="140"/>
              <w:spacing w:after="0"/>
              <w:rPr>
                <w:sz w:val="20"/>
                <w:szCs w:val="20"/>
                <w:color w:val="auto"/>
              </w:rPr>
            </w:pPr>
            <w:r>
              <w:rPr>
                <w:rFonts w:ascii="Arial" w:cs="Arial" w:eastAsia="Arial" w:hAnsi="Arial"/>
                <w:sz w:val="12"/>
                <w:szCs w:val="12"/>
                <w:color w:val="auto"/>
              </w:rPr>
              <w:t>Commercial Services</w:t>
            </w:r>
          </w:p>
        </w:tc>
        <w:tc>
          <w:tcPr>
            <w:tcW w:w="1180" w:type="dxa"/>
            <w:vAlign w:val="bottom"/>
          </w:tcPr>
          <w:p>
            <w:pPr>
              <w:jc w:val="right"/>
              <w:ind w:right="1072"/>
              <w:spacing w:after="0"/>
              <w:rPr>
                <w:sz w:val="20"/>
                <w:szCs w:val="20"/>
                <w:color w:val="auto"/>
              </w:rPr>
            </w:pPr>
            <w:r>
              <w:rPr>
                <w:rFonts w:ascii="Arial" w:cs="Arial" w:eastAsia="Arial" w:hAnsi="Arial"/>
                <w:sz w:val="10"/>
                <w:szCs w:val="10"/>
                <w:color w:val="auto"/>
                <w:w w:val="71"/>
              </w:rPr>
              <w:t>$</w:t>
            </w:r>
          </w:p>
        </w:tc>
        <w:tc>
          <w:tcPr>
            <w:tcW w:w="400" w:type="dxa"/>
            <w:vAlign w:val="bottom"/>
          </w:tcPr>
          <w:p>
            <w:pPr>
              <w:jc w:val="right"/>
              <w:spacing w:after="0"/>
              <w:rPr>
                <w:sz w:val="20"/>
                <w:szCs w:val="20"/>
                <w:color w:val="auto"/>
              </w:rPr>
            </w:pPr>
            <w:r>
              <w:rPr>
                <w:rFonts w:ascii="Arial" w:cs="Arial" w:eastAsia="Arial" w:hAnsi="Arial"/>
                <w:sz w:val="12"/>
                <w:szCs w:val="12"/>
                <w:color w:val="auto"/>
              </w:rPr>
              <w:t>9,882</w:t>
            </w:r>
          </w:p>
        </w:tc>
        <w:tc>
          <w:tcPr>
            <w:tcW w:w="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2"/>
                <w:szCs w:val="12"/>
                <w:color w:val="auto"/>
              </w:rPr>
              <w:t>10.5%</w:t>
            </w:r>
          </w:p>
        </w:tc>
        <w:tc>
          <w:tcPr>
            <w:tcW w:w="0" w:type="dxa"/>
            <w:vAlign w:val="bottom"/>
          </w:tcPr>
          <w:p>
            <w:pPr>
              <w:spacing w:after="0"/>
              <w:rPr>
                <w:sz w:val="1"/>
                <w:szCs w:val="1"/>
                <w:color w:val="auto"/>
              </w:rPr>
            </w:pPr>
          </w:p>
        </w:tc>
      </w:tr>
      <w:tr>
        <w:trPr>
          <w:trHeight w:val="153"/>
        </w:trPr>
        <w:tc>
          <w:tcPr>
            <w:tcW w:w="20" w:type="dxa"/>
            <w:vAlign w:val="bottom"/>
            <w:shd w:val="clear" w:color="auto" w:fill="CFF0FC"/>
          </w:tcPr>
          <w:p>
            <w:pPr>
              <w:spacing w:after="0"/>
              <w:rPr>
                <w:sz w:val="13"/>
                <w:szCs w:val="13"/>
                <w:color w:val="auto"/>
              </w:rPr>
            </w:pPr>
          </w:p>
        </w:tc>
        <w:tc>
          <w:tcPr>
            <w:tcW w:w="7860" w:type="dxa"/>
            <w:vAlign w:val="bottom"/>
            <w:gridSpan w:val="2"/>
            <w:shd w:val="clear" w:color="auto" w:fill="CFF0FC"/>
          </w:tcPr>
          <w:p>
            <w:pPr>
              <w:ind w:left="140"/>
              <w:spacing w:after="0"/>
              <w:rPr>
                <w:sz w:val="20"/>
                <w:szCs w:val="20"/>
                <w:color w:val="auto"/>
              </w:rPr>
            </w:pPr>
            <w:r>
              <w:rPr>
                <w:rFonts w:ascii="Arial" w:cs="Arial" w:eastAsia="Arial" w:hAnsi="Arial"/>
                <w:sz w:val="12"/>
                <w:szCs w:val="12"/>
                <w:color w:val="auto"/>
              </w:rPr>
              <w:t>Government Solutions</w:t>
            </w:r>
          </w:p>
        </w:tc>
        <w:tc>
          <w:tcPr>
            <w:tcW w:w="1180" w:type="dxa"/>
            <w:vAlign w:val="bottom"/>
            <w:shd w:val="clear" w:color="auto" w:fill="CFF0FC"/>
          </w:tcPr>
          <w:p>
            <w:pPr>
              <w:spacing w:after="0"/>
              <w:rPr>
                <w:sz w:val="13"/>
                <w:szCs w:val="13"/>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9,231</w:t>
            </w:r>
          </w:p>
        </w:tc>
        <w:tc>
          <w:tcPr>
            <w:tcW w:w="30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400" w:type="dxa"/>
            <w:vAlign w:val="bottom"/>
            <w:gridSpan w:val="2"/>
            <w:shd w:val="clear" w:color="auto" w:fill="CFF0FC"/>
          </w:tcPr>
          <w:p>
            <w:pPr>
              <w:jc w:val="right"/>
              <w:ind w:right="40"/>
              <w:spacing w:after="0"/>
              <w:rPr>
                <w:sz w:val="20"/>
                <w:szCs w:val="20"/>
                <w:color w:val="auto"/>
              </w:rPr>
            </w:pPr>
            <w:r>
              <w:rPr>
                <w:rFonts w:ascii="Arial" w:cs="Arial" w:eastAsia="Arial" w:hAnsi="Arial"/>
                <w:sz w:val="12"/>
                <w:szCs w:val="12"/>
                <w:color w:val="auto"/>
              </w:rPr>
              <w:t>9.8%</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860" w:type="dxa"/>
            <w:vAlign w:val="bottom"/>
            <w:gridSpan w:val="2"/>
          </w:tcPr>
          <w:p>
            <w:pPr>
              <w:ind w:left="140"/>
              <w:spacing w:after="0"/>
              <w:rPr>
                <w:sz w:val="20"/>
                <w:szCs w:val="20"/>
                <w:color w:val="auto"/>
              </w:rPr>
            </w:pPr>
            <w:r>
              <w:rPr>
                <w:rFonts w:ascii="Arial" w:cs="Arial" w:eastAsia="Arial" w:hAnsi="Arial"/>
                <w:sz w:val="12"/>
                <w:szCs w:val="12"/>
                <w:color w:val="auto"/>
              </w:rPr>
              <w:t>Corporate</w:t>
            </w:r>
          </w:p>
        </w:tc>
        <w:tc>
          <w:tcPr>
            <w:tcW w:w="118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21,771</w:t>
            </w:r>
          </w:p>
        </w:tc>
        <w:tc>
          <w:tcPr>
            <w:tcW w:w="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2"/>
                <w:szCs w:val="12"/>
                <w:color w:val="auto"/>
              </w:rPr>
              <w:t>23.2%</w:t>
            </w:r>
          </w:p>
        </w:tc>
        <w:tc>
          <w:tcPr>
            <w:tcW w:w="0" w:type="dxa"/>
            <w:vAlign w:val="bottom"/>
          </w:tcPr>
          <w:p>
            <w:pPr>
              <w:spacing w:after="0"/>
              <w:rPr>
                <w:sz w:val="1"/>
                <w:szCs w:val="1"/>
                <w:color w:val="auto"/>
              </w:rPr>
            </w:pPr>
          </w:p>
        </w:tc>
      </w:tr>
      <w:tr>
        <w:trPr>
          <w:trHeight w:val="20"/>
        </w:trPr>
        <w:tc>
          <w:tcPr>
            <w:tcW w:w="7880" w:type="dxa"/>
            <w:vAlign w:val="bottom"/>
            <w:gridSpan w:val="3"/>
            <w:vMerge w:val="restart"/>
            <w:shd w:val="clear" w:color="auto" w:fill="CFF0FC"/>
          </w:tcPr>
          <w:p>
            <w:pPr>
              <w:spacing w:after="0"/>
              <w:rPr>
                <w:sz w:val="20"/>
                <w:szCs w:val="20"/>
                <w:color w:val="auto"/>
              </w:rPr>
            </w:pPr>
            <w:r>
              <w:rPr>
                <w:rFonts w:ascii="Arial" w:cs="Arial" w:eastAsia="Arial" w:hAnsi="Arial"/>
                <w:sz w:val="12"/>
                <w:szCs w:val="12"/>
                <w:color w:val="auto"/>
              </w:rPr>
              <w:t>Total selling, general and administrative expenses</w:t>
            </w:r>
          </w:p>
        </w:tc>
        <w:tc>
          <w:tcPr>
            <w:tcW w:w="11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7880" w:type="dxa"/>
            <w:vAlign w:val="bottom"/>
            <w:gridSpan w:val="3"/>
            <w:vMerge w:val="continue"/>
            <w:shd w:val="clear" w:color="auto" w:fill="CFF0FC"/>
          </w:tcPr>
          <w:p>
            <w:pPr>
              <w:spacing w:after="0"/>
              <w:rPr>
                <w:sz w:val="12"/>
                <w:szCs w:val="12"/>
                <w:color w:val="auto"/>
              </w:rPr>
            </w:pPr>
          </w:p>
        </w:tc>
        <w:tc>
          <w:tcPr>
            <w:tcW w:w="1180" w:type="dxa"/>
            <w:vAlign w:val="bottom"/>
            <w:shd w:val="clear" w:color="auto" w:fill="CFF0FC"/>
          </w:tcPr>
          <w:p>
            <w:pPr>
              <w:jc w:val="right"/>
              <w:ind w:right="1072"/>
              <w:spacing w:after="0"/>
              <w:rPr>
                <w:sz w:val="20"/>
                <w:szCs w:val="20"/>
                <w:color w:val="auto"/>
              </w:rPr>
            </w:pPr>
            <w:r>
              <w:rPr>
                <w:rFonts w:ascii="Arial" w:cs="Arial" w:eastAsia="Arial" w:hAnsi="Arial"/>
                <w:sz w:val="10"/>
                <w:szCs w:val="10"/>
                <w:color w:val="auto"/>
                <w:w w:val="71"/>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40,884</w:t>
            </w:r>
          </w:p>
        </w:tc>
        <w:tc>
          <w:tcPr>
            <w:tcW w:w="30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400" w:type="dxa"/>
            <w:vAlign w:val="bottom"/>
            <w:gridSpan w:val="2"/>
            <w:shd w:val="clear" w:color="auto" w:fill="CFF0FC"/>
          </w:tcPr>
          <w:p>
            <w:pPr>
              <w:jc w:val="right"/>
              <w:ind w:right="40"/>
              <w:spacing w:after="0"/>
              <w:rPr>
                <w:sz w:val="20"/>
                <w:szCs w:val="20"/>
                <w:color w:val="auto"/>
              </w:rPr>
            </w:pPr>
            <w:r>
              <w:rPr>
                <w:rFonts w:ascii="Arial" w:cs="Arial" w:eastAsia="Arial" w:hAnsi="Arial"/>
                <w:sz w:val="12"/>
                <w:szCs w:val="12"/>
                <w:color w:val="auto"/>
              </w:rPr>
              <w:t>43.6%</w:t>
            </w:r>
          </w:p>
        </w:tc>
        <w:tc>
          <w:tcPr>
            <w:tcW w:w="0" w:type="dxa"/>
            <w:vAlign w:val="bottom"/>
          </w:tcPr>
          <w:p>
            <w:pPr>
              <w:spacing w:after="0"/>
              <w:rPr>
                <w:sz w:val="1"/>
                <w:szCs w:val="1"/>
                <w:color w:val="auto"/>
              </w:rPr>
            </w:pPr>
          </w:p>
        </w:tc>
      </w:tr>
      <w:tr>
        <w:trPr>
          <w:trHeight w:val="27"/>
        </w:trPr>
        <w:tc>
          <w:tcPr>
            <w:tcW w:w="20" w:type="dxa"/>
            <w:vAlign w:val="bottom"/>
            <w:shd w:val="clear" w:color="auto" w:fill="CFF0FC"/>
          </w:tcPr>
          <w:p>
            <w:pPr>
              <w:spacing w:after="0"/>
              <w:rPr>
                <w:sz w:val="2"/>
                <w:szCs w:val="2"/>
                <w:color w:val="auto"/>
              </w:rPr>
            </w:pPr>
          </w:p>
        </w:tc>
        <w:tc>
          <w:tcPr>
            <w:tcW w:w="600" w:type="dxa"/>
            <w:vAlign w:val="bottom"/>
            <w:shd w:val="clear" w:color="auto" w:fill="CFF0FC"/>
          </w:tcPr>
          <w:p>
            <w:pPr>
              <w:spacing w:after="0"/>
              <w:rPr>
                <w:sz w:val="2"/>
                <w:szCs w:val="2"/>
                <w:color w:val="auto"/>
              </w:rPr>
            </w:pPr>
          </w:p>
        </w:tc>
        <w:tc>
          <w:tcPr>
            <w:tcW w:w="7260" w:type="dxa"/>
            <w:vAlign w:val="bottom"/>
            <w:shd w:val="clear" w:color="auto" w:fill="CFF0FC"/>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00" w:type="dxa"/>
            <w:vAlign w:val="bottom"/>
            <w:shd w:val="clear" w:color="auto" w:fill="CFF0FC"/>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62" w:lineRule="exact"/>
        <w:rPr>
          <w:sz w:val="20"/>
          <w:szCs w:val="20"/>
          <w:color w:val="auto"/>
        </w:rPr>
      </w:pPr>
    </w:p>
    <w:p>
      <w:pPr>
        <w:jc w:val="both"/>
        <w:ind w:right="40" w:firstLine="602"/>
        <w:spacing w:after="0" w:line="276" w:lineRule="auto"/>
        <w:rPr>
          <w:sz w:val="20"/>
          <w:szCs w:val="20"/>
          <w:color w:val="auto"/>
        </w:rPr>
      </w:pPr>
      <w:r>
        <w:rPr>
          <w:rFonts w:ascii="Arial" w:cs="Arial" w:eastAsia="Arial" w:hAnsi="Arial"/>
          <w:sz w:val="12"/>
          <w:szCs w:val="12"/>
          <w:i w:val="1"/>
          <w:iCs w:val="1"/>
          <w:color w:val="auto"/>
        </w:rPr>
        <w:t xml:space="preserve">Depreciation, Amortization and Gain or Loss on Disposal of Assets, Net. </w:t>
      </w:r>
      <w:r>
        <w:rPr>
          <w:rFonts w:ascii="Arial" w:cs="Arial" w:eastAsia="Arial" w:hAnsi="Arial"/>
          <w:sz w:val="12"/>
          <w:szCs w:val="12"/>
          <w:color w:val="auto"/>
        </w:rPr>
        <w:t>Depreciation, amortization and gain or loss on disposal of assets, net of $12.6 million for the 2017 Predecessor Period was comprised of depreciation of</w:t>
      </w:r>
      <w:r>
        <w:rPr>
          <w:rFonts w:ascii="Arial" w:cs="Arial" w:eastAsia="Arial" w:hAnsi="Arial"/>
          <w:sz w:val="12"/>
          <w:szCs w:val="12"/>
          <w:i w:val="1"/>
          <w:iCs w:val="1"/>
          <w:color w:val="auto"/>
        </w:rPr>
        <w:t xml:space="preserve"> </w:t>
      </w:r>
      <w:r>
        <w:rPr>
          <w:rFonts w:ascii="Arial" w:cs="Arial" w:eastAsia="Arial" w:hAnsi="Arial"/>
          <w:sz w:val="12"/>
          <w:szCs w:val="12"/>
          <w:color w:val="auto"/>
        </w:rPr>
        <w:t>long-lived assets of $11.8 million and amortization of intangible assets of $0.8 million.</w:t>
      </w:r>
    </w:p>
    <w:p>
      <w:pPr>
        <w:spacing w:after="0" w:line="115" w:lineRule="exact"/>
        <w:rPr>
          <w:sz w:val="20"/>
          <w:szCs w:val="20"/>
          <w:color w:val="auto"/>
        </w:rPr>
      </w:pPr>
    </w:p>
    <w:p>
      <w:pPr>
        <w:ind w:left="600"/>
        <w:spacing w:after="0"/>
        <w:rPr>
          <w:sz w:val="20"/>
          <w:szCs w:val="20"/>
          <w:color w:val="auto"/>
        </w:rPr>
      </w:pPr>
      <w:r>
        <w:rPr>
          <w:rFonts w:ascii="Arial" w:cs="Arial" w:eastAsia="Arial" w:hAnsi="Arial"/>
          <w:sz w:val="12"/>
          <w:szCs w:val="12"/>
          <w:i w:val="1"/>
          <w:iCs w:val="1"/>
          <w:color w:val="auto"/>
        </w:rPr>
        <w:t xml:space="preserve">Interest Expense. </w:t>
      </w:r>
      <w:r>
        <w:rPr>
          <w:rFonts w:ascii="Arial" w:cs="Arial" w:eastAsia="Arial" w:hAnsi="Arial"/>
          <w:sz w:val="12"/>
          <w:szCs w:val="12"/>
          <w:color w:val="auto"/>
        </w:rPr>
        <w:t>Interest expense was $0.9 million for the 2017 Predecessor Period and was directly related to the average outstanding debt balance during that period of $51.1 million.</w:t>
      </w:r>
    </w:p>
    <w:p>
      <w:pPr>
        <w:spacing w:after="0" w:line="150" w:lineRule="exact"/>
        <w:rPr>
          <w:sz w:val="20"/>
          <w:szCs w:val="20"/>
          <w:color w:val="auto"/>
        </w:rPr>
      </w:pPr>
    </w:p>
    <w:p>
      <w:pPr>
        <w:ind w:right="120" w:firstLine="602"/>
        <w:spacing w:after="0" w:line="276" w:lineRule="auto"/>
        <w:rPr>
          <w:sz w:val="20"/>
          <w:szCs w:val="20"/>
          <w:color w:val="auto"/>
        </w:rPr>
      </w:pPr>
      <w:r>
        <w:rPr>
          <w:rFonts w:ascii="Arial" w:cs="Arial" w:eastAsia="Arial" w:hAnsi="Arial"/>
          <w:sz w:val="12"/>
          <w:szCs w:val="12"/>
          <w:i w:val="1"/>
          <w:iCs w:val="1"/>
          <w:color w:val="auto"/>
        </w:rPr>
        <w:t xml:space="preserve">Other Income, Net. </w:t>
      </w:r>
      <w:r>
        <w:rPr>
          <w:rFonts w:ascii="Arial" w:cs="Arial" w:eastAsia="Arial" w:hAnsi="Arial"/>
          <w:sz w:val="12"/>
          <w:szCs w:val="12"/>
          <w:color w:val="auto"/>
        </w:rPr>
        <w:t>Other income, net of $1.3 million in the 2017 Predecessor Period primarily related to volume rebates on our total spend on purchasing cards. We pay a high volume of tolls on behalf of our customers with</w:t>
      </w:r>
      <w:r>
        <w:rPr>
          <w:rFonts w:ascii="Arial" w:cs="Arial" w:eastAsia="Arial" w:hAnsi="Arial"/>
          <w:sz w:val="12"/>
          <w:szCs w:val="12"/>
          <w:i w:val="1"/>
          <w:iCs w:val="1"/>
          <w:color w:val="auto"/>
        </w:rPr>
        <w:t xml:space="preserve"> </w:t>
      </w:r>
      <w:r>
        <w:rPr>
          <w:rFonts w:ascii="Arial" w:cs="Arial" w:eastAsia="Arial" w:hAnsi="Arial"/>
          <w:sz w:val="12"/>
          <w:szCs w:val="12"/>
          <w:color w:val="auto"/>
        </w:rPr>
        <w:t>purchasing cards which generate rebates based on volume, payment terms and rebate frequency.</w:t>
      </w:r>
    </w:p>
    <w:p>
      <w:pPr>
        <w:spacing w:after="0" w:line="115" w:lineRule="exact"/>
        <w:rPr>
          <w:sz w:val="20"/>
          <w:szCs w:val="20"/>
          <w:color w:val="auto"/>
        </w:rPr>
      </w:pPr>
    </w:p>
    <w:p>
      <w:pPr>
        <w:ind w:right="40" w:firstLine="602"/>
        <w:spacing w:after="0" w:line="276" w:lineRule="auto"/>
        <w:rPr>
          <w:sz w:val="20"/>
          <w:szCs w:val="20"/>
          <w:color w:val="auto"/>
        </w:rPr>
      </w:pPr>
      <w:r>
        <w:rPr>
          <w:rFonts w:ascii="Arial" w:cs="Arial" w:eastAsia="Arial" w:hAnsi="Arial"/>
          <w:sz w:val="12"/>
          <w:szCs w:val="12"/>
          <w:i w:val="1"/>
          <w:iCs w:val="1"/>
          <w:color w:val="auto"/>
        </w:rPr>
        <w:t xml:space="preserve">Income Tax Provision. </w:t>
      </w:r>
      <w:r>
        <w:rPr>
          <w:rFonts w:ascii="Arial" w:cs="Arial" w:eastAsia="Arial" w:hAnsi="Arial"/>
          <w:sz w:val="12"/>
          <w:szCs w:val="12"/>
          <w:color w:val="auto"/>
        </w:rPr>
        <w:t>The income tax expense of $1.3 million for the 2017 Predecessor Period had an effective rate of 50.3%, and was impacted by certain transaction and other expenses that were not deductible for taxes and</w:t>
      </w:r>
      <w:r>
        <w:rPr>
          <w:rFonts w:ascii="Arial" w:cs="Arial" w:eastAsia="Arial" w:hAnsi="Arial"/>
          <w:sz w:val="12"/>
          <w:szCs w:val="12"/>
          <w:i w:val="1"/>
          <w:iCs w:val="1"/>
          <w:color w:val="auto"/>
        </w:rPr>
        <w:t xml:space="preserve"> </w:t>
      </w:r>
      <w:r>
        <w:rPr>
          <w:rFonts w:ascii="Arial" w:cs="Arial" w:eastAsia="Arial" w:hAnsi="Arial"/>
          <w:sz w:val="12"/>
          <w:szCs w:val="12"/>
          <w:color w:val="auto"/>
        </w:rPr>
        <w:t>the negative impact of the provision to return adjustment associated with research and development tax credits.</w:t>
      </w:r>
    </w:p>
    <w:p>
      <w:pPr>
        <w:spacing w:after="0" w:line="115" w:lineRule="exact"/>
        <w:rPr>
          <w:sz w:val="20"/>
          <w:szCs w:val="20"/>
          <w:color w:val="auto"/>
        </w:rPr>
      </w:pPr>
    </w:p>
    <w:p>
      <w:pPr>
        <w:ind w:left="600"/>
        <w:spacing w:after="0"/>
        <w:rPr>
          <w:sz w:val="20"/>
          <w:szCs w:val="20"/>
          <w:color w:val="auto"/>
        </w:rPr>
      </w:pPr>
      <w:r>
        <w:rPr>
          <w:rFonts w:ascii="Arial" w:cs="Arial" w:eastAsia="Arial" w:hAnsi="Arial"/>
          <w:sz w:val="12"/>
          <w:szCs w:val="12"/>
          <w:i w:val="1"/>
          <w:iCs w:val="1"/>
          <w:color w:val="auto"/>
        </w:rPr>
        <w:t xml:space="preserve">Net Income. </w:t>
      </w:r>
      <w:r>
        <w:rPr>
          <w:rFonts w:ascii="Arial" w:cs="Arial" w:eastAsia="Arial" w:hAnsi="Arial"/>
          <w:sz w:val="12"/>
          <w:szCs w:val="12"/>
          <w:color w:val="auto"/>
        </w:rPr>
        <w:t>As a result of the statement of operations activity discussed above, we had net income of $1.2 million for the 2017 Predecessor Period.</w:t>
      </w:r>
    </w:p>
    <w:p>
      <w:pPr>
        <w:spacing w:after="0" w:line="21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Liquidity and Capital Resources</w:t>
      </w:r>
    </w:p>
    <w:p>
      <w:pPr>
        <w:spacing w:after="0" w:line="82" w:lineRule="exact"/>
        <w:rPr>
          <w:sz w:val="20"/>
          <w:szCs w:val="20"/>
          <w:color w:val="auto"/>
        </w:rPr>
      </w:pPr>
    </w:p>
    <w:p>
      <w:pPr>
        <w:ind w:left="600"/>
        <w:spacing w:after="0"/>
        <w:rPr>
          <w:sz w:val="20"/>
          <w:szCs w:val="20"/>
          <w:color w:val="auto"/>
        </w:rPr>
      </w:pPr>
      <w:r>
        <w:rPr>
          <w:rFonts w:ascii="Arial" w:cs="Arial" w:eastAsia="Arial" w:hAnsi="Arial"/>
          <w:sz w:val="12"/>
          <w:szCs w:val="12"/>
          <w:color w:val="auto"/>
        </w:rPr>
        <w:t>Our principal sources of liquidity are cash flows from operations, long-term borrowings and availability under revolving credit facilities.</w:t>
      </w:r>
    </w:p>
    <w:p>
      <w:pPr>
        <w:spacing w:after="0" w:line="150" w:lineRule="exact"/>
        <w:rPr>
          <w:sz w:val="20"/>
          <w:szCs w:val="20"/>
          <w:color w:val="auto"/>
        </w:rPr>
      </w:pPr>
    </w:p>
    <w:p>
      <w:pPr>
        <w:ind w:left="600"/>
        <w:spacing w:after="0"/>
        <w:rPr>
          <w:sz w:val="20"/>
          <w:szCs w:val="20"/>
          <w:color w:val="auto"/>
        </w:rPr>
      </w:pPr>
      <w:r>
        <w:rPr>
          <w:rFonts w:ascii="Arial" w:cs="Arial" w:eastAsia="Arial" w:hAnsi="Arial"/>
          <w:sz w:val="12"/>
          <w:szCs w:val="12"/>
          <w:color w:val="auto"/>
        </w:rPr>
        <w:t>We have incurred significant long-term debt, as described below, to fund the ATS Merger and the HTA acquisition.</w:t>
      </w:r>
    </w:p>
    <w:p>
      <w:pPr>
        <w:spacing w:after="0" w:line="150" w:lineRule="exact"/>
        <w:rPr>
          <w:sz w:val="20"/>
          <w:szCs w:val="20"/>
          <w:color w:val="auto"/>
        </w:rPr>
      </w:pPr>
    </w:p>
    <w:p>
      <w:pPr>
        <w:ind w:right="140" w:firstLine="602"/>
        <w:spacing w:after="0" w:line="257" w:lineRule="auto"/>
        <w:rPr>
          <w:sz w:val="20"/>
          <w:szCs w:val="20"/>
          <w:color w:val="auto"/>
        </w:rPr>
      </w:pPr>
      <w:r>
        <w:rPr>
          <w:rFonts w:ascii="Arial" w:cs="Arial" w:eastAsia="Arial" w:hAnsi="Arial"/>
          <w:sz w:val="12"/>
          <w:szCs w:val="12"/>
          <w:color w:val="auto"/>
        </w:rPr>
        <w:t>We believe that the existing cash and cash equivalents and cash flows provided by operating activities will be sufficient to meet operating cash requirements and service debt obligations for at least the next 12 months. Our ability to generate sufficient cash from our operating activities depends on our future performance, which is subject to general economic, political, financial, competitive and other factors beyond our control. In addition, our future capital expenditures and other cash requirements could be higher than currently expected due to various factors, including any expansion of our business that it undertakes, including strategic acquisitions. Should we pursue additional strategic acquisitions, we may need to raise additional capital, which may be in the form of additional long-term debt, which may not be available to us on favorable terms, borrowings on the revolver under the 2018 Credit Facilities (defined below), equity financings or at all. See the section entitled “Risk Factors.”</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17740" cy="3683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ectPr>
          <w:pgSz w:w="11900" w:h="16838" w:orient="portrait"/>
          <w:cols w:equalWidth="0" w:num="1">
            <w:col w:w="11480"/>
          </w:cols>
          <w:pgMar w:left="220" w:top="131" w:right="199" w:bottom="1440" w:gutter="0" w:footer="0" w:header="0"/>
        </w:sectPr>
      </w:pPr>
    </w:p>
    <w:bookmarkStart w:id="56" w:name="page57"/>
    <w:bookmarkEnd w:id="56"/>
    <w:p>
      <w:pPr>
        <w:ind w:right="100" w:firstLine="602"/>
        <w:spacing w:after="0" w:line="276" w:lineRule="auto"/>
        <w:rPr>
          <w:sz w:val="20"/>
          <w:szCs w:val="20"/>
          <w:color w:val="auto"/>
        </w:rPr>
      </w:pPr>
      <w:r>
        <w:rPr>
          <w:rFonts w:ascii="Arial" w:cs="Arial" w:eastAsia="Arial" w:hAnsi="Arial"/>
          <w:sz w:val="12"/>
          <w:szCs w:val="12"/>
          <w:color w:val="auto"/>
        </w:rPr>
        <w:t>We have the ability to borrow under our revolving credit facility to meet obligations as they come due. At December 31, 2019, we had $63.5 million available for borrowing, net of letters of credit, under the New Revolver (as defined below).</w:t>
      </w:r>
    </w:p>
    <w:p>
      <w:pPr>
        <w:spacing w:after="0" w:line="115" w:lineRule="exact"/>
        <w:rPr>
          <w:sz w:val="20"/>
          <w:szCs w:val="20"/>
          <w:color w:val="auto"/>
        </w:rPr>
      </w:pPr>
    </w:p>
    <w:p>
      <w:pPr>
        <w:ind w:left="600"/>
        <w:spacing w:after="0"/>
        <w:rPr>
          <w:sz w:val="20"/>
          <w:szCs w:val="20"/>
          <w:color w:val="auto"/>
        </w:rPr>
      </w:pPr>
      <w:r>
        <w:rPr>
          <w:rFonts w:ascii="Arial" w:cs="Arial" w:eastAsia="Arial" w:hAnsi="Arial"/>
          <w:sz w:val="12"/>
          <w:szCs w:val="12"/>
          <w:color w:val="auto"/>
        </w:rPr>
        <w:t>The Company funded the Pagatelia acquisition discussed above with existing cash on hand as of the acquisition date for a purchase price of $26.6 million.</w:t>
      </w:r>
    </w:p>
    <w:p>
      <w:pPr>
        <w:spacing w:after="0" w:line="150" w:lineRule="exact"/>
        <w:rPr>
          <w:sz w:val="20"/>
          <w:szCs w:val="20"/>
          <w:color w:val="auto"/>
        </w:rPr>
      </w:pPr>
    </w:p>
    <w:p>
      <w:pPr>
        <w:ind w:left="600"/>
        <w:spacing w:after="0"/>
        <w:rPr>
          <w:sz w:val="20"/>
          <w:szCs w:val="20"/>
          <w:color w:val="auto"/>
        </w:rPr>
      </w:pPr>
      <w:r>
        <w:rPr>
          <w:rFonts w:ascii="Arial" w:cs="Arial" w:eastAsia="Arial" w:hAnsi="Arial"/>
          <w:sz w:val="12"/>
          <w:szCs w:val="12"/>
          <w:color w:val="auto"/>
        </w:rPr>
        <w:t>The following table sets forth certain captions within our consolidated statements of cash flows for the periods indicated:</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640" w:type="dxa"/>
            <w:vAlign w:val="bottom"/>
          </w:tcPr>
          <w:p>
            <w:pPr>
              <w:spacing w:after="0"/>
              <w:rPr>
                <w:sz w:val="13"/>
                <w:szCs w:val="13"/>
                <w:color w:val="auto"/>
              </w:rPr>
            </w:pPr>
          </w:p>
        </w:tc>
        <w:tc>
          <w:tcPr>
            <w:tcW w:w="4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20" w:type="dxa"/>
            <w:vAlign w:val="bottom"/>
            <w:gridSpan w:val="2"/>
          </w:tcPr>
          <w:p>
            <w:pPr>
              <w:jc w:val="right"/>
              <w:ind w:right="700"/>
              <w:spacing w:after="0"/>
              <w:rPr>
                <w:sz w:val="20"/>
                <w:szCs w:val="20"/>
                <w:color w:val="auto"/>
              </w:rPr>
            </w:pPr>
            <w:r>
              <w:rPr>
                <w:rFonts w:ascii="Arial" w:cs="Arial" w:eastAsia="Arial" w:hAnsi="Arial"/>
                <w:sz w:val="10"/>
                <w:szCs w:val="10"/>
                <w:b w:val="1"/>
                <w:bCs w:val="1"/>
                <w:color w:val="auto"/>
                <w:w w:val="98"/>
              </w:rPr>
              <w:t>Successor</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0"/>
                <w:szCs w:val="10"/>
                <w:b w:val="1"/>
                <w:bCs w:val="1"/>
                <w:color w:val="auto"/>
                <w:w w:val="79"/>
              </w:rPr>
              <w:t>Predecessor</w:t>
            </w:r>
          </w:p>
        </w:tc>
      </w:tr>
      <w:tr>
        <w:trPr>
          <w:trHeight w:val="83"/>
        </w:trPr>
        <w:tc>
          <w:tcPr>
            <w:tcW w:w="640" w:type="dxa"/>
            <w:vAlign w:val="bottom"/>
          </w:tcPr>
          <w:p>
            <w:pPr>
              <w:spacing w:after="0"/>
              <w:rPr>
                <w:sz w:val="7"/>
                <w:szCs w:val="7"/>
                <w:color w:val="auto"/>
              </w:rPr>
            </w:pPr>
          </w:p>
        </w:tc>
        <w:tc>
          <w:tcPr>
            <w:tcW w:w="4120" w:type="dxa"/>
            <w:vAlign w:val="bottom"/>
          </w:tcPr>
          <w:p>
            <w:pPr>
              <w:spacing w:after="0"/>
              <w:rPr>
                <w:sz w:val="7"/>
                <w:szCs w:val="7"/>
                <w:color w:val="auto"/>
              </w:rPr>
            </w:pPr>
          </w:p>
        </w:tc>
        <w:tc>
          <w:tcPr>
            <w:tcW w:w="340" w:type="dxa"/>
            <w:vAlign w:val="bottom"/>
            <w:tcBorders>
              <w:top w:val="single" w:sz="8" w:color="auto"/>
            </w:tcBorders>
          </w:tcPr>
          <w:p>
            <w:pPr>
              <w:spacing w:after="0"/>
              <w:rPr>
                <w:sz w:val="7"/>
                <w:szCs w:val="7"/>
                <w:color w:val="auto"/>
              </w:rPr>
            </w:pPr>
          </w:p>
        </w:tc>
        <w:tc>
          <w:tcPr>
            <w:tcW w:w="1100" w:type="dxa"/>
            <w:vAlign w:val="bottom"/>
            <w:tcBorders>
              <w:top w:val="single" w:sz="8" w:color="auto"/>
            </w:tcBorders>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380" w:type="dxa"/>
            <w:vAlign w:val="bottom"/>
            <w:tcBorders>
              <w:top w:val="single" w:sz="8" w:color="auto"/>
            </w:tcBorders>
          </w:tcPr>
          <w:p>
            <w:pPr>
              <w:spacing w:after="0"/>
              <w:rPr>
                <w:sz w:val="7"/>
                <w:szCs w:val="7"/>
                <w:color w:val="auto"/>
              </w:rPr>
            </w:pPr>
          </w:p>
        </w:tc>
        <w:tc>
          <w:tcPr>
            <w:tcW w:w="1060" w:type="dxa"/>
            <w:vAlign w:val="bottom"/>
            <w:tcBorders>
              <w:top w:val="single" w:sz="8" w:color="auto"/>
            </w:tcBorders>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240" w:type="dxa"/>
            <w:vAlign w:val="bottom"/>
            <w:tcBorders>
              <w:top w:val="single" w:sz="8" w:color="auto"/>
            </w:tcBorders>
          </w:tcPr>
          <w:p>
            <w:pPr>
              <w:spacing w:after="0"/>
              <w:rPr>
                <w:sz w:val="7"/>
                <w:szCs w:val="7"/>
                <w:color w:val="auto"/>
              </w:rPr>
            </w:pPr>
          </w:p>
        </w:tc>
        <w:tc>
          <w:tcPr>
            <w:tcW w:w="1180" w:type="dxa"/>
            <w:vAlign w:val="bottom"/>
            <w:tcBorders>
              <w:top w:val="single" w:sz="8" w:color="auto"/>
            </w:tcBorders>
          </w:tcPr>
          <w:p>
            <w:pPr>
              <w:jc w:val="center"/>
              <w:ind w:right="188"/>
              <w:spacing w:after="0" w:line="83" w:lineRule="exact"/>
              <w:rPr>
                <w:sz w:val="20"/>
                <w:szCs w:val="20"/>
                <w:color w:val="auto"/>
              </w:rPr>
            </w:pPr>
            <w:r>
              <w:rPr>
                <w:rFonts w:ascii="Arial" w:cs="Arial" w:eastAsia="Arial" w:hAnsi="Arial"/>
                <w:sz w:val="8"/>
                <w:szCs w:val="8"/>
                <w:b w:val="1"/>
                <w:bCs w:val="1"/>
                <w:color w:val="auto"/>
              </w:rPr>
              <w:t>Period from</w:t>
            </w:r>
          </w:p>
        </w:tc>
        <w:tc>
          <w:tcPr>
            <w:tcW w:w="120" w:type="dxa"/>
            <w:vAlign w:val="bottom"/>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Borders>
              <w:top w:val="single" w:sz="8" w:color="auto"/>
            </w:tcBorders>
          </w:tcPr>
          <w:p>
            <w:pPr>
              <w:spacing w:after="0"/>
              <w:rPr>
                <w:sz w:val="7"/>
                <w:szCs w:val="7"/>
                <w:color w:val="auto"/>
              </w:rPr>
            </w:pPr>
          </w:p>
        </w:tc>
        <w:tc>
          <w:tcPr>
            <w:tcW w:w="1200" w:type="dxa"/>
            <w:vAlign w:val="bottom"/>
            <w:tcBorders>
              <w:top w:val="single" w:sz="8" w:color="auto"/>
            </w:tcBorders>
          </w:tcPr>
          <w:p>
            <w:pPr>
              <w:jc w:val="center"/>
              <w:ind w:right="188"/>
              <w:spacing w:after="0" w:line="83" w:lineRule="exact"/>
              <w:rPr>
                <w:sz w:val="20"/>
                <w:szCs w:val="20"/>
                <w:color w:val="auto"/>
              </w:rPr>
            </w:pPr>
            <w:r>
              <w:rPr>
                <w:rFonts w:ascii="Arial" w:cs="Arial" w:eastAsia="Arial" w:hAnsi="Arial"/>
                <w:sz w:val="8"/>
                <w:szCs w:val="8"/>
                <w:b w:val="1"/>
                <w:bCs w:val="1"/>
                <w:color w:val="auto"/>
              </w:rPr>
              <w:t>Period from</w:t>
            </w:r>
          </w:p>
        </w:tc>
        <w:tc>
          <w:tcPr>
            <w:tcW w:w="80" w:type="dxa"/>
            <w:vAlign w:val="bottom"/>
          </w:tcPr>
          <w:p>
            <w:pPr>
              <w:spacing w:after="0"/>
              <w:rPr>
                <w:sz w:val="7"/>
                <w:szCs w:val="7"/>
                <w:color w:val="auto"/>
              </w:rPr>
            </w:pPr>
          </w:p>
        </w:tc>
      </w:tr>
      <w:tr>
        <w:trPr>
          <w:trHeight w:val="99"/>
        </w:trPr>
        <w:tc>
          <w:tcPr>
            <w:tcW w:w="640" w:type="dxa"/>
            <w:vAlign w:val="bottom"/>
          </w:tcPr>
          <w:p>
            <w:pPr>
              <w:spacing w:after="0"/>
              <w:rPr>
                <w:sz w:val="8"/>
                <w:szCs w:val="8"/>
                <w:color w:val="auto"/>
              </w:rPr>
            </w:pPr>
          </w:p>
        </w:tc>
        <w:tc>
          <w:tcPr>
            <w:tcW w:w="4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780" w:type="dxa"/>
            <w:vAlign w:val="bottom"/>
            <w:gridSpan w:val="4"/>
          </w:tcPr>
          <w:p>
            <w:pPr>
              <w:jc w:val="center"/>
              <w:ind w:left="646"/>
              <w:spacing w:after="0" w:line="99" w:lineRule="exact"/>
              <w:rPr>
                <w:sz w:val="20"/>
                <w:szCs w:val="20"/>
                <w:color w:val="auto"/>
              </w:rPr>
            </w:pPr>
            <w:r>
              <w:rPr>
                <w:rFonts w:ascii="Arial" w:cs="Arial" w:eastAsia="Arial" w:hAnsi="Arial"/>
                <w:sz w:val="10"/>
                <w:szCs w:val="10"/>
                <w:b w:val="1"/>
                <w:bCs w:val="1"/>
                <w:color w:val="auto"/>
                <w:w w:val="87"/>
              </w:rPr>
              <w:t>For the Year Ended</w:t>
            </w:r>
          </w:p>
        </w:tc>
        <w:tc>
          <w:tcPr>
            <w:tcW w:w="10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300" w:type="dxa"/>
            <w:vAlign w:val="bottom"/>
            <w:gridSpan w:val="2"/>
          </w:tcPr>
          <w:p>
            <w:pPr>
              <w:jc w:val="center"/>
              <w:ind w:right="360"/>
              <w:spacing w:after="0" w:line="99" w:lineRule="exact"/>
              <w:rPr>
                <w:sz w:val="20"/>
                <w:szCs w:val="20"/>
                <w:color w:val="auto"/>
              </w:rPr>
            </w:pPr>
            <w:r>
              <w:rPr>
                <w:rFonts w:ascii="Arial" w:cs="Arial" w:eastAsia="Arial" w:hAnsi="Arial"/>
                <w:sz w:val="10"/>
                <w:szCs w:val="10"/>
                <w:b w:val="1"/>
                <w:bCs w:val="1"/>
                <w:color w:val="auto"/>
                <w:w w:val="86"/>
              </w:rPr>
              <w:t>June 1, 2017 to</w:t>
            </w:r>
          </w:p>
        </w:tc>
        <w:tc>
          <w:tcPr>
            <w:tcW w:w="120" w:type="dxa"/>
            <w:vAlign w:val="bottom"/>
            <w:tcBorders>
              <w:right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80" w:type="dxa"/>
            <w:vAlign w:val="bottom"/>
            <w:gridSpan w:val="2"/>
          </w:tcPr>
          <w:p>
            <w:pPr>
              <w:jc w:val="center"/>
              <w:ind w:right="320"/>
              <w:spacing w:after="0" w:line="99" w:lineRule="exact"/>
              <w:rPr>
                <w:sz w:val="20"/>
                <w:szCs w:val="20"/>
                <w:color w:val="auto"/>
              </w:rPr>
            </w:pPr>
            <w:r>
              <w:rPr>
                <w:rFonts w:ascii="Arial" w:cs="Arial" w:eastAsia="Arial" w:hAnsi="Arial"/>
                <w:sz w:val="10"/>
                <w:szCs w:val="10"/>
                <w:b w:val="1"/>
                <w:bCs w:val="1"/>
                <w:color w:val="auto"/>
                <w:w w:val="85"/>
              </w:rPr>
              <w:t>January 1, 2017</w:t>
            </w:r>
          </w:p>
        </w:tc>
      </w:tr>
      <w:tr>
        <w:trPr>
          <w:trHeight w:val="114"/>
        </w:trPr>
        <w:tc>
          <w:tcPr>
            <w:tcW w:w="640" w:type="dxa"/>
            <w:vAlign w:val="bottom"/>
          </w:tcPr>
          <w:p>
            <w:pPr>
              <w:spacing w:after="0"/>
              <w:rPr>
                <w:sz w:val="9"/>
                <w:szCs w:val="9"/>
                <w:color w:val="auto"/>
              </w:rPr>
            </w:pPr>
          </w:p>
        </w:tc>
        <w:tc>
          <w:tcPr>
            <w:tcW w:w="4120" w:type="dxa"/>
            <w:vAlign w:val="bottom"/>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780" w:type="dxa"/>
            <w:vAlign w:val="bottom"/>
            <w:tcBorders>
              <w:bottom w:val="single" w:sz="8" w:color="auto"/>
            </w:tcBorders>
            <w:gridSpan w:val="4"/>
          </w:tcPr>
          <w:p>
            <w:pPr>
              <w:jc w:val="center"/>
              <w:ind w:left="646"/>
              <w:spacing w:after="0" w:line="114" w:lineRule="exact"/>
              <w:rPr>
                <w:sz w:val="20"/>
                <w:szCs w:val="20"/>
                <w:color w:val="auto"/>
              </w:rPr>
            </w:pPr>
            <w:r>
              <w:rPr>
                <w:rFonts w:ascii="Arial" w:cs="Arial" w:eastAsia="Arial" w:hAnsi="Arial"/>
                <w:sz w:val="10"/>
                <w:szCs w:val="10"/>
                <w:b w:val="1"/>
                <w:bCs w:val="1"/>
                <w:color w:val="auto"/>
                <w:w w:val="86"/>
              </w:rPr>
              <w:t>December 31,</w:t>
            </w:r>
          </w:p>
        </w:tc>
        <w:tc>
          <w:tcPr>
            <w:tcW w:w="106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00" w:type="dxa"/>
            <w:vAlign w:val="bottom"/>
            <w:gridSpan w:val="2"/>
          </w:tcPr>
          <w:p>
            <w:pPr>
              <w:jc w:val="center"/>
              <w:ind w:right="340"/>
              <w:spacing w:after="0" w:line="114" w:lineRule="exact"/>
              <w:rPr>
                <w:sz w:val="20"/>
                <w:szCs w:val="20"/>
                <w:color w:val="auto"/>
              </w:rPr>
            </w:pPr>
            <w:r>
              <w:rPr>
                <w:rFonts w:ascii="Arial" w:cs="Arial" w:eastAsia="Arial" w:hAnsi="Arial"/>
                <w:sz w:val="10"/>
                <w:szCs w:val="10"/>
                <w:b w:val="1"/>
                <w:bCs w:val="1"/>
                <w:color w:val="auto"/>
                <w:w w:val="86"/>
              </w:rPr>
              <w:t>December 31,</w:t>
            </w:r>
          </w:p>
        </w:tc>
        <w:tc>
          <w:tcPr>
            <w:tcW w:w="12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gridSpan w:val="2"/>
          </w:tcPr>
          <w:p>
            <w:pPr>
              <w:jc w:val="center"/>
              <w:ind w:right="320"/>
              <w:spacing w:after="0" w:line="114" w:lineRule="exact"/>
              <w:rPr>
                <w:sz w:val="20"/>
                <w:szCs w:val="20"/>
                <w:color w:val="auto"/>
              </w:rPr>
            </w:pPr>
            <w:r>
              <w:rPr>
                <w:rFonts w:ascii="Arial" w:cs="Arial" w:eastAsia="Arial" w:hAnsi="Arial"/>
                <w:sz w:val="10"/>
                <w:szCs w:val="10"/>
                <w:b w:val="1"/>
                <w:bCs w:val="1"/>
                <w:color w:val="auto"/>
                <w:w w:val="90"/>
              </w:rPr>
              <w:t>to May 31,</w:t>
            </w:r>
          </w:p>
        </w:tc>
      </w:tr>
      <w:tr>
        <w:trPr>
          <w:trHeight w:val="88"/>
        </w:trPr>
        <w:tc>
          <w:tcPr>
            <w:tcW w:w="4760" w:type="dxa"/>
            <w:vAlign w:val="bottom"/>
            <w:gridSpan w:val="2"/>
          </w:tcPr>
          <w:p>
            <w:pPr>
              <w:spacing w:after="0" w:line="88" w:lineRule="exact"/>
              <w:rPr>
                <w:sz w:val="20"/>
                <w:szCs w:val="20"/>
                <w:color w:val="auto"/>
              </w:rPr>
            </w:pPr>
            <w:r>
              <w:rPr>
                <w:rFonts w:ascii="Arial" w:cs="Arial" w:eastAsia="Arial" w:hAnsi="Arial"/>
                <w:sz w:val="10"/>
                <w:szCs w:val="10"/>
                <w:b w:val="1"/>
                <w:bCs w:val="1"/>
                <w:u w:val="single" w:color="auto"/>
                <w:color w:val="auto"/>
              </w:rPr>
              <w:t>(</w:t>
            </w:r>
            <w:r>
              <w:rPr>
                <w:rFonts w:ascii="Arial" w:cs="Arial" w:eastAsia="Arial" w:hAnsi="Arial"/>
                <w:sz w:val="10"/>
                <w:szCs w:val="10"/>
                <w:b w:val="1"/>
                <w:bCs w:val="1"/>
                <w:color w:val="auto"/>
              </w:rPr>
              <w:t>$ in thousands)</w:t>
            </w:r>
          </w:p>
        </w:tc>
        <w:tc>
          <w:tcPr>
            <w:tcW w:w="340" w:type="dxa"/>
            <w:vAlign w:val="bottom"/>
          </w:tcPr>
          <w:p>
            <w:pPr>
              <w:spacing w:after="0"/>
              <w:rPr>
                <w:sz w:val="7"/>
                <w:szCs w:val="7"/>
                <w:color w:val="auto"/>
              </w:rPr>
            </w:pPr>
          </w:p>
        </w:tc>
        <w:tc>
          <w:tcPr>
            <w:tcW w:w="1100" w:type="dxa"/>
            <w:vAlign w:val="bottom"/>
          </w:tcPr>
          <w:p>
            <w:pPr>
              <w:jc w:val="right"/>
              <w:ind w:right="586"/>
              <w:spacing w:after="0" w:line="88" w:lineRule="exact"/>
              <w:rPr>
                <w:sz w:val="20"/>
                <w:szCs w:val="20"/>
                <w:color w:val="auto"/>
              </w:rPr>
            </w:pPr>
            <w:r>
              <w:rPr>
                <w:rFonts w:ascii="Arial" w:cs="Arial" w:eastAsia="Arial" w:hAnsi="Arial"/>
                <w:sz w:val="10"/>
                <w:szCs w:val="10"/>
                <w:b w:val="1"/>
                <w:bCs w:val="1"/>
                <w:color w:val="auto"/>
              </w:rPr>
              <w:t>2019</w:t>
            </w: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60" w:type="dxa"/>
            <w:vAlign w:val="bottom"/>
          </w:tcPr>
          <w:p>
            <w:pPr>
              <w:jc w:val="right"/>
              <w:ind w:right="585"/>
              <w:spacing w:after="0" w:line="88" w:lineRule="exact"/>
              <w:rPr>
                <w:sz w:val="20"/>
                <w:szCs w:val="20"/>
                <w:color w:val="auto"/>
              </w:rPr>
            </w:pPr>
            <w:r>
              <w:rPr>
                <w:rFonts w:ascii="Arial" w:cs="Arial" w:eastAsia="Arial" w:hAnsi="Arial"/>
                <w:sz w:val="10"/>
                <w:szCs w:val="10"/>
                <w:b w:val="1"/>
                <w:bCs w:val="1"/>
                <w:color w:val="auto"/>
              </w:rPr>
              <w:t>2018</w:t>
            </w: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180" w:type="dxa"/>
            <w:vAlign w:val="bottom"/>
          </w:tcPr>
          <w:p>
            <w:pPr>
              <w:jc w:val="center"/>
              <w:ind w:right="188"/>
              <w:spacing w:after="0" w:line="88" w:lineRule="exact"/>
              <w:rPr>
                <w:sz w:val="20"/>
                <w:szCs w:val="20"/>
                <w:color w:val="auto"/>
              </w:rPr>
            </w:pPr>
            <w:r>
              <w:rPr>
                <w:rFonts w:ascii="Arial" w:cs="Arial" w:eastAsia="Arial" w:hAnsi="Arial"/>
                <w:sz w:val="10"/>
                <w:szCs w:val="10"/>
                <w:b w:val="1"/>
                <w:bCs w:val="1"/>
                <w:color w:val="auto"/>
                <w:w w:val="80"/>
              </w:rPr>
              <w:t>2017</w:t>
            </w:r>
          </w:p>
        </w:tc>
        <w:tc>
          <w:tcPr>
            <w:tcW w:w="120" w:type="dxa"/>
            <w:vAlign w:val="bottom"/>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0" w:type="dxa"/>
            <w:vAlign w:val="bottom"/>
          </w:tcPr>
          <w:p>
            <w:pPr>
              <w:jc w:val="center"/>
              <w:ind w:right="188"/>
              <w:spacing w:after="0" w:line="88" w:lineRule="exact"/>
              <w:rPr>
                <w:sz w:val="20"/>
                <w:szCs w:val="20"/>
                <w:color w:val="auto"/>
              </w:rPr>
            </w:pPr>
            <w:r>
              <w:rPr>
                <w:rFonts w:ascii="Arial" w:cs="Arial" w:eastAsia="Arial" w:hAnsi="Arial"/>
                <w:sz w:val="10"/>
                <w:szCs w:val="10"/>
                <w:b w:val="1"/>
                <w:bCs w:val="1"/>
                <w:color w:val="auto"/>
                <w:w w:val="89"/>
              </w:rPr>
              <w:t>2017</w:t>
            </w:r>
          </w:p>
        </w:tc>
        <w:tc>
          <w:tcPr>
            <w:tcW w:w="80" w:type="dxa"/>
            <w:vAlign w:val="bottom"/>
          </w:tcPr>
          <w:p>
            <w:pPr>
              <w:spacing w:after="0"/>
              <w:rPr>
                <w:sz w:val="7"/>
                <w:szCs w:val="7"/>
                <w:color w:val="auto"/>
              </w:rPr>
            </w:pPr>
          </w:p>
        </w:tc>
      </w:tr>
      <w:tr>
        <w:trPr>
          <w:trHeight w:val="20"/>
        </w:trPr>
        <w:tc>
          <w:tcPr>
            <w:tcW w:w="640" w:type="dxa"/>
            <w:vAlign w:val="bottom"/>
            <w:tcBorders>
              <w:bottom w:val="single" w:sz="8" w:color="CFF0FC"/>
            </w:tcBorders>
            <w:shd w:val="clear" w:color="auto" w:fill="000000"/>
          </w:tcPr>
          <w:p>
            <w:pPr>
              <w:spacing w:after="0" w:line="20" w:lineRule="exact"/>
              <w:rPr>
                <w:sz w:val="1"/>
                <w:szCs w:val="1"/>
                <w:color w:val="auto"/>
              </w:rPr>
            </w:pPr>
          </w:p>
        </w:tc>
        <w:tc>
          <w:tcPr>
            <w:tcW w:w="4120" w:type="dxa"/>
            <w:vAlign w:val="bottom"/>
            <w:tcBorders>
              <w:bottom w:val="single" w:sz="8" w:color="CFF0FC"/>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FF0FC"/>
            </w:tcBorders>
          </w:tcPr>
          <w:p>
            <w:pPr>
              <w:spacing w:after="0" w:line="20" w:lineRule="exact"/>
              <w:rPr>
                <w:sz w:val="1"/>
                <w:szCs w:val="1"/>
                <w:color w:val="auto"/>
              </w:rPr>
            </w:pPr>
          </w:p>
        </w:tc>
        <w:tc>
          <w:tcPr>
            <w:tcW w:w="140" w:type="dxa"/>
            <w:vAlign w:val="bottom"/>
            <w:tcBorders>
              <w:bottom w:val="single" w:sz="8" w:color="CFF0FC"/>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FF0FC"/>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120" w:type="dxa"/>
            <w:vAlign w:val="bottom"/>
            <w:tcBorders>
              <w:bottom w:val="single" w:sz="8" w:color="CFF2FA"/>
              <w:right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r>
      <w:tr>
        <w:trPr>
          <w:trHeight w:val="131"/>
        </w:trPr>
        <w:tc>
          <w:tcPr>
            <w:tcW w:w="4760" w:type="dxa"/>
            <w:vAlign w:val="bottom"/>
            <w:gridSpan w:val="2"/>
            <w:shd w:val="clear" w:color="auto" w:fill="CFF0FC"/>
          </w:tcPr>
          <w:p>
            <w:pPr>
              <w:spacing w:after="0" w:line="132" w:lineRule="exact"/>
              <w:rPr>
                <w:sz w:val="20"/>
                <w:szCs w:val="20"/>
                <w:color w:val="auto"/>
              </w:rPr>
            </w:pPr>
            <w:r>
              <w:rPr>
                <w:rFonts w:ascii="Arial" w:cs="Arial" w:eastAsia="Arial" w:hAnsi="Arial"/>
                <w:sz w:val="12"/>
                <w:szCs w:val="12"/>
                <w:color w:val="auto"/>
              </w:rPr>
              <w:t>Net cash provided by operating activities</w:t>
            </w:r>
          </w:p>
        </w:tc>
        <w:tc>
          <w:tcPr>
            <w:tcW w:w="340" w:type="dxa"/>
            <w:vAlign w:val="bottom"/>
            <w:shd w:val="clear" w:color="auto" w:fill="CFF0FC"/>
          </w:tcPr>
          <w:p>
            <w:pPr>
              <w:jc w:val="right"/>
              <w:ind w:right="230"/>
              <w:spacing w:after="0"/>
              <w:rPr>
                <w:sz w:val="20"/>
                <w:szCs w:val="20"/>
                <w:color w:val="auto"/>
              </w:rPr>
            </w:pPr>
            <w:r>
              <w:rPr>
                <w:rFonts w:ascii="Arial" w:cs="Arial" w:eastAsia="Arial" w:hAnsi="Arial"/>
                <w:sz w:val="10"/>
                <w:szCs w:val="10"/>
                <w:color w:val="auto"/>
                <w:w w:val="71"/>
              </w:rPr>
              <w:t>$</w:t>
            </w:r>
          </w:p>
        </w:tc>
        <w:tc>
          <w:tcPr>
            <w:tcW w:w="1100" w:type="dxa"/>
            <w:vAlign w:val="bottom"/>
            <w:shd w:val="clear" w:color="auto" w:fill="CFF0FC"/>
          </w:tcPr>
          <w:p>
            <w:pPr>
              <w:jc w:val="right"/>
              <w:spacing w:after="0" w:line="132" w:lineRule="exact"/>
              <w:rPr>
                <w:sz w:val="20"/>
                <w:szCs w:val="20"/>
                <w:color w:val="auto"/>
              </w:rPr>
            </w:pPr>
            <w:r>
              <w:rPr>
                <w:rFonts w:ascii="Arial" w:cs="Arial" w:eastAsia="Arial" w:hAnsi="Arial"/>
                <w:sz w:val="12"/>
                <w:szCs w:val="12"/>
                <w:color w:val="auto"/>
              </w:rPr>
              <w:t>133,802</w:t>
            </w:r>
          </w:p>
        </w:tc>
        <w:tc>
          <w:tcPr>
            <w:tcW w:w="160" w:type="dxa"/>
            <w:vAlign w:val="bottom"/>
            <w:shd w:val="clear" w:color="auto" w:fill="CFF0FC"/>
          </w:tcPr>
          <w:p>
            <w:pPr>
              <w:spacing w:after="0"/>
              <w:rPr>
                <w:sz w:val="11"/>
                <w:szCs w:val="11"/>
                <w:color w:val="auto"/>
              </w:rPr>
            </w:pPr>
          </w:p>
        </w:tc>
        <w:tc>
          <w:tcPr>
            <w:tcW w:w="520" w:type="dxa"/>
            <w:vAlign w:val="bottom"/>
            <w:gridSpan w:val="2"/>
            <w:shd w:val="clear" w:color="auto" w:fill="CFF0FC"/>
          </w:tcPr>
          <w:p>
            <w:pPr>
              <w:jc w:val="right"/>
              <w:ind w:right="320"/>
              <w:spacing w:after="0" w:line="132" w:lineRule="exact"/>
              <w:rPr>
                <w:sz w:val="20"/>
                <w:szCs w:val="20"/>
                <w:color w:val="auto"/>
              </w:rPr>
            </w:pPr>
            <w:r>
              <w:rPr>
                <w:rFonts w:ascii="Arial" w:cs="Arial" w:eastAsia="Arial" w:hAnsi="Arial"/>
                <w:sz w:val="12"/>
                <w:szCs w:val="12"/>
                <w:color w:val="auto"/>
              </w:rPr>
              <w:t>$</w:t>
            </w:r>
          </w:p>
        </w:tc>
        <w:tc>
          <w:tcPr>
            <w:tcW w:w="1060" w:type="dxa"/>
            <w:vAlign w:val="bottom"/>
            <w:shd w:val="clear" w:color="auto" w:fill="CFF0FC"/>
          </w:tcPr>
          <w:p>
            <w:pPr>
              <w:jc w:val="right"/>
              <w:spacing w:after="0" w:line="132" w:lineRule="exact"/>
              <w:rPr>
                <w:sz w:val="20"/>
                <w:szCs w:val="20"/>
                <w:color w:val="auto"/>
              </w:rPr>
            </w:pPr>
            <w:r>
              <w:rPr>
                <w:rFonts w:ascii="Arial" w:cs="Arial" w:eastAsia="Arial" w:hAnsi="Arial"/>
                <w:sz w:val="12"/>
                <w:szCs w:val="12"/>
                <w:color w:val="auto"/>
              </w:rPr>
              <w:t>46,017</w:t>
            </w:r>
          </w:p>
        </w:tc>
        <w:tc>
          <w:tcPr>
            <w:tcW w:w="160" w:type="dxa"/>
            <w:vAlign w:val="bottom"/>
            <w:shd w:val="clear" w:color="auto" w:fill="CFF0FC"/>
          </w:tcPr>
          <w:p>
            <w:pPr>
              <w:spacing w:after="0"/>
              <w:rPr>
                <w:sz w:val="11"/>
                <w:szCs w:val="11"/>
                <w:color w:val="auto"/>
              </w:rPr>
            </w:pPr>
          </w:p>
        </w:tc>
        <w:tc>
          <w:tcPr>
            <w:tcW w:w="360" w:type="dxa"/>
            <w:vAlign w:val="bottom"/>
            <w:gridSpan w:val="2"/>
            <w:shd w:val="clear" w:color="auto" w:fill="CFF0FC"/>
          </w:tcPr>
          <w:p>
            <w:pPr>
              <w:jc w:val="right"/>
              <w:ind w:right="180"/>
              <w:spacing w:after="0" w:line="132" w:lineRule="exact"/>
              <w:rPr>
                <w:sz w:val="20"/>
                <w:szCs w:val="20"/>
                <w:color w:val="auto"/>
              </w:rPr>
            </w:pPr>
            <w:r>
              <w:rPr>
                <w:rFonts w:ascii="Arial" w:cs="Arial" w:eastAsia="Arial" w:hAnsi="Arial"/>
                <w:sz w:val="12"/>
                <w:szCs w:val="12"/>
                <w:color w:val="auto"/>
              </w:rPr>
              <w:t>$</w:t>
            </w:r>
          </w:p>
        </w:tc>
        <w:tc>
          <w:tcPr>
            <w:tcW w:w="1180" w:type="dxa"/>
            <w:vAlign w:val="bottom"/>
            <w:shd w:val="clear" w:color="auto" w:fill="CFF0FC"/>
          </w:tcPr>
          <w:p>
            <w:pPr>
              <w:jc w:val="right"/>
              <w:spacing w:after="0" w:line="132" w:lineRule="exact"/>
              <w:rPr>
                <w:sz w:val="20"/>
                <w:szCs w:val="20"/>
                <w:color w:val="auto"/>
              </w:rPr>
            </w:pPr>
            <w:r>
              <w:rPr>
                <w:rFonts w:ascii="Arial" w:cs="Arial" w:eastAsia="Arial" w:hAnsi="Arial"/>
                <w:sz w:val="12"/>
                <w:szCs w:val="12"/>
                <w:color w:val="auto"/>
              </w:rPr>
              <w:t>8,311</w:t>
            </w:r>
          </w:p>
        </w:tc>
        <w:tc>
          <w:tcPr>
            <w:tcW w:w="120" w:type="dxa"/>
            <w:vAlign w:val="bottom"/>
            <w:shd w:val="clear" w:color="auto" w:fill="CFF0FC"/>
          </w:tcPr>
          <w:p>
            <w:pPr>
              <w:spacing w:after="0"/>
              <w:rPr>
                <w:sz w:val="11"/>
                <w:szCs w:val="11"/>
                <w:color w:val="auto"/>
              </w:rPr>
            </w:pPr>
          </w:p>
        </w:tc>
        <w:tc>
          <w:tcPr>
            <w:tcW w:w="120" w:type="dxa"/>
            <w:vAlign w:val="bottom"/>
            <w:tcBorders>
              <w:right w:val="single" w:sz="8" w:color="auto"/>
            </w:tcBorders>
            <w:shd w:val="clear" w:color="auto" w:fill="CFF2FA"/>
          </w:tcPr>
          <w:p>
            <w:pPr>
              <w:spacing w:after="0"/>
              <w:rPr>
                <w:sz w:val="11"/>
                <w:szCs w:val="11"/>
                <w:color w:val="auto"/>
              </w:rPr>
            </w:pPr>
          </w:p>
        </w:tc>
        <w:tc>
          <w:tcPr>
            <w:tcW w:w="320" w:type="dxa"/>
            <w:vAlign w:val="bottom"/>
            <w:gridSpan w:val="2"/>
            <w:shd w:val="clear" w:color="auto" w:fill="CFF0FC"/>
          </w:tcPr>
          <w:p>
            <w:pPr>
              <w:jc w:val="right"/>
              <w:ind w:right="160"/>
              <w:spacing w:after="0" w:line="132" w:lineRule="exact"/>
              <w:rPr>
                <w:sz w:val="20"/>
                <w:szCs w:val="20"/>
                <w:color w:val="auto"/>
              </w:rPr>
            </w:pPr>
            <w:r>
              <w:rPr>
                <w:rFonts w:ascii="Arial" w:cs="Arial" w:eastAsia="Arial" w:hAnsi="Arial"/>
                <w:sz w:val="12"/>
                <w:szCs w:val="12"/>
                <w:color w:val="auto"/>
              </w:rPr>
              <w:t>$</w:t>
            </w:r>
          </w:p>
        </w:tc>
        <w:tc>
          <w:tcPr>
            <w:tcW w:w="1200" w:type="dxa"/>
            <w:vAlign w:val="bottom"/>
            <w:shd w:val="clear" w:color="auto" w:fill="CFF0FC"/>
          </w:tcPr>
          <w:p>
            <w:pPr>
              <w:jc w:val="right"/>
              <w:spacing w:after="0" w:line="132" w:lineRule="exact"/>
              <w:rPr>
                <w:sz w:val="20"/>
                <w:szCs w:val="20"/>
                <w:color w:val="auto"/>
              </w:rPr>
            </w:pPr>
            <w:r>
              <w:rPr>
                <w:rFonts w:ascii="Arial" w:cs="Arial" w:eastAsia="Arial" w:hAnsi="Arial"/>
                <w:sz w:val="12"/>
                <w:szCs w:val="12"/>
                <w:color w:val="auto"/>
              </w:rPr>
              <w:t>41,833</w:t>
            </w:r>
          </w:p>
        </w:tc>
        <w:tc>
          <w:tcPr>
            <w:tcW w:w="80" w:type="dxa"/>
            <w:vAlign w:val="bottom"/>
            <w:shd w:val="clear" w:color="auto" w:fill="CFF0FC"/>
          </w:tcPr>
          <w:p>
            <w:pPr>
              <w:spacing w:after="0"/>
              <w:rPr>
                <w:sz w:val="11"/>
                <w:szCs w:val="11"/>
                <w:color w:val="auto"/>
              </w:rPr>
            </w:pPr>
          </w:p>
        </w:tc>
      </w:tr>
      <w:tr>
        <w:trPr>
          <w:trHeight w:val="153"/>
        </w:trPr>
        <w:tc>
          <w:tcPr>
            <w:tcW w:w="4760" w:type="dxa"/>
            <w:vAlign w:val="bottom"/>
            <w:gridSpan w:val="2"/>
          </w:tcPr>
          <w:p>
            <w:pPr>
              <w:spacing w:after="0"/>
              <w:rPr>
                <w:sz w:val="20"/>
                <w:szCs w:val="20"/>
                <w:color w:val="auto"/>
              </w:rPr>
            </w:pPr>
            <w:r>
              <w:rPr>
                <w:rFonts w:ascii="Arial" w:cs="Arial" w:eastAsia="Arial" w:hAnsi="Arial"/>
                <w:sz w:val="12"/>
                <w:szCs w:val="12"/>
                <w:color w:val="auto"/>
              </w:rPr>
              <w:t>Net cash used in investing activities</w:t>
            </w:r>
          </w:p>
        </w:tc>
        <w:tc>
          <w:tcPr>
            <w:tcW w:w="340" w:type="dxa"/>
            <w:vAlign w:val="bottom"/>
          </w:tcPr>
          <w:p>
            <w:pPr>
              <w:spacing w:after="0"/>
              <w:rPr>
                <w:sz w:val="13"/>
                <w:szCs w:val="13"/>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2"/>
                <w:szCs w:val="12"/>
                <w:color w:val="auto"/>
              </w:rPr>
              <w:t>(54,973)</w:t>
            </w: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2"/>
                <w:szCs w:val="12"/>
                <w:color w:val="auto"/>
              </w:rPr>
              <w:t>(562,857)</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2"/>
                <w:szCs w:val="12"/>
                <w:color w:val="auto"/>
              </w:rPr>
              <w:t>(553,536)</w:t>
            </w:r>
          </w:p>
        </w:tc>
        <w:tc>
          <w:tcPr>
            <w:tcW w:w="1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2"/>
                <w:szCs w:val="12"/>
                <w:color w:val="auto"/>
              </w:rPr>
              <w:t>(8,786)</w:t>
            </w:r>
          </w:p>
        </w:tc>
      </w:tr>
      <w:tr>
        <w:trPr>
          <w:trHeight w:val="153"/>
        </w:trPr>
        <w:tc>
          <w:tcPr>
            <w:tcW w:w="476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Net cash (used in) provided by financing activities</w:t>
            </w:r>
          </w:p>
        </w:tc>
        <w:tc>
          <w:tcPr>
            <w:tcW w:w="340" w:type="dxa"/>
            <w:vAlign w:val="bottom"/>
            <w:shd w:val="clear" w:color="auto" w:fill="CFF0FC"/>
          </w:tcPr>
          <w:p>
            <w:pPr>
              <w:spacing w:after="0"/>
              <w:rPr>
                <w:sz w:val="13"/>
                <w:szCs w:val="13"/>
                <w:color w:val="auto"/>
              </w:rPr>
            </w:pPr>
          </w:p>
        </w:tc>
        <w:tc>
          <w:tcPr>
            <w:tcW w:w="126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(14,520)</w:t>
            </w:r>
          </w:p>
        </w:tc>
        <w:tc>
          <w:tcPr>
            <w:tcW w:w="14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574,268</w:t>
            </w:r>
          </w:p>
        </w:tc>
        <w:tc>
          <w:tcPr>
            <w:tcW w:w="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555,734</w:t>
            </w:r>
          </w:p>
        </w:tc>
        <w:tc>
          <w:tcPr>
            <w:tcW w:w="120" w:type="dxa"/>
            <w:vAlign w:val="bottom"/>
            <w:shd w:val="clear" w:color="auto" w:fill="CFF0FC"/>
          </w:tcPr>
          <w:p>
            <w:pPr>
              <w:spacing w:after="0"/>
              <w:rPr>
                <w:sz w:val="13"/>
                <w:szCs w:val="13"/>
                <w:color w:val="auto"/>
              </w:rPr>
            </w:pPr>
          </w:p>
        </w:tc>
        <w:tc>
          <w:tcPr>
            <w:tcW w:w="120" w:type="dxa"/>
            <w:vAlign w:val="bottom"/>
            <w:tcBorders>
              <w:right w:val="single" w:sz="8" w:color="auto"/>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2"/>
                <w:szCs w:val="12"/>
                <w:color w:val="auto"/>
              </w:rPr>
              <w:t>(27,491)</w:t>
            </w:r>
          </w:p>
        </w:tc>
      </w:tr>
    </w:tbl>
    <w:p>
      <w:pPr>
        <w:spacing w:after="0" w:line="23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Cash Flows from Operating Activities</w:t>
      </w:r>
    </w:p>
    <w:p>
      <w:pPr>
        <w:spacing w:after="0" w:line="78" w:lineRule="exact"/>
        <w:rPr>
          <w:sz w:val="20"/>
          <w:szCs w:val="20"/>
          <w:color w:val="auto"/>
        </w:rPr>
      </w:pPr>
    </w:p>
    <w:p>
      <w:pPr>
        <w:ind w:right="40" w:firstLine="602"/>
        <w:spacing w:after="0" w:line="259" w:lineRule="auto"/>
        <w:rPr>
          <w:sz w:val="20"/>
          <w:szCs w:val="20"/>
          <w:color w:val="auto"/>
        </w:rPr>
      </w:pPr>
      <w:r>
        <w:rPr>
          <w:rFonts w:ascii="Arial" w:cs="Arial" w:eastAsia="Arial" w:hAnsi="Arial"/>
          <w:sz w:val="12"/>
          <w:szCs w:val="12"/>
          <w:color w:val="auto"/>
        </w:rPr>
        <w:t>Cash provided by operating activities increased $87.8 million from $46.0 million for fiscal 2018 to $133.8 million for the same period in 2019. The change in cash provided by operating activities year over year was primarily due to a net income increase of $91.7 million from a loss of $58.4 million in fiscal 2018 to income of $33.3 million in fiscal 2019. The growth in net income was driven by the inclusion of the results of HTA and EPC operations for the full year in 2019 versus only partial periods in the 2018 period. It is also attributable to $97.1 million of transaction (the Business Combination, HTA and EPC acquisitions), non-recurring transformation, sponsor fee expenses and loss on extinguishment of debt in fiscal 2018 for which there are no comparable amounts in the current period.</w:t>
      </w:r>
    </w:p>
    <w:p>
      <w:pPr>
        <w:spacing w:after="0" w:line="125" w:lineRule="exact"/>
        <w:rPr>
          <w:sz w:val="20"/>
          <w:szCs w:val="20"/>
          <w:color w:val="auto"/>
        </w:rPr>
      </w:pPr>
    </w:p>
    <w:p>
      <w:pPr>
        <w:ind w:firstLine="602"/>
        <w:spacing w:after="0" w:line="290" w:lineRule="auto"/>
        <w:rPr>
          <w:sz w:val="20"/>
          <w:szCs w:val="20"/>
          <w:color w:val="auto"/>
        </w:rPr>
      </w:pPr>
      <w:r>
        <w:rPr>
          <w:rFonts w:ascii="Arial" w:cs="Arial" w:eastAsia="Arial" w:hAnsi="Arial"/>
          <w:sz w:val="11"/>
          <w:szCs w:val="11"/>
          <w:color w:val="auto"/>
        </w:rPr>
        <w:t>Aggregate adjustments to reconcile net income (loss) to net cash provided by operations increased by $12.5 million. The increase is primarily due to inclusion of the amortization of intangibles associated with the HTA and EPC acquisitions and stock-based compensation for the full year in 2019 versus partial periods in the 2018. The $26.5 million loss on extinguishment of debt in fiscal year 2018 for which there is no comparable amount in the current period was offset by a $5.9 million impairment charge in the 2019 period for which there were no comparable amounts in the prior period. The aggregate change in operating assets and liabilities represents an aggregate decrease of $16.5 million for fiscal 2019 versus the 2018 period. The decrease was primarily driven by an increase in prepaid expenses and the change in accrued liabilities offset by the change in accounts receivables.</w:t>
      </w:r>
    </w:p>
    <w:p>
      <w:pPr>
        <w:spacing w:after="0" w:line="109" w:lineRule="exact"/>
        <w:rPr>
          <w:sz w:val="20"/>
          <w:szCs w:val="20"/>
          <w:color w:val="auto"/>
        </w:rPr>
      </w:pPr>
    </w:p>
    <w:p>
      <w:pPr>
        <w:ind w:right="80" w:firstLine="602"/>
        <w:spacing w:after="0" w:line="257" w:lineRule="auto"/>
        <w:rPr>
          <w:sz w:val="20"/>
          <w:szCs w:val="20"/>
          <w:color w:val="auto"/>
        </w:rPr>
      </w:pPr>
      <w:r>
        <w:rPr>
          <w:rFonts w:ascii="Arial" w:cs="Arial" w:eastAsia="Arial" w:hAnsi="Arial"/>
          <w:sz w:val="12"/>
          <w:szCs w:val="12"/>
          <w:color w:val="auto"/>
        </w:rPr>
        <w:t>During the 2017 Successor Period, cash provided by operating activities was $8.3 million. This amount was primarily the result of net income for the period and a $4.2 million reduction in prepaid expenses and other assets, primarily due to the timing of the receipt of a purchasing credit for credit card purchases and a $4.8 million decrease in accounts payable and accrued liabilities due to the timing of payments to vendors, partially offset by a $17.2 million increase in accounts receivable due to the timing of billings and customer payments. During the 2017 Predecessor Period, cash provided by operating activities was $41.8 million. This amount was primarily the result of net income for the period and a $22.4 million increase in accounts payable and accrued liabilities related to transaction expenses incurred by the sellers in the ATS Merger and a $8.1 million decrease in accounts receivable and unbilled receivables due to the timing of billings and customers payments.</w:t>
      </w:r>
    </w:p>
    <w:p>
      <w:pPr>
        <w:spacing w:after="0" w:line="19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Cash Flows from Investing Activities</w:t>
      </w:r>
    </w:p>
    <w:p>
      <w:pPr>
        <w:spacing w:after="0" w:line="78" w:lineRule="exact"/>
        <w:rPr>
          <w:sz w:val="20"/>
          <w:szCs w:val="20"/>
          <w:color w:val="auto"/>
        </w:rPr>
      </w:pPr>
    </w:p>
    <w:p>
      <w:pPr>
        <w:ind w:right="100" w:firstLine="602"/>
        <w:spacing w:after="0" w:line="263" w:lineRule="auto"/>
        <w:rPr>
          <w:sz w:val="20"/>
          <w:szCs w:val="20"/>
          <w:color w:val="auto"/>
        </w:rPr>
      </w:pPr>
      <w:r>
        <w:rPr>
          <w:rFonts w:ascii="Arial" w:cs="Arial" w:eastAsia="Arial" w:hAnsi="Arial"/>
          <w:sz w:val="12"/>
          <w:szCs w:val="12"/>
          <w:color w:val="auto"/>
        </w:rPr>
        <w:t>Cash used in investing activities was $55.0 million and $562.9 million for fiscal year 2019 and 2018, respectively. The change in cash used in investing activities year over year was primarily due to acquisitions. Cash paid for the Pagatelia acquisition was $26.6 million, net of $1.1 million of cash acquired, in fiscal 2019. Cash consideration for the HTA acquisition was $531.7 million net of $3.0 million of cash acquired, and for EPC it was $2.6 million, net of $9.0 million of cash acquired.</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17740" cy="3683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ectPr>
          <w:pgSz w:w="11900" w:h="16838" w:orient="portrait"/>
          <w:cols w:equalWidth="0" w:num="1">
            <w:col w:w="11480"/>
          </w:cols>
          <w:pgMar w:left="220" w:top="275" w:right="199" w:bottom="1440" w:gutter="0" w:footer="0" w:header="0"/>
        </w:sectPr>
      </w:pPr>
    </w:p>
    <w:bookmarkStart w:id="57" w:name="page58"/>
    <w:bookmarkEnd w:id="57"/>
    <w:p>
      <w:pPr>
        <w:ind w:left="600"/>
        <w:spacing w:after="0"/>
        <w:rPr>
          <w:sz w:val="20"/>
          <w:szCs w:val="20"/>
          <w:color w:val="auto"/>
        </w:rPr>
      </w:pPr>
      <w:r>
        <w:rPr>
          <w:rFonts w:ascii="Arial" w:cs="Arial" w:eastAsia="Arial" w:hAnsi="Arial"/>
          <w:sz w:val="10"/>
          <w:szCs w:val="10"/>
          <w:color w:val="auto"/>
        </w:rPr>
        <w:t>During the 2017 Successor Period, cash used in investing activities was $553.5 million, which was primarily the result of the ATS Merger. During the 2017 Predecessor Period, cash used in investing activities was $8.8 million.</w:t>
      </w:r>
    </w:p>
    <w:p>
      <w:pPr>
        <w:spacing w:after="0" w:line="38" w:lineRule="exact"/>
        <w:rPr>
          <w:sz w:val="20"/>
          <w:szCs w:val="20"/>
          <w:color w:val="auto"/>
        </w:rPr>
      </w:pPr>
    </w:p>
    <w:p>
      <w:pPr>
        <w:spacing w:after="0"/>
        <w:rPr>
          <w:sz w:val="20"/>
          <w:szCs w:val="20"/>
          <w:color w:val="auto"/>
        </w:rPr>
      </w:pPr>
      <w:r>
        <w:rPr>
          <w:rFonts w:ascii="Arial" w:cs="Arial" w:eastAsia="Arial" w:hAnsi="Arial"/>
          <w:sz w:val="12"/>
          <w:szCs w:val="12"/>
          <w:color w:val="auto"/>
        </w:rPr>
        <w:t>This amount was primarily the result of $9.0 million of capital expenditures for camera systems and related items for the Government Solutions segment.</w:t>
      </w:r>
    </w:p>
    <w:p>
      <w:pPr>
        <w:spacing w:after="0" w:line="21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Cash Flows from Financing Activities</w:t>
      </w:r>
    </w:p>
    <w:p>
      <w:pPr>
        <w:spacing w:after="0" w:line="78" w:lineRule="exact"/>
        <w:rPr>
          <w:sz w:val="20"/>
          <w:szCs w:val="20"/>
          <w:color w:val="auto"/>
        </w:rPr>
      </w:pPr>
    </w:p>
    <w:p>
      <w:pPr>
        <w:ind w:left="600"/>
        <w:spacing w:after="0"/>
        <w:rPr>
          <w:sz w:val="20"/>
          <w:szCs w:val="20"/>
          <w:color w:val="auto"/>
        </w:rPr>
      </w:pPr>
      <w:r>
        <w:rPr>
          <w:rFonts w:ascii="Arial" w:cs="Arial" w:eastAsia="Arial" w:hAnsi="Arial"/>
          <w:sz w:val="11"/>
          <w:szCs w:val="11"/>
          <w:color w:val="auto"/>
        </w:rPr>
        <w:t>Cash (used in) provided by financing activities was $(14.5) million for the year ended December 31, 2019 which is mainly due to quarterly repayments totaling $9.1 million on long-term debt from our 2018 Credit Facilities</w:t>
      </w:r>
    </w:p>
    <w:p>
      <w:pPr>
        <w:spacing w:after="0" w:line="26" w:lineRule="exact"/>
        <w:rPr>
          <w:sz w:val="20"/>
          <w:szCs w:val="20"/>
          <w:color w:val="auto"/>
        </w:rPr>
      </w:pPr>
    </w:p>
    <w:p>
      <w:pPr>
        <w:spacing w:after="0"/>
        <w:rPr>
          <w:sz w:val="20"/>
          <w:szCs w:val="20"/>
          <w:color w:val="auto"/>
        </w:rPr>
      </w:pPr>
      <w:r>
        <w:rPr>
          <w:rFonts w:ascii="Arial" w:cs="Arial" w:eastAsia="Arial" w:hAnsi="Arial"/>
          <w:sz w:val="10"/>
          <w:szCs w:val="10"/>
          <w:color w:val="auto"/>
        </w:rPr>
        <w:t>(discussed below) and a $5.0 million employee tax withholding payment related to RSUs. Cash (used in) provided by financing activities was $574.3 million for the year ended December 31, 2018 and was due to our entering into the 2018</w:t>
      </w:r>
    </w:p>
    <w:p>
      <w:pPr>
        <w:spacing w:after="0" w:line="29" w:lineRule="exact"/>
        <w:rPr>
          <w:sz w:val="20"/>
          <w:szCs w:val="20"/>
          <w:color w:val="auto"/>
        </w:rPr>
      </w:pPr>
    </w:p>
    <w:p>
      <w:pPr>
        <w:spacing w:after="0"/>
        <w:rPr>
          <w:sz w:val="20"/>
          <w:szCs w:val="20"/>
          <w:color w:val="auto"/>
        </w:rPr>
      </w:pPr>
      <w:r>
        <w:rPr>
          <w:rFonts w:ascii="Arial" w:cs="Arial" w:eastAsia="Arial" w:hAnsi="Arial"/>
          <w:sz w:val="11"/>
          <w:szCs w:val="11"/>
          <w:color w:val="auto"/>
        </w:rPr>
        <w:t>Credit Facilities to fund the HTA acquisition and to repay the outstanding balance on the 2017 Credit Facilities, which totaled approximately $450.5 million, as well as the repayment of the New Second Lien Term Loan in full and the</w:t>
      </w:r>
    </w:p>
    <w:p>
      <w:pPr>
        <w:spacing w:after="0" w:line="18" w:lineRule="exact"/>
        <w:rPr>
          <w:sz w:val="20"/>
          <w:szCs w:val="20"/>
          <w:color w:val="auto"/>
        </w:rPr>
      </w:pPr>
    </w:p>
    <w:p>
      <w:pPr>
        <w:spacing w:after="0"/>
        <w:rPr>
          <w:sz w:val="20"/>
          <w:szCs w:val="20"/>
          <w:color w:val="auto"/>
        </w:rPr>
      </w:pPr>
      <w:r>
        <w:rPr>
          <w:rFonts w:ascii="Arial" w:cs="Arial" w:eastAsia="Arial" w:hAnsi="Arial"/>
          <w:sz w:val="11"/>
          <w:szCs w:val="11"/>
          <w:color w:val="auto"/>
        </w:rPr>
        <w:t>$70.0 million increase to the New First Lien Term Loan in conjunction with the Business Combination. Additionally, cash received in connection with the Business Combination was $803.3 million. Cash payments made in connection with</w:t>
      </w:r>
    </w:p>
    <w:p>
      <w:pPr>
        <w:spacing w:after="0" w:line="18" w:lineRule="exact"/>
        <w:rPr>
          <w:sz w:val="20"/>
          <w:szCs w:val="20"/>
          <w:color w:val="auto"/>
        </w:rPr>
      </w:pPr>
    </w:p>
    <w:p>
      <w:pPr>
        <w:spacing w:after="0"/>
        <w:rPr>
          <w:sz w:val="20"/>
          <w:szCs w:val="20"/>
          <w:color w:val="auto"/>
        </w:rPr>
      </w:pPr>
      <w:r>
        <w:rPr>
          <w:rFonts w:ascii="Arial" w:cs="Arial" w:eastAsia="Arial" w:hAnsi="Arial"/>
          <w:sz w:val="11"/>
          <w:szCs w:val="11"/>
          <w:color w:val="auto"/>
        </w:rPr>
        <w:t>the issuance of the 2018 Credit Facilities, the repayment of the 2017 facilities and the Business Combination were $29.5 million, $8.2 million and $24.0 million, respectively. Additionally, there was a $779.2 million distribution to the</w:t>
      </w:r>
    </w:p>
    <w:p>
      <w:pPr>
        <w:spacing w:after="0" w:line="18" w:lineRule="exact"/>
        <w:rPr>
          <w:sz w:val="20"/>
          <w:szCs w:val="20"/>
          <w:color w:val="auto"/>
        </w:rPr>
      </w:pPr>
    </w:p>
    <w:p>
      <w:pPr>
        <w:spacing w:after="0"/>
        <w:rPr>
          <w:sz w:val="20"/>
          <w:szCs w:val="20"/>
          <w:color w:val="auto"/>
        </w:rPr>
      </w:pPr>
      <w:r>
        <w:rPr>
          <w:rFonts w:ascii="Arial" w:cs="Arial" w:eastAsia="Arial" w:hAnsi="Arial"/>
          <w:sz w:val="12"/>
          <w:szCs w:val="12"/>
          <w:color w:val="auto"/>
        </w:rPr>
        <w:t>selling shareholders in the Business Combination that was partially offset by a $169.3 million capital contribution from Greenlight.</w:t>
      </w:r>
    </w:p>
    <w:p>
      <w:pPr>
        <w:spacing w:after="0" w:line="141" w:lineRule="exact"/>
        <w:rPr>
          <w:sz w:val="20"/>
          <w:szCs w:val="20"/>
          <w:color w:val="auto"/>
        </w:rPr>
      </w:pPr>
    </w:p>
    <w:p>
      <w:pPr>
        <w:ind w:left="600"/>
        <w:spacing w:after="0"/>
        <w:rPr>
          <w:sz w:val="20"/>
          <w:szCs w:val="20"/>
          <w:color w:val="auto"/>
        </w:rPr>
      </w:pPr>
      <w:r>
        <w:rPr>
          <w:rFonts w:ascii="Arial" w:cs="Arial" w:eastAsia="Arial" w:hAnsi="Arial"/>
          <w:sz w:val="11"/>
          <w:szCs w:val="11"/>
          <w:color w:val="auto"/>
        </w:rPr>
        <w:t>During the 2017 Successor Period, cash (used in) provided by financing activities was $555.7 million. This amount was primarily the result of our entering into the 2017 Credit Facilities in connection with the ATS Merger.</w:t>
      </w:r>
    </w:p>
    <w:p>
      <w:pPr>
        <w:spacing w:after="0" w:line="26" w:lineRule="exact"/>
        <w:rPr>
          <w:sz w:val="20"/>
          <w:szCs w:val="20"/>
          <w:color w:val="auto"/>
        </w:rPr>
      </w:pPr>
    </w:p>
    <w:p>
      <w:pPr>
        <w:spacing w:after="0"/>
        <w:rPr>
          <w:sz w:val="20"/>
          <w:szCs w:val="20"/>
          <w:color w:val="auto"/>
        </w:rPr>
      </w:pPr>
      <w:r>
        <w:rPr>
          <w:rFonts w:ascii="Arial" w:cs="Arial" w:eastAsia="Arial" w:hAnsi="Arial"/>
          <w:sz w:val="12"/>
          <w:szCs w:val="12"/>
          <w:color w:val="auto"/>
        </w:rPr>
        <w:t>During the 2017 Predecessor Period, cash (used in) provided by financing activities was $(27.5) million. This amount was primarily the result of net repayments on our revolver.</w:t>
      </w:r>
    </w:p>
    <w:p>
      <w:pPr>
        <w:spacing w:after="0" w:line="21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Debt</w:t>
      </w:r>
    </w:p>
    <w:p>
      <w:pPr>
        <w:spacing w:after="0" w:line="78" w:lineRule="exact"/>
        <w:rPr>
          <w:sz w:val="20"/>
          <w:szCs w:val="20"/>
          <w:color w:val="auto"/>
        </w:rPr>
      </w:pPr>
    </w:p>
    <w:p>
      <w:pPr>
        <w:ind w:right="120" w:firstLine="602"/>
        <w:spacing w:after="0" w:line="259" w:lineRule="auto"/>
        <w:rPr>
          <w:sz w:val="20"/>
          <w:szCs w:val="20"/>
          <w:color w:val="auto"/>
        </w:rPr>
      </w:pPr>
      <w:r>
        <w:rPr>
          <w:rFonts w:ascii="Arial" w:cs="Arial" w:eastAsia="Arial" w:hAnsi="Arial"/>
          <w:sz w:val="12"/>
          <w:szCs w:val="12"/>
          <w:color w:val="auto"/>
        </w:rPr>
        <w:t>In connection with the HTA acquisition, we entered into a First Lien Term Loan Credit Agreement (the “</w:t>
      </w:r>
      <w:r>
        <w:rPr>
          <w:rFonts w:ascii="Arial" w:cs="Arial" w:eastAsia="Arial" w:hAnsi="Arial"/>
          <w:sz w:val="12"/>
          <w:szCs w:val="12"/>
          <w:b w:val="1"/>
          <w:bCs w:val="1"/>
          <w:i w:val="1"/>
          <w:iCs w:val="1"/>
          <w:color w:val="auto"/>
        </w:rPr>
        <w:t>New First Lien Term Loan</w:t>
      </w:r>
      <w:r>
        <w:rPr>
          <w:rFonts w:ascii="Arial" w:cs="Arial" w:eastAsia="Arial" w:hAnsi="Arial"/>
          <w:sz w:val="12"/>
          <w:szCs w:val="12"/>
          <w:color w:val="auto"/>
        </w:rPr>
        <w:t>”), a Second Lien Term Loan Credit Agreement (the “</w:t>
      </w:r>
      <w:r>
        <w:rPr>
          <w:rFonts w:ascii="Arial" w:cs="Arial" w:eastAsia="Arial" w:hAnsi="Arial"/>
          <w:sz w:val="12"/>
          <w:szCs w:val="12"/>
          <w:b w:val="1"/>
          <w:bCs w:val="1"/>
          <w:i w:val="1"/>
          <w:iCs w:val="1"/>
          <w:color w:val="auto"/>
        </w:rPr>
        <w:t>New Second Lien Term Loan</w:t>
      </w:r>
      <w:r>
        <w:rPr>
          <w:rFonts w:ascii="Arial" w:cs="Arial" w:eastAsia="Arial" w:hAnsi="Arial"/>
          <w:sz w:val="12"/>
          <w:szCs w:val="12"/>
          <w:color w:val="auto"/>
        </w:rPr>
        <w:t>” and together with the New First Lien Term Loan, the “</w:t>
      </w:r>
      <w:r>
        <w:rPr>
          <w:rFonts w:ascii="Arial" w:cs="Arial" w:eastAsia="Arial" w:hAnsi="Arial"/>
          <w:sz w:val="12"/>
          <w:szCs w:val="12"/>
          <w:b w:val="1"/>
          <w:bCs w:val="1"/>
          <w:i w:val="1"/>
          <w:iCs w:val="1"/>
          <w:color w:val="auto"/>
        </w:rPr>
        <w:t>New Term Loans</w:t>
      </w:r>
      <w:r>
        <w:rPr>
          <w:rFonts w:ascii="Arial" w:cs="Arial" w:eastAsia="Arial" w:hAnsi="Arial"/>
          <w:sz w:val="12"/>
          <w:szCs w:val="12"/>
          <w:color w:val="auto"/>
        </w:rPr>
        <w:t>”), and a Revolving Credit Agreement (the “</w:t>
      </w:r>
      <w:r>
        <w:rPr>
          <w:rFonts w:ascii="Arial" w:cs="Arial" w:eastAsia="Arial" w:hAnsi="Arial"/>
          <w:sz w:val="12"/>
          <w:szCs w:val="12"/>
          <w:b w:val="1"/>
          <w:bCs w:val="1"/>
          <w:i w:val="1"/>
          <w:iCs w:val="1"/>
          <w:color w:val="auto"/>
        </w:rPr>
        <w:t>New Revolver</w:t>
      </w:r>
      <w:r>
        <w:rPr>
          <w:rFonts w:ascii="Arial" w:cs="Arial" w:eastAsia="Arial" w:hAnsi="Arial"/>
          <w:sz w:val="12"/>
          <w:szCs w:val="12"/>
          <w:color w:val="auto"/>
        </w:rPr>
        <w:t>”) with a syndicate of lenders (collectively with the New Term Loans, the “</w:t>
      </w:r>
      <w:r>
        <w:rPr>
          <w:rFonts w:ascii="Arial" w:cs="Arial" w:eastAsia="Arial" w:hAnsi="Arial"/>
          <w:sz w:val="12"/>
          <w:szCs w:val="12"/>
          <w:b w:val="1"/>
          <w:bCs w:val="1"/>
          <w:i w:val="1"/>
          <w:iCs w:val="1"/>
          <w:color w:val="auto"/>
        </w:rPr>
        <w:t>2018 Credit Facilities</w:t>
      </w:r>
      <w:r>
        <w:rPr>
          <w:rFonts w:ascii="Arial" w:cs="Arial" w:eastAsia="Arial" w:hAnsi="Arial"/>
          <w:sz w:val="12"/>
          <w:szCs w:val="12"/>
          <w:color w:val="auto"/>
        </w:rPr>
        <w:t>”). The 2018 Credit Facilities provide for committed senior secured financing of $1.115 billion, consisting of the New Term Loans with an aggregate principal amount of $1.04 billion and the New Revolver available for loans and letters of credit with an aggregate revolving commitment of up to $75 million (based on borrowing based eligibility as described below).</w:t>
      </w:r>
    </w:p>
    <w:p>
      <w:pPr>
        <w:spacing w:after="0" w:line="125" w:lineRule="exact"/>
        <w:rPr>
          <w:sz w:val="20"/>
          <w:szCs w:val="20"/>
          <w:color w:val="auto"/>
        </w:rPr>
      </w:pPr>
    </w:p>
    <w:p>
      <w:pPr>
        <w:ind w:right="80" w:firstLine="602"/>
        <w:spacing w:after="0" w:line="259" w:lineRule="auto"/>
        <w:rPr>
          <w:sz w:val="20"/>
          <w:szCs w:val="20"/>
          <w:color w:val="auto"/>
        </w:rPr>
      </w:pPr>
      <w:r>
        <w:rPr>
          <w:rFonts w:ascii="Arial" w:cs="Arial" w:eastAsia="Arial" w:hAnsi="Arial"/>
          <w:sz w:val="12"/>
          <w:szCs w:val="12"/>
          <w:color w:val="auto"/>
        </w:rPr>
        <w:t>The 2018 Credit Facilities replaced the previous First Lien Term Loan Credit Agreement (the “</w:t>
      </w:r>
      <w:r>
        <w:rPr>
          <w:rFonts w:ascii="Arial" w:cs="Arial" w:eastAsia="Arial" w:hAnsi="Arial"/>
          <w:sz w:val="12"/>
          <w:szCs w:val="12"/>
          <w:b w:val="1"/>
          <w:bCs w:val="1"/>
          <w:i w:val="1"/>
          <w:iCs w:val="1"/>
          <w:color w:val="auto"/>
        </w:rPr>
        <w:t>Old First Lien</w:t>
      </w:r>
      <w:r>
        <w:rPr>
          <w:rFonts w:ascii="Arial" w:cs="Arial" w:eastAsia="Arial" w:hAnsi="Arial"/>
          <w:sz w:val="12"/>
          <w:szCs w:val="12"/>
          <w:color w:val="auto"/>
        </w:rPr>
        <w:t>”), the Second Lien Term Loan Credit Agreement (the “</w:t>
      </w:r>
      <w:r>
        <w:rPr>
          <w:rFonts w:ascii="Arial" w:cs="Arial" w:eastAsia="Arial" w:hAnsi="Arial"/>
          <w:sz w:val="12"/>
          <w:szCs w:val="12"/>
          <w:b w:val="1"/>
          <w:bCs w:val="1"/>
          <w:i w:val="1"/>
          <w:iCs w:val="1"/>
          <w:color w:val="auto"/>
        </w:rPr>
        <w:t>Old Second Lien</w:t>
      </w:r>
      <w:r>
        <w:rPr>
          <w:rFonts w:ascii="Arial" w:cs="Arial" w:eastAsia="Arial" w:hAnsi="Arial"/>
          <w:sz w:val="12"/>
          <w:szCs w:val="12"/>
          <w:color w:val="auto"/>
        </w:rPr>
        <w:t>” and together with the Old First Lien, the “</w:t>
      </w:r>
      <w:r>
        <w:rPr>
          <w:rFonts w:ascii="Arial" w:cs="Arial" w:eastAsia="Arial" w:hAnsi="Arial"/>
          <w:sz w:val="12"/>
          <w:szCs w:val="12"/>
          <w:b w:val="1"/>
          <w:bCs w:val="1"/>
          <w:i w:val="1"/>
          <w:iCs w:val="1"/>
          <w:color w:val="auto"/>
        </w:rPr>
        <w:t>Old Term Loans</w:t>
      </w:r>
      <w:r>
        <w:rPr>
          <w:rFonts w:ascii="Arial" w:cs="Arial" w:eastAsia="Arial" w:hAnsi="Arial"/>
          <w:sz w:val="12"/>
          <w:szCs w:val="12"/>
          <w:i w:val="1"/>
          <w:iCs w:val="1"/>
          <w:color w:val="auto"/>
        </w:rPr>
        <w:t>”</w:t>
      </w:r>
      <w:r>
        <w:rPr>
          <w:rFonts w:ascii="Arial" w:cs="Arial" w:eastAsia="Arial" w:hAnsi="Arial"/>
          <w:sz w:val="12"/>
          <w:szCs w:val="12"/>
          <w:color w:val="auto"/>
        </w:rPr>
        <w:t>), which were repaid concurrent with the closing on the 2018 Credit Facilities, and a preexisting Revolving Credit Agreement (the “</w:t>
      </w:r>
      <w:r>
        <w:rPr>
          <w:rFonts w:ascii="Arial" w:cs="Arial" w:eastAsia="Arial" w:hAnsi="Arial"/>
          <w:sz w:val="12"/>
          <w:szCs w:val="12"/>
          <w:b w:val="1"/>
          <w:bCs w:val="1"/>
          <w:i w:val="1"/>
          <w:iCs w:val="1"/>
          <w:color w:val="auto"/>
        </w:rPr>
        <w:t>Old Revolver</w:t>
      </w:r>
      <w:r>
        <w:rPr>
          <w:rFonts w:ascii="Arial" w:cs="Arial" w:eastAsia="Arial" w:hAnsi="Arial"/>
          <w:sz w:val="12"/>
          <w:szCs w:val="12"/>
          <w:color w:val="auto"/>
        </w:rPr>
        <w:t>”, collectively with the Old Term Loans, the “</w:t>
      </w:r>
      <w:r>
        <w:rPr>
          <w:rFonts w:ascii="Arial" w:cs="Arial" w:eastAsia="Arial" w:hAnsi="Arial"/>
          <w:sz w:val="12"/>
          <w:szCs w:val="12"/>
          <w:b w:val="1"/>
          <w:bCs w:val="1"/>
          <w:i w:val="1"/>
          <w:iCs w:val="1"/>
          <w:color w:val="auto"/>
        </w:rPr>
        <w:t>2017 Credit Facilities</w:t>
      </w:r>
      <w:r>
        <w:rPr>
          <w:rFonts w:ascii="Arial" w:cs="Arial" w:eastAsia="Arial" w:hAnsi="Arial"/>
          <w:sz w:val="12"/>
          <w:szCs w:val="12"/>
          <w:color w:val="auto"/>
        </w:rPr>
        <w:t>”), which was undrawn at close. The outstanding balances at the date of close on the Old Term Loans, which were repaid with proceeds from the 2018 Credit Facilities and are no longer outstanding, were $323 million and $125 million, respectively.</w:t>
      </w:r>
    </w:p>
    <w:p>
      <w:pPr>
        <w:spacing w:after="0" w:line="125" w:lineRule="exact"/>
        <w:rPr>
          <w:sz w:val="20"/>
          <w:szCs w:val="20"/>
          <w:color w:val="auto"/>
        </w:rPr>
      </w:pPr>
    </w:p>
    <w:p>
      <w:pPr>
        <w:ind w:right="40" w:firstLine="602"/>
        <w:spacing w:after="0" w:line="259" w:lineRule="auto"/>
        <w:rPr>
          <w:sz w:val="20"/>
          <w:szCs w:val="20"/>
          <w:color w:val="auto"/>
        </w:rPr>
      </w:pPr>
      <w:r>
        <w:rPr>
          <w:rFonts w:ascii="Arial" w:cs="Arial" w:eastAsia="Arial" w:hAnsi="Arial"/>
          <w:sz w:val="12"/>
          <w:szCs w:val="12"/>
          <w:color w:val="auto"/>
        </w:rPr>
        <w:t>The New First Lien Term Loan is repayable at 1.0% per annum of the amount initially borrowed, paid in quarterly installments. The New First Lien Term Loan matures on February 28, 2025. The New First Lien Term Loan bears interest based, at our option, on either (1) LIBOR plus an applicable margin of 3.75% per annum, or (2) an alternate base rate plus an applicable margin of 2.75% per annum. At December 31, 2019, the interest rate on the New First Lien Term Loan was 5.5%. See Note 21</w:t>
      </w:r>
      <w:r>
        <w:rPr>
          <w:rFonts w:ascii="Arial" w:cs="Arial" w:eastAsia="Arial" w:hAnsi="Arial"/>
          <w:sz w:val="12"/>
          <w:szCs w:val="12"/>
          <w:i w:val="1"/>
          <w:iCs w:val="1"/>
          <w:color w:val="auto"/>
        </w:rPr>
        <w:t>, Subsequent Events</w:t>
      </w:r>
      <w:r>
        <w:rPr>
          <w:rFonts w:ascii="Arial" w:cs="Arial" w:eastAsia="Arial" w:hAnsi="Arial"/>
          <w:sz w:val="12"/>
          <w:szCs w:val="12"/>
          <w:color w:val="auto"/>
        </w:rPr>
        <w:t>, in Item 8. Financial Statements and Supplementary Data, for information on the refinancing of our debt, which reduced the interest rate by 50 basis points, effective February 20, 2020.</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17740" cy="3683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ectPr>
          <w:pgSz w:w="11900" w:h="16838" w:orient="portrait"/>
          <w:cols w:equalWidth="0" w:num="1">
            <w:col w:w="11480"/>
          </w:cols>
          <w:pgMar w:left="220" w:top="275" w:right="199" w:bottom="1440" w:gutter="0" w:footer="0" w:header="0"/>
        </w:sectPr>
      </w:pPr>
    </w:p>
    <w:bookmarkStart w:id="58" w:name="page59"/>
    <w:bookmarkEnd w:id="58"/>
    <w:p>
      <w:pPr>
        <w:ind w:right="280" w:firstLine="602"/>
        <w:spacing w:after="0" w:line="276" w:lineRule="auto"/>
        <w:rPr>
          <w:sz w:val="20"/>
          <w:szCs w:val="20"/>
          <w:color w:val="auto"/>
        </w:rPr>
      </w:pPr>
      <w:r>
        <w:rPr>
          <w:rFonts w:ascii="Arial" w:cs="Arial" w:eastAsia="Arial" w:hAnsi="Arial"/>
          <w:sz w:val="12"/>
          <w:szCs w:val="12"/>
          <w:color w:val="auto"/>
        </w:rPr>
        <w:t>In addition, the New First Lien Term Loan contains provisions that require mandatory prepayments to be calculated as of the last day of the fiscal year, beginning with year ending December 31, 2019, as the product of the excess cash flows of the Company (as defined in the loan agreement) and the applicable percentages set forth in the following table:</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3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36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w w:val="86"/>
              </w:rPr>
              <w:t>Applicable</w:t>
            </w:r>
          </w:p>
        </w:tc>
      </w:tr>
      <w:tr>
        <w:trPr>
          <w:trHeight w:val="99"/>
        </w:trPr>
        <w:tc>
          <w:tcPr>
            <w:tcW w:w="378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4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360" w:type="dxa"/>
            <w:vAlign w:val="bottom"/>
            <w:gridSpan w:val="2"/>
          </w:tcPr>
          <w:p>
            <w:pPr>
              <w:jc w:val="center"/>
              <w:ind w:right="120"/>
              <w:spacing w:after="0" w:line="99" w:lineRule="exact"/>
              <w:rPr>
                <w:sz w:val="20"/>
                <w:szCs w:val="20"/>
                <w:color w:val="auto"/>
              </w:rPr>
            </w:pPr>
            <w:r>
              <w:rPr>
                <w:rFonts w:ascii="Arial" w:cs="Arial" w:eastAsia="Arial" w:hAnsi="Arial"/>
                <w:sz w:val="10"/>
                <w:szCs w:val="10"/>
                <w:b w:val="1"/>
                <w:bCs w:val="1"/>
                <w:color w:val="auto"/>
                <w:w w:val="84"/>
              </w:rPr>
              <w:t>prepayment</w:t>
            </w:r>
          </w:p>
        </w:tc>
      </w:tr>
      <w:tr>
        <w:trPr>
          <w:trHeight w:val="114"/>
        </w:trPr>
        <w:tc>
          <w:tcPr>
            <w:tcW w:w="9120" w:type="dxa"/>
            <w:vAlign w:val="bottom"/>
            <w:gridSpan w:val="5"/>
          </w:tcPr>
          <w:p>
            <w:pPr>
              <w:jc w:val="center"/>
              <w:ind w:right="220"/>
              <w:spacing w:after="0" w:line="114" w:lineRule="exact"/>
              <w:rPr>
                <w:sz w:val="20"/>
                <w:szCs w:val="20"/>
                <w:color w:val="auto"/>
              </w:rPr>
            </w:pPr>
            <w:r>
              <w:rPr>
                <w:rFonts w:ascii="Arial" w:cs="Arial" w:eastAsia="Arial" w:hAnsi="Arial"/>
                <w:sz w:val="10"/>
                <w:szCs w:val="10"/>
                <w:b w:val="1"/>
                <w:bCs w:val="1"/>
                <w:color w:val="auto"/>
                <w:w w:val="86"/>
              </w:rPr>
              <w:t>Consolidated first lien net leverage ratio (as defined by the New First Lien Term Loan agreement)</w:t>
            </w:r>
          </w:p>
        </w:tc>
        <w:tc>
          <w:tcPr>
            <w:tcW w:w="2360" w:type="dxa"/>
            <w:vAlign w:val="bottom"/>
            <w:gridSpan w:val="2"/>
          </w:tcPr>
          <w:p>
            <w:pPr>
              <w:jc w:val="center"/>
              <w:ind w:right="120"/>
              <w:spacing w:after="0" w:line="114" w:lineRule="exact"/>
              <w:rPr>
                <w:sz w:val="20"/>
                <w:szCs w:val="20"/>
                <w:color w:val="auto"/>
              </w:rPr>
            </w:pPr>
            <w:r>
              <w:rPr>
                <w:rFonts w:ascii="Arial" w:cs="Arial" w:eastAsia="Arial" w:hAnsi="Arial"/>
                <w:sz w:val="10"/>
                <w:szCs w:val="10"/>
                <w:b w:val="1"/>
                <w:bCs w:val="1"/>
                <w:color w:val="auto"/>
                <w:w w:val="82"/>
              </w:rPr>
              <w:t>percentage</w:t>
            </w:r>
          </w:p>
        </w:tc>
      </w:tr>
      <w:tr>
        <w:trPr>
          <w:trHeight w:val="142"/>
        </w:trPr>
        <w:tc>
          <w:tcPr>
            <w:tcW w:w="8920" w:type="dxa"/>
            <w:vAlign w:val="bottom"/>
            <w:tcBorders>
              <w:top w:val="single" w:sz="8" w:color="auto"/>
            </w:tcBorders>
            <w:gridSpan w:val="4"/>
            <w:shd w:val="clear" w:color="auto" w:fill="CFF0FC"/>
          </w:tcPr>
          <w:p>
            <w:pPr>
              <w:jc w:val="center"/>
              <w:ind w:right="20"/>
              <w:spacing w:after="0"/>
              <w:rPr>
                <w:sz w:val="20"/>
                <w:szCs w:val="20"/>
                <w:color w:val="auto"/>
              </w:rPr>
            </w:pPr>
            <w:r>
              <w:rPr>
                <w:rFonts w:ascii="Arial" w:cs="Arial" w:eastAsia="Arial" w:hAnsi="Arial"/>
                <w:sz w:val="12"/>
                <w:szCs w:val="12"/>
                <w:color w:val="auto"/>
                <w:w w:val="89"/>
              </w:rPr>
              <w:t>&gt; 3.70:1.00</w:t>
            </w:r>
          </w:p>
        </w:tc>
        <w:tc>
          <w:tcPr>
            <w:tcW w:w="200" w:type="dxa"/>
            <w:vAlign w:val="bottom"/>
            <w:tcBorders>
              <w:top w:val="single" w:sz="8" w:color="CFF0FC"/>
            </w:tcBorders>
            <w:shd w:val="clear" w:color="auto" w:fill="CFF0FC"/>
          </w:tcPr>
          <w:p>
            <w:pPr>
              <w:spacing w:after="0"/>
              <w:rPr>
                <w:sz w:val="12"/>
                <w:szCs w:val="12"/>
                <w:color w:val="auto"/>
              </w:rPr>
            </w:pPr>
          </w:p>
        </w:tc>
        <w:tc>
          <w:tcPr>
            <w:tcW w:w="224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2"/>
                <w:szCs w:val="12"/>
                <w:color w:val="auto"/>
                <w:w w:val="91"/>
              </w:rPr>
              <w:t>50%</w:t>
            </w:r>
          </w:p>
        </w:tc>
        <w:tc>
          <w:tcPr>
            <w:tcW w:w="120" w:type="dxa"/>
            <w:vAlign w:val="bottom"/>
            <w:tcBorders>
              <w:top w:val="single" w:sz="8" w:color="CFF0FC"/>
            </w:tcBorders>
            <w:shd w:val="clear" w:color="auto" w:fill="CFF0FC"/>
          </w:tcPr>
          <w:p>
            <w:pPr>
              <w:spacing w:after="0"/>
              <w:rPr>
                <w:sz w:val="12"/>
                <w:szCs w:val="12"/>
                <w:color w:val="auto"/>
              </w:rPr>
            </w:pPr>
          </w:p>
        </w:tc>
      </w:tr>
      <w:tr>
        <w:trPr>
          <w:trHeight w:val="133"/>
        </w:trPr>
        <w:tc>
          <w:tcPr>
            <w:tcW w:w="3780" w:type="dxa"/>
            <w:vAlign w:val="bottom"/>
          </w:tcPr>
          <w:p>
            <w:pPr>
              <w:spacing w:after="0"/>
              <w:rPr>
                <w:sz w:val="11"/>
                <w:szCs w:val="11"/>
                <w:color w:val="auto"/>
              </w:rPr>
            </w:pPr>
          </w:p>
        </w:tc>
        <w:tc>
          <w:tcPr>
            <w:tcW w:w="5340" w:type="dxa"/>
            <w:vAlign w:val="bottom"/>
            <w:gridSpan w:val="4"/>
          </w:tcPr>
          <w:p>
            <w:pPr>
              <w:jc w:val="center"/>
              <w:ind w:right="4000"/>
              <w:spacing w:after="0" w:line="126" w:lineRule="exact"/>
              <w:rPr>
                <w:sz w:val="20"/>
                <w:szCs w:val="20"/>
                <w:color w:val="auto"/>
              </w:rPr>
            </w:pPr>
            <w:r>
              <w:rPr>
                <w:rFonts w:ascii="Arial" w:cs="Arial" w:eastAsia="Arial" w:hAnsi="Arial"/>
                <w:sz w:val="12"/>
                <w:szCs w:val="12"/>
                <w:color w:val="auto"/>
                <w:w w:val="90"/>
              </w:rPr>
              <w:t>&lt; 3.70:1.00 and &gt; 3.20:1.00</w:t>
            </w:r>
          </w:p>
        </w:tc>
        <w:tc>
          <w:tcPr>
            <w:tcW w:w="2240" w:type="dxa"/>
            <w:vAlign w:val="bottom"/>
          </w:tcPr>
          <w:p>
            <w:pPr>
              <w:jc w:val="center"/>
              <w:spacing w:after="0" w:line="126" w:lineRule="exact"/>
              <w:rPr>
                <w:sz w:val="20"/>
                <w:szCs w:val="20"/>
                <w:color w:val="auto"/>
              </w:rPr>
            </w:pPr>
            <w:r>
              <w:rPr>
                <w:rFonts w:ascii="Arial" w:cs="Arial" w:eastAsia="Arial" w:hAnsi="Arial"/>
                <w:sz w:val="12"/>
                <w:szCs w:val="12"/>
                <w:color w:val="auto"/>
                <w:w w:val="91"/>
              </w:rPr>
              <w:t>25%</w:t>
            </w:r>
          </w:p>
        </w:tc>
        <w:tc>
          <w:tcPr>
            <w:tcW w:w="120" w:type="dxa"/>
            <w:vAlign w:val="bottom"/>
          </w:tcPr>
          <w:p>
            <w:pPr>
              <w:spacing w:after="0"/>
              <w:rPr>
                <w:sz w:val="11"/>
                <w:szCs w:val="11"/>
                <w:color w:val="auto"/>
              </w:rPr>
            </w:pPr>
          </w:p>
        </w:tc>
      </w:tr>
      <w:tr>
        <w:trPr>
          <w:trHeight w:val="126"/>
        </w:trPr>
        <w:tc>
          <w:tcPr>
            <w:tcW w:w="3780" w:type="dxa"/>
            <w:vAlign w:val="bottom"/>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5060" w:type="dxa"/>
            <w:vAlign w:val="bottom"/>
            <w:gridSpan w:val="2"/>
            <w:shd w:val="clear" w:color="auto" w:fill="CFF0FC"/>
          </w:tcPr>
          <w:p>
            <w:pPr>
              <w:jc w:val="center"/>
              <w:ind w:right="3880"/>
              <w:spacing w:after="0" w:line="126" w:lineRule="exact"/>
              <w:rPr>
                <w:sz w:val="20"/>
                <w:szCs w:val="20"/>
                <w:color w:val="auto"/>
              </w:rPr>
            </w:pPr>
            <w:r>
              <w:rPr>
                <w:rFonts w:ascii="Arial" w:cs="Arial" w:eastAsia="Arial" w:hAnsi="Arial"/>
                <w:sz w:val="12"/>
                <w:szCs w:val="12"/>
                <w:color w:val="auto"/>
                <w:w w:val="89"/>
              </w:rPr>
              <w:t>&lt; 3.20:1.00</w:t>
            </w:r>
          </w:p>
        </w:tc>
        <w:tc>
          <w:tcPr>
            <w:tcW w:w="200" w:type="dxa"/>
            <w:vAlign w:val="bottom"/>
            <w:shd w:val="clear" w:color="auto" w:fill="CFF0FC"/>
          </w:tcPr>
          <w:p>
            <w:pPr>
              <w:spacing w:after="0"/>
              <w:rPr>
                <w:sz w:val="10"/>
                <w:szCs w:val="10"/>
                <w:color w:val="auto"/>
              </w:rPr>
            </w:pPr>
          </w:p>
        </w:tc>
        <w:tc>
          <w:tcPr>
            <w:tcW w:w="2240" w:type="dxa"/>
            <w:vAlign w:val="bottom"/>
            <w:shd w:val="clear" w:color="auto" w:fill="CFF0FC"/>
          </w:tcPr>
          <w:p>
            <w:pPr>
              <w:jc w:val="center"/>
              <w:spacing w:after="0" w:line="126" w:lineRule="exact"/>
              <w:rPr>
                <w:sz w:val="20"/>
                <w:szCs w:val="20"/>
                <w:color w:val="auto"/>
              </w:rPr>
            </w:pPr>
            <w:r>
              <w:rPr>
                <w:rFonts w:ascii="Arial" w:cs="Arial" w:eastAsia="Arial" w:hAnsi="Arial"/>
                <w:sz w:val="12"/>
                <w:szCs w:val="12"/>
                <w:color w:val="auto"/>
                <w:w w:val="91"/>
              </w:rPr>
              <w:t>0%</w:t>
            </w:r>
          </w:p>
        </w:tc>
        <w:tc>
          <w:tcPr>
            <w:tcW w:w="120" w:type="dxa"/>
            <w:vAlign w:val="bottom"/>
            <w:shd w:val="clear" w:color="auto" w:fill="CFF0FC"/>
          </w:tcPr>
          <w:p>
            <w:pPr>
              <w:spacing w:after="0"/>
              <w:rPr>
                <w:sz w:val="10"/>
                <w:szCs w:val="10"/>
                <w:color w:val="auto"/>
              </w:rPr>
            </w:pPr>
          </w:p>
        </w:tc>
      </w:tr>
      <w:tr>
        <w:trPr>
          <w:trHeight w:val="27"/>
        </w:trPr>
        <w:tc>
          <w:tcPr>
            <w:tcW w:w="3780" w:type="dxa"/>
            <w:vAlign w:val="bottom"/>
            <w:shd w:val="clear" w:color="auto" w:fill="CFF0FC"/>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380" w:type="dxa"/>
            <w:vAlign w:val="bottom"/>
            <w:tcBorders>
              <w:right w:val="single" w:sz="8" w:color="auto"/>
            </w:tcBorders>
            <w:shd w:val="clear" w:color="auto" w:fill="CFF0FC"/>
          </w:tcPr>
          <w:p>
            <w:pPr>
              <w:spacing w:after="0"/>
              <w:rPr>
                <w:sz w:val="2"/>
                <w:szCs w:val="2"/>
                <w:color w:val="auto"/>
              </w:rPr>
            </w:pPr>
          </w:p>
        </w:tc>
        <w:tc>
          <w:tcPr>
            <w:tcW w:w="4680" w:type="dxa"/>
            <w:vAlign w:val="bottom"/>
            <w:shd w:val="clear" w:color="auto" w:fill="CFF0FC"/>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224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r>
      <w:tr>
        <w:trPr>
          <w:trHeight w:val="306"/>
        </w:trPr>
        <w:tc>
          <w:tcPr>
            <w:tcW w:w="9120" w:type="dxa"/>
            <w:vAlign w:val="bottom"/>
            <w:gridSpan w:val="5"/>
          </w:tcPr>
          <w:p>
            <w:pPr>
              <w:ind w:left="600"/>
              <w:spacing w:after="0"/>
              <w:rPr>
                <w:sz w:val="20"/>
                <w:szCs w:val="20"/>
                <w:color w:val="auto"/>
              </w:rPr>
            </w:pPr>
            <w:r>
              <w:rPr>
                <w:rFonts w:ascii="Arial" w:cs="Arial" w:eastAsia="Arial" w:hAnsi="Arial"/>
                <w:sz w:val="12"/>
                <w:szCs w:val="12"/>
                <w:color w:val="auto"/>
                <w:w w:val="92"/>
              </w:rPr>
              <w:t>The Company will make a mandatory prepayment of excess cash flow calculated per the loan agreement for approximately $19.7 million during the first quarter of fiscal 2020.</w:t>
            </w:r>
          </w:p>
        </w:tc>
        <w:tc>
          <w:tcPr>
            <w:tcW w:w="224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pacing w:after="0" w:line="162" w:lineRule="exact"/>
        <w:rPr>
          <w:sz w:val="20"/>
          <w:szCs w:val="20"/>
          <w:color w:val="auto"/>
        </w:rPr>
      </w:pPr>
    </w:p>
    <w:p>
      <w:pPr>
        <w:ind w:right="120" w:firstLine="602"/>
        <w:spacing w:after="0" w:line="276" w:lineRule="auto"/>
        <w:rPr>
          <w:sz w:val="20"/>
          <w:szCs w:val="20"/>
          <w:color w:val="auto"/>
        </w:rPr>
      </w:pPr>
      <w:r>
        <w:rPr>
          <w:rFonts w:ascii="Arial" w:cs="Arial" w:eastAsia="Arial" w:hAnsi="Arial"/>
          <w:sz w:val="12"/>
          <w:szCs w:val="12"/>
          <w:color w:val="auto"/>
        </w:rPr>
        <w:t>On July 24, 2018, we secured a $70 million incremental loan commitment under the New First Lien Term Loan. The proceeds of this incremental borrowing, together with a portion of the funds held in the Company upon the closing of the Business Combination, were used to repay our $200 million New Second Lien Term Loan in full.</w:t>
      </w:r>
    </w:p>
    <w:p>
      <w:pPr>
        <w:spacing w:after="0" w:line="115" w:lineRule="exact"/>
        <w:rPr>
          <w:sz w:val="20"/>
          <w:szCs w:val="20"/>
          <w:color w:val="auto"/>
        </w:rPr>
      </w:pPr>
    </w:p>
    <w:p>
      <w:pPr>
        <w:ind w:firstLine="602"/>
        <w:spacing w:after="0" w:line="306" w:lineRule="auto"/>
        <w:rPr>
          <w:sz w:val="20"/>
          <w:szCs w:val="20"/>
          <w:color w:val="auto"/>
        </w:rPr>
      </w:pPr>
      <w:r>
        <w:rPr>
          <w:rFonts w:ascii="Arial" w:cs="Arial" w:eastAsia="Arial" w:hAnsi="Arial"/>
          <w:sz w:val="10"/>
          <w:szCs w:val="10"/>
          <w:color w:val="auto"/>
        </w:rPr>
        <w:t>The New Revolver matures on February 28, 2023. Borrowing eligibility under the New Revolver is subject to a monthly borrowing base calculation based on (i) certain percentages of eligible accounts receivable and inventory, less (ii) certain reserve items, including outstanding letters of credit and other reserves. We may at any time, on not more than five occasions, request an increase to the New Revolver of up to an aggregate amount of $50 million. The New Revolver bears interest on either (1) LIBOR plus an applicable margin, or (2) an alternate base rate, plus an applicable margin. The margin percentage applied to (1) LIBOR is either 1.25%, 1.50%, or 1.75%, or (2) the base rate is either</w:t>
      </w:r>
    </w:p>
    <w:p>
      <w:pPr>
        <w:spacing w:after="0" w:line="1" w:lineRule="exact"/>
        <w:rPr>
          <w:sz w:val="20"/>
          <w:szCs w:val="20"/>
          <w:color w:val="auto"/>
        </w:rPr>
      </w:pPr>
    </w:p>
    <w:p>
      <w:pPr>
        <w:ind w:right="200"/>
        <w:spacing w:after="0" w:line="261" w:lineRule="auto"/>
        <w:rPr>
          <w:sz w:val="20"/>
          <w:szCs w:val="20"/>
          <w:color w:val="auto"/>
        </w:rPr>
      </w:pPr>
      <w:r>
        <w:rPr>
          <w:rFonts w:ascii="Arial" w:cs="Arial" w:eastAsia="Arial" w:hAnsi="Arial"/>
          <w:sz w:val="12"/>
          <w:szCs w:val="12"/>
          <w:color w:val="auto"/>
        </w:rPr>
        <w:t>0.25%, 0.50%, or 0.75%, depending on our average availability to borrow under the commitment. At December 31, 2019, we had no outstanding borrowings on the New Revolver and the availability to borrow was $63.5 million, net of $0.1 million of outstanding letters of credit.</w:t>
      </w:r>
    </w:p>
    <w:p>
      <w:pPr>
        <w:spacing w:after="0" w:line="123" w:lineRule="exact"/>
        <w:rPr>
          <w:sz w:val="20"/>
          <w:szCs w:val="20"/>
          <w:color w:val="auto"/>
        </w:rPr>
      </w:pPr>
    </w:p>
    <w:p>
      <w:pPr>
        <w:ind w:right="20" w:firstLine="602"/>
        <w:spacing w:after="0" w:line="276" w:lineRule="auto"/>
        <w:rPr>
          <w:sz w:val="20"/>
          <w:szCs w:val="20"/>
          <w:color w:val="auto"/>
        </w:rPr>
      </w:pPr>
      <w:r>
        <w:rPr>
          <w:rFonts w:ascii="Arial" w:cs="Arial" w:eastAsia="Arial" w:hAnsi="Arial"/>
          <w:sz w:val="12"/>
          <w:szCs w:val="12"/>
          <w:color w:val="auto"/>
        </w:rPr>
        <w:t>Interest on the unused portion of the New Revolver is payable quarterly at 0.375% at December 31, 2019. We are also required to pay participation and fronting fees on $0.1 million in outstanding letters of credit at 1.38% as of December 31, 2019.</w:t>
      </w:r>
    </w:p>
    <w:p>
      <w:pPr>
        <w:spacing w:after="0" w:line="115" w:lineRule="exact"/>
        <w:rPr>
          <w:sz w:val="20"/>
          <w:szCs w:val="20"/>
          <w:color w:val="auto"/>
        </w:rPr>
      </w:pPr>
    </w:p>
    <w:p>
      <w:pPr>
        <w:ind w:right="80" w:firstLine="602"/>
        <w:spacing w:after="0" w:line="263" w:lineRule="auto"/>
        <w:rPr>
          <w:sz w:val="20"/>
          <w:szCs w:val="20"/>
          <w:color w:val="auto"/>
        </w:rPr>
      </w:pPr>
      <w:r>
        <w:rPr>
          <w:rFonts w:ascii="Arial" w:cs="Arial" w:eastAsia="Arial" w:hAnsi="Arial"/>
          <w:sz w:val="12"/>
          <w:szCs w:val="12"/>
          <w:color w:val="auto"/>
        </w:rPr>
        <w:t>All borrowings and other extensions of credits under the 2018 Credit Facilities are subject to the satisfaction of customary conditions and restrictive covenants including absence of defaults and accuracy in material respects of representations and warranties. As of December 31, 2019, we were in compliance with the covenants in the 2018 Credit Facilities. Substantially all of our assets are pledged as collateral to secure our indebtedness under the 2018 Credit Facilities.</w:t>
      </w:r>
    </w:p>
    <w:p>
      <w:pPr>
        <w:spacing w:after="0" w:line="123" w:lineRule="exact"/>
        <w:rPr>
          <w:sz w:val="20"/>
          <w:szCs w:val="20"/>
          <w:color w:val="auto"/>
        </w:rPr>
      </w:pPr>
    </w:p>
    <w:p>
      <w:pPr>
        <w:ind w:right="180" w:firstLine="602"/>
        <w:spacing w:after="0" w:line="276" w:lineRule="auto"/>
        <w:rPr>
          <w:sz w:val="20"/>
          <w:szCs w:val="20"/>
          <w:color w:val="auto"/>
        </w:rPr>
      </w:pPr>
      <w:r>
        <w:rPr>
          <w:rFonts w:ascii="Arial" w:cs="Arial" w:eastAsia="Arial" w:hAnsi="Arial"/>
          <w:sz w:val="12"/>
          <w:szCs w:val="12"/>
          <w:color w:val="auto"/>
        </w:rPr>
        <w:t>We recognized a charge of $10.2 million in the year ended December 31, 2018 consisting of a $3.8 million prepayment penalty on the Old Term Loan balances, a $2.0 million write-off of preexisting deferred financing costs and $4.4 million of lender and third-party costs associated with the issuance of the 2018 Credit Facilities.</w:t>
      </w:r>
    </w:p>
    <w:p>
      <w:pPr>
        <w:spacing w:after="0" w:line="115" w:lineRule="exact"/>
        <w:rPr>
          <w:sz w:val="20"/>
          <w:szCs w:val="20"/>
          <w:color w:val="auto"/>
        </w:rPr>
      </w:pPr>
    </w:p>
    <w:p>
      <w:pPr>
        <w:ind w:right="20" w:firstLine="602"/>
        <w:spacing w:after="0" w:line="276" w:lineRule="auto"/>
        <w:rPr>
          <w:sz w:val="20"/>
          <w:szCs w:val="20"/>
          <w:color w:val="auto"/>
        </w:rPr>
      </w:pPr>
      <w:r>
        <w:rPr>
          <w:rFonts w:ascii="Arial" w:cs="Arial" w:eastAsia="Arial" w:hAnsi="Arial"/>
          <w:sz w:val="12"/>
          <w:szCs w:val="12"/>
          <w:color w:val="auto"/>
        </w:rPr>
        <w:t>We also recorded a loss on extinguishment of the New Second Lien Term Loan of $16.3 million, comprised of a prepayment penalty on redemption of the New Second Lien Term Loan and the write-off of unamortized deferred financing and lender costs associated with the issuance of the loan.</w:t>
      </w:r>
    </w:p>
    <w:p>
      <w:pPr>
        <w:spacing w:after="0" w:line="18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Commitments and Contingencies</w:t>
      </w:r>
    </w:p>
    <w:p>
      <w:pPr>
        <w:spacing w:after="0" w:line="82" w:lineRule="exact"/>
        <w:rPr>
          <w:sz w:val="20"/>
          <w:szCs w:val="20"/>
          <w:color w:val="auto"/>
        </w:rPr>
      </w:pPr>
    </w:p>
    <w:p>
      <w:pPr>
        <w:ind w:right="140" w:firstLine="602"/>
        <w:spacing w:after="0" w:line="276" w:lineRule="auto"/>
        <w:rPr>
          <w:sz w:val="20"/>
          <w:szCs w:val="20"/>
          <w:color w:val="auto"/>
        </w:rPr>
      </w:pPr>
      <w:r>
        <w:rPr>
          <w:rFonts w:ascii="Arial" w:cs="Arial" w:eastAsia="Arial" w:hAnsi="Arial"/>
          <w:sz w:val="12"/>
          <w:szCs w:val="12"/>
          <w:color w:val="auto"/>
        </w:rPr>
        <w:t>We have issued various letters of credit under contractual arrangements with certain of our vendors and customers. Outstanding letters of credit under these arrangements totaled $0.1 million and $1.0 million at December 31, 2019 and 2018, respectively. The letters of credit are not released until all services have been provided or the contract has been cancelled.</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17740" cy="3683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ectPr>
          <w:pgSz w:w="11900" w:h="16838" w:orient="portrait"/>
          <w:cols w:equalWidth="0" w:num="1">
            <w:col w:w="11480"/>
          </w:cols>
          <w:pgMar w:left="220" w:top="158" w:right="199" w:bottom="1440" w:gutter="0" w:footer="0" w:header="0"/>
        </w:sectPr>
      </w:pPr>
    </w:p>
    <w:bookmarkStart w:id="59" w:name="page60"/>
    <w:bookmarkEnd w:id="59"/>
    <w:p>
      <w:pPr>
        <w:ind w:left="600"/>
        <w:spacing w:after="0"/>
        <w:rPr>
          <w:sz w:val="20"/>
          <w:szCs w:val="20"/>
          <w:color w:val="auto"/>
        </w:rPr>
      </w:pPr>
      <w:r>
        <w:rPr>
          <w:rFonts w:ascii="Arial" w:cs="Arial" w:eastAsia="Arial" w:hAnsi="Arial"/>
          <w:sz w:val="12"/>
          <w:szCs w:val="12"/>
          <w:color w:val="auto"/>
        </w:rPr>
        <w:t>The following table summarizes our contractual commitments at December 31, 2019:</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640" w:type="dxa"/>
            <w:vAlign w:val="bottom"/>
          </w:tcPr>
          <w:p>
            <w:pPr>
              <w:spacing w:after="0"/>
              <w:rPr>
                <w:sz w:val="13"/>
                <w:szCs w:val="13"/>
                <w:color w:val="auto"/>
              </w:rPr>
            </w:pPr>
          </w:p>
        </w:tc>
        <w:tc>
          <w:tcPr>
            <w:tcW w:w="40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320" w:type="dxa"/>
            <w:vAlign w:val="bottom"/>
            <w:gridSpan w:val="3"/>
          </w:tcPr>
          <w:p>
            <w:pPr>
              <w:jc w:val="right"/>
              <w:spacing w:after="0"/>
              <w:rPr>
                <w:sz w:val="20"/>
                <w:szCs w:val="20"/>
                <w:color w:val="auto"/>
              </w:rPr>
            </w:pPr>
            <w:r>
              <w:rPr>
                <w:rFonts w:ascii="Arial" w:cs="Arial" w:eastAsia="Arial" w:hAnsi="Arial"/>
                <w:sz w:val="12"/>
                <w:szCs w:val="12"/>
                <w:b w:val="1"/>
                <w:bCs w:val="1"/>
                <w:color w:val="auto"/>
                <w:w w:val="92"/>
              </w:rPr>
              <w:t>Payments due by period</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48"/>
        </w:trPr>
        <w:tc>
          <w:tcPr>
            <w:tcW w:w="4720" w:type="dxa"/>
            <w:vAlign w:val="bottom"/>
            <w:gridSpan w:val="2"/>
          </w:tcPr>
          <w:p>
            <w:pPr>
              <w:spacing w:after="0"/>
              <w:rPr>
                <w:sz w:val="20"/>
                <w:szCs w:val="20"/>
                <w:color w:val="auto"/>
              </w:rPr>
            </w:pPr>
            <w:r>
              <w:rPr>
                <w:rFonts w:ascii="Arial" w:cs="Arial" w:eastAsia="Arial" w:hAnsi="Arial"/>
                <w:sz w:val="10"/>
                <w:szCs w:val="10"/>
                <w:b w:val="1"/>
                <w:bCs w:val="1"/>
                <w:u w:val="single" w:color="auto"/>
                <w:color w:val="auto"/>
              </w:rPr>
              <w:t>(</w:t>
            </w:r>
            <w:r>
              <w:rPr>
                <w:rFonts w:ascii="Arial" w:cs="Arial" w:eastAsia="Arial" w:hAnsi="Arial"/>
                <w:sz w:val="10"/>
                <w:szCs w:val="10"/>
                <w:b w:val="1"/>
                <w:bCs w:val="1"/>
                <w:color w:val="auto"/>
              </w:rPr>
              <w:t>$ in thousands)</w:t>
            </w:r>
          </w:p>
        </w:tc>
        <w:tc>
          <w:tcPr>
            <w:tcW w:w="280" w:type="dxa"/>
            <w:vAlign w:val="bottom"/>
          </w:tcPr>
          <w:p>
            <w:pPr>
              <w:spacing w:after="0"/>
              <w:rPr>
                <w:sz w:val="12"/>
                <w:szCs w:val="12"/>
                <w:color w:val="auto"/>
              </w:rPr>
            </w:pPr>
          </w:p>
        </w:tc>
        <w:tc>
          <w:tcPr>
            <w:tcW w:w="1020" w:type="dxa"/>
            <w:vAlign w:val="bottom"/>
          </w:tcPr>
          <w:p>
            <w:pPr>
              <w:jc w:val="right"/>
              <w:ind w:right="460"/>
              <w:spacing w:after="0"/>
              <w:rPr>
                <w:sz w:val="20"/>
                <w:szCs w:val="20"/>
                <w:color w:val="auto"/>
              </w:rPr>
            </w:pPr>
            <w:r>
              <w:rPr>
                <w:rFonts w:ascii="Arial" w:cs="Arial" w:eastAsia="Arial" w:hAnsi="Arial"/>
                <w:sz w:val="12"/>
                <w:szCs w:val="12"/>
                <w:b w:val="1"/>
                <w:bCs w:val="1"/>
                <w:color w:val="auto"/>
              </w:rPr>
              <w:t>Total</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jc w:val="right"/>
              <w:ind w:right="400"/>
              <w:spacing w:after="0"/>
              <w:rPr>
                <w:sz w:val="20"/>
                <w:szCs w:val="20"/>
                <w:color w:val="auto"/>
              </w:rPr>
            </w:pPr>
            <w:r>
              <w:rPr>
                <w:rFonts w:ascii="Arial" w:cs="Arial" w:eastAsia="Arial" w:hAnsi="Arial"/>
                <w:sz w:val="12"/>
                <w:szCs w:val="12"/>
                <w:b w:val="1"/>
                <w:bCs w:val="1"/>
                <w:color w:val="auto"/>
              </w:rPr>
              <w:t>1 year</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jc w:val="right"/>
              <w:ind w:right="300"/>
              <w:spacing w:after="0"/>
              <w:rPr>
                <w:sz w:val="20"/>
                <w:szCs w:val="20"/>
                <w:color w:val="auto"/>
              </w:rPr>
            </w:pPr>
            <w:r>
              <w:rPr>
                <w:rFonts w:ascii="Arial" w:cs="Arial" w:eastAsia="Arial" w:hAnsi="Arial"/>
                <w:sz w:val="12"/>
                <w:szCs w:val="12"/>
                <w:b w:val="1"/>
                <w:bCs w:val="1"/>
                <w:color w:val="auto"/>
              </w:rPr>
              <w:t>2 - 3 years</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2"/>
          </w:tcPr>
          <w:p>
            <w:pPr>
              <w:ind w:left="140"/>
              <w:spacing w:after="0"/>
              <w:rPr>
                <w:sz w:val="20"/>
                <w:szCs w:val="20"/>
                <w:color w:val="auto"/>
              </w:rPr>
            </w:pPr>
            <w:r>
              <w:rPr>
                <w:rFonts w:ascii="Arial" w:cs="Arial" w:eastAsia="Arial" w:hAnsi="Arial"/>
                <w:sz w:val="12"/>
                <w:szCs w:val="12"/>
                <w:b w:val="1"/>
                <w:bCs w:val="1"/>
                <w:color w:val="auto"/>
              </w:rPr>
              <w:t>4 - 5 years</w:t>
            </w:r>
          </w:p>
        </w:tc>
        <w:tc>
          <w:tcPr>
            <w:tcW w:w="200" w:type="dxa"/>
            <w:vAlign w:val="bottom"/>
          </w:tcPr>
          <w:p>
            <w:pPr>
              <w:spacing w:after="0"/>
              <w:rPr>
                <w:sz w:val="12"/>
                <w:szCs w:val="12"/>
                <w:color w:val="auto"/>
              </w:rPr>
            </w:pPr>
          </w:p>
        </w:tc>
        <w:tc>
          <w:tcPr>
            <w:tcW w:w="1140" w:type="dxa"/>
            <w:vAlign w:val="bottom"/>
            <w:gridSpan w:val="2"/>
          </w:tcPr>
          <w:p>
            <w:pPr>
              <w:ind w:left="140"/>
              <w:spacing w:after="0"/>
              <w:rPr>
                <w:sz w:val="20"/>
                <w:szCs w:val="20"/>
                <w:color w:val="auto"/>
              </w:rPr>
            </w:pPr>
            <w:r>
              <w:rPr>
                <w:rFonts w:ascii="Arial" w:cs="Arial" w:eastAsia="Arial" w:hAnsi="Arial"/>
                <w:sz w:val="12"/>
                <w:szCs w:val="12"/>
                <w:b w:val="1"/>
                <w:bCs w:val="1"/>
                <w:color w:val="auto"/>
              </w:rPr>
              <w:t>Thereafter</w:t>
            </w:r>
          </w:p>
        </w:tc>
      </w:tr>
      <w:tr>
        <w:trPr>
          <w:trHeight w:val="20"/>
        </w:trPr>
        <w:tc>
          <w:tcPr>
            <w:tcW w:w="640" w:type="dxa"/>
            <w:vAlign w:val="bottom"/>
            <w:tcBorders>
              <w:bottom w:val="single" w:sz="8" w:color="CFF0FC"/>
            </w:tcBorders>
            <w:shd w:val="clear" w:color="auto" w:fill="000000"/>
          </w:tcPr>
          <w:p>
            <w:pPr>
              <w:spacing w:after="0" w:line="20" w:lineRule="exact"/>
              <w:rPr>
                <w:sz w:val="1"/>
                <w:szCs w:val="1"/>
                <w:color w:val="auto"/>
              </w:rPr>
            </w:pPr>
          </w:p>
        </w:tc>
        <w:tc>
          <w:tcPr>
            <w:tcW w:w="4080" w:type="dxa"/>
            <w:vAlign w:val="bottom"/>
            <w:tcBorders>
              <w:bottom w:val="single" w:sz="8" w:color="CFF0FC"/>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r>
      <w:tr>
        <w:trPr>
          <w:trHeight w:val="131"/>
        </w:trPr>
        <w:tc>
          <w:tcPr>
            <w:tcW w:w="4720" w:type="dxa"/>
            <w:vAlign w:val="bottom"/>
            <w:gridSpan w:val="2"/>
            <w:shd w:val="clear" w:color="auto" w:fill="CFF0FC"/>
          </w:tcPr>
          <w:p>
            <w:pPr>
              <w:spacing w:after="0" w:line="132" w:lineRule="exact"/>
              <w:rPr>
                <w:sz w:val="20"/>
                <w:szCs w:val="20"/>
                <w:color w:val="auto"/>
              </w:rPr>
            </w:pPr>
            <w:r>
              <w:rPr>
                <w:rFonts w:ascii="Arial" w:cs="Arial" w:eastAsia="Arial" w:hAnsi="Arial"/>
                <w:sz w:val="12"/>
                <w:szCs w:val="12"/>
                <w:color w:val="auto"/>
              </w:rPr>
              <w:t xml:space="preserve">Long-term debt, including current maturities </w:t>
            </w:r>
            <w:r>
              <w:rPr>
                <w:rFonts w:ascii="Arial" w:cs="Arial" w:eastAsia="Arial" w:hAnsi="Arial"/>
                <w:sz w:val="10"/>
                <w:szCs w:val="10"/>
                <w:color w:val="auto"/>
              </w:rPr>
              <w:t>(1)</w:t>
            </w:r>
          </w:p>
        </w:tc>
        <w:tc>
          <w:tcPr>
            <w:tcW w:w="280" w:type="dxa"/>
            <w:vAlign w:val="bottom"/>
            <w:shd w:val="clear" w:color="auto" w:fill="CFF0FC"/>
          </w:tcPr>
          <w:p>
            <w:pPr>
              <w:jc w:val="right"/>
              <w:ind w:right="170"/>
              <w:spacing w:after="0"/>
              <w:rPr>
                <w:sz w:val="20"/>
                <w:szCs w:val="20"/>
                <w:color w:val="auto"/>
              </w:rPr>
            </w:pPr>
            <w:r>
              <w:rPr>
                <w:rFonts w:ascii="Arial" w:cs="Arial" w:eastAsia="Arial" w:hAnsi="Arial"/>
                <w:sz w:val="10"/>
                <w:szCs w:val="10"/>
                <w:color w:val="auto"/>
                <w:w w:val="71"/>
              </w:rPr>
              <w:t>$</w:t>
            </w:r>
          </w:p>
        </w:tc>
        <w:tc>
          <w:tcPr>
            <w:tcW w:w="1020" w:type="dxa"/>
            <w:vAlign w:val="bottom"/>
            <w:shd w:val="clear" w:color="auto" w:fill="CFF0FC"/>
          </w:tcPr>
          <w:p>
            <w:pPr>
              <w:jc w:val="right"/>
              <w:spacing w:after="0" w:line="132" w:lineRule="exact"/>
              <w:rPr>
                <w:sz w:val="20"/>
                <w:szCs w:val="20"/>
                <w:color w:val="auto"/>
              </w:rPr>
            </w:pPr>
            <w:r>
              <w:rPr>
                <w:rFonts w:ascii="Arial" w:cs="Arial" w:eastAsia="Arial" w:hAnsi="Arial"/>
                <w:sz w:val="12"/>
                <w:szCs w:val="12"/>
                <w:color w:val="auto"/>
              </w:rPr>
              <w:t>894,421</w:t>
            </w:r>
          </w:p>
        </w:tc>
        <w:tc>
          <w:tcPr>
            <w:tcW w:w="360" w:type="dxa"/>
            <w:vAlign w:val="bottom"/>
            <w:gridSpan w:val="2"/>
            <w:shd w:val="clear" w:color="auto" w:fill="CFF0FC"/>
          </w:tcPr>
          <w:p>
            <w:pPr>
              <w:jc w:val="right"/>
              <w:ind w:right="200"/>
              <w:spacing w:after="0" w:line="132" w:lineRule="exact"/>
              <w:rPr>
                <w:sz w:val="20"/>
                <w:szCs w:val="20"/>
                <w:color w:val="auto"/>
              </w:rPr>
            </w:pPr>
            <w:r>
              <w:rPr>
                <w:rFonts w:ascii="Arial" w:cs="Arial" w:eastAsia="Arial" w:hAnsi="Arial"/>
                <w:sz w:val="12"/>
                <w:szCs w:val="12"/>
                <w:color w:val="auto"/>
              </w:rPr>
              <w:t>$</w:t>
            </w:r>
          </w:p>
        </w:tc>
        <w:tc>
          <w:tcPr>
            <w:tcW w:w="980" w:type="dxa"/>
            <w:vAlign w:val="bottom"/>
            <w:shd w:val="clear" w:color="auto" w:fill="CFF0FC"/>
          </w:tcPr>
          <w:p>
            <w:pPr>
              <w:jc w:val="right"/>
              <w:spacing w:after="0" w:line="132" w:lineRule="exact"/>
              <w:rPr>
                <w:sz w:val="20"/>
                <w:szCs w:val="20"/>
                <w:color w:val="auto"/>
              </w:rPr>
            </w:pPr>
            <w:r>
              <w:rPr>
                <w:rFonts w:ascii="Arial" w:cs="Arial" w:eastAsia="Arial" w:hAnsi="Arial"/>
                <w:sz w:val="12"/>
                <w:szCs w:val="12"/>
                <w:color w:val="auto"/>
              </w:rPr>
              <w:t>28,779</w:t>
            </w:r>
          </w:p>
        </w:tc>
        <w:tc>
          <w:tcPr>
            <w:tcW w:w="300" w:type="dxa"/>
            <w:vAlign w:val="bottom"/>
            <w:gridSpan w:val="2"/>
            <w:shd w:val="clear" w:color="auto" w:fill="CFF0FC"/>
          </w:tcPr>
          <w:p>
            <w:pPr>
              <w:jc w:val="right"/>
              <w:ind w:right="140"/>
              <w:spacing w:after="0" w:line="132" w:lineRule="exact"/>
              <w:rPr>
                <w:sz w:val="20"/>
                <w:szCs w:val="20"/>
                <w:color w:val="auto"/>
              </w:rPr>
            </w:pPr>
            <w:r>
              <w:rPr>
                <w:rFonts w:ascii="Arial" w:cs="Arial" w:eastAsia="Arial" w:hAnsi="Arial"/>
                <w:sz w:val="12"/>
                <w:szCs w:val="12"/>
                <w:color w:val="auto"/>
              </w:rPr>
              <w:t>$</w:t>
            </w:r>
          </w:p>
        </w:tc>
        <w:tc>
          <w:tcPr>
            <w:tcW w:w="1020" w:type="dxa"/>
            <w:vAlign w:val="bottom"/>
            <w:shd w:val="clear" w:color="auto" w:fill="CFF0FC"/>
          </w:tcPr>
          <w:p>
            <w:pPr>
              <w:jc w:val="right"/>
              <w:spacing w:after="0" w:line="132" w:lineRule="exact"/>
              <w:rPr>
                <w:sz w:val="20"/>
                <w:szCs w:val="20"/>
                <w:color w:val="auto"/>
              </w:rPr>
            </w:pPr>
            <w:r>
              <w:rPr>
                <w:rFonts w:ascii="Arial" w:cs="Arial" w:eastAsia="Arial" w:hAnsi="Arial"/>
                <w:sz w:val="12"/>
                <w:szCs w:val="12"/>
                <w:color w:val="auto"/>
              </w:rPr>
              <w:t>18,208</w:t>
            </w:r>
          </w:p>
        </w:tc>
        <w:tc>
          <w:tcPr>
            <w:tcW w:w="320" w:type="dxa"/>
            <w:vAlign w:val="bottom"/>
            <w:gridSpan w:val="2"/>
            <w:shd w:val="clear" w:color="auto" w:fill="CFF0FC"/>
          </w:tcPr>
          <w:p>
            <w:pPr>
              <w:jc w:val="right"/>
              <w:ind w:right="140"/>
              <w:spacing w:after="0" w:line="132" w:lineRule="exact"/>
              <w:rPr>
                <w:sz w:val="20"/>
                <w:szCs w:val="20"/>
                <w:color w:val="auto"/>
              </w:rPr>
            </w:pPr>
            <w:r>
              <w:rPr>
                <w:rFonts w:ascii="Arial" w:cs="Arial" w:eastAsia="Arial" w:hAnsi="Arial"/>
                <w:sz w:val="12"/>
                <w:szCs w:val="12"/>
                <w:color w:val="auto"/>
              </w:rPr>
              <w:t>$</w:t>
            </w:r>
          </w:p>
        </w:tc>
        <w:tc>
          <w:tcPr>
            <w:tcW w:w="1020" w:type="dxa"/>
            <w:vAlign w:val="bottom"/>
            <w:shd w:val="clear" w:color="auto" w:fill="CFF0FC"/>
          </w:tcPr>
          <w:p>
            <w:pPr>
              <w:jc w:val="right"/>
              <w:spacing w:after="0" w:line="132" w:lineRule="exact"/>
              <w:rPr>
                <w:sz w:val="20"/>
                <w:szCs w:val="20"/>
                <w:color w:val="auto"/>
              </w:rPr>
            </w:pPr>
            <w:r>
              <w:rPr>
                <w:rFonts w:ascii="Arial" w:cs="Arial" w:eastAsia="Arial" w:hAnsi="Arial"/>
                <w:sz w:val="12"/>
                <w:szCs w:val="12"/>
                <w:color w:val="auto"/>
              </w:rPr>
              <w:t>18,208</w:t>
            </w:r>
          </w:p>
        </w:tc>
        <w:tc>
          <w:tcPr>
            <w:tcW w:w="120" w:type="dxa"/>
            <w:vAlign w:val="bottom"/>
            <w:shd w:val="clear" w:color="auto" w:fill="CFF0FC"/>
          </w:tcPr>
          <w:p>
            <w:pPr>
              <w:spacing w:after="0"/>
              <w:rPr>
                <w:sz w:val="11"/>
                <w:szCs w:val="11"/>
                <w:color w:val="auto"/>
              </w:rPr>
            </w:pPr>
          </w:p>
        </w:tc>
        <w:tc>
          <w:tcPr>
            <w:tcW w:w="200" w:type="dxa"/>
            <w:vAlign w:val="bottom"/>
            <w:shd w:val="clear" w:color="auto" w:fill="CFF0FC"/>
          </w:tcPr>
          <w:p>
            <w:pPr>
              <w:jc w:val="right"/>
              <w:ind w:right="90"/>
              <w:spacing w:after="0"/>
              <w:rPr>
                <w:sz w:val="20"/>
                <w:szCs w:val="20"/>
                <w:color w:val="auto"/>
              </w:rPr>
            </w:pPr>
            <w:r>
              <w:rPr>
                <w:rFonts w:ascii="Arial" w:cs="Arial" w:eastAsia="Arial" w:hAnsi="Arial"/>
                <w:sz w:val="10"/>
                <w:szCs w:val="10"/>
                <w:color w:val="auto"/>
                <w:w w:val="71"/>
              </w:rPr>
              <w:t>$</w:t>
            </w:r>
          </w:p>
        </w:tc>
        <w:tc>
          <w:tcPr>
            <w:tcW w:w="1020" w:type="dxa"/>
            <w:vAlign w:val="bottom"/>
            <w:shd w:val="clear" w:color="auto" w:fill="CFF0FC"/>
          </w:tcPr>
          <w:p>
            <w:pPr>
              <w:jc w:val="right"/>
              <w:spacing w:after="0" w:line="132" w:lineRule="exact"/>
              <w:rPr>
                <w:sz w:val="20"/>
                <w:szCs w:val="20"/>
                <w:color w:val="auto"/>
              </w:rPr>
            </w:pPr>
            <w:r>
              <w:rPr>
                <w:rFonts w:ascii="Arial" w:cs="Arial" w:eastAsia="Arial" w:hAnsi="Arial"/>
                <w:sz w:val="12"/>
                <w:szCs w:val="12"/>
                <w:color w:val="auto"/>
              </w:rPr>
              <w:t>829,226</w:t>
            </w:r>
          </w:p>
        </w:tc>
        <w:tc>
          <w:tcPr>
            <w:tcW w:w="120" w:type="dxa"/>
            <w:vAlign w:val="bottom"/>
            <w:shd w:val="clear" w:color="auto" w:fill="CFF0FC"/>
          </w:tcPr>
          <w:p>
            <w:pPr>
              <w:spacing w:after="0"/>
              <w:rPr>
                <w:sz w:val="11"/>
                <w:szCs w:val="11"/>
                <w:color w:val="auto"/>
              </w:rPr>
            </w:pPr>
          </w:p>
        </w:tc>
      </w:tr>
      <w:tr>
        <w:trPr>
          <w:trHeight w:val="153"/>
        </w:trPr>
        <w:tc>
          <w:tcPr>
            <w:tcW w:w="4720" w:type="dxa"/>
            <w:vAlign w:val="bottom"/>
            <w:gridSpan w:val="2"/>
          </w:tcPr>
          <w:p>
            <w:pPr>
              <w:spacing w:after="0"/>
              <w:rPr>
                <w:sz w:val="20"/>
                <w:szCs w:val="20"/>
                <w:color w:val="auto"/>
              </w:rPr>
            </w:pPr>
            <w:r>
              <w:rPr>
                <w:rFonts w:ascii="Arial" w:cs="Arial" w:eastAsia="Arial" w:hAnsi="Arial"/>
                <w:sz w:val="12"/>
                <w:szCs w:val="12"/>
                <w:color w:val="auto"/>
              </w:rPr>
              <w:t xml:space="preserve">Interest on long-term debt </w:t>
            </w:r>
            <w:r>
              <w:rPr>
                <w:rFonts w:ascii="Arial" w:cs="Arial" w:eastAsia="Arial" w:hAnsi="Arial"/>
                <w:sz w:val="10"/>
                <w:szCs w:val="10"/>
                <w:color w:val="auto"/>
              </w:rPr>
              <w:t>(2)</w:t>
            </w:r>
          </w:p>
        </w:tc>
        <w:tc>
          <w:tcPr>
            <w:tcW w:w="28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226,433</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45,573</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87,696</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86,185</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6,979</w:t>
            </w:r>
          </w:p>
        </w:tc>
        <w:tc>
          <w:tcPr>
            <w:tcW w:w="120" w:type="dxa"/>
            <w:vAlign w:val="bottom"/>
          </w:tcPr>
          <w:p>
            <w:pPr>
              <w:spacing w:after="0"/>
              <w:rPr>
                <w:sz w:val="13"/>
                <w:szCs w:val="13"/>
                <w:color w:val="auto"/>
              </w:rPr>
            </w:pPr>
          </w:p>
        </w:tc>
      </w:tr>
      <w:tr>
        <w:trPr>
          <w:trHeight w:val="153"/>
        </w:trPr>
        <w:tc>
          <w:tcPr>
            <w:tcW w:w="472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Operating lease agreements</w:t>
            </w:r>
          </w:p>
        </w:tc>
        <w:tc>
          <w:tcPr>
            <w:tcW w:w="280" w:type="dxa"/>
            <w:vAlign w:val="bottom"/>
            <w:shd w:val="clear" w:color="auto" w:fill="CFF0FC"/>
          </w:tcPr>
          <w:p>
            <w:pPr>
              <w:spacing w:after="0"/>
              <w:rPr>
                <w:sz w:val="13"/>
                <w:szCs w:val="13"/>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47,259</w:t>
            </w:r>
          </w:p>
        </w:tc>
        <w:tc>
          <w:tcPr>
            <w:tcW w:w="1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4,709</w:t>
            </w:r>
          </w:p>
        </w:tc>
        <w:tc>
          <w:tcPr>
            <w:tcW w:w="1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7,578</w:t>
            </w:r>
          </w:p>
        </w:tc>
        <w:tc>
          <w:tcPr>
            <w:tcW w:w="1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5,906</w:t>
            </w:r>
          </w:p>
        </w:tc>
        <w:tc>
          <w:tcPr>
            <w:tcW w:w="1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29,066</w:t>
            </w:r>
          </w:p>
        </w:tc>
        <w:tc>
          <w:tcPr>
            <w:tcW w:w="120" w:type="dxa"/>
            <w:vAlign w:val="bottom"/>
            <w:shd w:val="clear" w:color="auto" w:fill="CFF0FC"/>
          </w:tcPr>
          <w:p>
            <w:pPr>
              <w:spacing w:after="0"/>
              <w:rPr>
                <w:sz w:val="13"/>
                <w:szCs w:val="13"/>
                <w:color w:val="auto"/>
              </w:rPr>
            </w:pPr>
          </w:p>
        </w:tc>
      </w:tr>
      <w:tr>
        <w:trPr>
          <w:trHeight w:val="153"/>
        </w:trPr>
        <w:tc>
          <w:tcPr>
            <w:tcW w:w="4720" w:type="dxa"/>
            <w:vAlign w:val="bottom"/>
            <w:gridSpan w:val="2"/>
          </w:tcPr>
          <w:p>
            <w:pPr>
              <w:spacing w:after="0"/>
              <w:rPr>
                <w:sz w:val="20"/>
                <w:szCs w:val="20"/>
                <w:color w:val="auto"/>
              </w:rPr>
            </w:pPr>
            <w:r>
              <w:rPr>
                <w:rFonts w:ascii="Arial" w:cs="Arial" w:eastAsia="Arial" w:hAnsi="Arial"/>
                <w:sz w:val="12"/>
                <w:szCs w:val="12"/>
                <w:color w:val="auto"/>
              </w:rPr>
              <w:t>Purchase obligations</w:t>
            </w:r>
          </w:p>
        </w:tc>
        <w:tc>
          <w:tcPr>
            <w:tcW w:w="28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29,282</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29,013</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269</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bl>
    <w:p>
      <w:pPr>
        <w:spacing w:after="0" w:line="162" w:lineRule="exact"/>
        <w:rPr>
          <w:sz w:val="20"/>
          <w:szCs w:val="20"/>
          <w:color w:val="auto"/>
        </w:rPr>
      </w:pPr>
    </w:p>
    <w:p>
      <w:pPr>
        <w:ind w:left="1180" w:hanging="593"/>
        <w:spacing w:after="0"/>
        <w:tabs>
          <w:tab w:leader="none" w:pos="1180" w:val="left"/>
        </w:tabs>
        <w:numPr>
          <w:ilvl w:val="0"/>
          <w:numId w:val="21"/>
        </w:numPr>
        <w:rPr>
          <w:rFonts w:ascii="Arial" w:cs="Arial" w:eastAsia="Arial" w:hAnsi="Arial"/>
          <w:sz w:val="10"/>
          <w:szCs w:val="10"/>
          <w:color w:val="auto"/>
        </w:rPr>
      </w:pPr>
      <w:r>
        <w:rPr>
          <w:rFonts w:ascii="Arial" w:cs="Arial" w:eastAsia="Arial" w:hAnsi="Arial"/>
          <w:sz w:val="12"/>
          <w:szCs w:val="12"/>
          <w:color w:val="auto"/>
        </w:rPr>
        <w:t>Amounts for 2020, 2021-2022, and 2023-2024 represent quarterly installment payments with respect to the New First Lien Term Loan.</w:t>
      </w:r>
    </w:p>
    <w:p>
      <w:pPr>
        <w:spacing w:after="0" w:line="78" w:lineRule="exact"/>
        <w:rPr>
          <w:rFonts w:ascii="Arial" w:cs="Arial" w:eastAsia="Arial" w:hAnsi="Arial"/>
          <w:sz w:val="10"/>
          <w:szCs w:val="10"/>
          <w:color w:val="auto"/>
        </w:rPr>
      </w:pPr>
    </w:p>
    <w:p>
      <w:pPr>
        <w:ind w:left="1180" w:right="40" w:hanging="593"/>
        <w:spacing w:after="0" w:line="263" w:lineRule="auto"/>
        <w:tabs>
          <w:tab w:leader="none" w:pos="1180" w:val="left"/>
        </w:tabs>
        <w:numPr>
          <w:ilvl w:val="0"/>
          <w:numId w:val="21"/>
        </w:numPr>
        <w:rPr>
          <w:rFonts w:ascii="Arial" w:cs="Arial" w:eastAsia="Arial" w:hAnsi="Arial"/>
          <w:sz w:val="10"/>
          <w:szCs w:val="10"/>
          <w:color w:val="auto"/>
        </w:rPr>
      </w:pPr>
      <w:r>
        <w:rPr>
          <w:rFonts w:ascii="Arial" w:cs="Arial" w:eastAsia="Arial" w:hAnsi="Arial"/>
          <w:sz w:val="12"/>
          <w:szCs w:val="12"/>
          <w:color w:val="auto"/>
        </w:rPr>
        <w:t xml:space="preserve">The interest rate for the New First Lien Term Loan in effect at December 31, 2019 was used for a portion of year 1 and the new interest rate as of February 20, 2020 as discussed in Note 21 is used for the remainder of year 1 and for all future periods. Refer to Note 21, </w:t>
      </w:r>
      <w:r>
        <w:rPr>
          <w:rFonts w:ascii="Arial" w:cs="Arial" w:eastAsia="Arial" w:hAnsi="Arial"/>
          <w:sz w:val="12"/>
          <w:szCs w:val="12"/>
          <w:i w:val="1"/>
          <w:iCs w:val="1"/>
          <w:color w:val="auto"/>
        </w:rPr>
        <w:t>Subsequent Events</w:t>
      </w:r>
      <w:r>
        <w:rPr>
          <w:rFonts w:ascii="Arial" w:cs="Arial" w:eastAsia="Arial" w:hAnsi="Arial"/>
          <w:sz w:val="12"/>
          <w:szCs w:val="12"/>
          <w:color w:val="auto"/>
        </w:rPr>
        <w:t>, in Item 8. Financial Statements and Supplementary Data, for information on the refinancing of our debt, which reduced the interest rate by 50 basis points, effective February 20, 2020.</w:t>
      </w:r>
    </w:p>
    <w:p>
      <w:pPr>
        <w:spacing w:after="0" w:line="24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Legal Proceedings</w:t>
      </w:r>
    </w:p>
    <w:p>
      <w:pPr>
        <w:spacing w:after="0" w:line="78" w:lineRule="exact"/>
        <w:rPr>
          <w:sz w:val="20"/>
          <w:szCs w:val="20"/>
          <w:color w:val="auto"/>
        </w:rPr>
      </w:pPr>
    </w:p>
    <w:p>
      <w:pPr>
        <w:jc w:val="both"/>
        <w:ind w:right="200" w:firstLine="602"/>
        <w:spacing w:after="0" w:line="340" w:lineRule="auto"/>
        <w:rPr>
          <w:sz w:val="20"/>
          <w:szCs w:val="20"/>
          <w:color w:val="auto"/>
        </w:rPr>
      </w:pPr>
      <w:r>
        <w:rPr>
          <w:rFonts w:ascii="Arial" w:cs="Arial" w:eastAsia="Arial" w:hAnsi="Arial"/>
          <w:sz w:val="10"/>
          <w:szCs w:val="10"/>
          <w:color w:val="auto"/>
        </w:rPr>
        <w:t>We are subject to legal and regulatory actions that arise from time to time in the ordinary course of business. We record a liability when we believe it is probable a loss will be incurred and the amount of loss or range of loss can be reasonably estimated. The assessment as to whether a loss is probable, reasonably possible or remote, and as to whether a loss or a range of such loss is estimable, often involves significant judgment about future events. We have determined that resolution of pending matters is not probable to have a material adverse impact on our consolidated results of operations, cash flows, or financial position. However, the outcome of litigation is inherently uncertain.</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Off-Balance Sheet Arrangements</w:t>
      </w:r>
    </w:p>
    <w:p>
      <w:pPr>
        <w:spacing w:after="0" w:line="82" w:lineRule="exact"/>
        <w:rPr>
          <w:sz w:val="20"/>
          <w:szCs w:val="20"/>
          <w:color w:val="auto"/>
        </w:rPr>
      </w:pPr>
    </w:p>
    <w:p>
      <w:pPr>
        <w:ind w:left="600"/>
        <w:spacing w:after="0"/>
        <w:rPr>
          <w:sz w:val="20"/>
          <w:szCs w:val="20"/>
          <w:color w:val="auto"/>
        </w:rPr>
      </w:pPr>
      <w:r>
        <w:rPr>
          <w:rFonts w:ascii="Arial" w:cs="Arial" w:eastAsia="Arial" w:hAnsi="Arial"/>
          <w:sz w:val="12"/>
          <w:szCs w:val="12"/>
          <w:color w:val="auto"/>
        </w:rPr>
        <w:t>At December 31, 2019, we did not have any material off-balance sheet financing arrangements, nor did we have any interest in entities referred to as variable interest entities.</w:t>
      </w:r>
    </w:p>
    <w:p>
      <w:pPr>
        <w:spacing w:after="0" w:line="21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Critical Accounting Policies, Estimates and Judgments</w:t>
      </w:r>
    </w:p>
    <w:p>
      <w:pPr>
        <w:spacing w:after="0" w:line="82" w:lineRule="exact"/>
        <w:rPr>
          <w:sz w:val="20"/>
          <w:szCs w:val="20"/>
          <w:color w:val="auto"/>
        </w:rPr>
      </w:pPr>
    </w:p>
    <w:p>
      <w:pPr>
        <w:ind w:right="380" w:firstLine="602"/>
        <w:spacing w:after="0" w:line="323" w:lineRule="auto"/>
        <w:rPr>
          <w:sz w:val="20"/>
          <w:szCs w:val="20"/>
          <w:color w:val="auto"/>
        </w:rPr>
      </w:pPr>
      <w:r>
        <w:rPr>
          <w:rFonts w:ascii="Arial" w:cs="Arial" w:eastAsia="Arial" w:hAnsi="Arial"/>
          <w:sz w:val="11"/>
          <w:szCs w:val="11"/>
          <w:color w:val="auto"/>
        </w:rPr>
        <w:t>The preparation of consolidated financial statements in conformity with U.S. GAAP requires management to make estimates and assumptions that affect the amounts reported in the consolidated financial statements and accompanying notes. Management believes that our estimates and assumptions are reasonable in the circumstances; however, actual results could differ materially from those estimates.</w:t>
      </w:r>
    </w:p>
    <w:p>
      <w:pPr>
        <w:spacing w:after="0" w:line="92" w:lineRule="exact"/>
        <w:rPr>
          <w:sz w:val="20"/>
          <w:szCs w:val="20"/>
          <w:color w:val="auto"/>
        </w:rPr>
      </w:pPr>
    </w:p>
    <w:p>
      <w:pPr>
        <w:ind w:right="80" w:firstLine="602"/>
        <w:spacing w:after="0" w:line="276" w:lineRule="auto"/>
        <w:rPr>
          <w:sz w:val="20"/>
          <w:szCs w:val="20"/>
          <w:color w:val="auto"/>
        </w:rPr>
      </w:pPr>
      <w:r>
        <w:rPr>
          <w:rFonts w:ascii="Arial" w:cs="Arial" w:eastAsia="Arial" w:hAnsi="Arial"/>
          <w:sz w:val="12"/>
          <w:szCs w:val="12"/>
          <w:color w:val="auto"/>
        </w:rPr>
        <w:t xml:space="preserve">A summary of our significant accounting policies is included in Note 2, </w:t>
      </w:r>
      <w:r>
        <w:rPr>
          <w:rFonts w:ascii="Arial" w:cs="Arial" w:eastAsia="Arial" w:hAnsi="Arial"/>
          <w:sz w:val="12"/>
          <w:szCs w:val="12"/>
          <w:i w:val="1"/>
          <w:iCs w:val="1"/>
          <w:color w:val="auto"/>
        </w:rPr>
        <w:t>Significant Accounting Policies,</w:t>
      </w:r>
      <w:r>
        <w:rPr>
          <w:rFonts w:ascii="Arial" w:cs="Arial" w:eastAsia="Arial" w:hAnsi="Arial"/>
          <w:sz w:val="12"/>
          <w:szCs w:val="12"/>
          <w:color w:val="auto"/>
        </w:rPr>
        <w:t xml:space="preserve"> elsewhere in this Annual Report on Form 10-K. We believe that the critical accounting policies listed below involve our more significant judgments, assumptions, and estimates and, therefore, could have the greatest potential impact on the financial statements.</w:t>
      </w:r>
    </w:p>
    <w:p>
      <w:pPr>
        <w:spacing w:after="0" w:line="18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Revenue Recognition</w:t>
      </w:r>
    </w:p>
    <w:p>
      <w:pPr>
        <w:spacing w:after="0" w:line="78" w:lineRule="exact"/>
        <w:rPr>
          <w:sz w:val="20"/>
          <w:szCs w:val="20"/>
          <w:color w:val="auto"/>
        </w:rPr>
      </w:pPr>
    </w:p>
    <w:p>
      <w:pPr>
        <w:ind w:right="40" w:firstLine="602"/>
        <w:spacing w:after="0" w:line="298" w:lineRule="auto"/>
        <w:rPr>
          <w:sz w:val="20"/>
          <w:szCs w:val="20"/>
          <w:color w:val="auto"/>
        </w:rPr>
      </w:pPr>
      <w:r>
        <w:rPr>
          <w:rFonts w:ascii="Arial" w:cs="Arial" w:eastAsia="Arial" w:hAnsi="Arial"/>
          <w:sz w:val="11"/>
          <w:szCs w:val="11"/>
          <w:i w:val="1"/>
          <w:iCs w:val="1"/>
          <w:color w:val="auto"/>
        </w:rPr>
        <w:t>Commercial Services</w:t>
      </w:r>
      <w:r>
        <w:rPr>
          <w:rFonts w:ascii="Arial" w:cs="Arial" w:eastAsia="Arial" w:hAnsi="Arial"/>
          <w:sz w:val="11"/>
          <w:szCs w:val="11"/>
          <w:color w:val="auto"/>
        </w:rPr>
        <w:t>. The Commercial Services segment offers toll and violation management solutions for the commercial fleet and rental car industries by partnering with the leading fleet management and rental car</w:t>
      </w:r>
      <w:r>
        <w:rPr>
          <w:rFonts w:ascii="Arial" w:cs="Arial" w:eastAsia="Arial" w:hAnsi="Arial"/>
          <w:sz w:val="11"/>
          <w:szCs w:val="11"/>
          <w:i w:val="1"/>
          <w:iCs w:val="1"/>
          <w:color w:val="auto"/>
        </w:rPr>
        <w:t xml:space="preserve"> </w:t>
      </w:r>
      <w:r>
        <w:rPr>
          <w:rFonts w:ascii="Arial" w:cs="Arial" w:eastAsia="Arial" w:hAnsi="Arial"/>
          <w:sz w:val="11"/>
          <w:szCs w:val="11"/>
          <w:color w:val="auto"/>
        </w:rPr>
        <w:t>companies in North America. We have determined our performance obligation is a distinct stand-ready obligation as there is an unspecified quantity of services provided that does not diminish, and the customer is being charged only when it uses our services, such as toll payment, title and registration, etc. Payment terms for contracts with commercial fleet and rental car companies vary, but are usually billed as services are performed.</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17740" cy="3683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ectPr>
          <w:pgSz w:w="11900" w:h="16838" w:orient="portrait"/>
          <w:cols w:equalWidth="0" w:num="1">
            <w:col w:w="11480"/>
          </w:cols>
          <w:pgMar w:left="220" w:top="275" w:right="199" w:bottom="1440" w:gutter="0" w:footer="0" w:header="0"/>
        </w:sectPr>
      </w:pPr>
    </w:p>
    <w:bookmarkStart w:id="60" w:name="page61"/>
    <w:bookmarkEnd w:id="60"/>
    <w:p>
      <w:pPr>
        <w:ind w:right="20" w:firstLine="602"/>
        <w:spacing w:after="0" w:line="259" w:lineRule="auto"/>
        <w:rPr>
          <w:sz w:val="20"/>
          <w:szCs w:val="20"/>
          <w:color w:val="auto"/>
        </w:rPr>
      </w:pPr>
      <w:r>
        <w:rPr>
          <w:rFonts w:ascii="Arial" w:cs="Arial" w:eastAsia="Arial" w:hAnsi="Arial"/>
          <w:sz w:val="12"/>
          <w:szCs w:val="12"/>
          <w:i w:val="1"/>
          <w:iCs w:val="1"/>
          <w:color w:val="auto"/>
        </w:rPr>
        <w:t xml:space="preserve">Government Solutions. </w:t>
      </w:r>
      <w:r>
        <w:rPr>
          <w:rFonts w:ascii="Arial" w:cs="Arial" w:eastAsia="Arial" w:hAnsi="Arial"/>
          <w:sz w:val="12"/>
          <w:szCs w:val="12"/>
          <w:color w:val="auto"/>
        </w:rPr>
        <w:t>The Government Solutions segment principally generates revenue from providing complete, end-to-end red-light, speed, school bus stop arm, and bus lane enforcement solutions. Products, when sold,</w:t>
      </w:r>
      <w:r>
        <w:rPr>
          <w:rFonts w:ascii="Arial" w:cs="Arial" w:eastAsia="Arial" w:hAnsi="Arial"/>
          <w:sz w:val="12"/>
          <w:szCs w:val="12"/>
          <w:i w:val="1"/>
          <w:iCs w:val="1"/>
          <w:color w:val="auto"/>
        </w:rPr>
        <w:t xml:space="preserve"> </w:t>
      </w:r>
      <w:r>
        <w:rPr>
          <w:rFonts w:ascii="Arial" w:cs="Arial" w:eastAsia="Arial" w:hAnsi="Arial"/>
          <w:sz w:val="12"/>
          <w:szCs w:val="12"/>
          <w:color w:val="auto"/>
        </w:rPr>
        <w:t>are typically sold together with the services in a bundle. The average initial term of a contract is 3 to 5 years. Payment terms for contracts with government agencies vary depending on whether the consideration is fixed or variable. Payment terms for contracts with fixed consideration are usually based on equal installments over the duration of the contract. Payment terms for contracts with variable consideration are usually billed and collected as citations are issued or paid.</w:t>
      </w:r>
    </w:p>
    <w:p>
      <w:pPr>
        <w:spacing w:after="0" w:line="125" w:lineRule="exact"/>
        <w:rPr>
          <w:sz w:val="20"/>
          <w:szCs w:val="20"/>
          <w:color w:val="auto"/>
        </w:rPr>
      </w:pPr>
    </w:p>
    <w:p>
      <w:pPr>
        <w:ind w:right="20" w:firstLine="602"/>
        <w:spacing w:after="0" w:line="263" w:lineRule="auto"/>
        <w:rPr>
          <w:sz w:val="20"/>
          <w:szCs w:val="20"/>
          <w:color w:val="auto"/>
        </w:rPr>
      </w:pPr>
      <w:r>
        <w:rPr>
          <w:rFonts w:ascii="Arial" w:cs="Arial" w:eastAsia="Arial" w:hAnsi="Arial"/>
          <w:sz w:val="12"/>
          <w:szCs w:val="12"/>
          <w:color w:val="auto"/>
        </w:rPr>
        <w:t>For bundled packages, we account for individual products and services separately if they are distinct – i.e., if a product or service is separately identifiable from other items in the bundle and if a customer can benefit from it as a stand-alone item. The consideration is allocated between separate products and services in a bundle based on their stand-alone selling prices (“</w:t>
      </w:r>
      <w:r>
        <w:rPr>
          <w:rFonts w:ascii="Arial" w:cs="Arial" w:eastAsia="Arial" w:hAnsi="Arial"/>
          <w:sz w:val="12"/>
          <w:szCs w:val="12"/>
          <w:b w:val="1"/>
          <w:bCs w:val="1"/>
          <w:i w:val="1"/>
          <w:iCs w:val="1"/>
          <w:color w:val="auto"/>
        </w:rPr>
        <w:t>SSP</w:t>
      </w:r>
      <w:r>
        <w:rPr>
          <w:rFonts w:ascii="Arial" w:cs="Arial" w:eastAsia="Arial" w:hAnsi="Arial"/>
          <w:sz w:val="12"/>
          <w:szCs w:val="12"/>
          <w:color w:val="auto"/>
        </w:rPr>
        <w:t>”). We estimate the SSP of our services based upon observable evidence, market conditions and other relevant inputs.</w:t>
      </w:r>
    </w:p>
    <w:p>
      <w:pPr>
        <w:spacing w:after="0" w:line="51" w:lineRule="exact"/>
        <w:rPr>
          <w:sz w:val="20"/>
          <w:szCs w:val="20"/>
          <w:color w:val="auto"/>
        </w:rPr>
      </w:pPr>
    </w:p>
    <w:p>
      <w:pPr>
        <w:ind w:left="1180" w:right="20" w:hanging="593"/>
        <w:spacing w:after="0" w:line="276" w:lineRule="auto"/>
        <w:tabs>
          <w:tab w:leader="none" w:pos="1180" w:val="left"/>
        </w:tabs>
        <w:numPr>
          <w:ilvl w:val="0"/>
          <w:numId w:val="22"/>
        </w:numPr>
        <w:rPr>
          <w:rFonts w:ascii="Arial" w:cs="Arial" w:eastAsia="Arial" w:hAnsi="Arial"/>
          <w:sz w:val="12"/>
          <w:szCs w:val="12"/>
          <w:color w:val="auto"/>
        </w:rPr>
      </w:pPr>
      <w:r>
        <w:rPr>
          <w:rFonts w:ascii="Arial" w:cs="Arial" w:eastAsia="Arial" w:hAnsi="Arial"/>
          <w:sz w:val="12"/>
          <w:szCs w:val="12"/>
          <w:color w:val="auto"/>
        </w:rPr>
        <w:t>Product sales (sale of camera and installation) – we recognize revenue when the installation process is completed and the camera is ready to perform the services as expected by the customer. Generally, this occurs at site acceptance or first citation. We recognize revenue for the sale of the camera and installation services at a point in time.</w:t>
      </w:r>
    </w:p>
    <w:p>
      <w:pPr>
        <w:spacing w:after="0" w:line="42" w:lineRule="exact"/>
        <w:rPr>
          <w:rFonts w:ascii="Arial" w:cs="Arial" w:eastAsia="Arial" w:hAnsi="Arial"/>
          <w:sz w:val="12"/>
          <w:szCs w:val="12"/>
          <w:color w:val="auto"/>
        </w:rPr>
      </w:pPr>
    </w:p>
    <w:p>
      <w:pPr>
        <w:ind w:left="1180" w:right="40" w:hanging="593"/>
        <w:spacing w:after="0" w:line="254" w:lineRule="auto"/>
        <w:tabs>
          <w:tab w:leader="none" w:pos="1180" w:val="left"/>
        </w:tabs>
        <w:numPr>
          <w:ilvl w:val="0"/>
          <w:numId w:val="22"/>
        </w:numPr>
        <w:rPr>
          <w:rFonts w:ascii="Arial" w:cs="Arial" w:eastAsia="Arial" w:hAnsi="Arial"/>
          <w:sz w:val="12"/>
          <w:szCs w:val="12"/>
          <w:color w:val="auto"/>
        </w:rPr>
      </w:pPr>
      <w:r>
        <w:rPr>
          <w:rFonts w:ascii="Arial" w:cs="Arial" w:eastAsia="Arial" w:hAnsi="Arial"/>
          <w:sz w:val="12"/>
          <w:szCs w:val="12"/>
          <w:color w:val="auto"/>
        </w:rPr>
        <w:t>Service revenue – we have determined our performance obligation is to provide a complete end-to-end safety and enforcement solution. Promises include providing a system to capture images, processing images taken by the camera, forwarding eligible images to the local police department and processing payments on behalf of the municipality. We determined certain of the promises to our customers are capable of being distinct as they are capable of providing some measure of benefit to the customer either on their own or together with other resources that are readily available to the customer. However, we have determined the promises to our customers do not meet the criterion of being distinct within the context of our contracts. We would not be able to fulfill our promises individually as our customers could not obtain the intended benefit from the contract without us fulfilling all promises. Accordingly, we concluded that each contract represents one service offering and is a single performance obligation to our customer. Further, we account for all the services as a single continuous service. We applied the series guidance for those services as we stand ready to deliver those services over the contract period. We recognize revenue from services over time, as they are performed.</w:t>
      </w:r>
    </w:p>
    <w:p>
      <w:pPr>
        <w:spacing w:after="0" w:line="203"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Remaining Performance Obligations</w:t>
      </w:r>
    </w:p>
    <w:p>
      <w:pPr>
        <w:spacing w:after="0" w:line="78" w:lineRule="exact"/>
        <w:rPr>
          <w:sz w:val="20"/>
          <w:szCs w:val="20"/>
          <w:color w:val="auto"/>
        </w:rPr>
      </w:pPr>
    </w:p>
    <w:p>
      <w:pPr>
        <w:jc w:val="both"/>
        <w:ind w:right="100" w:firstLine="602"/>
        <w:spacing w:after="0" w:line="263" w:lineRule="auto"/>
        <w:rPr>
          <w:sz w:val="20"/>
          <w:szCs w:val="20"/>
          <w:color w:val="auto"/>
        </w:rPr>
      </w:pPr>
      <w:r>
        <w:rPr>
          <w:rFonts w:ascii="Arial" w:cs="Arial" w:eastAsia="Arial" w:hAnsi="Arial"/>
          <w:sz w:val="12"/>
          <w:szCs w:val="12"/>
          <w:color w:val="auto"/>
        </w:rPr>
        <w:t>As of December 31, 2019, we had approximately $0.2 million of remaining performance obligations in the Government Solutions segment, which includes amounts that will be invoiced and recognized in future periods. The remaining performance obligations are limited only to arrangements that meet the definition of a contract as of December 31, 2019. As these amounts relate to the initial deferral of revenue under a contract, we expect to recognize these amounts over a two-month period at the end of the contract.</w:t>
      </w:r>
    </w:p>
    <w:p>
      <w:pPr>
        <w:spacing w:after="0" w:line="123" w:lineRule="exact"/>
        <w:rPr>
          <w:sz w:val="20"/>
          <w:szCs w:val="20"/>
          <w:color w:val="auto"/>
        </w:rPr>
      </w:pPr>
    </w:p>
    <w:p>
      <w:pPr>
        <w:ind w:right="20" w:firstLine="602"/>
        <w:spacing w:after="0" w:line="276" w:lineRule="auto"/>
        <w:rPr>
          <w:sz w:val="20"/>
          <w:szCs w:val="20"/>
          <w:color w:val="auto"/>
        </w:rPr>
      </w:pPr>
      <w:r>
        <w:rPr>
          <w:rFonts w:ascii="Arial" w:cs="Arial" w:eastAsia="Arial" w:hAnsi="Arial"/>
          <w:sz w:val="12"/>
          <w:szCs w:val="12"/>
          <w:color w:val="auto"/>
        </w:rPr>
        <w:t>We apply the practical expedient and do not disclose variable consideration allocated entirely to wholly unsatisfied stand-ready performance obligations for certain Government Solutions and Commercial Services contracts as part of the information about remaining performance obligations. The duration for these contracts ranges between 3 and 5 years for new contracts.</w:t>
      </w:r>
    </w:p>
    <w:p>
      <w:pPr>
        <w:spacing w:after="0" w:line="187"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Significant Judgments</w:t>
      </w:r>
    </w:p>
    <w:p>
      <w:pPr>
        <w:spacing w:after="0" w:line="78" w:lineRule="exact"/>
        <w:rPr>
          <w:sz w:val="20"/>
          <w:szCs w:val="20"/>
          <w:color w:val="auto"/>
        </w:rPr>
      </w:pPr>
    </w:p>
    <w:p>
      <w:pPr>
        <w:ind w:firstLine="602"/>
        <w:spacing w:after="0" w:line="259" w:lineRule="auto"/>
        <w:rPr>
          <w:sz w:val="20"/>
          <w:szCs w:val="20"/>
          <w:color w:val="auto"/>
        </w:rPr>
      </w:pPr>
      <w:r>
        <w:rPr>
          <w:rFonts w:ascii="Arial" w:cs="Arial" w:eastAsia="Arial" w:hAnsi="Arial"/>
          <w:sz w:val="12"/>
          <w:szCs w:val="12"/>
          <w:color w:val="auto"/>
        </w:rPr>
        <w:t>Under the new revenue standard, significant judgments are required in order to identify contracts with customers and estimate transaction prices. Additional judgments are required for the identification of distinct performance obligations, the estimation of stand-alone selling prices and the allocation of the transaction price by relative stand-alone selling prices. Assumptions regarding timing of when control transfers to the customer requires significant judgment in order to recognize revenue. We used significant judgment related to identifying the performance obligation and determining whether the services provided are able to be distinct, determining the transaction price, specifically as it is related to the different variable consideration structures identified in our contracts, and in determining the timing of revenue recognition.</w:t>
      </w:r>
    </w:p>
    <w:p>
      <w:pPr>
        <w:spacing w:after="0" w:line="125" w:lineRule="exact"/>
        <w:rPr>
          <w:sz w:val="20"/>
          <w:szCs w:val="20"/>
          <w:color w:val="auto"/>
        </w:rPr>
      </w:pPr>
    </w:p>
    <w:p>
      <w:pPr>
        <w:jc w:val="center"/>
        <w:ind w:right="-59"/>
        <w:spacing w:after="0"/>
        <w:rPr>
          <w:sz w:val="20"/>
          <w:szCs w:val="20"/>
          <w:color w:val="auto"/>
        </w:rPr>
      </w:pPr>
      <w:r>
        <w:rPr>
          <w:rFonts w:ascii="Arial" w:cs="Arial" w:eastAsia="Arial" w:hAnsi="Arial"/>
          <w:sz w:val="12"/>
          <w:szCs w:val="12"/>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17740" cy="3683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ectPr>
          <w:pgSz w:w="11900" w:h="16838" w:orient="portrait"/>
          <w:cols w:equalWidth="0" w:num="1">
            <w:col w:w="11420"/>
          </w:cols>
          <w:pgMar w:left="220" w:top="275" w:right="259" w:bottom="1440" w:gutter="0" w:footer="0" w:header="0"/>
        </w:sectPr>
      </w:pPr>
    </w:p>
    <w:bookmarkStart w:id="61" w:name="page62"/>
    <w:bookmarkEnd w:id="61"/>
    <w:p>
      <w:pPr>
        <w:spacing w:after="0"/>
        <w:rPr>
          <w:sz w:val="20"/>
          <w:szCs w:val="20"/>
          <w:color w:val="auto"/>
        </w:rPr>
      </w:pPr>
      <w:r>
        <w:rPr>
          <w:rFonts w:ascii="Arial" w:cs="Arial" w:eastAsia="Arial" w:hAnsi="Arial"/>
          <w:sz w:val="12"/>
          <w:szCs w:val="12"/>
          <w:b w:val="1"/>
          <w:bCs w:val="1"/>
          <w:i w:val="1"/>
          <w:iCs w:val="1"/>
          <w:color w:val="auto"/>
        </w:rPr>
        <w:t>Business Combinations</w:t>
      </w:r>
    </w:p>
    <w:p>
      <w:pPr>
        <w:spacing w:after="0" w:line="78" w:lineRule="exact"/>
        <w:rPr>
          <w:sz w:val="20"/>
          <w:szCs w:val="20"/>
          <w:color w:val="auto"/>
        </w:rPr>
      </w:pPr>
    </w:p>
    <w:p>
      <w:pPr>
        <w:ind w:right="100" w:firstLine="602"/>
        <w:spacing w:after="0" w:line="340" w:lineRule="auto"/>
        <w:rPr>
          <w:sz w:val="20"/>
          <w:szCs w:val="20"/>
          <w:color w:val="auto"/>
        </w:rPr>
      </w:pPr>
      <w:r>
        <w:rPr>
          <w:rFonts w:ascii="Arial" w:cs="Arial" w:eastAsia="Arial" w:hAnsi="Arial"/>
          <w:sz w:val="10"/>
          <w:szCs w:val="10"/>
          <w:color w:val="auto"/>
        </w:rPr>
        <w:t>We apply the asset acquisition method to account for business acquisitions. We allocate the fair value of the purchase price consideration to assets acquired and liabilities assumed based on their estimated fair values. The excess of the purchase consideration over the fair value of the identifiable assets and liabilities is recorded as goodwill. The determination and allocation of fair values to the identifiable assets acquired and liabilities assumed is based on various assumptions and valuation methodologies requiring considerable management judgment and includes the use of independent valuation specialists to assist us in estimating fair values of acquired tangible and intangible assets.</w:t>
      </w:r>
    </w:p>
    <w:p>
      <w:pPr>
        <w:spacing w:after="0" w:line="16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Impairment of Long-Lived Assets</w:t>
      </w:r>
    </w:p>
    <w:p>
      <w:pPr>
        <w:spacing w:after="0" w:line="78" w:lineRule="exact"/>
        <w:rPr>
          <w:sz w:val="20"/>
          <w:szCs w:val="20"/>
          <w:color w:val="auto"/>
        </w:rPr>
      </w:pPr>
    </w:p>
    <w:p>
      <w:pPr>
        <w:ind w:firstLine="602"/>
        <w:spacing w:after="0" w:line="263" w:lineRule="auto"/>
        <w:rPr>
          <w:sz w:val="20"/>
          <w:szCs w:val="20"/>
          <w:color w:val="auto"/>
        </w:rPr>
      </w:pPr>
      <w:r>
        <w:rPr>
          <w:rFonts w:ascii="Arial" w:cs="Arial" w:eastAsia="Arial" w:hAnsi="Arial"/>
          <w:sz w:val="12"/>
          <w:szCs w:val="12"/>
          <w:color w:val="auto"/>
        </w:rPr>
        <w:t>Goodwill represents the excess of the purchase price over the estimated fair value of net assets acquired in business combinations. Intangible assets represent existing customer contracts and relationships, patents, trade names, developed technology and non-compete agreement intangibles. Intangible assets are amortized over their respective estimated useful lives. Amortization of intangible assets is included in Depreciation, amortization and (gain) loss on disposal of assets, net in the consolidated statements of operations.</w:t>
      </w:r>
    </w:p>
    <w:p>
      <w:pPr>
        <w:spacing w:after="0" w:line="123" w:lineRule="exact"/>
        <w:rPr>
          <w:sz w:val="20"/>
          <w:szCs w:val="20"/>
          <w:color w:val="auto"/>
        </w:rPr>
      </w:pPr>
    </w:p>
    <w:p>
      <w:pPr>
        <w:jc w:val="both"/>
        <w:ind w:right="80" w:firstLine="602"/>
        <w:spacing w:after="0" w:line="340" w:lineRule="auto"/>
        <w:rPr>
          <w:sz w:val="20"/>
          <w:szCs w:val="20"/>
          <w:color w:val="auto"/>
        </w:rPr>
      </w:pPr>
      <w:r>
        <w:rPr>
          <w:rFonts w:ascii="Arial" w:cs="Arial" w:eastAsia="Arial" w:hAnsi="Arial"/>
          <w:sz w:val="10"/>
          <w:szCs w:val="10"/>
          <w:color w:val="auto"/>
        </w:rPr>
        <w:t>We assess goodwill and intangibles for impairment annually on October 1, or more frequently if events or circumstances indicate that the carrying amounts may not be fully recoverable. We first consider the option to assess qualitative factors to determine whether it is more likely than not that the fair value of the reporting unit is less than its carrying amount. If we conclude that it is more likely than not that the fair value is less than the carrying amount, we then perform a quantitative impairment test. The process of evaluating goodwill and intangibles requires significant judgment including the identification of reporting units and the determination of the fair value of each reporting unit.</w:t>
      </w:r>
    </w:p>
    <w:p>
      <w:pPr>
        <w:spacing w:after="0" w:line="88" w:lineRule="exact"/>
        <w:rPr>
          <w:sz w:val="20"/>
          <w:szCs w:val="20"/>
          <w:color w:val="auto"/>
        </w:rPr>
      </w:pPr>
    </w:p>
    <w:p>
      <w:pPr>
        <w:ind w:left="600"/>
        <w:spacing w:after="0"/>
        <w:rPr>
          <w:sz w:val="20"/>
          <w:szCs w:val="20"/>
          <w:color w:val="auto"/>
        </w:rPr>
      </w:pPr>
      <w:r>
        <w:rPr>
          <w:rFonts w:ascii="Arial" w:cs="Arial" w:eastAsia="Arial" w:hAnsi="Arial"/>
          <w:sz w:val="12"/>
          <w:szCs w:val="12"/>
          <w:color w:val="auto"/>
        </w:rPr>
        <w:t>As of December 31, 2019, 2018 and 2017, our qualitative analysis did not indicate any impairment.</w:t>
      </w:r>
    </w:p>
    <w:p>
      <w:pPr>
        <w:spacing w:after="0" w:line="150" w:lineRule="exact"/>
        <w:rPr>
          <w:sz w:val="20"/>
          <w:szCs w:val="20"/>
          <w:color w:val="auto"/>
        </w:rPr>
      </w:pPr>
    </w:p>
    <w:p>
      <w:pPr>
        <w:jc w:val="both"/>
        <w:ind w:right="360" w:firstLine="602"/>
        <w:spacing w:after="0" w:line="263" w:lineRule="auto"/>
        <w:rPr>
          <w:sz w:val="20"/>
          <w:szCs w:val="20"/>
          <w:color w:val="auto"/>
        </w:rPr>
      </w:pPr>
      <w:r>
        <w:rPr>
          <w:rFonts w:ascii="Arial" w:cs="Arial" w:eastAsia="Arial" w:hAnsi="Arial"/>
          <w:sz w:val="12"/>
          <w:szCs w:val="12"/>
          <w:color w:val="auto"/>
        </w:rPr>
        <w:t>We review our long-lived assets, other than goodwill and intangibles, for impairment annually or whenever events or circumstances indicate that the carrying amount of an asset may not be fully recoverable. We assess recoverability by comparing the estimated undiscounted future cash flows expected to be generated by the assets with their carrying value. If the carrying value of the assets exceeds the estimated undiscounted future cash flows, an impairment loss is recognized for the difference between the estimated fair value and the carrying value.</w:t>
      </w:r>
    </w:p>
    <w:p>
      <w:pPr>
        <w:spacing w:after="0" w:line="123" w:lineRule="exact"/>
        <w:rPr>
          <w:sz w:val="20"/>
          <w:szCs w:val="20"/>
          <w:color w:val="auto"/>
        </w:rPr>
      </w:pPr>
    </w:p>
    <w:p>
      <w:pPr>
        <w:ind w:right="60" w:firstLine="602"/>
        <w:spacing w:after="0" w:line="257" w:lineRule="auto"/>
        <w:rPr>
          <w:sz w:val="20"/>
          <w:szCs w:val="20"/>
          <w:color w:val="auto"/>
        </w:rPr>
      </w:pPr>
      <w:r>
        <w:rPr>
          <w:rFonts w:ascii="Arial" w:cs="Arial" w:eastAsia="Arial" w:hAnsi="Arial"/>
          <w:sz w:val="12"/>
          <w:szCs w:val="12"/>
          <w:color w:val="auto"/>
        </w:rPr>
        <w:t>The state of Texas passed legislation as of June 1, 2019 to ban red-light photo enforcement programs across the state, with certain carve-outs for some existing programs. We considered this event an indicator for potential impairment and, as such, evaluated the recoverability of property and equipment used in the operations of red-light photo enforcement programs in Texas. As a result, we recognized an impairment charge in the Government Solutions segment of $5.9 million for fiscal year 2019, which is included in Impairment of property and equipment in the consolidated statements of operations. For the year ended December 31, 2018, the 2017 Successor Period and the 2017 Predecessor Period, we recognized no losses of impairment of long-lived assets. We believe the carrying amounts of our remaining long-lived assets at December 31, 2019 are fully realizable and do not believe any additional impairment losses are necessary.</w:t>
      </w:r>
    </w:p>
    <w:p>
      <w:pPr>
        <w:spacing w:after="0" w:line="19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Income Taxes</w:t>
      </w:r>
    </w:p>
    <w:p>
      <w:pPr>
        <w:spacing w:after="0" w:line="78" w:lineRule="exact"/>
        <w:rPr>
          <w:sz w:val="20"/>
          <w:szCs w:val="20"/>
          <w:color w:val="auto"/>
        </w:rPr>
      </w:pPr>
    </w:p>
    <w:p>
      <w:pPr>
        <w:ind w:right="120" w:firstLine="602"/>
        <w:spacing w:after="0" w:line="281" w:lineRule="auto"/>
        <w:rPr>
          <w:sz w:val="20"/>
          <w:szCs w:val="20"/>
          <w:color w:val="auto"/>
        </w:rPr>
      </w:pPr>
      <w:r>
        <w:rPr>
          <w:rFonts w:ascii="Arial" w:cs="Arial" w:eastAsia="Arial" w:hAnsi="Arial"/>
          <w:sz w:val="11"/>
          <w:szCs w:val="11"/>
          <w:color w:val="auto"/>
        </w:rPr>
        <w:t>We account for income taxes under the asset and liability method. This approach requires the recognition of deferred tax assets and liabilities for the expected future tax consequences of differences between the tax basis of assets or liabilities and their carrying amounts in the financial statements. Deferred tax assets generally represent items that can be used as a tax deduction or credit in our tax return in future years, while deferred tax liabilities generally represent items that generate a future tax liability for items where deductions have been accelerated for tax purposes. We provide a valuation allowance for deferred tax assets if it is more likely than not that some portion or all of the tax assets will not be realized. We calculate the valuation allowance in accordance with the authoritative guidance relating to income taxes, which requires an assessment of both positive and negative evidence regarding the realizability of these deferred tax assets when measuring the need for a valuation allowance. Significant judgment is required in determining any valuation allowance against deferred tax assets. The realization of deferred tax assets can be affected by, among other things, the nature, frequency, and severity of current and cumulative losses, forecasts of future profitability, the length of statutory carryforward periods, our experience with utilizing operating losses and tax credit carryforwards by jurisdiction and tax planning alternatives and strategies that may be available.</w:t>
      </w:r>
    </w:p>
    <w:p>
      <w:pPr>
        <w:spacing w:after="0" w:line="116" w:lineRule="exact"/>
        <w:rPr>
          <w:sz w:val="20"/>
          <w:szCs w:val="20"/>
          <w:color w:val="auto"/>
        </w:rPr>
      </w:pPr>
    </w:p>
    <w:p>
      <w:pPr>
        <w:jc w:val="center"/>
        <w:ind w:right="-79"/>
        <w:spacing w:after="0"/>
        <w:rPr>
          <w:sz w:val="20"/>
          <w:szCs w:val="20"/>
          <w:color w:val="auto"/>
        </w:rPr>
      </w:pPr>
      <w:r>
        <w:rPr>
          <w:rFonts w:ascii="Arial" w:cs="Arial" w:eastAsia="Arial" w:hAnsi="Arial"/>
          <w:sz w:val="12"/>
          <w:szCs w:val="12"/>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17740" cy="3683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ectPr>
          <w:pgSz w:w="11900" w:h="16838" w:orient="portrait"/>
          <w:cols w:equalWidth="0" w:num="1">
            <w:col w:w="11400"/>
          </w:cols>
          <w:pgMar w:left="220" w:top="347" w:right="279" w:bottom="1440" w:gutter="0" w:footer="0" w:header="0"/>
        </w:sectPr>
      </w:pPr>
    </w:p>
    <w:bookmarkStart w:id="62" w:name="page63"/>
    <w:bookmarkEnd w:id="62"/>
    <w:p>
      <w:pPr>
        <w:ind w:right="60" w:firstLine="602"/>
        <w:spacing w:after="0" w:line="286" w:lineRule="auto"/>
        <w:rPr>
          <w:sz w:val="20"/>
          <w:szCs w:val="20"/>
          <w:color w:val="auto"/>
        </w:rPr>
      </w:pPr>
      <w:r>
        <w:rPr>
          <w:rFonts w:ascii="Arial" w:cs="Arial" w:eastAsia="Arial" w:hAnsi="Arial"/>
          <w:sz w:val="11"/>
          <w:szCs w:val="11"/>
          <w:color w:val="auto"/>
        </w:rPr>
        <w:t>Our effective tax rate is based on income, statutory tax rates, differences in the deductibility of certain expenses and inclusion of certain income items between financial statement and tax return purposes, and tax planning opportunities available to us in the various jurisdictions in which we operate. Under U.S. GAAP, if we determine that a tax position is more likely than not of being sustained upon audit, based solely on the technical merits of the position, we recognize the benefit. Tax code and regulations require certain items to be included in the tax return at different times than when those items are required to be recorded in the consolidated financial statements. As a result, our effective tax rate reflected in our consolidated financial statements is different from that reported in our tax returns. Some of these differences are permanent, such as meals and entertainment expenses that are not fully deductible on our tax returns, and some are temporary differences, such as depreciation expense. Temporary differences create deferred tax assets and liabilities.</w:t>
      </w:r>
    </w:p>
    <w:p>
      <w:pPr>
        <w:spacing w:after="0" w:line="111" w:lineRule="exact"/>
        <w:rPr>
          <w:sz w:val="20"/>
          <w:szCs w:val="20"/>
          <w:color w:val="auto"/>
        </w:rPr>
      </w:pPr>
    </w:p>
    <w:p>
      <w:pPr>
        <w:ind w:right="80" w:firstLine="602"/>
        <w:spacing w:after="0" w:line="276" w:lineRule="auto"/>
        <w:rPr>
          <w:sz w:val="20"/>
          <w:szCs w:val="20"/>
          <w:color w:val="auto"/>
        </w:rPr>
      </w:pPr>
      <w:r>
        <w:rPr>
          <w:rFonts w:ascii="Arial" w:cs="Arial" w:eastAsia="Arial" w:hAnsi="Arial"/>
          <w:sz w:val="12"/>
          <w:szCs w:val="12"/>
          <w:color w:val="auto"/>
        </w:rPr>
        <w:t>We recognize benefits of uncertain tax positions if it is more likely than not that such positions will be sustained upon examination based solely on their technical merits. Our policy is to recognize interest and penalties related to the underpayment of income taxes as a component of income tax expense or benefit.</w:t>
      </w:r>
    </w:p>
    <w:p>
      <w:pPr>
        <w:spacing w:after="0" w:line="18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Tax Receivable Agreement</w:t>
      </w:r>
    </w:p>
    <w:p>
      <w:pPr>
        <w:spacing w:after="0" w:line="78" w:lineRule="exact"/>
        <w:rPr>
          <w:sz w:val="20"/>
          <w:szCs w:val="20"/>
          <w:color w:val="auto"/>
        </w:rPr>
      </w:pPr>
    </w:p>
    <w:p>
      <w:pPr>
        <w:ind w:firstLine="602"/>
        <w:spacing w:after="0" w:line="254" w:lineRule="auto"/>
        <w:rPr>
          <w:sz w:val="20"/>
          <w:szCs w:val="20"/>
          <w:color w:val="auto"/>
        </w:rPr>
      </w:pPr>
      <w:r>
        <w:rPr>
          <w:rFonts w:ascii="Arial" w:cs="Arial" w:eastAsia="Arial" w:hAnsi="Arial"/>
          <w:sz w:val="12"/>
          <w:szCs w:val="12"/>
          <w:color w:val="auto"/>
        </w:rPr>
        <w:t>At the closing of the Business Combination, the surviving entity entered into a tax receivable agreement (“</w:t>
      </w:r>
      <w:r>
        <w:rPr>
          <w:rFonts w:ascii="Arial" w:cs="Arial" w:eastAsia="Arial" w:hAnsi="Arial"/>
          <w:sz w:val="12"/>
          <w:szCs w:val="12"/>
          <w:b w:val="1"/>
          <w:bCs w:val="1"/>
          <w:i w:val="1"/>
          <w:iCs w:val="1"/>
          <w:color w:val="auto"/>
        </w:rPr>
        <w:t>TRA</w:t>
      </w:r>
      <w:r>
        <w:rPr>
          <w:rFonts w:ascii="Arial" w:cs="Arial" w:eastAsia="Arial" w:hAnsi="Arial"/>
          <w:sz w:val="12"/>
          <w:szCs w:val="12"/>
          <w:color w:val="auto"/>
        </w:rPr>
        <w:t>”) with PE Greenlight Holdings, LLC (the “</w:t>
      </w:r>
      <w:r>
        <w:rPr>
          <w:rFonts w:ascii="Arial" w:cs="Arial" w:eastAsia="Arial" w:hAnsi="Arial"/>
          <w:sz w:val="12"/>
          <w:szCs w:val="12"/>
          <w:b w:val="1"/>
          <w:bCs w:val="1"/>
          <w:i w:val="1"/>
          <w:iCs w:val="1"/>
          <w:color w:val="auto"/>
        </w:rPr>
        <w:t>Platinum Stockholder</w:t>
      </w:r>
      <w:r>
        <w:rPr>
          <w:rFonts w:ascii="Arial" w:cs="Arial" w:eastAsia="Arial" w:hAnsi="Arial"/>
          <w:sz w:val="12"/>
          <w:szCs w:val="12"/>
          <w:color w:val="auto"/>
        </w:rPr>
        <w:t>”) and Greenlight as the stockholder representative. The TRA generally provides for the payment by the post-closing company to the Platinum Stockholder of 50% of the net cash savings, if any, in U.S. federal, state and local income tax that the post-closing company actually realizes (or is deemed to realize in certain circumstances) in periods after the closing of the Business Combination as a result of the increase in the tax basis of the intangible assets which resulted from our acquisition of HTA prior to the Business Combination. We generally will retain the benefit of the remaining 50% of these cash savings. We estimated the potential maximum benefit to be paid will be approximately $70 million, and recorded an initial liability and corresponding charge to equity at the closing of the Business Combination. Subsequently, we adjusted this amount. At December 31, 2019, the TRA was approximately $66.9 million of which $5.7 million was the current portion included in Accrued liabilities and $61.2 million included in Payable related to tax receivable agreement on the consolidated balance sheets. The remaining tax life of these intangible assets is approximately 14 years. The ultimate timing of payments of the TRA liability are uncertain due to the realization of the benefits from the HTA intangibles involving uncertainties in the amount and timing of our future taxable income. We expect to fund future payments through cash flow from operations.</w:t>
      </w:r>
    </w:p>
    <w:p>
      <w:pPr>
        <w:spacing w:after="0" w:line="19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Recent Accounting Pronouncements</w:t>
      </w:r>
    </w:p>
    <w:p>
      <w:pPr>
        <w:spacing w:after="0" w:line="91" w:lineRule="exact"/>
        <w:rPr>
          <w:sz w:val="20"/>
          <w:szCs w:val="20"/>
          <w:color w:val="auto"/>
        </w:rPr>
      </w:pPr>
    </w:p>
    <w:p>
      <w:pPr>
        <w:ind w:left="600"/>
        <w:spacing w:after="0"/>
        <w:rPr>
          <w:sz w:val="20"/>
          <w:szCs w:val="20"/>
          <w:color w:val="auto"/>
        </w:rPr>
      </w:pPr>
      <w:r>
        <w:rPr>
          <w:rFonts w:ascii="Arial" w:cs="Arial" w:eastAsia="Arial" w:hAnsi="Arial"/>
          <w:sz w:val="12"/>
          <w:szCs w:val="12"/>
          <w:color w:val="auto"/>
        </w:rPr>
        <w:t xml:space="preserve">For discussion of recent accounting pronouncements, refer to Note 2, </w:t>
      </w:r>
      <w:r>
        <w:rPr>
          <w:rFonts w:ascii="Arial" w:cs="Arial" w:eastAsia="Arial" w:hAnsi="Arial"/>
          <w:sz w:val="12"/>
          <w:szCs w:val="12"/>
          <w:i w:val="1"/>
          <w:iCs w:val="1"/>
          <w:color w:val="auto"/>
        </w:rPr>
        <w:t>Significant Accounting Policies</w:t>
      </w:r>
      <w:r>
        <w:rPr>
          <w:rFonts w:ascii="Arial" w:cs="Arial" w:eastAsia="Arial" w:hAnsi="Arial"/>
          <w:sz w:val="12"/>
          <w:szCs w:val="12"/>
          <w:color w:val="auto"/>
        </w:rPr>
        <w:t>, in Item 8, Financial Statements and Supplementary Data.</w:t>
      </w: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17740" cy="3683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ectPr>
          <w:pgSz w:w="11900" w:h="16838" w:orient="portrait"/>
          <w:cols w:equalWidth="0" w:num="1">
            <w:col w:w="11460"/>
          </w:cols>
          <w:pgMar w:left="220" w:top="275" w:right="219" w:bottom="1440" w:gutter="0" w:footer="0" w:header="0"/>
        </w:sectPr>
      </w:pPr>
    </w:p>
    <w:bookmarkStart w:id="63" w:name="page64"/>
    <w:bookmarkEnd w:id="63"/>
    <w:p>
      <w:pPr>
        <w:spacing w:after="0"/>
        <w:rPr>
          <w:sz w:val="20"/>
          <w:szCs w:val="20"/>
          <w:color w:val="auto"/>
        </w:rPr>
      </w:pPr>
      <w:r>
        <w:rPr>
          <w:rFonts w:ascii="Arial" w:cs="Arial" w:eastAsia="Arial" w:hAnsi="Arial"/>
          <w:sz w:val="12"/>
          <w:szCs w:val="12"/>
          <w:b w:val="1"/>
          <w:bCs w:val="1"/>
          <w:color w:val="auto"/>
        </w:rPr>
        <w:t>Item 7A. Quantitative and Qualitative Disclosures About Market Risk</w:t>
      </w:r>
    </w:p>
    <w:p>
      <w:pPr>
        <w:spacing w:after="0" w:line="82" w:lineRule="exact"/>
        <w:rPr>
          <w:sz w:val="20"/>
          <w:szCs w:val="20"/>
          <w:color w:val="auto"/>
        </w:rPr>
      </w:pPr>
    </w:p>
    <w:p>
      <w:pPr>
        <w:ind w:right="180" w:firstLine="602"/>
        <w:spacing w:after="0" w:line="276" w:lineRule="auto"/>
        <w:rPr>
          <w:sz w:val="20"/>
          <w:szCs w:val="20"/>
          <w:color w:val="auto"/>
        </w:rPr>
      </w:pPr>
      <w:r>
        <w:rPr>
          <w:rFonts w:ascii="Arial" w:cs="Arial" w:eastAsia="Arial" w:hAnsi="Arial"/>
          <w:sz w:val="12"/>
          <w:szCs w:val="12"/>
          <w:color w:val="auto"/>
        </w:rPr>
        <w:t xml:space="preserve">We are exposed to interest rate market risk due to the variable interest rate on the New First Lien Term Loan described in “Item 7. Management’s Discussion and Analysis of Financial Condition and Results of Operations— </w:t>
      </w:r>
      <w:r>
        <w:rPr>
          <w:rFonts w:ascii="Arial" w:cs="Arial" w:eastAsia="Arial" w:hAnsi="Arial"/>
          <w:sz w:val="12"/>
          <w:szCs w:val="12"/>
          <w:i w:val="1"/>
          <w:iCs w:val="1"/>
          <w:color w:val="auto"/>
        </w:rPr>
        <w:t>Liquidity and Capital Resources</w:t>
      </w:r>
      <w:r>
        <w:rPr>
          <w:rFonts w:ascii="Arial" w:cs="Arial" w:eastAsia="Arial" w:hAnsi="Arial"/>
          <w:sz w:val="12"/>
          <w:szCs w:val="12"/>
          <w:color w:val="auto"/>
        </w:rPr>
        <w:t>.”</w:t>
      </w:r>
    </w:p>
    <w:p>
      <w:pPr>
        <w:spacing w:after="0" w:line="115" w:lineRule="exact"/>
        <w:rPr>
          <w:sz w:val="20"/>
          <w:szCs w:val="20"/>
          <w:color w:val="auto"/>
        </w:rPr>
      </w:pPr>
    </w:p>
    <w:p>
      <w:pPr>
        <w:ind w:right="100" w:firstLine="602"/>
        <w:spacing w:after="0" w:line="259" w:lineRule="auto"/>
        <w:rPr>
          <w:sz w:val="20"/>
          <w:szCs w:val="20"/>
          <w:color w:val="auto"/>
        </w:rPr>
      </w:pPr>
      <w:r>
        <w:rPr>
          <w:rFonts w:ascii="Arial" w:cs="Arial" w:eastAsia="Arial" w:hAnsi="Arial"/>
          <w:sz w:val="12"/>
          <w:szCs w:val="12"/>
          <w:color w:val="auto"/>
        </w:rPr>
        <w:t>Interest rate risk represents our exposure to movements in interest rates associated with the variable rate debt represented by the New First Lien Term Loan. Total borrowing under the New First Lien Term Loan was $894.4 million at December 31, 2019. The New First Lien Term Loan bears interest based, at our option, on either (1) LIBOR plus an applicable margin of 3.75% per annum, or (2) an alternate base rate plus an applicable margin of 2.75% per annum. At December 31, 2019, the interest rate on the New First Lien Term Loan was 5.5%. Based on the December 31, 2019 balance outstanding, each 1% movement in interest rates will result in approximately a $8.9 million change in annual interest expense.</w:t>
      </w:r>
    </w:p>
    <w:p>
      <w:pPr>
        <w:spacing w:after="0" w:line="125" w:lineRule="exact"/>
        <w:rPr>
          <w:sz w:val="20"/>
          <w:szCs w:val="20"/>
          <w:color w:val="auto"/>
        </w:rPr>
      </w:pPr>
    </w:p>
    <w:p>
      <w:pPr>
        <w:ind w:left="600"/>
        <w:spacing w:after="0"/>
        <w:rPr>
          <w:sz w:val="20"/>
          <w:szCs w:val="20"/>
          <w:color w:val="auto"/>
        </w:rPr>
      </w:pPr>
      <w:r>
        <w:rPr>
          <w:rFonts w:ascii="Arial" w:cs="Arial" w:eastAsia="Arial" w:hAnsi="Arial"/>
          <w:sz w:val="11"/>
          <w:szCs w:val="11"/>
          <w:color w:val="auto"/>
        </w:rPr>
        <w:t>See Note 21</w:t>
      </w:r>
      <w:r>
        <w:rPr>
          <w:rFonts w:ascii="Arial" w:cs="Arial" w:eastAsia="Arial" w:hAnsi="Arial"/>
          <w:sz w:val="11"/>
          <w:szCs w:val="11"/>
          <w:i w:val="1"/>
          <w:iCs w:val="1"/>
          <w:color w:val="auto"/>
        </w:rPr>
        <w:t>, Subsequent Events</w:t>
      </w:r>
      <w:r>
        <w:rPr>
          <w:rFonts w:ascii="Arial" w:cs="Arial" w:eastAsia="Arial" w:hAnsi="Arial"/>
          <w:sz w:val="11"/>
          <w:szCs w:val="11"/>
          <w:color w:val="auto"/>
        </w:rPr>
        <w:t>, in Item 8. Financial Statements and Supplementary Data, for information on the refinancing of our debt, which reduced the interest rate by 50 basis points, effective February 20, 2020.</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3920" w:type="dxa"/>
            <w:vAlign w:val="bottom"/>
            <w:gridSpan w:val="7"/>
          </w:tcPr>
          <w:p>
            <w:pPr>
              <w:spacing w:after="0"/>
              <w:rPr>
                <w:sz w:val="20"/>
                <w:szCs w:val="20"/>
                <w:color w:val="auto"/>
              </w:rPr>
            </w:pPr>
            <w:r>
              <w:rPr>
                <w:rFonts w:ascii="Arial" w:cs="Arial" w:eastAsia="Arial" w:hAnsi="Arial"/>
                <w:sz w:val="12"/>
                <w:szCs w:val="12"/>
                <w:b w:val="1"/>
                <w:bCs w:val="1"/>
                <w:color w:val="auto"/>
              </w:rPr>
              <w:t>Item 8. Financial Statements and Supplementary Data</w:t>
            </w:r>
          </w:p>
        </w:tc>
        <w:tc>
          <w:tcPr>
            <w:tcW w:w="698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374"/>
        </w:trPr>
        <w:tc>
          <w:tcPr>
            <w:tcW w:w="1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560" w:type="dxa"/>
            <w:vAlign w:val="bottom"/>
            <w:gridSpan w:val="2"/>
          </w:tcPr>
          <w:p>
            <w:pPr>
              <w:jc w:val="right"/>
              <w:ind w:right="4620"/>
              <w:spacing w:after="0"/>
              <w:rPr>
                <w:sz w:val="20"/>
                <w:szCs w:val="20"/>
                <w:color w:val="auto"/>
              </w:rPr>
            </w:pPr>
            <w:r>
              <w:rPr>
                <w:rFonts w:ascii="Arial" w:cs="Arial" w:eastAsia="Arial" w:hAnsi="Arial"/>
                <w:sz w:val="12"/>
                <w:szCs w:val="12"/>
                <w:b w:val="1"/>
                <w:bCs w:val="1"/>
                <w:color w:val="231F20"/>
              </w:rPr>
              <w:t>VERRA MOBILITY CORPORATION</w:t>
            </w:r>
          </w:p>
        </w:tc>
      </w:tr>
      <w:tr>
        <w:trPr>
          <w:trHeight w:val="157"/>
        </w:trPr>
        <w:tc>
          <w:tcPr>
            <w:tcW w:w="14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560" w:type="dxa"/>
            <w:vAlign w:val="bottom"/>
            <w:gridSpan w:val="2"/>
          </w:tcPr>
          <w:p>
            <w:pPr>
              <w:jc w:val="right"/>
              <w:ind w:right="4060"/>
              <w:spacing w:after="0"/>
              <w:rPr>
                <w:sz w:val="20"/>
                <w:szCs w:val="20"/>
                <w:color w:val="auto"/>
              </w:rPr>
            </w:pPr>
            <w:r>
              <w:rPr>
                <w:rFonts w:ascii="Arial" w:cs="Arial" w:eastAsia="Arial" w:hAnsi="Arial"/>
                <w:sz w:val="12"/>
                <w:szCs w:val="12"/>
                <w:b w:val="1"/>
                <w:bCs w:val="1"/>
                <w:color w:val="231F20"/>
              </w:rPr>
              <w:t>INDEX TO CONSOLIDATED FINANCIAL STATEMENTS</w:t>
            </w:r>
          </w:p>
        </w:tc>
      </w:tr>
      <w:tr>
        <w:trPr>
          <w:trHeight w:val="457"/>
        </w:trPr>
        <w:tc>
          <w:tcPr>
            <w:tcW w:w="1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980" w:type="dxa"/>
            <w:vAlign w:val="bottom"/>
          </w:tcPr>
          <w:p>
            <w:pPr>
              <w:spacing w:after="0"/>
              <w:rPr>
                <w:sz w:val="24"/>
                <w:szCs w:val="24"/>
                <w:color w:val="auto"/>
              </w:rPr>
            </w:pPr>
          </w:p>
        </w:tc>
        <w:tc>
          <w:tcPr>
            <w:tcW w:w="58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b w:val="1"/>
                <w:bCs w:val="1"/>
                <w:color w:val="auto"/>
              </w:rPr>
              <w:t>Page</w:t>
            </w:r>
          </w:p>
        </w:tc>
      </w:tr>
      <w:tr>
        <w:trPr>
          <w:trHeight w:val="126"/>
        </w:trPr>
        <w:tc>
          <w:tcPr>
            <w:tcW w:w="3920" w:type="dxa"/>
            <w:vAlign w:val="bottom"/>
            <w:gridSpan w:val="7"/>
          </w:tcPr>
          <w:p>
            <w:pPr>
              <w:spacing w:after="0" w:line="126" w:lineRule="exact"/>
              <w:rPr>
                <w:rFonts w:ascii="Arial" w:cs="Arial" w:eastAsia="Arial" w:hAnsi="Arial"/>
                <w:sz w:val="12"/>
                <w:szCs w:val="12"/>
                <w:color w:val="0000EE"/>
              </w:rPr>
            </w:pPr>
            <w:hyperlink w:anchor="page65">
              <w:r>
                <w:rPr>
                  <w:rFonts w:ascii="Arial" w:cs="Arial" w:eastAsia="Arial" w:hAnsi="Arial"/>
                  <w:sz w:val="12"/>
                  <w:szCs w:val="12"/>
                  <w:color w:val="0000EE"/>
                </w:rPr>
                <w:t>Reports of Independent Registered Public Accounting Firm</w:t>
              </w:r>
            </w:hyperlink>
          </w:p>
        </w:tc>
        <w:tc>
          <w:tcPr>
            <w:tcW w:w="7560" w:type="dxa"/>
            <w:vAlign w:val="bottom"/>
            <w:gridSpan w:val="2"/>
          </w:tcPr>
          <w:p>
            <w:pPr>
              <w:jc w:val="right"/>
              <w:spacing w:after="0" w:line="126" w:lineRule="exact"/>
              <w:rPr>
                <w:sz w:val="20"/>
                <w:szCs w:val="20"/>
                <w:color w:val="auto"/>
              </w:rPr>
            </w:pPr>
            <w:r>
              <w:rPr>
                <w:rFonts w:ascii="Arial" w:cs="Arial" w:eastAsia="Arial" w:hAnsi="Arial"/>
                <w:sz w:val="12"/>
                <w:szCs w:val="12"/>
                <w:color w:val="auto"/>
              </w:rPr>
              <w:t>64</w:t>
            </w:r>
          </w:p>
        </w:tc>
      </w:tr>
      <w:tr>
        <w:trPr>
          <w:trHeight w:val="151"/>
        </w:trPr>
        <w:tc>
          <w:tcPr>
            <w:tcW w:w="1400" w:type="dxa"/>
            <w:vAlign w:val="bottom"/>
            <w:tcBorders>
              <w:top w:val="single" w:sz="8" w:color="0000EE"/>
              <w:bottom w:val="single" w:sz="8" w:color="0000EE"/>
            </w:tcBorders>
          </w:tcPr>
          <w:p>
            <w:pPr>
              <w:spacing w:after="0"/>
              <w:rPr>
                <w:rFonts w:ascii="Arial" w:cs="Arial" w:eastAsia="Arial" w:hAnsi="Arial"/>
                <w:sz w:val="12"/>
                <w:szCs w:val="12"/>
                <w:color w:val="0000EE"/>
                <w:w w:val="87"/>
              </w:rPr>
            </w:pPr>
            <w:hyperlink w:anchor="page69">
              <w:r>
                <w:rPr>
                  <w:rFonts w:ascii="Arial" w:cs="Arial" w:eastAsia="Arial" w:hAnsi="Arial"/>
                  <w:sz w:val="12"/>
                  <w:szCs w:val="12"/>
                  <w:color w:val="0000EE"/>
                  <w:w w:val="87"/>
                </w:rPr>
                <w:t>Consolidated Balance Sheets</w:t>
              </w:r>
            </w:hyperlink>
          </w:p>
        </w:tc>
        <w:tc>
          <w:tcPr>
            <w:tcW w:w="1460" w:type="dxa"/>
            <w:vAlign w:val="bottom"/>
            <w:tcBorders>
              <w:top w:val="single" w:sz="8" w:color="0000EE"/>
            </w:tcBorders>
            <w:gridSpan w:val="4"/>
          </w:tcPr>
          <w:p>
            <w:pPr>
              <w:spacing w:after="0"/>
              <w:rPr>
                <w:sz w:val="13"/>
                <w:szCs w:val="13"/>
                <w:color w:val="auto"/>
              </w:rPr>
            </w:pPr>
          </w:p>
        </w:tc>
        <w:tc>
          <w:tcPr>
            <w:tcW w:w="1060" w:type="dxa"/>
            <w:vAlign w:val="bottom"/>
            <w:gridSpan w:val="2"/>
          </w:tcPr>
          <w:p>
            <w:pPr>
              <w:spacing w:after="0"/>
              <w:rPr>
                <w:sz w:val="13"/>
                <w:szCs w:val="13"/>
                <w:color w:val="auto"/>
              </w:rPr>
            </w:pPr>
          </w:p>
        </w:tc>
        <w:tc>
          <w:tcPr>
            <w:tcW w:w="7560" w:type="dxa"/>
            <w:vAlign w:val="bottom"/>
            <w:gridSpan w:val="2"/>
          </w:tcPr>
          <w:p>
            <w:pPr>
              <w:jc w:val="right"/>
              <w:spacing w:after="0"/>
              <w:rPr>
                <w:sz w:val="20"/>
                <w:szCs w:val="20"/>
                <w:color w:val="auto"/>
              </w:rPr>
            </w:pPr>
            <w:r>
              <w:rPr>
                <w:rFonts w:ascii="Arial" w:cs="Arial" w:eastAsia="Arial" w:hAnsi="Arial"/>
                <w:sz w:val="12"/>
                <w:szCs w:val="12"/>
                <w:color w:val="auto"/>
              </w:rPr>
              <w:t>68</w:t>
            </w:r>
          </w:p>
        </w:tc>
      </w:tr>
      <w:tr>
        <w:trPr>
          <w:trHeight w:val="151"/>
        </w:trPr>
        <w:tc>
          <w:tcPr>
            <w:tcW w:w="3600" w:type="dxa"/>
            <w:vAlign w:val="bottom"/>
            <w:tcBorders>
              <w:bottom w:val="single" w:sz="8" w:color="0000EE"/>
            </w:tcBorders>
            <w:gridSpan w:val="6"/>
          </w:tcPr>
          <w:p>
            <w:pPr>
              <w:spacing w:after="0"/>
              <w:rPr>
                <w:rFonts w:ascii="Arial" w:cs="Arial" w:eastAsia="Arial" w:hAnsi="Arial"/>
                <w:sz w:val="12"/>
                <w:szCs w:val="12"/>
                <w:color w:val="0000EE"/>
                <w:w w:val="89"/>
              </w:rPr>
            </w:pPr>
            <w:hyperlink w:anchor="page70">
              <w:r>
                <w:rPr>
                  <w:rFonts w:ascii="Arial" w:cs="Arial" w:eastAsia="Arial" w:hAnsi="Arial"/>
                  <w:sz w:val="12"/>
                  <w:szCs w:val="12"/>
                  <w:color w:val="0000EE"/>
                  <w:w w:val="89"/>
                </w:rPr>
                <w:t>Consolidated Statements of Operations and Comprehensive Income (Loss)</w:t>
              </w:r>
            </w:hyperlink>
          </w:p>
        </w:tc>
        <w:tc>
          <w:tcPr>
            <w:tcW w:w="320" w:type="dxa"/>
            <w:vAlign w:val="bottom"/>
          </w:tcPr>
          <w:p>
            <w:pPr>
              <w:spacing w:after="0"/>
              <w:rPr>
                <w:sz w:val="13"/>
                <w:szCs w:val="13"/>
                <w:color w:val="auto"/>
              </w:rPr>
            </w:pPr>
          </w:p>
        </w:tc>
        <w:tc>
          <w:tcPr>
            <w:tcW w:w="7560" w:type="dxa"/>
            <w:vAlign w:val="bottom"/>
            <w:gridSpan w:val="2"/>
          </w:tcPr>
          <w:p>
            <w:pPr>
              <w:jc w:val="right"/>
              <w:spacing w:after="0"/>
              <w:rPr>
                <w:sz w:val="20"/>
                <w:szCs w:val="20"/>
                <w:color w:val="auto"/>
              </w:rPr>
            </w:pPr>
            <w:r>
              <w:rPr>
                <w:rFonts w:ascii="Arial" w:cs="Arial" w:eastAsia="Arial" w:hAnsi="Arial"/>
                <w:sz w:val="12"/>
                <w:szCs w:val="12"/>
                <w:color w:val="auto"/>
              </w:rPr>
              <w:t>69</w:t>
            </w:r>
          </w:p>
        </w:tc>
      </w:tr>
      <w:tr>
        <w:trPr>
          <w:trHeight w:val="151"/>
        </w:trPr>
        <w:tc>
          <w:tcPr>
            <w:tcW w:w="2380" w:type="dxa"/>
            <w:vAlign w:val="bottom"/>
            <w:tcBorders>
              <w:bottom w:val="single" w:sz="8" w:color="0000EE"/>
            </w:tcBorders>
            <w:gridSpan w:val="4"/>
          </w:tcPr>
          <w:p>
            <w:pPr>
              <w:spacing w:after="0"/>
              <w:rPr>
                <w:rFonts w:ascii="Arial" w:cs="Arial" w:eastAsia="Arial" w:hAnsi="Arial"/>
                <w:sz w:val="12"/>
                <w:szCs w:val="12"/>
                <w:color w:val="0000EE"/>
                <w:w w:val="90"/>
              </w:rPr>
            </w:pPr>
            <w:hyperlink w:anchor="page71">
              <w:r>
                <w:rPr>
                  <w:rFonts w:ascii="Arial" w:cs="Arial" w:eastAsia="Arial" w:hAnsi="Arial"/>
                  <w:sz w:val="12"/>
                  <w:szCs w:val="12"/>
                  <w:color w:val="0000EE"/>
                  <w:w w:val="90"/>
                </w:rPr>
                <w:t>Consolidated Statements of Stockholders’ Equity</w:t>
              </w:r>
            </w:hyperlink>
          </w:p>
        </w:tc>
        <w:tc>
          <w:tcPr>
            <w:tcW w:w="1540" w:type="dxa"/>
            <w:vAlign w:val="bottom"/>
            <w:gridSpan w:val="3"/>
          </w:tcPr>
          <w:p>
            <w:pPr>
              <w:spacing w:after="0"/>
              <w:rPr>
                <w:sz w:val="13"/>
                <w:szCs w:val="13"/>
                <w:color w:val="auto"/>
              </w:rPr>
            </w:pPr>
          </w:p>
        </w:tc>
        <w:tc>
          <w:tcPr>
            <w:tcW w:w="7560" w:type="dxa"/>
            <w:vAlign w:val="bottom"/>
            <w:gridSpan w:val="2"/>
          </w:tcPr>
          <w:p>
            <w:pPr>
              <w:jc w:val="right"/>
              <w:spacing w:after="0"/>
              <w:rPr>
                <w:sz w:val="20"/>
                <w:szCs w:val="20"/>
                <w:color w:val="auto"/>
              </w:rPr>
            </w:pPr>
            <w:r>
              <w:rPr>
                <w:rFonts w:ascii="Arial" w:cs="Arial" w:eastAsia="Arial" w:hAnsi="Arial"/>
                <w:sz w:val="12"/>
                <w:szCs w:val="12"/>
                <w:color w:val="auto"/>
              </w:rPr>
              <w:t>70</w:t>
            </w:r>
          </w:p>
        </w:tc>
      </w:tr>
      <w:tr>
        <w:trPr>
          <w:trHeight w:val="151"/>
        </w:trPr>
        <w:tc>
          <w:tcPr>
            <w:tcW w:w="1920" w:type="dxa"/>
            <w:vAlign w:val="bottom"/>
            <w:tcBorders>
              <w:bottom w:val="single" w:sz="8" w:color="0000EE"/>
            </w:tcBorders>
            <w:gridSpan w:val="2"/>
          </w:tcPr>
          <w:p>
            <w:pPr>
              <w:spacing w:after="0"/>
              <w:rPr>
                <w:rFonts w:ascii="Arial" w:cs="Arial" w:eastAsia="Arial" w:hAnsi="Arial"/>
                <w:sz w:val="12"/>
                <w:szCs w:val="12"/>
                <w:color w:val="0000EE"/>
                <w:w w:val="89"/>
              </w:rPr>
            </w:pPr>
            <w:hyperlink w:anchor="page72">
              <w:r>
                <w:rPr>
                  <w:rFonts w:ascii="Arial" w:cs="Arial" w:eastAsia="Arial" w:hAnsi="Arial"/>
                  <w:sz w:val="12"/>
                  <w:szCs w:val="12"/>
                  <w:color w:val="0000EE"/>
                  <w:w w:val="89"/>
                </w:rPr>
                <w:t>Consolidated Statements of Cash Flows</w:t>
              </w:r>
            </w:hyperlink>
          </w:p>
        </w:tc>
        <w:tc>
          <w:tcPr>
            <w:tcW w:w="2000" w:type="dxa"/>
            <w:vAlign w:val="bottom"/>
            <w:gridSpan w:val="5"/>
          </w:tcPr>
          <w:p>
            <w:pPr>
              <w:spacing w:after="0"/>
              <w:rPr>
                <w:sz w:val="13"/>
                <w:szCs w:val="13"/>
                <w:color w:val="auto"/>
              </w:rPr>
            </w:pPr>
          </w:p>
        </w:tc>
        <w:tc>
          <w:tcPr>
            <w:tcW w:w="7560" w:type="dxa"/>
            <w:vAlign w:val="bottom"/>
            <w:gridSpan w:val="2"/>
          </w:tcPr>
          <w:p>
            <w:pPr>
              <w:jc w:val="right"/>
              <w:spacing w:after="0"/>
              <w:rPr>
                <w:sz w:val="20"/>
                <w:szCs w:val="20"/>
                <w:color w:val="auto"/>
              </w:rPr>
            </w:pPr>
            <w:r>
              <w:rPr>
                <w:rFonts w:ascii="Arial" w:cs="Arial" w:eastAsia="Arial" w:hAnsi="Arial"/>
                <w:sz w:val="12"/>
                <w:szCs w:val="12"/>
                <w:color w:val="auto"/>
              </w:rPr>
              <w:t>71</w:t>
            </w:r>
          </w:p>
        </w:tc>
      </w:tr>
      <w:tr>
        <w:trPr>
          <w:trHeight w:val="151"/>
        </w:trPr>
        <w:tc>
          <w:tcPr>
            <w:tcW w:w="3920" w:type="dxa"/>
            <w:vAlign w:val="bottom"/>
            <w:gridSpan w:val="7"/>
          </w:tcPr>
          <w:p>
            <w:pPr>
              <w:spacing w:after="0"/>
              <w:rPr>
                <w:rFonts w:ascii="Arial" w:cs="Arial" w:eastAsia="Arial" w:hAnsi="Arial"/>
                <w:sz w:val="12"/>
                <w:szCs w:val="12"/>
                <w:color w:val="0000EE"/>
              </w:rPr>
            </w:pPr>
            <w:hyperlink w:anchor="page74">
              <w:r>
                <w:rPr>
                  <w:rFonts w:ascii="Arial" w:cs="Arial" w:eastAsia="Arial" w:hAnsi="Arial"/>
                  <w:sz w:val="12"/>
                  <w:szCs w:val="12"/>
                  <w:color w:val="0000EE"/>
                </w:rPr>
                <w:t>Notes to Consolidated Financial Statements</w:t>
              </w:r>
            </w:hyperlink>
          </w:p>
        </w:tc>
        <w:tc>
          <w:tcPr>
            <w:tcW w:w="7560" w:type="dxa"/>
            <w:vAlign w:val="bottom"/>
            <w:gridSpan w:val="2"/>
          </w:tcPr>
          <w:p>
            <w:pPr>
              <w:jc w:val="right"/>
              <w:spacing w:after="0"/>
              <w:rPr>
                <w:sz w:val="20"/>
                <w:szCs w:val="20"/>
                <w:color w:val="auto"/>
              </w:rPr>
            </w:pPr>
            <w:r>
              <w:rPr>
                <w:rFonts w:ascii="Arial" w:cs="Arial" w:eastAsia="Arial" w:hAnsi="Arial"/>
                <w:sz w:val="12"/>
                <w:szCs w:val="12"/>
                <w:color w:val="auto"/>
              </w:rPr>
              <w:t>73</w:t>
            </w:r>
          </w:p>
        </w:tc>
      </w:tr>
      <w:tr>
        <w:trPr>
          <w:trHeight w:val="457"/>
        </w:trPr>
        <w:tc>
          <w:tcPr>
            <w:tcW w:w="140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980" w:type="dxa"/>
            <w:vAlign w:val="bottom"/>
          </w:tcPr>
          <w:p>
            <w:pPr>
              <w:jc w:val="right"/>
              <w:ind w:right="5040"/>
              <w:spacing w:after="0"/>
              <w:rPr>
                <w:sz w:val="20"/>
                <w:szCs w:val="20"/>
                <w:color w:val="auto"/>
              </w:rPr>
            </w:pPr>
            <w:r>
              <w:rPr>
                <w:rFonts w:ascii="Arial" w:cs="Arial" w:eastAsia="Arial" w:hAnsi="Arial"/>
                <w:sz w:val="12"/>
                <w:szCs w:val="12"/>
                <w:color w:val="auto"/>
              </w:rPr>
              <w:t>63</w:t>
            </w:r>
          </w:p>
        </w:tc>
        <w:tc>
          <w:tcPr>
            <w:tcW w:w="580" w:type="dxa"/>
            <w:vAlign w:val="bottom"/>
          </w:tcPr>
          <w:p>
            <w:pPr>
              <w:spacing w:after="0"/>
              <w:rPr>
                <w:sz w:val="24"/>
                <w:szCs w:val="24"/>
                <w:color w:val="auto"/>
              </w:rPr>
            </w:pPr>
          </w:p>
        </w:tc>
      </w:tr>
      <w:tr>
        <w:trPr>
          <w:trHeight w:val="72"/>
        </w:trPr>
        <w:tc>
          <w:tcPr>
            <w:tcW w:w="1400" w:type="dxa"/>
            <w:vAlign w:val="bottom"/>
            <w:tcBorders>
              <w:bottom w:val="single" w:sz="8" w:color="9A9A9A"/>
            </w:tcBorders>
          </w:tcPr>
          <w:p>
            <w:pPr>
              <w:spacing w:after="0"/>
              <w:rPr>
                <w:sz w:val="6"/>
                <w:szCs w:val="6"/>
                <w:color w:val="auto"/>
              </w:rPr>
            </w:pPr>
          </w:p>
        </w:tc>
        <w:tc>
          <w:tcPr>
            <w:tcW w:w="520" w:type="dxa"/>
            <w:vAlign w:val="bottom"/>
            <w:tcBorders>
              <w:bottom w:val="single" w:sz="8" w:color="9A9A9A"/>
            </w:tcBorders>
          </w:tcPr>
          <w:p>
            <w:pPr>
              <w:spacing w:after="0"/>
              <w:rPr>
                <w:sz w:val="6"/>
                <w:szCs w:val="6"/>
                <w:color w:val="auto"/>
              </w:rPr>
            </w:pPr>
          </w:p>
        </w:tc>
        <w:tc>
          <w:tcPr>
            <w:tcW w:w="18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480" w:type="dxa"/>
            <w:vAlign w:val="bottom"/>
            <w:tcBorders>
              <w:bottom w:val="single" w:sz="8" w:color="9A9A9A"/>
            </w:tcBorders>
          </w:tcPr>
          <w:p>
            <w:pPr>
              <w:spacing w:after="0"/>
              <w:rPr>
                <w:sz w:val="6"/>
                <w:szCs w:val="6"/>
                <w:color w:val="auto"/>
              </w:rPr>
            </w:pPr>
          </w:p>
        </w:tc>
        <w:tc>
          <w:tcPr>
            <w:tcW w:w="740" w:type="dxa"/>
            <w:vAlign w:val="bottom"/>
            <w:tcBorders>
              <w:bottom w:val="single" w:sz="8" w:color="9A9A9A"/>
            </w:tcBorders>
          </w:tcPr>
          <w:p>
            <w:pPr>
              <w:spacing w:after="0"/>
              <w:rPr>
                <w:sz w:val="6"/>
                <w:szCs w:val="6"/>
                <w:color w:val="auto"/>
              </w:rPr>
            </w:pPr>
          </w:p>
        </w:tc>
        <w:tc>
          <w:tcPr>
            <w:tcW w:w="320" w:type="dxa"/>
            <w:vAlign w:val="bottom"/>
            <w:tcBorders>
              <w:bottom w:val="single" w:sz="8" w:color="9A9A9A"/>
            </w:tcBorders>
          </w:tcPr>
          <w:p>
            <w:pPr>
              <w:spacing w:after="0"/>
              <w:rPr>
                <w:sz w:val="6"/>
                <w:szCs w:val="6"/>
                <w:color w:val="auto"/>
              </w:rPr>
            </w:pPr>
          </w:p>
        </w:tc>
        <w:tc>
          <w:tcPr>
            <w:tcW w:w="6980" w:type="dxa"/>
            <w:vAlign w:val="bottom"/>
            <w:tcBorders>
              <w:bottom w:val="single" w:sz="8" w:color="9A9A9A"/>
            </w:tcBorders>
          </w:tcPr>
          <w:p>
            <w:pPr>
              <w:spacing w:after="0"/>
              <w:rPr>
                <w:sz w:val="6"/>
                <w:szCs w:val="6"/>
                <w:color w:val="auto"/>
              </w:rPr>
            </w:pPr>
          </w:p>
        </w:tc>
        <w:tc>
          <w:tcPr>
            <w:tcW w:w="58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7268845</wp:posOffset>
            </wp:positionH>
            <wp:positionV relativeFrom="paragraph">
              <wp:posOffset>-23495</wp:posOffset>
            </wp:positionV>
            <wp:extent cx="31115" cy="3683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480"/>
          </w:cols>
          <w:pgMar w:left="220" w:top="127" w:right="199" w:bottom="1440" w:gutter="0" w:footer="0" w:header="0"/>
        </w:sectPr>
      </w:pPr>
    </w:p>
    <w:bookmarkStart w:id="64" w:name="page65"/>
    <w:bookmarkEnd w:id="64"/>
    <w:p>
      <w:pPr>
        <w:ind w:left="3680"/>
        <w:spacing w:after="0"/>
        <w:rPr>
          <w:sz w:val="20"/>
          <w:szCs w:val="20"/>
          <w:color w:val="auto"/>
        </w:rPr>
      </w:pPr>
      <w:r>
        <w:rPr>
          <w:rFonts w:ascii="Arial" w:cs="Arial" w:eastAsia="Arial" w:hAnsi="Arial"/>
          <w:sz w:val="12"/>
          <w:szCs w:val="12"/>
          <w:b w:val="1"/>
          <w:bCs w:val="1"/>
          <w:color w:val="auto"/>
        </w:rPr>
        <w:t>REPORT OF INDEPENDENT REGISTERED PUBLIC ACCOUNTING FIRM</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To the Stockholders and the Board of Directors of Verra Mobility Corporation</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Opinion on the Financial Statements</w:t>
      </w:r>
    </w:p>
    <w:p>
      <w:pPr>
        <w:spacing w:after="0" w:line="154" w:lineRule="exact"/>
        <w:rPr>
          <w:sz w:val="20"/>
          <w:szCs w:val="20"/>
          <w:color w:val="auto"/>
        </w:rPr>
      </w:pPr>
    </w:p>
    <w:p>
      <w:pPr>
        <w:jc w:val="both"/>
        <w:spacing w:after="0" w:line="286" w:lineRule="auto"/>
        <w:rPr>
          <w:sz w:val="20"/>
          <w:szCs w:val="20"/>
          <w:color w:val="auto"/>
        </w:rPr>
      </w:pPr>
      <w:r>
        <w:rPr>
          <w:rFonts w:ascii="Arial" w:cs="Arial" w:eastAsia="Arial" w:hAnsi="Arial"/>
          <w:sz w:val="11"/>
          <w:szCs w:val="11"/>
          <w:color w:val="auto"/>
        </w:rPr>
        <w:t>We have audited the accompanying consolidated balance sheets of Verra Mobility Corporation (the Company) as of December 31, 2019 and 2018, the related consolidated statements of operations and comprehensive income (loss), stockholders’ equity and cash flows for the years ended December 31, 2019 and 2018, for the period from June 1, 2017 through December 31, 2017 (successor period), and for the period from January 1, 2017 through May 31, 2017 (predecessor period), and the related notes and the financial statement schedule listed in the Index at Item 15(a) (collectively referred to as the “financial statements”). In our opinion, the financial statements present fairly, in all material respects, the consolidated financial position of the Company at December 31, 2019 and 2018, and the consolidated results of its operations and its cash flows for each of the two years in the period ended December 31, 2019, the seven-month period ended December 31, 2017 and the five-month period ended May 31, 2017, in conformity with U.S. generally accepted accounting principles.</w:t>
      </w:r>
    </w:p>
    <w:p>
      <w:pPr>
        <w:spacing w:after="0" w:line="111" w:lineRule="exact"/>
        <w:rPr>
          <w:sz w:val="20"/>
          <w:szCs w:val="20"/>
          <w:color w:val="auto"/>
        </w:rPr>
      </w:pPr>
    </w:p>
    <w:p>
      <w:pPr>
        <w:jc w:val="both"/>
        <w:ind w:right="20"/>
        <w:spacing w:after="0" w:line="323" w:lineRule="auto"/>
        <w:rPr>
          <w:sz w:val="20"/>
          <w:szCs w:val="20"/>
          <w:color w:val="auto"/>
        </w:rPr>
      </w:pPr>
      <w:r>
        <w:rPr>
          <w:rFonts w:ascii="Arial" w:cs="Arial" w:eastAsia="Arial" w:hAnsi="Arial"/>
          <w:sz w:val="11"/>
          <w:szCs w:val="11"/>
          <w:color w:val="auto"/>
        </w:rPr>
        <w:t>We also have audited, in accordance with the standards of the Public Company Accounting Oversight Board (United States) (PCAOB), the Company’s internal control over financial reporting as of December 31, 2019, based on criteria established in Internal Control—Integrated Framework issued by the Committee of Sponsoring Organizations of the Treadway Commission (2013 framework) and our report dated March 2, 2020 expressed an adverse opinion thereon.</w:t>
      </w:r>
    </w:p>
    <w:p>
      <w:pPr>
        <w:spacing w:after="0" w:line="8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Basis for Opinion</w:t>
      </w:r>
    </w:p>
    <w:p>
      <w:pPr>
        <w:spacing w:after="0" w:line="154" w:lineRule="exact"/>
        <w:rPr>
          <w:sz w:val="20"/>
          <w:szCs w:val="20"/>
          <w:color w:val="auto"/>
        </w:rPr>
      </w:pPr>
    </w:p>
    <w:p>
      <w:pPr>
        <w:jc w:val="both"/>
        <w:ind w:right="20"/>
        <w:spacing w:after="0" w:line="323" w:lineRule="auto"/>
        <w:rPr>
          <w:sz w:val="20"/>
          <w:szCs w:val="20"/>
          <w:color w:val="auto"/>
        </w:rPr>
      </w:pPr>
      <w:r>
        <w:rPr>
          <w:rFonts w:ascii="Arial" w:cs="Arial" w:eastAsia="Arial" w:hAnsi="Arial"/>
          <w:sz w:val="11"/>
          <w:szCs w:val="11"/>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92" w:lineRule="exact"/>
        <w:rPr>
          <w:sz w:val="20"/>
          <w:szCs w:val="20"/>
          <w:color w:val="auto"/>
        </w:rPr>
      </w:pPr>
    </w:p>
    <w:p>
      <w:pPr>
        <w:jc w:val="both"/>
        <w:spacing w:after="0" w:line="290" w:lineRule="auto"/>
        <w:rPr>
          <w:sz w:val="20"/>
          <w:szCs w:val="20"/>
          <w:color w:val="auto"/>
        </w:rPr>
      </w:pPr>
      <w:r>
        <w:rPr>
          <w:rFonts w:ascii="Arial" w:cs="Arial" w:eastAsia="Arial" w:hAnsi="Arial"/>
          <w:sz w:val="11"/>
          <w:szCs w:val="11"/>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Critical Audit Matters</w:t>
      </w:r>
    </w:p>
    <w:p>
      <w:pPr>
        <w:spacing w:after="0" w:line="154"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1680" w:type="dxa"/>
            <w:vAlign w:val="bottom"/>
          </w:tcPr>
          <w:p>
            <w:pPr>
              <w:spacing w:after="0"/>
              <w:rPr>
                <w:sz w:val="20"/>
                <w:szCs w:val="20"/>
                <w:color w:val="auto"/>
              </w:rPr>
            </w:pPr>
            <w:r>
              <w:rPr>
                <w:rFonts w:ascii="Arial" w:cs="Arial" w:eastAsia="Arial" w:hAnsi="Arial"/>
                <w:sz w:val="12"/>
                <w:szCs w:val="12"/>
                <w:b w:val="1"/>
                <w:bCs w:val="1"/>
                <w:color w:val="auto"/>
                <w:w w:val="94"/>
              </w:rPr>
              <w:t>Commercial Services Revenue</w:t>
            </w:r>
          </w:p>
        </w:tc>
        <w:tc>
          <w:tcPr>
            <w:tcW w:w="9800" w:type="dxa"/>
            <w:vAlign w:val="bottom"/>
          </w:tcPr>
          <w:p>
            <w:pPr>
              <w:spacing w:after="0"/>
              <w:rPr>
                <w:sz w:val="13"/>
                <w:szCs w:val="13"/>
                <w:color w:val="auto"/>
              </w:rPr>
            </w:pPr>
          </w:p>
        </w:tc>
      </w:tr>
      <w:tr>
        <w:trPr>
          <w:trHeight w:val="279"/>
        </w:trPr>
        <w:tc>
          <w:tcPr>
            <w:tcW w:w="1680" w:type="dxa"/>
            <w:vAlign w:val="bottom"/>
          </w:tcPr>
          <w:p>
            <w:pPr>
              <w:spacing w:after="0"/>
              <w:rPr>
                <w:sz w:val="20"/>
                <w:szCs w:val="20"/>
                <w:color w:val="auto"/>
              </w:rPr>
            </w:pPr>
            <w:r>
              <w:rPr>
                <w:rFonts w:ascii="Arial" w:cs="Arial" w:eastAsia="Arial" w:hAnsi="Arial"/>
                <w:sz w:val="12"/>
                <w:szCs w:val="12"/>
                <w:i w:val="1"/>
                <w:iCs w:val="1"/>
                <w:color w:val="auto"/>
              </w:rPr>
              <w:t>Description of the Matter</w:t>
            </w:r>
          </w:p>
        </w:tc>
        <w:tc>
          <w:tcPr>
            <w:tcW w:w="9800" w:type="dxa"/>
            <w:vAlign w:val="bottom"/>
          </w:tcPr>
          <w:p>
            <w:pPr>
              <w:ind w:left="140"/>
              <w:spacing w:after="0"/>
              <w:rPr>
                <w:sz w:val="20"/>
                <w:szCs w:val="20"/>
                <w:color w:val="auto"/>
              </w:rPr>
            </w:pPr>
            <w:r>
              <w:rPr>
                <w:rFonts w:ascii="Arial" w:cs="Arial" w:eastAsia="Arial" w:hAnsi="Arial"/>
                <w:sz w:val="12"/>
                <w:szCs w:val="12"/>
                <w:color w:val="auto"/>
                <w:w w:val="91"/>
              </w:rPr>
              <w:t>As described in Notes 2 and 18 to the consolidated financial statements, the Company generated aggregate commercial services revenue of $276.5 million for the year ended December 31, 2019 from</w:t>
            </w:r>
          </w:p>
        </w:tc>
      </w:tr>
      <w:tr>
        <w:trPr>
          <w:trHeight w:val="153"/>
        </w:trPr>
        <w:tc>
          <w:tcPr>
            <w:tcW w:w="1680" w:type="dxa"/>
            <w:vAlign w:val="bottom"/>
          </w:tcPr>
          <w:p>
            <w:pPr>
              <w:spacing w:after="0"/>
              <w:rPr>
                <w:sz w:val="13"/>
                <w:szCs w:val="13"/>
                <w:color w:val="auto"/>
              </w:rPr>
            </w:pPr>
          </w:p>
        </w:tc>
        <w:tc>
          <w:tcPr>
            <w:tcW w:w="9800" w:type="dxa"/>
            <w:vAlign w:val="bottom"/>
          </w:tcPr>
          <w:p>
            <w:pPr>
              <w:ind w:left="140"/>
              <w:spacing w:after="0"/>
              <w:rPr>
                <w:sz w:val="20"/>
                <w:szCs w:val="20"/>
                <w:color w:val="auto"/>
              </w:rPr>
            </w:pPr>
            <w:r>
              <w:rPr>
                <w:rFonts w:ascii="Arial" w:cs="Arial" w:eastAsia="Arial" w:hAnsi="Arial"/>
                <w:sz w:val="12"/>
                <w:szCs w:val="12"/>
                <w:color w:val="auto"/>
              </w:rPr>
              <w:t>the following service lines: toll and violation services, citation management services, and title and registration.</w:t>
            </w:r>
          </w:p>
        </w:tc>
      </w:tr>
      <w:tr>
        <w:trPr>
          <w:trHeight w:val="288"/>
        </w:trPr>
        <w:tc>
          <w:tcPr>
            <w:tcW w:w="1680" w:type="dxa"/>
            <w:vAlign w:val="bottom"/>
          </w:tcPr>
          <w:p>
            <w:pPr>
              <w:spacing w:after="0"/>
              <w:rPr>
                <w:sz w:val="24"/>
                <w:szCs w:val="24"/>
                <w:color w:val="auto"/>
              </w:rPr>
            </w:pPr>
          </w:p>
        </w:tc>
        <w:tc>
          <w:tcPr>
            <w:tcW w:w="9800" w:type="dxa"/>
            <w:vAlign w:val="bottom"/>
          </w:tcPr>
          <w:p>
            <w:pPr>
              <w:jc w:val="right"/>
              <w:ind w:right="5620"/>
              <w:spacing w:after="0"/>
              <w:rPr>
                <w:sz w:val="20"/>
                <w:szCs w:val="20"/>
                <w:color w:val="auto"/>
              </w:rPr>
            </w:pPr>
            <w:r>
              <w:rPr>
                <w:rFonts w:ascii="Arial" w:cs="Arial" w:eastAsia="Arial" w:hAnsi="Arial"/>
                <w:sz w:val="12"/>
                <w:szCs w:val="12"/>
                <w:color w:val="auto"/>
              </w:rPr>
              <w:t>64</w:t>
            </w:r>
          </w:p>
        </w:tc>
      </w:tr>
      <w:tr>
        <w:trPr>
          <w:trHeight w:val="72"/>
        </w:trPr>
        <w:tc>
          <w:tcPr>
            <w:tcW w:w="1680" w:type="dxa"/>
            <w:vAlign w:val="bottom"/>
            <w:tcBorders>
              <w:bottom w:val="single" w:sz="8" w:color="9A9A9A"/>
            </w:tcBorders>
          </w:tcPr>
          <w:p>
            <w:pPr>
              <w:spacing w:after="0"/>
              <w:rPr>
                <w:sz w:val="6"/>
                <w:szCs w:val="6"/>
                <w:color w:val="auto"/>
              </w:rPr>
            </w:pPr>
          </w:p>
        </w:tc>
        <w:tc>
          <w:tcPr>
            <w:tcW w:w="980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7268845</wp:posOffset>
            </wp:positionH>
            <wp:positionV relativeFrom="paragraph">
              <wp:posOffset>-23495</wp:posOffset>
            </wp:positionV>
            <wp:extent cx="31115" cy="3683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480"/>
          </w:cols>
          <w:pgMar w:left="220" w:top="127" w:right="199" w:bottom="1440" w:gutter="0" w:footer="0" w:header="0"/>
        </w:sectPr>
      </w:pPr>
    </w:p>
    <w:bookmarkStart w:id="65" w:name="page66"/>
    <w:bookmarkEnd w:id="65"/>
    <w:p>
      <w:pPr>
        <w:jc w:val="both"/>
        <w:ind w:left="1820"/>
        <w:spacing w:after="0" w:line="298" w:lineRule="auto"/>
        <w:rPr>
          <w:sz w:val="20"/>
          <w:szCs w:val="20"/>
          <w:color w:val="auto"/>
        </w:rPr>
      </w:pPr>
      <w:r>
        <w:rPr>
          <w:rFonts w:ascii="Arial" w:cs="Arial" w:eastAsia="Arial" w:hAnsi="Arial"/>
          <w:sz w:val="11"/>
          <w:szCs w:val="11"/>
          <w:color w:val="auto"/>
        </w:rPr>
        <w:t>The Company‘s revenue recognition process involves several applications and data sources needed for the initiation, processing, and recording of transactions from the Company’s various revenue sources, as well as the calculation of revenue in accordance with the Company’s accounting policy. Auditing the Company's accounting for revenue from contracts with customers was challenging and complex primarily due to the high volume of transactions, as well as the multiple applications and data sources associated with the revenue recognition process.</w:t>
      </w:r>
    </w:p>
    <w:p>
      <w:pPr>
        <w:sectPr>
          <w:pgSz w:w="11900" w:h="16838" w:orient="portrait"/>
          <w:cols w:equalWidth="0" w:num="1">
            <w:col w:w="11480"/>
          </w:cols>
          <w:pgMar w:left="220" w:top="275" w:right="199" w:bottom="1440" w:gutter="0" w:footer="0" w:header="0"/>
        </w:sectPr>
      </w:pPr>
    </w:p>
    <w:p>
      <w:pPr>
        <w:spacing w:after="0" w:line="105" w:lineRule="exact"/>
        <w:rPr>
          <w:sz w:val="20"/>
          <w:szCs w:val="20"/>
          <w:color w:val="auto"/>
        </w:rPr>
      </w:pPr>
    </w:p>
    <w:p>
      <w:pPr>
        <w:spacing w:after="0" w:line="276" w:lineRule="auto"/>
        <w:rPr>
          <w:sz w:val="20"/>
          <w:szCs w:val="20"/>
          <w:color w:val="auto"/>
        </w:rPr>
      </w:pPr>
      <w:r>
        <w:rPr>
          <w:rFonts w:ascii="Arial" w:cs="Arial" w:eastAsia="Arial" w:hAnsi="Arial"/>
          <w:sz w:val="12"/>
          <w:szCs w:val="12"/>
          <w:i w:val="1"/>
          <w:iCs w:val="1"/>
          <w:color w:val="auto"/>
        </w:rPr>
        <w:t>How We Addressed the Matter in Our Audit</w:t>
      </w:r>
    </w:p>
    <w:p>
      <w:pPr>
        <w:spacing w:after="0" w:line="20" w:lineRule="exact"/>
        <w:rPr>
          <w:sz w:val="20"/>
          <w:szCs w:val="20"/>
          <w:color w:val="auto"/>
        </w:rPr>
      </w:pPr>
      <w:r>
        <w:rPr>
          <w:sz w:val="20"/>
          <w:szCs w:val="20"/>
          <w:color w:val="auto"/>
        </w:rPr>
        <w:br w:type="column"/>
      </w:r>
    </w:p>
    <w:p>
      <w:pPr>
        <w:spacing w:after="0" w:line="85"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To test the Company’s accounting for revenue from contracts with customers, we performed substantive audit procedures that included, among others, testing on a sample basis the completeness and accuracy of the underlying data within the Company’s revenue systems, performing data analytics to test recorded revenue, tracing a sample of sales transactions to supporting documentation, and testing a sample of cash to billings reconciliations.</w:t>
      </w:r>
    </w:p>
    <w:p>
      <w:pPr>
        <w:spacing w:after="0" w:line="119" w:lineRule="exact"/>
        <w:rPr>
          <w:sz w:val="20"/>
          <w:szCs w:val="20"/>
          <w:color w:val="auto"/>
        </w:rPr>
      </w:pPr>
    </w:p>
    <w:p>
      <w:pPr>
        <w:sectPr>
          <w:pgSz w:w="11900" w:h="16838" w:orient="portrait"/>
          <w:cols w:equalWidth="0" w:num="2">
            <w:col w:w="1580" w:space="240"/>
            <w:col w:w="9660"/>
          </w:cols>
          <w:pgMar w:left="220" w:top="275" w:right="199" w:bottom="1440" w:gutter="0" w:footer="0" w:header="0"/>
          <w:type w:val="continuous"/>
        </w:sectPr>
      </w:pPr>
    </w:p>
    <w:p>
      <w:pPr>
        <w:spacing w:after="0"/>
        <w:rPr>
          <w:sz w:val="20"/>
          <w:szCs w:val="20"/>
          <w:color w:val="auto"/>
        </w:rPr>
      </w:pPr>
      <w:r>
        <w:rPr>
          <w:rFonts w:ascii="Arial" w:cs="Arial" w:eastAsia="Arial" w:hAnsi="Arial"/>
          <w:sz w:val="10"/>
          <w:szCs w:val="10"/>
          <w:b w:val="1"/>
          <w:bCs w:val="1"/>
          <w:color w:val="auto"/>
        </w:rPr>
        <w:t>Pagatelia Acquisition</w:t>
      </w:r>
    </w:p>
    <w:p>
      <w:pPr>
        <w:sectPr>
          <w:pgSz w:w="11900" w:h="16838" w:orient="portrait"/>
          <w:cols w:equalWidth="0" w:num="1">
            <w:col w:w="11480"/>
          </w:cols>
          <w:pgMar w:left="220" w:top="275" w:right="199" w:bottom="1440" w:gutter="0" w:footer="0" w:header="0"/>
          <w:type w:val="continuous"/>
        </w:sectPr>
      </w:pPr>
    </w:p>
    <w:p>
      <w:pPr>
        <w:spacing w:after="0" w:line="177" w:lineRule="exact"/>
        <w:rPr>
          <w:sz w:val="20"/>
          <w:szCs w:val="20"/>
          <w:color w:val="auto"/>
        </w:rPr>
      </w:pPr>
    </w:p>
    <w:p>
      <w:pPr>
        <w:spacing w:after="0"/>
        <w:rPr>
          <w:sz w:val="20"/>
          <w:szCs w:val="20"/>
          <w:color w:val="auto"/>
        </w:rPr>
      </w:pPr>
      <w:r>
        <w:rPr>
          <w:rFonts w:ascii="Arial" w:cs="Arial" w:eastAsia="Arial" w:hAnsi="Arial"/>
          <w:sz w:val="11"/>
          <w:szCs w:val="11"/>
          <w:i w:val="1"/>
          <w:iCs w:val="1"/>
          <w:color w:val="auto"/>
        </w:rPr>
        <w:t>Description of the Matter</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ind w:right="20"/>
        <w:spacing w:after="0" w:line="276" w:lineRule="auto"/>
        <w:rPr>
          <w:sz w:val="20"/>
          <w:szCs w:val="20"/>
          <w:color w:val="auto"/>
        </w:rPr>
      </w:pPr>
      <w:r>
        <w:rPr>
          <w:rFonts w:ascii="Arial" w:cs="Arial" w:eastAsia="Arial" w:hAnsi="Arial"/>
          <w:sz w:val="12"/>
          <w:szCs w:val="12"/>
          <w:color w:val="auto"/>
        </w:rPr>
        <w:t>On October 31, 2019, the Company completed the acquisition of Pagatelia, S.L. for purchase consideration of $26.6 million. As discussed in Note 3 to the consolidated financial statements, the Company accounted for this acquisition as a business combination.</w:t>
      </w:r>
    </w:p>
    <w:p>
      <w:pPr>
        <w:spacing w:after="0" w:line="115" w:lineRule="exact"/>
        <w:rPr>
          <w:sz w:val="20"/>
          <w:szCs w:val="20"/>
          <w:color w:val="auto"/>
        </w:rPr>
      </w:pPr>
    </w:p>
    <w:p>
      <w:pPr>
        <w:sectPr>
          <w:pgSz w:w="11900" w:h="16838" w:orient="portrait"/>
          <w:cols w:equalWidth="0" w:num="2">
            <w:col w:w="1220" w:space="600"/>
            <w:col w:w="9660"/>
          </w:cols>
          <w:pgMar w:left="220" w:top="275" w:right="199" w:bottom="1440" w:gutter="0" w:footer="0" w:header="0"/>
          <w:type w:val="continuous"/>
        </w:sectPr>
      </w:pPr>
    </w:p>
    <w:p>
      <w:pPr>
        <w:jc w:val="both"/>
        <w:ind w:left="1820"/>
        <w:spacing w:after="0" w:line="290" w:lineRule="auto"/>
        <w:rPr>
          <w:sz w:val="20"/>
          <w:szCs w:val="20"/>
          <w:color w:val="auto"/>
        </w:rPr>
      </w:pPr>
      <w:r>
        <w:rPr>
          <w:rFonts w:ascii="Arial" w:cs="Arial" w:eastAsia="Arial" w:hAnsi="Arial"/>
          <w:sz w:val="11"/>
          <w:szCs w:val="11"/>
          <w:color w:val="auto"/>
        </w:rPr>
        <w:t>Auditing the accounting for the acquisition was complex due to the significant estimation uncertainty in determining the fair values of identified intangible assets, which primarily consisted of developed technology of $4.6 million and customer relationships of $5.9 million. The significant estimation uncertainty was primarily due to underlying assumptions about future performance of the acquired business and due to the limited historical data on which to base these assumptions. The significant assumptions used to form the basis of the forecasted results included revenue growth rates, earnings metrics, and discount rates. These significant assumptions were forward-looking and could be affected by future economic and market conditions.</w:t>
      </w:r>
    </w:p>
    <w:p>
      <w:pPr>
        <w:sectPr>
          <w:pgSz w:w="11900" w:h="16838" w:orient="portrait"/>
          <w:cols w:equalWidth="0" w:num="1">
            <w:col w:w="11480"/>
          </w:cols>
          <w:pgMar w:left="220" w:top="275" w:right="199" w:bottom="1440" w:gutter="0" w:footer="0" w:header="0"/>
          <w:type w:val="continuous"/>
        </w:sectPr>
      </w:pPr>
    </w:p>
    <w:p>
      <w:pPr>
        <w:spacing w:after="0" w:line="109" w:lineRule="exact"/>
        <w:rPr>
          <w:sz w:val="20"/>
          <w:szCs w:val="20"/>
          <w:color w:val="auto"/>
        </w:rPr>
      </w:pPr>
    </w:p>
    <w:p>
      <w:pPr>
        <w:spacing w:after="0" w:line="276" w:lineRule="auto"/>
        <w:rPr>
          <w:sz w:val="20"/>
          <w:szCs w:val="20"/>
          <w:color w:val="auto"/>
        </w:rPr>
      </w:pPr>
      <w:r>
        <w:rPr>
          <w:rFonts w:ascii="Arial" w:cs="Arial" w:eastAsia="Arial" w:hAnsi="Arial"/>
          <w:sz w:val="12"/>
          <w:szCs w:val="12"/>
          <w:i w:val="1"/>
          <w:iCs w:val="1"/>
          <w:color w:val="auto"/>
        </w:rPr>
        <w:t>How We Addressed the Matter in Our Audit</w:t>
      </w:r>
    </w:p>
    <w:p>
      <w:pPr>
        <w:spacing w:after="0" w:line="20" w:lineRule="exact"/>
        <w:rPr>
          <w:sz w:val="20"/>
          <w:szCs w:val="20"/>
          <w:color w:val="auto"/>
        </w:rPr>
      </w:pPr>
      <w:r>
        <w:rPr>
          <w:sz w:val="20"/>
          <w:szCs w:val="20"/>
          <w:color w:val="auto"/>
        </w:rPr>
        <w:br w:type="column"/>
      </w:r>
    </w:p>
    <w:p>
      <w:pPr>
        <w:spacing w:after="0" w:line="89"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We obtained an understanding, evaluated the design and tested the operating effectiveness of the Company’s controls over its accounting for the acquisition. This included testing controls over the estimation process supporting the recognition and measurement of identified intangible assets, and management’s judgment and evaluation of underlying assumptions and estimates with regards to the fair values of the identified intangible assets.</w:t>
      </w:r>
    </w:p>
    <w:p>
      <w:pPr>
        <w:spacing w:after="0" w:line="123" w:lineRule="exact"/>
        <w:rPr>
          <w:sz w:val="20"/>
          <w:szCs w:val="20"/>
          <w:color w:val="auto"/>
        </w:rPr>
      </w:pPr>
    </w:p>
    <w:p>
      <w:pPr>
        <w:sectPr>
          <w:pgSz w:w="11900" w:h="16838" w:orient="portrait"/>
          <w:cols w:equalWidth="0" w:num="2">
            <w:col w:w="1580" w:space="240"/>
            <w:col w:w="9660"/>
          </w:cols>
          <w:pgMar w:left="220" w:top="275" w:right="199" w:bottom="1440" w:gutter="0" w:footer="0" w:header="0"/>
          <w:type w:val="continuous"/>
        </w:sectPr>
      </w:pPr>
    </w:p>
    <w:p>
      <w:pPr>
        <w:jc w:val="both"/>
        <w:ind w:left="1820"/>
        <w:spacing w:after="0" w:line="290" w:lineRule="auto"/>
        <w:rPr>
          <w:sz w:val="20"/>
          <w:szCs w:val="20"/>
          <w:color w:val="auto"/>
        </w:rPr>
      </w:pPr>
      <w:r>
        <w:rPr>
          <w:rFonts w:ascii="Arial" w:cs="Arial" w:eastAsia="Arial" w:hAnsi="Arial"/>
          <w:sz w:val="11"/>
          <w:szCs w:val="11"/>
          <w:color w:val="auto"/>
        </w:rPr>
        <w:t>To test the estimated fair values of the identified intangible assets, our audit procedures included, among others, the involvement of internal valuation specialists to assist in the evaluation of the Company’s valuation methodology and testing of the significant assumptions described above. For example, we compared the revenue growth rates and earnings metrics to current industry and market trends. We also performed sensitivity analyses of these significant assumptions to evaluate the changes in the fair value of the developed technology and customer relationship intangible assets that would result from changes in the assumptions. Additionally, we tested the completeness and accuracy of the underlying data supporting the significant assumptions and estimates.</w:t>
      </w:r>
    </w:p>
    <w:p>
      <w:pPr>
        <w:sectPr>
          <w:pgSz w:w="11900" w:h="16838" w:orient="portrait"/>
          <w:cols w:equalWidth="0" w:num="1">
            <w:col w:w="11480"/>
          </w:cols>
          <w:pgMar w:left="220" w:top="275" w:right="199" w:bottom="1440" w:gutter="0" w:footer="0" w:header="0"/>
          <w:type w:val="continuous"/>
        </w:sectPr>
      </w:pPr>
    </w:p>
    <w:p>
      <w:pPr>
        <w:spacing w:after="0" w:line="253" w:lineRule="exact"/>
        <w:rPr>
          <w:sz w:val="20"/>
          <w:szCs w:val="20"/>
          <w:color w:val="auto"/>
        </w:rPr>
      </w:pPr>
    </w:p>
    <w:p>
      <w:pPr>
        <w:spacing w:after="0"/>
        <w:rPr>
          <w:sz w:val="20"/>
          <w:szCs w:val="20"/>
          <w:color w:val="auto"/>
        </w:rPr>
      </w:pPr>
      <w:r>
        <w:rPr>
          <w:rFonts w:ascii="Arial" w:cs="Arial" w:eastAsia="Arial" w:hAnsi="Arial"/>
          <w:sz w:val="12"/>
          <w:szCs w:val="12"/>
          <w:color w:val="auto"/>
        </w:rPr>
        <w:t>/s/ Ernst &amp; Young LLP</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We have served as the Company’s auditor since 2013.</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Phoenix, Arizona</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March 2, 2020</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57150</wp:posOffset>
            </wp:positionV>
            <wp:extent cx="7317740" cy="3683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ectPr>
          <w:pgSz w:w="11900" w:h="16838" w:orient="portrait"/>
          <w:cols w:equalWidth="0" w:num="1">
            <w:col w:w="11480"/>
          </w:cols>
          <w:pgMar w:left="220" w:top="275" w:right="199" w:bottom="1440" w:gutter="0" w:footer="0" w:header="0"/>
          <w:type w:val="continuous"/>
        </w:sectPr>
      </w:pPr>
    </w:p>
    <w:bookmarkStart w:id="66" w:name="page67"/>
    <w:bookmarkEnd w:id="66"/>
    <w:p>
      <w:pPr>
        <w:ind w:left="3680"/>
        <w:spacing w:after="0"/>
        <w:rPr>
          <w:sz w:val="20"/>
          <w:szCs w:val="20"/>
          <w:color w:val="auto"/>
        </w:rPr>
      </w:pPr>
      <w:r>
        <w:rPr>
          <w:rFonts w:ascii="Arial" w:cs="Arial" w:eastAsia="Arial" w:hAnsi="Arial"/>
          <w:sz w:val="12"/>
          <w:szCs w:val="12"/>
          <w:b w:val="1"/>
          <w:bCs w:val="1"/>
          <w:color w:val="auto"/>
        </w:rPr>
        <w:t>REPORT OF INDEPENDENT REGISTERED PUBLIC ACCOUNTING FIRM</w:t>
      </w:r>
    </w:p>
    <w:p>
      <w:pPr>
        <w:spacing w:after="0" w:line="163" w:lineRule="exact"/>
        <w:rPr>
          <w:sz w:val="20"/>
          <w:szCs w:val="20"/>
          <w:color w:val="auto"/>
        </w:rPr>
      </w:pPr>
    </w:p>
    <w:p>
      <w:pPr>
        <w:spacing w:after="0"/>
        <w:rPr>
          <w:sz w:val="20"/>
          <w:szCs w:val="20"/>
          <w:color w:val="auto"/>
        </w:rPr>
      </w:pPr>
      <w:r>
        <w:rPr>
          <w:rFonts w:ascii="Arial" w:cs="Arial" w:eastAsia="Arial" w:hAnsi="Arial"/>
          <w:sz w:val="12"/>
          <w:szCs w:val="12"/>
          <w:color w:val="auto"/>
        </w:rPr>
        <w:t>To the Stockholders and the Board of Directors of Verra Mobility Corporation</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Opinion on Internal Control over Financial Reporting</w:t>
      </w:r>
    </w:p>
    <w:p>
      <w:pPr>
        <w:spacing w:after="0" w:line="127"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We have audited Verra Mobility Corporation’s internal control over financial reporting as of December 31, 2019, based on criteria established in Internal Control—Integrated Framework issued by the Committee of Sponsoring Organizations of the Treadway Commission (2013 framework) (the COSO criteria). In our opinion, because of the effect of the material weakness described below on the achievement of the objectives of the control criteria, Verra Mobility Corporation (the Company) has not maintained effective internal control over financial reporting as of December 31, 2019, based on the COSO criteria.</w:t>
      </w:r>
    </w:p>
    <w:p>
      <w:pPr>
        <w:spacing w:after="0" w:line="123"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A material weakness is a deficiency, or combination of deficiencies, in internal control over financial reporting, such that there is a reasonable possibility that a material misstatement of the company’s annual or interim financial statements will not be prevented or detected on a timely basis. The following material weakness has been identified and included in management’s assessment. Management has identified a material weakness in controls related to ineffective information technology general controls (ITGCs) in the area of user access over certain information technology (IT) systems.</w:t>
      </w:r>
    </w:p>
    <w:p>
      <w:pPr>
        <w:spacing w:after="0" w:line="141" w:lineRule="exact"/>
        <w:rPr>
          <w:sz w:val="20"/>
          <w:szCs w:val="20"/>
          <w:color w:val="auto"/>
        </w:rPr>
      </w:pPr>
    </w:p>
    <w:p>
      <w:pPr>
        <w:jc w:val="both"/>
        <w:ind w:right="20"/>
        <w:spacing w:after="0" w:line="398" w:lineRule="auto"/>
        <w:rPr>
          <w:sz w:val="20"/>
          <w:szCs w:val="20"/>
          <w:color w:val="auto"/>
        </w:rPr>
      </w:pPr>
      <w:r>
        <w:rPr>
          <w:rFonts w:ascii="Arial" w:cs="Arial" w:eastAsia="Arial" w:hAnsi="Arial"/>
          <w:sz w:val="10"/>
          <w:szCs w:val="10"/>
          <w:color w:val="auto"/>
        </w:rPr>
        <w:t>We also have audited, in accordance with the standards of the Public Company Accounting Oversight Board (United States) (PCAOB), the 2019 consolidated financial statements of the Company. This material weakness was considered in determining the nature, timing and extent of audit tests applied in our audit of the 2019 consolidated financial statements, and this report does not affect our report dated March 2, 2020, which expressed an unqualified opinion thereon.</w:t>
      </w:r>
    </w:p>
    <w:p>
      <w:pPr>
        <w:spacing w:after="0" w:line="5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Basis for Opinion</w:t>
      </w:r>
    </w:p>
    <w:p>
      <w:pPr>
        <w:spacing w:after="0" w:line="136" w:lineRule="exact"/>
        <w:rPr>
          <w:sz w:val="20"/>
          <w:szCs w:val="20"/>
          <w:color w:val="auto"/>
        </w:rPr>
      </w:pPr>
    </w:p>
    <w:p>
      <w:pPr>
        <w:jc w:val="both"/>
        <w:ind w:right="20"/>
        <w:spacing w:after="0" w:line="298" w:lineRule="auto"/>
        <w:rPr>
          <w:sz w:val="20"/>
          <w:szCs w:val="20"/>
          <w:color w:val="auto"/>
        </w:rPr>
      </w:pPr>
      <w:r>
        <w:rPr>
          <w:rFonts w:ascii="Arial" w:cs="Arial" w:eastAsia="Arial" w:hAnsi="Arial"/>
          <w:sz w:val="11"/>
          <w:szCs w:val="11"/>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78"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88"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17740" cy="3683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ectPr>
          <w:pgSz w:w="11900" w:h="16838" w:orient="portrait"/>
          <w:cols w:equalWidth="0" w:num="1">
            <w:col w:w="11480"/>
          </w:cols>
          <w:pgMar w:left="220" w:top="127" w:right="199" w:bottom="1440" w:gutter="0" w:footer="0" w:header="0"/>
        </w:sectPr>
      </w:pPr>
    </w:p>
    <w:bookmarkStart w:id="67" w:name="page68"/>
    <w:bookmarkEnd w:id="67"/>
    <w:p>
      <w:pPr>
        <w:spacing w:after="0"/>
        <w:rPr>
          <w:sz w:val="20"/>
          <w:szCs w:val="20"/>
          <w:color w:val="auto"/>
        </w:rPr>
      </w:pPr>
      <w:r>
        <w:rPr>
          <w:rFonts w:ascii="Arial" w:cs="Arial" w:eastAsia="Arial" w:hAnsi="Arial"/>
          <w:sz w:val="12"/>
          <w:szCs w:val="12"/>
          <w:b w:val="1"/>
          <w:bCs w:val="1"/>
          <w:color w:val="auto"/>
        </w:rPr>
        <w:t>Definition and Limitations of Internal Control over Financial Reporting</w:t>
      </w:r>
    </w:p>
    <w:p>
      <w:pPr>
        <w:spacing w:after="0" w:line="136" w:lineRule="exact"/>
        <w:rPr>
          <w:sz w:val="20"/>
          <w:szCs w:val="20"/>
          <w:color w:val="auto"/>
        </w:rPr>
      </w:pPr>
    </w:p>
    <w:p>
      <w:pPr>
        <w:jc w:val="both"/>
        <w:spacing w:after="0" w:line="286" w:lineRule="auto"/>
        <w:rPr>
          <w:sz w:val="20"/>
          <w:szCs w:val="20"/>
          <w:color w:val="auto"/>
        </w:rPr>
      </w:pPr>
      <w:r>
        <w:rPr>
          <w:rFonts w:ascii="Arial" w:cs="Arial" w:eastAsia="Arial" w:hAnsi="Arial"/>
          <w:sz w:val="11"/>
          <w:szCs w:val="11"/>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11"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59" w:lineRule="exact"/>
        <w:rPr>
          <w:sz w:val="20"/>
          <w:szCs w:val="20"/>
          <w:color w:val="auto"/>
        </w:rPr>
      </w:pPr>
    </w:p>
    <w:p>
      <w:pPr>
        <w:spacing w:after="0"/>
        <w:rPr>
          <w:sz w:val="20"/>
          <w:szCs w:val="20"/>
          <w:color w:val="auto"/>
        </w:rPr>
      </w:pPr>
      <w:r>
        <w:rPr>
          <w:rFonts w:ascii="Arial" w:cs="Arial" w:eastAsia="Arial" w:hAnsi="Arial"/>
          <w:sz w:val="12"/>
          <w:szCs w:val="12"/>
          <w:color w:val="auto"/>
        </w:rPr>
        <w:t>/s/ Ernst &amp; Young LLP</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Phoenix, Arizona</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March 2, 2020</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17740" cy="3683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ectPr>
          <w:pgSz w:w="11900" w:h="16838" w:orient="portrait"/>
          <w:cols w:equalWidth="0" w:num="1">
            <w:col w:w="11480"/>
          </w:cols>
          <w:pgMar w:left="220" w:top="244" w:right="199" w:bottom="1440" w:gutter="0" w:footer="0" w:header="0"/>
        </w:sectPr>
      </w:pPr>
    </w:p>
    <w:bookmarkStart w:id="68" w:name="page69"/>
    <w:bookmarkEnd w:id="68"/>
    <w:p>
      <w:pPr>
        <w:ind w:left="4720"/>
        <w:spacing w:after="0"/>
        <w:rPr>
          <w:sz w:val="20"/>
          <w:szCs w:val="20"/>
          <w:color w:val="auto"/>
        </w:rPr>
      </w:pPr>
      <w:r>
        <w:rPr>
          <w:rFonts w:ascii="Arial" w:cs="Arial" w:eastAsia="Arial" w:hAnsi="Arial"/>
          <w:sz w:val="12"/>
          <w:szCs w:val="12"/>
          <w:b w:val="1"/>
          <w:bCs w:val="1"/>
          <w:color w:val="auto"/>
        </w:rPr>
        <w:t>VERRA MOBILITY CORPORATION</w:t>
      </w:r>
    </w:p>
    <w:p>
      <w:pPr>
        <w:spacing w:after="0" w:line="19" w:lineRule="exact"/>
        <w:rPr>
          <w:sz w:val="20"/>
          <w:szCs w:val="20"/>
          <w:color w:val="auto"/>
        </w:rPr>
      </w:pPr>
    </w:p>
    <w:p>
      <w:pPr>
        <w:ind w:left="4700"/>
        <w:spacing w:after="0"/>
        <w:rPr>
          <w:sz w:val="20"/>
          <w:szCs w:val="20"/>
          <w:color w:val="auto"/>
        </w:rPr>
      </w:pPr>
      <w:r>
        <w:rPr>
          <w:rFonts w:ascii="Arial" w:cs="Arial" w:eastAsia="Arial" w:hAnsi="Arial"/>
          <w:sz w:val="12"/>
          <w:szCs w:val="12"/>
          <w:b w:val="1"/>
          <w:bCs w:val="1"/>
          <w:color w:val="auto"/>
        </w:rPr>
        <w:t>CONSOLIDATED BALANCE SHEETS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540" w:type="dxa"/>
            <w:vAlign w:val="bottom"/>
          </w:tcPr>
          <w:p>
            <w:pPr>
              <w:spacing w:after="0"/>
              <w:rPr>
                <w:sz w:val="10"/>
                <w:szCs w:val="10"/>
                <w:color w:val="auto"/>
              </w:rPr>
            </w:pPr>
          </w:p>
        </w:tc>
        <w:tc>
          <w:tcPr>
            <w:tcW w:w="6360" w:type="dxa"/>
            <w:vAlign w:val="bottom"/>
          </w:tcPr>
          <w:p>
            <w:pPr>
              <w:spacing w:after="0"/>
              <w:rPr>
                <w:sz w:val="10"/>
                <w:szCs w:val="10"/>
                <w:color w:val="auto"/>
              </w:rPr>
            </w:pPr>
          </w:p>
        </w:tc>
        <w:tc>
          <w:tcPr>
            <w:tcW w:w="1080" w:type="dxa"/>
            <w:vAlign w:val="bottom"/>
          </w:tcPr>
          <w:p>
            <w:pPr>
              <w:jc w:val="right"/>
              <w:spacing w:after="0"/>
              <w:rPr>
                <w:sz w:val="20"/>
                <w:szCs w:val="20"/>
                <w:color w:val="auto"/>
              </w:rPr>
            </w:pPr>
            <w:r>
              <w:rPr>
                <w:rFonts w:ascii="Arial" w:cs="Arial" w:eastAsia="Arial" w:hAnsi="Arial"/>
                <w:sz w:val="10"/>
                <w:szCs w:val="10"/>
                <w:b w:val="1"/>
                <w:bCs w:val="1"/>
                <w:color w:val="auto"/>
              </w:rPr>
              <w:t>December 31,</w:t>
            </w:r>
          </w:p>
        </w:tc>
        <w:tc>
          <w:tcPr>
            <w:tcW w:w="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20" w:type="dxa"/>
            <w:vAlign w:val="bottom"/>
            <w:gridSpan w:val="2"/>
          </w:tcPr>
          <w:p>
            <w:pPr>
              <w:jc w:val="right"/>
              <w:ind w:right="640"/>
              <w:spacing w:after="0"/>
              <w:rPr>
                <w:sz w:val="20"/>
                <w:szCs w:val="20"/>
                <w:color w:val="auto"/>
              </w:rPr>
            </w:pPr>
            <w:r>
              <w:rPr>
                <w:rFonts w:ascii="Arial" w:cs="Arial" w:eastAsia="Arial" w:hAnsi="Arial"/>
                <w:sz w:val="10"/>
                <w:szCs w:val="10"/>
                <w:b w:val="1"/>
                <w:bCs w:val="1"/>
                <w:color w:val="auto"/>
              </w:rPr>
              <w:t>December 31,</w:t>
            </w:r>
          </w:p>
        </w:tc>
      </w:tr>
      <w:tr>
        <w:trPr>
          <w:trHeight w:val="125"/>
        </w:trPr>
        <w:tc>
          <w:tcPr>
            <w:tcW w:w="7900" w:type="dxa"/>
            <w:vAlign w:val="bottom"/>
            <w:gridSpan w:val="2"/>
          </w:tcPr>
          <w:p>
            <w:pPr>
              <w:spacing w:after="0" w:line="105" w:lineRule="exact"/>
              <w:rPr>
                <w:sz w:val="20"/>
                <w:szCs w:val="20"/>
                <w:color w:val="auto"/>
              </w:rPr>
            </w:pPr>
            <w:r>
              <w:rPr>
                <w:rFonts w:ascii="Arial" w:cs="Arial" w:eastAsia="Arial" w:hAnsi="Arial"/>
                <w:sz w:val="10"/>
                <w:szCs w:val="10"/>
                <w:b w:val="1"/>
                <w:bCs w:val="1"/>
                <w:u w:val="single" w:color="auto"/>
                <w:color w:val="auto"/>
              </w:rPr>
              <w:t>(</w:t>
            </w:r>
            <w:r>
              <w:rPr>
                <w:rFonts w:ascii="Arial" w:cs="Arial" w:eastAsia="Arial" w:hAnsi="Arial"/>
                <w:sz w:val="10"/>
                <w:szCs w:val="10"/>
                <w:b w:val="1"/>
                <w:bCs w:val="1"/>
                <w:color w:val="auto"/>
              </w:rPr>
              <w:t>$ in thousands except per share data)</w:t>
            </w:r>
          </w:p>
        </w:tc>
        <w:tc>
          <w:tcPr>
            <w:tcW w:w="1080" w:type="dxa"/>
            <w:vAlign w:val="bottom"/>
          </w:tcPr>
          <w:p>
            <w:pPr>
              <w:jc w:val="right"/>
              <w:ind w:right="151"/>
              <w:spacing w:after="0" w:line="105" w:lineRule="exact"/>
              <w:rPr>
                <w:sz w:val="20"/>
                <w:szCs w:val="20"/>
                <w:color w:val="auto"/>
              </w:rPr>
            </w:pPr>
            <w:r>
              <w:rPr>
                <w:rFonts w:ascii="Arial" w:cs="Arial" w:eastAsia="Arial" w:hAnsi="Arial"/>
                <w:sz w:val="10"/>
                <w:szCs w:val="10"/>
                <w:b w:val="1"/>
                <w:bCs w:val="1"/>
                <w:color w:val="auto"/>
              </w:rPr>
              <w:t>2019</w:t>
            </w:r>
          </w:p>
        </w:tc>
        <w:tc>
          <w:tcPr>
            <w:tcW w:w="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00" w:type="dxa"/>
            <w:vAlign w:val="bottom"/>
          </w:tcPr>
          <w:p>
            <w:pPr>
              <w:jc w:val="right"/>
              <w:ind w:right="641"/>
              <w:spacing w:after="0" w:line="105" w:lineRule="exact"/>
              <w:rPr>
                <w:sz w:val="20"/>
                <w:szCs w:val="20"/>
                <w:color w:val="auto"/>
              </w:rPr>
            </w:pPr>
            <w:r>
              <w:rPr>
                <w:rFonts w:ascii="Arial" w:cs="Arial" w:eastAsia="Arial" w:hAnsi="Arial"/>
                <w:sz w:val="10"/>
                <w:szCs w:val="10"/>
                <w:b w:val="1"/>
                <w:bCs w:val="1"/>
                <w:color w:val="auto"/>
              </w:rPr>
              <w:t>2018</w:t>
            </w:r>
          </w:p>
        </w:tc>
        <w:tc>
          <w:tcPr>
            <w:tcW w:w="120" w:type="dxa"/>
            <w:vAlign w:val="bottom"/>
          </w:tcPr>
          <w:p>
            <w:pPr>
              <w:spacing w:after="0"/>
              <w:rPr>
                <w:sz w:val="10"/>
                <w:szCs w:val="10"/>
                <w:color w:val="auto"/>
              </w:rPr>
            </w:pPr>
          </w:p>
        </w:tc>
      </w:tr>
      <w:tr>
        <w:trPr>
          <w:trHeight w:val="131"/>
        </w:trPr>
        <w:tc>
          <w:tcPr>
            <w:tcW w:w="1540" w:type="dxa"/>
            <w:vAlign w:val="bottom"/>
            <w:tcBorders>
              <w:top w:val="single" w:sz="8" w:color="auto"/>
            </w:tcBorders>
            <w:shd w:val="clear" w:color="auto" w:fill="CFF0FC"/>
          </w:tcPr>
          <w:p>
            <w:pPr>
              <w:spacing w:after="0" w:line="132" w:lineRule="exact"/>
              <w:rPr>
                <w:sz w:val="20"/>
                <w:szCs w:val="20"/>
                <w:color w:val="auto"/>
              </w:rPr>
            </w:pPr>
            <w:r>
              <w:rPr>
                <w:rFonts w:ascii="Arial" w:cs="Arial" w:eastAsia="Arial" w:hAnsi="Arial"/>
                <w:sz w:val="12"/>
                <w:szCs w:val="12"/>
                <w:b w:val="1"/>
                <w:bCs w:val="1"/>
                <w:color w:val="auto"/>
              </w:rPr>
              <w:t>Assets</w:t>
            </w:r>
          </w:p>
        </w:tc>
        <w:tc>
          <w:tcPr>
            <w:tcW w:w="6360" w:type="dxa"/>
            <w:vAlign w:val="bottom"/>
            <w:tcBorders>
              <w:top w:val="single" w:sz="8" w:color="CFF0FC"/>
            </w:tcBorders>
            <w:shd w:val="clear" w:color="auto" w:fill="CFF0FC"/>
          </w:tcPr>
          <w:p>
            <w:pPr>
              <w:spacing w:after="0"/>
              <w:rPr>
                <w:sz w:val="11"/>
                <w:szCs w:val="11"/>
                <w:color w:val="auto"/>
              </w:rPr>
            </w:pPr>
          </w:p>
        </w:tc>
        <w:tc>
          <w:tcPr>
            <w:tcW w:w="1080" w:type="dxa"/>
            <w:vAlign w:val="bottom"/>
            <w:tcBorders>
              <w:top w:val="single" w:sz="8" w:color="auto"/>
            </w:tcBorders>
            <w:shd w:val="clear" w:color="auto" w:fill="CFF0FC"/>
          </w:tcPr>
          <w:p>
            <w:pPr>
              <w:spacing w:after="0"/>
              <w:rPr>
                <w:sz w:val="11"/>
                <w:szCs w:val="11"/>
                <w:color w:val="auto"/>
              </w:rPr>
            </w:pPr>
          </w:p>
        </w:tc>
        <w:tc>
          <w:tcPr>
            <w:tcW w:w="500" w:type="dxa"/>
            <w:vAlign w:val="bottom"/>
            <w:tcBorders>
              <w:top w:val="single" w:sz="8" w:color="auto"/>
            </w:tcBorders>
            <w:shd w:val="clear" w:color="auto" w:fill="CFF0FC"/>
          </w:tcPr>
          <w:p>
            <w:pPr>
              <w:spacing w:after="0"/>
              <w:rPr>
                <w:sz w:val="11"/>
                <w:szCs w:val="11"/>
                <w:color w:val="auto"/>
              </w:rPr>
            </w:pPr>
          </w:p>
        </w:tc>
        <w:tc>
          <w:tcPr>
            <w:tcW w:w="280" w:type="dxa"/>
            <w:vAlign w:val="bottom"/>
            <w:tcBorders>
              <w:top w:val="single" w:sz="8" w:color="CFF0FC"/>
            </w:tcBorders>
            <w:shd w:val="clear" w:color="auto" w:fill="CFF0FC"/>
          </w:tcPr>
          <w:p>
            <w:pPr>
              <w:spacing w:after="0"/>
              <w:rPr>
                <w:sz w:val="11"/>
                <w:szCs w:val="11"/>
                <w:color w:val="auto"/>
              </w:rPr>
            </w:pPr>
          </w:p>
        </w:tc>
        <w:tc>
          <w:tcPr>
            <w:tcW w:w="300" w:type="dxa"/>
            <w:vAlign w:val="bottom"/>
            <w:tcBorders>
              <w:top w:val="single" w:sz="8" w:color="auto"/>
            </w:tcBorders>
            <w:shd w:val="clear" w:color="auto" w:fill="CFF0FC"/>
          </w:tcPr>
          <w:p>
            <w:pPr>
              <w:spacing w:after="0"/>
              <w:rPr>
                <w:sz w:val="11"/>
                <w:szCs w:val="11"/>
                <w:color w:val="auto"/>
              </w:rPr>
            </w:pPr>
          </w:p>
        </w:tc>
        <w:tc>
          <w:tcPr>
            <w:tcW w:w="130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r>
      <w:tr>
        <w:trPr>
          <w:trHeight w:val="153"/>
        </w:trPr>
        <w:tc>
          <w:tcPr>
            <w:tcW w:w="7900" w:type="dxa"/>
            <w:vAlign w:val="bottom"/>
            <w:gridSpan w:val="2"/>
          </w:tcPr>
          <w:p>
            <w:pPr>
              <w:ind w:left="80"/>
              <w:spacing w:after="0"/>
              <w:rPr>
                <w:sz w:val="20"/>
                <w:szCs w:val="20"/>
                <w:color w:val="auto"/>
              </w:rPr>
            </w:pPr>
            <w:r>
              <w:rPr>
                <w:rFonts w:ascii="Arial" w:cs="Arial" w:eastAsia="Arial" w:hAnsi="Arial"/>
                <w:sz w:val="12"/>
                <w:szCs w:val="12"/>
                <w:color w:val="auto"/>
              </w:rPr>
              <w:t>Current assets:</w:t>
            </w:r>
          </w:p>
        </w:tc>
        <w:tc>
          <w:tcPr>
            <w:tcW w:w="10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53"/>
        </w:trPr>
        <w:tc>
          <w:tcPr>
            <w:tcW w:w="7900" w:type="dxa"/>
            <w:vAlign w:val="bottom"/>
            <w:gridSpan w:val="2"/>
            <w:shd w:val="clear" w:color="auto" w:fill="CFF0FC"/>
          </w:tcPr>
          <w:p>
            <w:pPr>
              <w:ind w:left="160"/>
              <w:spacing w:after="0"/>
              <w:rPr>
                <w:sz w:val="20"/>
                <w:szCs w:val="20"/>
                <w:color w:val="auto"/>
              </w:rPr>
            </w:pPr>
            <w:r>
              <w:rPr>
                <w:rFonts w:ascii="Arial" w:cs="Arial" w:eastAsia="Arial" w:hAnsi="Arial"/>
                <w:sz w:val="12"/>
                <w:szCs w:val="12"/>
                <w:color w:val="auto"/>
              </w:rPr>
              <w:t>Cash and cash equivalents</w:t>
            </w:r>
          </w:p>
        </w:tc>
        <w:tc>
          <w:tcPr>
            <w:tcW w:w="1080" w:type="dxa"/>
            <w:vAlign w:val="bottom"/>
            <w:shd w:val="clear" w:color="auto" w:fill="CFF0FC"/>
          </w:tcPr>
          <w:p>
            <w:pPr>
              <w:jc w:val="right"/>
              <w:ind w:right="971"/>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131,513</w:t>
            </w:r>
          </w:p>
        </w:tc>
        <w:tc>
          <w:tcPr>
            <w:tcW w:w="280" w:type="dxa"/>
            <w:vAlign w:val="bottom"/>
            <w:shd w:val="clear" w:color="auto" w:fill="CFF0FC"/>
          </w:tcPr>
          <w:p>
            <w:pPr>
              <w:spacing w:after="0"/>
              <w:rPr>
                <w:sz w:val="13"/>
                <w:szCs w:val="13"/>
                <w:color w:val="auto"/>
              </w:rPr>
            </w:pPr>
          </w:p>
        </w:tc>
        <w:tc>
          <w:tcPr>
            <w:tcW w:w="300" w:type="dxa"/>
            <w:vAlign w:val="bottom"/>
            <w:shd w:val="clear" w:color="auto" w:fill="CFF0FC"/>
          </w:tcPr>
          <w:p>
            <w:pPr>
              <w:jc w:val="right"/>
              <w:ind w:right="190"/>
              <w:spacing w:after="0"/>
              <w:rPr>
                <w:sz w:val="20"/>
                <w:szCs w:val="20"/>
                <w:color w:val="auto"/>
              </w:rPr>
            </w:pPr>
            <w:r>
              <w:rPr>
                <w:rFonts w:ascii="Arial" w:cs="Arial" w:eastAsia="Arial" w:hAnsi="Arial"/>
                <w:sz w:val="10"/>
                <w:szCs w:val="10"/>
                <w:color w:val="auto"/>
                <w:w w:val="71"/>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65,048</w:t>
            </w:r>
          </w:p>
        </w:tc>
        <w:tc>
          <w:tcPr>
            <w:tcW w:w="120" w:type="dxa"/>
            <w:vAlign w:val="bottom"/>
            <w:shd w:val="clear" w:color="auto" w:fill="CFF0FC"/>
          </w:tcPr>
          <w:p>
            <w:pPr>
              <w:spacing w:after="0"/>
              <w:rPr>
                <w:sz w:val="13"/>
                <w:szCs w:val="13"/>
                <w:color w:val="auto"/>
              </w:rPr>
            </w:pPr>
          </w:p>
        </w:tc>
      </w:tr>
      <w:tr>
        <w:trPr>
          <w:trHeight w:val="153"/>
        </w:trPr>
        <w:tc>
          <w:tcPr>
            <w:tcW w:w="7900" w:type="dxa"/>
            <w:vAlign w:val="bottom"/>
            <w:gridSpan w:val="2"/>
          </w:tcPr>
          <w:p>
            <w:pPr>
              <w:ind w:left="160"/>
              <w:spacing w:after="0"/>
              <w:rPr>
                <w:sz w:val="20"/>
                <w:szCs w:val="20"/>
                <w:color w:val="auto"/>
              </w:rPr>
            </w:pPr>
            <w:r>
              <w:rPr>
                <w:rFonts w:ascii="Arial" w:cs="Arial" w:eastAsia="Arial" w:hAnsi="Arial"/>
                <w:sz w:val="12"/>
                <w:szCs w:val="12"/>
                <w:color w:val="auto"/>
              </w:rPr>
              <w:t>Restricted cash</w:t>
            </w:r>
          </w:p>
        </w:tc>
        <w:tc>
          <w:tcPr>
            <w:tcW w:w="108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917</w:t>
            </w: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2,033</w:t>
            </w:r>
          </w:p>
        </w:tc>
        <w:tc>
          <w:tcPr>
            <w:tcW w:w="120" w:type="dxa"/>
            <w:vAlign w:val="bottom"/>
          </w:tcPr>
          <w:p>
            <w:pPr>
              <w:spacing w:after="0"/>
              <w:rPr>
                <w:sz w:val="13"/>
                <w:szCs w:val="13"/>
                <w:color w:val="auto"/>
              </w:rPr>
            </w:pPr>
          </w:p>
        </w:tc>
      </w:tr>
      <w:tr>
        <w:trPr>
          <w:trHeight w:val="153"/>
        </w:trPr>
        <w:tc>
          <w:tcPr>
            <w:tcW w:w="7900" w:type="dxa"/>
            <w:vAlign w:val="bottom"/>
            <w:gridSpan w:val="2"/>
            <w:shd w:val="clear" w:color="auto" w:fill="CFF0FC"/>
          </w:tcPr>
          <w:p>
            <w:pPr>
              <w:ind w:left="160"/>
              <w:spacing w:after="0"/>
              <w:rPr>
                <w:sz w:val="20"/>
                <w:szCs w:val="20"/>
                <w:color w:val="auto"/>
              </w:rPr>
            </w:pPr>
            <w:r>
              <w:rPr>
                <w:rFonts w:ascii="Arial" w:cs="Arial" w:eastAsia="Arial" w:hAnsi="Arial"/>
                <w:sz w:val="12"/>
                <w:szCs w:val="12"/>
                <w:color w:val="auto"/>
              </w:rPr>
              <w:t>Accounts receivable, net</w:t>
            </w:r>
          </w:p>
        </w:tc>
        <w:tc>
          <w:tcPr>
            <w:tcW w:w="1080" w:type="dxa"/>
            <w:vAlign w:val="bottom"/>
            <w:shd w:val="clear" w:color="auto" w:fill="CFF0FC"/>
          </w:tcPr>
          <w:p>
            <w:pPr>
              <w:spacing w:after="0"/>
              <w:rPr>
                <w:sz w:val="13"/>
                <w:szCs w:val="13"/>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93,514</w:t>
            </w:r>
          </w:p>
        </w:tc>
        <w:tc>
          <w:tcPr>
            <w:tcW w:w="28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87,511</w:t>
            </w:r>
          </w:p>
        </w:tc>
        <w:tc>
          <w:tcPr>
            <w:tcW w:w="120" w:type="dxa"/>
            <w:vAlign w:val="bottom"/>
            <w:shd w:val="clear" w:color="auto" w:fill="CFF0FC"/>
          </w:tcPr>
          <w:p>
            <w:pPr>
              <w:spacing w:after="0"/>
              <w:rPr>
                <w:sz w:val="13"/>
                <w:szCs w:val="13"/>
                <w:color w:val="auto"/>
              </w:rPr>
            </w:pPr>
          </w:p>
        </w:tc>
      </w:tr>
      <w:tr>
        <w:trPr>
          <w:trHeight w:val="153"/>
        </w:trPr>
        <w:tc>
          <w:tcPr>
            <w:tcW w:w="7900" w:type="dxa"/>
            <w:vAlign w:val="bottom"/>
            <w:gridSpan w:val="2"/>
          </w:tcPr>
          <w:p>
            <w:pPr>
              <w:ind w:left="160"/>
              <w:spacing w:after="0"/>
              <w:rPr>
                <w:sz w:val="20"/>
                <w:szCs w:val="20"/>
                <w:color w:val="auto"/>
              </w:rPr>
            </w:pPr>
            <w:r>
              <w:rPr>
                <w:rFonts w:ascii="Arial" w:cs="Arial" w:eastAsia="Arial" w:hAnsi="Arial"/>
                <w:sz w:val="12"/>
                <w:szCs w:val="12"/>
                <w:color w:val="auto"/>
              </w:rPr>
              <w:t>Unbilled receivables</w:t>
            </w:r>
          </w:p>
        </w:tc>
        <w:tc>
          <w:tcPr>
            <w:tcW w:w="108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20,003</w:t>
            </w: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12,956</w:t>
            </w:r>
          </w:p>
        </w:tc>
        <w:tc>
          <w:tcPr>
            <w:tcW w:w="120" w:type="dxa"/>
            <w:vAlign w:val="bottom"/>
          </w:tcPr>
          <w:p>
            <w:pPr>
              <w:spacing w:after="0"/>
              <w:rPr>
                <w:sz w:val="13"/>
                <w:szCs w:val="13"/>
                <w:color w:val="auto"/>
              </w:rPr>
            </w:pPr>
          </w:p>
        </w:tc>
      </w:tr>
      <w:tr>
        <w:trPr>
          <w:trHeight w:val="153"/>
        </w:trPr>
        <w:tc>
          <w:tcPr>
            <w:tcW w:w="7900" w:type="dxa"/>
            <w:vAlign w:val="bottom"/>
            <w:gridSpan w:val="2"/>
            <w:shd w:val="clear" w:color="auto" w:fill="CFF0FC"/>
          </w:tcPr>
          <w:p>
            <w:pPr>
              <w:ind w:left="160"/>
              <w:spacing w:after="0"/>
              <w:rPr>
                <w:sz w:val="20"/>
                <w:szCs w:val="20"/>
                <w:color w:val="auto"/>
              </w:rPr>
            </w:pPr>
            <w:r>
              <w:rPr>
                <w:rFonts w:ascii="Arial" w:cs="Arial" w:eastAsia="Arial" w:hAnsi="Arial"/>
                <w:sz w:val="12"/>
                <w:szCs w:val="12"/>
                <w:color w:val="auto"/>
              </w:rPr>
              <w:t>Prepaid expenses and other current assets</w:t>
            </w:r>
          </w:p>
        </w:tc>
        <w:tc>
          <w:tcPr>
            <w:tcW w:w="1080" w:type="dxa"/>
            <w:vAlign w:val="bottom"/>
            <w:tcBorders>
              <w:bottom w:val="single" w:sz="8" w:color="auto"/>
            </w:tcBorders>
            <w:shd w:val="clear" w:color="auto" w:fill="CFF0FC"/>
          </w:tcPr>
          <w:p>
            <w:pPr>
              <w:spacing w:after="0"/>
              <w:rPr>
                <w:sz w:val="13"/>
                <w:szCs w:val="13"/>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26,491</w:t>
            </w:r>
          </w:p>
        </w:tc>
        <w:tc>
          <w:tcPr>
            <w:tcW w:w="280" w:type="dxa"/>
            <w:vAlign w:val="bottom"/>
            <w:shd w:val="clear" w:color="auto" w:fill="CFF0FC"/>
          </w:tcPr>
          <w:p>
            <w:pPr>
              <w:spacing w:after="0"/>
              <w:rPr>
                <w:sz w:val="13"/>
                <w:szCs w:val="13"/>
                <w:color w:val="auto"/>
              </w:rPr>
            </w:pPr>
          </w:p>
        </w:tc>
        <w:tc>
          <w:tcPr>
            <w:tcW w:w="300" w:type="dxa"/>
            <w:vAlign w:val="bottom"/>
            <w:tcBorders>
              <w:bottom w:val="single" w:sz="8" w:color="auto"/>
            </w:tcBorders>
            <w:shd w:val="clear" w:color="auto" w:fill="CFF0FC"/>
          </w:tcPr>
          <w:p>
            <w:pPr>
              <w:spacing w:after="0"/>
              <w:rPr>
                <w:sz w:val="13"/>
                <w:szCs w:val="13"/>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17,600</w:t>
            </w:r>
          </w:p>
        </w:tc>
        <w:tc>
          <w:tcPr>
            <w:tcW w:w="120" w:type="dxa"/>
            <w:vAlign w:val="bottom"/>
            <w:shd w:val="clear" w:color="auto" w:fill="CFF0FC"/>
          </w:tcPr>
          <w:p>
            <w:pPr>
              <w:spacing w:after="0"/>
              <w:rPr>
                <w:sz w:val="13"/>
                <w:szCs w:val="13"/>
                <w:color w:val="auto"/>
              </w:rPr>
            </w:pPr>
          </w:p>
        </w:tc>
      </w:tr>
      <w:tr>
        <w:trPr>
          <w:trHeight w:val="142"/>
        </w:trPr>
        <w:tc>
          <w:tcPr>
            <w:tcW w:w="7900" w:type="dxa"/>
            <w:vAlign w:val="bottom"/>
            <w:gridSpan w:val="2"/>
          </w:tcPr>
          <w:p>
            <w:pPr>
              <w:spacing w:after="0" w:line="133" w:lineRule="exact"/>
              <w:rPr>
                <w:sz w:val="20"/>
                <w:szCs w:val="20"/>
                <w:color w:val="auto"/>
              </w:rPr>
            </w:pPr>
            <w:r>
              <w:rPr>
                <w:rFonts w:ascii="Arial" w:cs="Arial" w:eastAsia="Arial" w:hAnsi="Arial"/>
                <w:sz w:val="12"/>
                <w:szCs w:val="12"/>
                <w:color w:val="auto"/>
              </w:rPr>
              <w:t>Total current assets</w:t>
            </w:r>
          </w:p>
        </w:tc>
        <w:tc>
          <w:tcPr>
            <w:tcW w:w="108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272,438</w:t>
            </w: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185,148</w:t>
            </w:r>
          </w:p>
        </w:tc>
        <w:tc>
          <w:tcPr>
            <w:tcW w:w="120" w:type="dxa"/>
            <w:vAlign w:val="bottom"/>
          </w:tcPr>
          <w:p>
            <w:pPr>
              <w:spacing w:after="0"/>
              <w:rPr>
                <w:sz w:val="12"/>
                <w:szCs w:val="12"/>
                <w:color w:val="auto"/>
              </w:rPr>
            </w:pPr>
          </w:p>
        </w:tc>
      </w:tr>
      <w:tr>
        <w:trPr>
          <w:trHeight w:val="153"/>
        </w:trPr>
        <w:tc>
          <w:tcPr>
            <w:tcW w:w="7900" w:type="dxa"/>
            <w:vAlign w:val="bottom"/>
            <w:gridSpan w:val="2"/>
            <w:shd w:val="clear" w:color="auto" w:fill="CFF0FC"/>
          </w:tcPr>
          <w:p>
            <w:pPr>
              <w:ind w:left="80"/>
              <w:spacing w:after="0"/>
              <w:rPr>
                <w:sz w:val="20"/>
                <w:szCs w:val="20"/>
                <w:color w:val="auto"/>
              </w:rPr>
            </w:pPr>
            <w:r>
              <w:rPr>
                <w:rFonts w:ascii="Arial" w:cs="Arial" w:eastAsia="Arial" w:hAnsi="Arial"/>
                <w:sz w:val="12"/>
                <w:szCs w:val="12"/>
                <w:color w:val="auto"/>
              </w:rPr>
              <w:t>Installation and service parts, net</w:t>
            </w:r>
          </w:p>
        </w:tc>
        <w:tc>
          <w:tcPr>
            <w:tcW w:w="1080" w:type="dxa"/>
            <w:vAlign w:val="bottom"/>
            <w:shd w:val="clear" w:color="auto" w:fill="CFF0FC"/>
          </w:tcPr>
          <w:p>
            <w:pPr>
              <w:spacing w:after="0"/>
              <w:rPr>
                <w:sz w:val="13"/>
                <w:szCs w:val="13"/>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8,841</w:t>
            </w:r>
          </w:p>
        </w:tc>
        <w:tc>
          <w:tcPr>
            <w:tcW w:w="28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9,282</w:t>
            </w:r>
          </w:p>
        </w:tc>
        <w:tc>
          <w:tcPr>
            <w:tcW w:w="120" w:type="dxa"/>
            <w:vAlign w:val="bottom"/>
            <w:shd w:val="clear" w:color="auto" w:fill="CFF0FC"/>
          </w:tcPr>
          <w:p>
            <w:pPr>
              <w:spacing w:after="0"/>
              <w:rPr>
                <w:sz w:val="13"/>
                <w:szCs w:val="13"/>
                <w:color w:val="auto"/>
              </w:rPr>
            </w:pPr>
          </w:p>
        </w:tc>
      </w:tr>
      <w:tr>
        <w:trPr>
          <w:trHeight w:val="153"/>
        </w:trPr>
        <w:tc>
          <w:tcPr>
            <w:tcW w:w="7900" w:type="dxa"/>
            <w:vAlign w:val="bottom"/>
            <w:gridSpan w:val="2"/>
          </w:tcPr>
          <w:p>
            <w:pPr>
              <w:ind w:left="80"/>
              <w:spacing w:after="0"/>
              <w:rPr>
                <w:sz w:val="20"/>
                <w:szCs w:val="20"/>
                <w:color w:val="auto"/>
              </w:rPr>
            </w:pPr>
            <w:r>
              <w:rPr>
                <w:rFonts w:ascii="Arial" w:cs="Arial" w:eastAsia="Arial" w:hAnsi="Arial"/>
                <w:sz w:val="12"/>
                <w:szCs w:val="12"/>
                <w:color w:val="auto"/>
              </w:rPr>
              <w:t>Property and equipment, net</w:t>
            </w:r>
          </w:p>
        </w:tc>
        <w:tc>
          <w:tcPr>
            <w:tcW w:w="108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72,266</w:t>
            </w: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69,243</w:t>
            </w:r>
          </w:p>
        </w:tc>
        <w:tc>
          <w:tcPr>
            <w:tcW w:w="120" w:type="dxa"/>
            <w:vAlign w:val="bottom"/>
          </w:tcPr>
          <w:p>
            <w:pPr>
              <w:spacing w:after="0"/>
              <w:rPr>
                <w:sz w:val="13"/>
                <w:szCs w:val="13"/>
                <w:color w:val="auto"/>
              </w:rPr>
            </w:pPr>
          </w:p>
        </w:tc>
      </w:tr>
      <w:tr>
        <w:trPr>
          <w:trHeight w:val="153"/>
        </w:trPr>
        <w:tc>
          <w:tcPr>
            <w:tcW w:w="7900" w:type="dxa"/>
            <w:vAlign w:val="bottom"/>
            <w:gridSpan w:val="2"/>
            <w:shd w:val="clear" w:color="auto" w:fill="CFF0FC"/>
          </w:tcPr>
          <w:p>
            <w:pPr>
              <w:ind w:left="80"/>
              <w:spacing w:after="0"/>
              <w:rPr>
                <w:sz w:val="20"/>
                <w:szCs w:val="20"/>
                <w:color w:val="auto"/>
              </w:rPr>
            </w:pPr>
            <w:r>
              <w:rPr>
                <w:rFonts w:ascii="Arial" w:cs="Arial" w:eastAsia="Arial" w:hAnsi="Arial"/>
                <w:sz w:val="12"/>
                <w:szCs w:val="12"/>
                <w:color w:val="auto"/>
              </w:rPr>
              <w:t>Operating lease assets</w:t>
            </w:r>
          </w:p>
        </w:tc>
        <w:tc>
          <w:tcPr>
            <w:tcW w:w="1080" w:type="dxa"/>
            <w:vAlign w:val="bottom"/>
            <w:shd w:val="clear" w:color="auto" w:fill="CFF0FC"/>
          </w:tcPr>
          <w:p>
            <w:pPr>
              <w:spacing w:after="0"/>
              <w:rPr>
                <w:sz w:val="13"/>
                <w:szCs w:val="13"/>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32,177</w:t>
            </w:r>
          </w:p>
        </w:tc>
        <w:tc>
          <w:tcPr>
            <w:tcW w:w="28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42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w:t>
            </w:r>
          </w:p>
        </w:tc>
      </w:tr>
      <w:tr>
        <w:trPr>
          <w:trHeight w:val="153"/>
        </w:trPr>
        <w:tc>
          <w:tcPr>
            <w:tcW w:w="7900" w:type="dxa"/>
            <w:vAlign w:val="bottom"/>
            <w:gridSpan w:val="2"/>
          </w:tcPr>
          <w:p>
            <w:pPr>
              <w:ind w:left="80"/>
              <w:spacing w:after="0"/>
              <w:rPr>
                <w:sz w:val="20"/>
                <w:szCs w:val="20"/>
                <w:color w:val="auto"/>
              </w:rPr>
            </w:pPr>
            <w:r>
              <w:rPr>
                <w:rFonts w:ascii="Arial" w:cs="Arial" w:eastAsia="Arial" w:hAnsi="Arial"/>
                <w:sz w:val="12"/>
                <w:szCs w:val="12"/>
                <w:color w:val="auto"/>
              </w:rPr>
              <w:t>Intangible assets, net</w:t>
            </w:r>
          </w:p>
        </w:tc>
        <w:tc>
          <w:tcPr>
            <w:tcW w:w="108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434,443</w:t>
            </w: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514,542</w:t>
            </w:r>
          </w:p>
        </w:tc>
        <w:tc>
          <w:tcPr>
            <w:tcW w:w="120" w:type="dxa"/>
            <w:vAlign w:val="bottom"/>
          </w:tcPr>
          <w:p>
            <w:pPr>
              <w:spacing w:after="0"/>
              <w:rPr>
                <w:sz w:val="13"/>
                <w:szCs w:val="13"/>
                <w:color w:val="auto"/>
              </w:rPr>
            </w:pPr>
          </w:p>
        </w:tc>
      </w:tr>
      <w:tr>
        <w:trPr>
          <w:trHeight w:val="153"/>
        </w:trPr>
        <w:tc>
          <w:tcPr>
            <w:tcW w:w="7900" w:type="dxa"/>
            <w:vAlign w:val="bottom"/>
            <w:gridSpan w:val="2"/>
            <w:shd w:val="clear" w:color="auto" w:fill="CFF0FC"/>
          </w:tcPr>
          <w:p>
            <w:pPr>
              <w:ind w:left="80"/>
              <w:spacing w:after="0"/>
              <w:rPr>
                <w:sz w:val="20"/>
                <w:szCs w:val="20"/>
                <w:color w:val="auto"/>
              </w:rPr>
            </w:pPr>
            <w:r>
              <w:rPr>
                <w:rFonts w:ascii="Arial" w:cs="Arial" w:eastAsia="Arial" w:hAnsi="Arial"/>
                <w:sz w:val="12"/>
                <w:szCs w:val="12"/>
                <w:color w:val="auto"/>
              </w:rPr>
              <w:t>Goodwill</w:t>
            </w:r>
          </w:p>
        </w:tc>
        <w:tc>
          <w:tcPr>
            <w:tcW w:w="1080" w:type="dxa"/>
            <w:vAlign w:val="bottom"/>
            <w:shd w:val="clear" w:color="auto" w:fill="CFF0FC"/>
          </w:tcPr>
          <w:p>
            <w:pPr>
              <w:spacing w:after="0"/>
              <w:rPr>
                <w:sz w:val="13"/>
                <w:szCs w:val="13"/>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584,150</w:t>
            </w:r>
          </w:p>
        </w:tc>
        <w:tc>
          <w:tcPr>
            <w:tcW w:w="28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564,723</w:t>
            </w:r>
          </w:p>
        </w:tc>
        <w:tc>
          <w:tcPr>
            <w:tcW w:w="120" w:type="dxa"/>
            <w:vAlign w:val="bottom"/>
            <w:shd w:val="clear" w:color="auto" w:fill="CFF0FC"/>
          </w:tcPr>
          <w:p>
            <w:pPr>
              <w:spacing w:after="0"/>
              <w:rPr>
                <w:sz w:val="13"/>
                <w:szCs w:val="13"/>
                <w:color w:val="auto"/>
              </w:rPr>
            </w:pPr>
          </w:p>
        </w:tc>
      </w:tr>
      <w:tr>
        <w:trPr>
          <w:trHeight w:val="153"/>
        </w:trPr>
        <w:tc>
          <w:tcPr>
            <w:tcW w:w="7900" w:type="dxa"/>
            <w:vAlign w:val="bottom"/>
            <w:tcBorders>
              <w:bottom w:val="single" w:sz="8" w:color="CFF0FC"/>
            </w:tcBorders>
            <w:gridSpan w:val="2"/>
          </w:tcPr>
          <w:p>
            <w:pPr>
              <w:ind w:left="80"/>
              <w:spacing w:after="0"/>
              <w:rPr>
                <w:sz w:val="20"/>
                <w:szCs w:val="20"/>
                <w:color w:val="auto"/>
              </w:rPr>
            </w:pPr>
            <w:r>
              <w:rPr>
                <w:rFonts w:ascii="Arial" w:cs="Arial" w:eastAsia="Arial" w:hAnsi="Arial"/>
                <w:sz w:val="12"/>
                <w:szCs w:val="12"/>
                <w:color w:val="auto"/>
              </w:rPr>
              <w:t>Other non-current assets</w:t>
            </w:r>
          </w:p>
        </w:tc>
        <w:tc>
          <w:tcPr>
            <w:tcW w:w="10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3,111</w:t>
            </w:r>
          </w:p>
        </w:tc>
        <w:tc>
          <w:tcPr>
            <w:tcW w:w="28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1,845</w:t>
            </w:r>
          </w:p>
        </w:tc>
        <w:tc>
          <w:tcPr>
            <w:tcW w:w="120" w:type="dxa"/>
            <w:vAlign w:val="bottom"/>
            <w:tcBorders>
              <w:bottom w:val="single" w:sz="8" w:color="CFF0FC"/>
            </w:tcBorders>
          </w:tcPr>
          <w:p>
            <w:pPr>
              <w:spacing w:after="0"/>
              <w:rPr>
                <w:sz w:val="13"/>
                <w:szCs w:val="13"/>
                <w:color w:val="auto"/>
              </w:rPr>
            </w:pPr>
          </w:p>
        </w:tc>
      </w:tr>
      <w:tr>
        <w:trPr>
          <w:trHeight w:val="162"/>
        </w:trPr>
        <w:tc>
          <w:tcPr>
            <w:tcW w:w="790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2"/>
                <w:szCs w:val="12"/>
                <w:color w:val="auto"/>
              </w:rPr>
              <w:t>Total assets</w:t>
            </w:r>
          </w:p>
        </w:tc>
        <w:tc>
          <w:tcPr>
            <w:tcW w:w="1080" w:type="dxa"/>
            <w:vAlign w:val="bottom"/>
            <w:tcBorders>
              <w:bottom w:val="single" w:sz="8" w:color="auto"/>
            </w:tcBorders>
            <w:shd w:val="clear" w:color="auto" w:fill="CFF0FC"/>
          </w:tcPr>
          <w:p>
            <w:pPr>
              <w:jc w:val="right"/>
              <w:ind w:right="971"/>
              <w:spacing w:after="0"/>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w w:val="86"/>
              </w:rPr>
              <w:t>1,407,426</w:t>
            </w:r>
          </w:p>
        </w:tc>
        <w:tc>
          <w:tcPr>
            <w:tcW w:w="280" w:type="dxa"/>
            <w:vAlign w:val="bottom"/>
            <w:tcBorders>
              <w:bottom w:val="single" w:sz="8" w:color="CFF0FC"/>
            </w:tcBorders>
            <w:shd w:val="clear" w:color="auto" w:fill="CFF0FC"/>
          </w:tcPr>
          <w:p>
            <w:pPr>
              <w:spacing w:after="0"/>
              <w:rPr>
                <w:sz w:val="14"/>
                <w:szCs w:val="14"/>
                <w:color w:val="auto"/>
              </w:rPr>
            </w:pPr>
          </w:p>
        </w:tc>
        <w:tc>
          <w:tcPr>
            <w:tcW w:w="30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0"/>
                <w:szCs w:val="10"/>
                <w:color w:val="auto"/>
                <w:w w:val="71"/>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1,344,783</w:t>
            </w:r>
          </w:p>
        </w:tc>
        <w:tc>
          <w:tcPr>
            <w:tcW w:w="120" w:type="dxa"/>
            <w:vAlign w:val="bottom"/>
            <w:tcBorders>
              <w:bottom w:val="single" w:sz="8" w:color="CFF0FC"/>
            </w:tcBorders>
            <w:shd w:val="clear" w:color="auto" w:fill="CFF0FC"/>
          </w:tcPr>
          <w:p>
            <w:pPr>
              <w:spacing w:after="0"/>
              <w:rPr>
                <w:sz w:val="14"/>
                <w:szCs w:val="14"/>
                <w:color w:val="auto"/>
              </w:rPr>
            </w:pPr>
          </w:p>
        </w:tc>
      </w:tr>
      <w:tr>
        <w:trPr>
          <w:trHeight w:val="140"/>
        </w:trPr>
        <w:tc>
          <w:tcPr>
            <w:tcW w:w="7900" w:type="dxa"/>
            <w:vAlign w:val="bottom"/>
            <w:gridSpan w:val="2"/>
          </w:tcPr>
          <w:p>
            <w:pPr>
              <w:spacing w:after="0"/>
              <w:rPr>
                <w:sz w:val="20"/>
                <w:szCs w:val="20"/>
                <w:color w:val="auto"/>
              </w:rPr>
            </w:pPr>
            <w:r>
              <w:rPr>
                <w:rFonts w:ascii="Arial" w:cs="Arial" w:eastAsia="Arial" w:hAnsi="Arial"/>
                <w:sz w:val="12"/>
                <w:szCs w:val="12"/>
                <w:b w:val="1"/>
                <w:bCs w:val="1"/>
                <w:color w:val="auto"/>
              </w:rPr>
              <w:t>Liabilities and Stockholders' Equity</w:t>
            </w:r>
          </w:p>
        </w:tc>
        <w:tc>
          <w:tcPr>
            <w:tcW w:w="10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53"/>
        </w:trPr>
        <w:tc>
          <w:tcPr>
            <w:tcW w:w="7900" w:type="dxa"/>
            <w:vAlign w:val="bottom"/>
            <w:gridSpan w:val="2"/>
            <w:shd w:val="clear" w:color="auto" w:fill="CFF0FC"/>
          </w:tcPr>
          <w:p>
            <w:pPr>
              <w:ind w:left="80"/>
              <w:spacing w:after="0"/>
              <w:rPr>
                <w:sz w:val="20"/>
                <w:szCs w:val="20"/>
                <w:color w:val="auto"/>
              </w:rPr>
            </w:pPr>
            <w:r>
              <w:rPr>
                <w:rFonts w:ascii="Arial" w:cs="Arial" w:eastAsia="Arial" w:hAnsi="Arial"/>
                <w:sz w:val="12"/>
                <w:szCs w:val="12"/>
                <w:color w:val="auto"/>
              </w:rPr>
              <w:t>Current liabilities:</w:t>
            </w:r>
          </w:p>
        </w:tc>
        <w:tc>
          <w:tcPr>
            <w:tcW w:w="108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3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53"/>
        </w:trPr>
        <w:tc>
          <w:tcPr>
            <w:tcW w:w="7900" w:type="dxa"/>
            <w:vAlign w:val="bottom"/>
            <w:gridSpan w:val="2"/>
          </w:tcPr>
          <w:p>
            <w:pPr>
              <w:ind w:left="160"/>
              <w:spacing w:after="0"/>
              <w:rPr>
                <w:sz w:val="20"/>
                <w:szCs w:val="20"/>
                <w:color w:val="auto"/>
              </w:rPr>
            </w:pPr>
            <w:r>
              <w:rPr>
                <w:rFonts w:ascii="Arial" w:cs="Arial" w:eastAsia="Arial" w:hAnsi="Arial"/>
                <w:sz w:val="12"/>
                <w:szCs w:val="12"/>
                <w:color w:val="auto"/>
              </w:rPr>
              <w:t>Accounts payable</w:t>
            </w:r>
          </w:p>
        </w:tc>
        <w:tc>
          <w:tcPr>
            <w:tcW w:w="1080" w:type="dxa"/>
            <w:vAlign w:val="bottom"/>
          </w:tcPr>
          <w:p>
            <w:pPr>
              <w:jc w:val="right"/>
              <w:ind w:right="971"/>
              <w:spacing w:after="0"/>
              <w:rPr>
                <w:sz w:val="20"/>
                <w:szCs w:val="20"/>
                <w:color w:val="auto"/>
              </w:rPr>
            </w:pPr>
            <w:r>
              <w:rPr>
                <w:rFonts w:ascii="Arial" w:cs="Arial" w:eastAsia="Arial" w:hAnsi="Arial"/>
                <w:sz w:val="10"/>
                <w:szCs w:val="10"/>
                <w:color w:val="auto"/>
                <w:w w:val="71"/>
              </w:rPr>
              <w:t>$</w:t>
            </w:r>
          </w:p>
        </w:tc>
        <w:tc>
          <w:tcPr>
            <w:tcW w:w="500" w:type="dxa"/>
            <w:vAlign w:val="bottom"/>
          </w:tcPr>
          <w:p>
            <w:pPr>
              <w:jc w:val="right"/>
              <w:spacing w:after="0"/>
              <w:rPr>
                <w:sz w:val="20"/>
                <w:szCs w:val="20"/>
                <w:color w:val="auto"/>
              </w:rPr>
            </w:pPr>
            <w:r>
              <w:rPr>
                <w:rFonts w:ascii="Arial" w:cs="Arial" w:eastAsia="Arial" w:hAnsi="Arial"/>
                <w:sz w:val="12"/>
                <w:szCs w:val="12"/>
                <w:color w:val="auto"/>
              </w:rPr>
              <w:t>50,825</w:t>
            </w:r>
          </w:p>
        </w:tc>
        <w:tc>
          <w:tcPr>
            <w:tcW w:w="280" w:type="dxa"/>
            <w:vAlign w:val="bottom"/>
          </w:tcPr>
          <w:p>
            <w:pPr>
              <w:spacing w:after="0"/>
              <w:rPr>
                <w:sz w:val="13"/>
                <w:szCs w:val="13"/>
                <w:color w:val="auto"/>
              </w:rPr>
            </w:pPr>
          </w:p>
        </w:tc>
        <w:tc>
          <w:tcPr>
            <w:tcW w:w="300" w:type="dxa"/>
            <w:vAlign w:val="bottom"/>
          </w:tcPr>
          <w:p>
            <w:pPr>
              <w:jc w:val="right"/>
              <w:ind w:right="190"/>
              <w:spacing w:after="0"/>
              <w:rPr>
                <w:sz w:val="20"/>
                <w:szCs w:val="20"/>
                <w:color w:val="auto"/>
              </w:rPr>
            </w:pPr>
            <w:r>
              <w:rPr>
                <w:rFonts w:ascii="Arial" w:cs="Arial" w:eastAsia="Arial" w:hAnsi="Arial"/>
                <w:sz w:val="10"/>
                <w:szCs w:val="10"/>
                <w:color w:val="auto"/>
                <w:w w:val="71"/>
              </w:rPr>
              <w:t>$</w:t>
            </w:r>
          </w:p>
        </w:tc>
        <w:tc>
          <w:tcPr>
            <w:tcW w:w="1300" w:type="dxa"/>
            <w:vAlign w:val="bottom"/>
          </w:tcPr>
          <w:p>
            <w:pPr>
              <w:jc w:val="right"/>
              <w:spacing w:after="0"/>
              <w:rPr>
                <w:sz w:val="20"/>
                <w:szCs w:val="20"/>
                <w:color w:val="auto"/>
              </w:rPr>
            </w:pPr>
            <w:r>
              <w:rPr>
                <w:rFonts w:ascii="Arial" w:cs="Arial" w:eastAsia="Arial" w:hAnsi="Arial"/>
                <w:sz w:val="12"/>
                <w:szCs w:val="12"/>
                <w:color w:val="auto"/>
              </w:rPr>
              <w:t>45,188</w:t>
            </w:r>
          </w:p>
        </w:tc>
        <w:tc>
          <w:tcPr>
            <w:tcW w:w="120" w:type="dxa"/>
            <w:vAlign w:val="bottom"/>
          </w:tcPr>
          <w:p>
            <w:pPr>
              <w:spacing w:after="0"/>
              <w:rPr>
                <w:sz w:val="13"/>
                <w:szCs w:val="13"/>
                <w:color w:val="auto"/>
              </w:rPr>
            </w:pPr>
          </w:p>
        </w:tc>
      </w:tr>
      <w:tr>
        <w:trPr>
          <w:trHeight w:val="153"/>
        </w:trPr>
        <w:tc>
          <w:tcPr>
            <w:tcW w:w="7900" w:type="dxa"/>
            <w:vAlign w:val="bottom"/>
            <w:gridSpan w:val="2"/>
            <w:shd w:val="clear" w:color="auto" w:fill="CFF0FC"/>
          </w:tcPr>
          <w:p>
            <w:pPr>
              <w:ind w:left="160"/>
              <w:spacing w:after="0"/>
              <w:rPr>
                <w:sz w:val="20"/>
                <w:szCs w:val="20"/>
                <w:color w:val="auto"/>
              </w:rPr>
            </w:pPr>
            <w:r>
              <w:rPr>
                <w:rFonts w:ascii="Arial" w:cs="Arial" w:eastAsia="Arial" w:hAnsi="Arial"/>
                <w:sz w:val="12"/>
                <w:szCs w:val="12"/>
                <w:color w:val="auto"/>
              </w:rPr>
              <w:t>Accrued liabilities</w:t>
            </w:r>
          </w:p>
        </w:tc>
        <w:tc>
          <w:tcPr>
            <w:tcW w:w="1080" w:type="dxa"/>
            <w:vAlign w:val="bottom"/>
            <w:shd w:val="clear" w:color="auto" w:fill="CFF0FC"/>
          </w:tcPr>
          <w:p>
            <w:pPr>
              <w:spacing w:after="0"/>
              <w:rPr>
                <w:sz w:val="13"/>
                <w:szCs w:val="13"/>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25,277</w:t>
            </w:r>
          </w:p>
        </w:tc>
        <w:tc>
          <w:tcPr>
            <w:tcW w:w="28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14,444</w:t>
            </w:r>
          </w:p>
        </w:tc>
        <w:tc>
          <w:tcPr>
            <w:tcW w:w="120" w:type="dxa"/>
            <w:vAlign w:val="bottom"/>
            <w:shd w:val="clear" w:color="auto" w:fill="CFF0FC"/>
          </w:tcPr>
          <w:p>
            <w:pPr>
              <w:spacing w:after="0"/>
              <w:rPr>
                <w:sz w:val="13"/>
                <w:szCs w:val="13"/>
                <w:color w:val="auto"/>
              </w:rPr>
            </w:pPr>
          </w:p>
        </w:tc>
      </w:tr>
      <w:tr>
        <w:trPr>
          <w:trHeight w:val="153"/>
        </w:trPr>
        <w:tc>
          <w:tcPr>
            <w:tcW w:w="7900" w:type="dxa"/>
            <w:vAlign w:val="bottom"/>
            <w:tcBorders>
              <w:bottom w:val="single" w:sz="8" w:color="CFF0FC"/>
            </w:tcBorders>
            <w:gridSpan w:val="2"/>
          </w:tcPr>
          <w:p>
            <w:pPr>
              <w:ind w:left="160"/>
              <w:spacing w:after="0"/>
              <w:rPr>
                <w:sz w:val="20"/>
                <w:szCs w:val="20"/>
                <w:color w:val="auto"/>
              </w:rPr>
            </w:pPr>
            <w:r>
              <w:rPr>
                <w:rFonts w:ascii="Arial" w:cs="Arial" w:eastAsia="Arial" w:hAnsi="Arial"/>
                <w:sz w:val="12"/>
                <w:szCs w:val="12"/>
                <w:color w:val="auto"/>
              </w:rPr>
              <w:t>Current portion of long-term debt</w:t>
            </w:r>
          </w:p>
        </w:tc>
        <w:tc>
          <w:tcPr>
            <w:tcW w:w="10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28,779</w:t>
            </w:r>
          </w:p>
        </w:tc>
        <w:tc>
          <w:tcPr>
            <w:tcW w:w="28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9,104</w:t>
            </w:r>
          </w:p>
        </w:tc>
        <w:tc>
          <w:tcPr>
            <w:tcW w:w="120" w:type="dxa"/>
            <w:vAlign w:val="bottom"/>
            <w:tcBorders>
              <w:bottom w:val="single" w:sz="8" w:color="CFF0FC"/>
            </w:tcBorders>
          </w:tcPr>
          <w:p>
            <w:pPr>
              <w:spacing w:after="0"/>
              <w:rPr>
                <w:sz w:val="13"/>
                <w:szCs w:val="13"/>
                <w:color w:val="auto"/>
              </w:rPr>
            </w:pPr>
          </w:p>
        </w:tc>
      </w:tr>
      <w:tr>
        <w:trPr>
          <w:trHeight w:val="142"/>
        </w:trPr>
        <w:tc>
          <w:tcPr>
            <w:tcW w:w="790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Total current liabilities</w:t>
            </w:r>
          </w:p>
        </w:tc>
        <w:tc>
          <w:tcPr>
            <w:tcW w:w="108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104,881</w:t>
            </w:r>
          </w:p>
        </w:tc>
        <w:tc>
          <w:tcPr>
            <w:tcW w:w="2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68,736</w:t>
            </w:r>
          </w:p>
        </w:tc>
        <w:tc>
          <w:tcPr>
            <w:tcW w:w="120" w:type="dxa"/>
            <w:vAlign w:val="bottom"/>
            <w:shd w:val="clear" w:color="auto" w:fill="CFF0FC"/>
          </w:tcPr>
          <w:p>
            <w:pPr>
              <w:spacing w:after="0"/>
              <w:rPr>
                <w:sz w:val="12"/>
                <w:szCs w:val="12"/>
                <w:color w:val="auto"/>
              </w:rPr>
            </w:pPr>
          </w:p>
        </w:tc>
      </w:tr>
      <w:tr>
        <w:trPr>
          <w:trHeight w:val="153"/>
        </w:trPr>
        <w:tc>
          <w:tcPr>
            <w:tcW w:w="7900" w:type="dxa"/>
            <w:vAlign w:val="bottom"/>
            <w:gridSpan w:val="2"/>
          </w:tcPr>
          <w:p>
            <w:pPr>
              <w:ind w:left="80"/>
              <w:spacing w:after="0"/>
              <w:rPr>
                <w:sz w:val="20"/>
                <w:szCs w:val="20"/>
                <w:color w:val="auto"/>
              </w:rPr>
            </w:pPr>
            <w:r>
              <w:rPr>
                <w:rFonts w:ascii="Arial" w:cs="Arial" w:eastAsia="Arial" w:hAnsi="Arial"/>
                <w:sz w:val="12"/>
                <w:szCs w:val="12"/>
                <w:color w:val="auto"/>
              </w:rPr>
              <w:t>Long-term debt, net of current portion and deferred financing costs</w:t>
            </w:r>
          </w:p>
        </w:tc>
        <w:tc>
          <w:tcPr>
            <w:tcW w:w="108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837,686</w:t>
            </w: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860,249</w:t>
            </w:r>
          </w:p>
        </w:tc>
        <w:tc>
          <w:tcPr>
            <w:tcW w:w="120" w:type="dxa"/>
            <w:vAlign w:val="bottom"/>
          </w:tcPr>
          <w:p>
            <w:pPr>
              <w:spacing w:after="0"/>
              <w:rPr>
                <w:sz w:val="13"/>
                <w:szCs w:val="13"/>
                <w:color w:val="auto"/>
              </w:rPr>
            </w:pPr>
          </w:p>
        </w:tc>
      </w:tr>
      <w:tr>
        <w:trPr>
          <w:trHeight w:val="153"/>
        </w:trPr>
        <w:tc>
          <w:tcPr>
            <w:tcW w:w="7900" w:type="dxa"/>
            <w:vAlign w:val="bottom"/>
            <w:gridSpan w:val="2"/>
            <w:shd w:val="clear" w:color="auto" w:fill="CFF0FC"/>
          </w:tcPr>
          <w:p>
            <w:pPr>
              <w:ind w:left="80"/>
              <w:spacing w:after="0"/>
              <w:rPr>
                <w:sz w:val="20"/>
                <w:szCs w:val="20"/>
                <w:color w:val="auto"/>
              </w:rPr>
            </w:pPr>
            <w:r>
              <w:rPr>
                <w:rFonts w:ascii="Arial" w:cs="Arial" w:eastAsia="Arial" w:hAnsi="Arial"/>
                <w:sz w:val="12"/>
                <w:szCs w:val="12"/>
                <w:color w:val="auto"/>
              </w:rPr>
              <w:t>Operating lease liabilities, net of current portion</w:t>
            </w:r>
          </w:p>
        </w:tc>
        <w:tc>
          <w:tcPr>
            <w:tcW w:w="1080" w:type="dxa"/>
            <w:vAlign w:val="bottom"/>
            <w:shd w:val="clear" w:color="auto" w:fill="CFF0FC"/>
          </w:tcPr>
          <w:p>
            <w:pPr>
              <w:spacing w:after="0"/>
              <w:rPr>
                <w:sz w:val="13"/>
                <w:szCs w:val="13"/>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30,130</w:t>
            </w:r>
          </w:p>
        </w:tc>
        <w:tc>
          <w:tcPr>
            <w:tcW w:w="28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42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w:t>
            </w:r>
          </w:p>
        </w:tc>
      </w:tr>
      <w:tr>
        <w:trPr>
          <w:trHeight w:val="153"/>
        </w:trPr>
        <w:tc>
          <w:tcPr>
            <w:tcW w:w="7900" w:type="dxa"/>
            <w:vAlign w:val="bottom"/>
            <w:gridSpan w:val="2"/>
          </w:tcPr>
          <w:p>
            <w:pPr>
              <w:ind w:left="80"/>
              <w:spacing w:after="0"/>
              <w:rPr>
                <w:sz w:val="20"/>
                <w:szCs w:val="20"/>
                <w:color w:val="auto"/>
              </w:rPr>
            </w:pPr>
            <w:r>
              <w:rPr>
                <w:rFonts w:ascii="Arial" w:cs="Arial" w:eastAsia="Arial" w:hAnsi="Arial"/>
                <w:sz w:val="12"/>
                <w:szCs w:val="12"/>
                <w:color w:val="auto"/>
              </w:rPr>
              <w:t>Other long-term liabilities</w:t>
            </w:r>
          </w:p>
        </w:tc>
        <w:tc>
          <w:tcPr>
            <w:tcW w:w="108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2,183</w:t>
            </w: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3,369</w:t>
            </w:r>
          </w:p>
        </w:tc>
        <w:tc>
          <w:tcPr>
            <w:tcW w:w="120" w:type="dxa"/>
            <w:vAlign w:val="bottom"/>
          </w:tcPr>
          <w:p>
            <w:pPr>
              <w:spacing w:after="0"/>
              <w:rPr>
                <w:sz w:val="13"/>
                <w:szCs w:val="13"/>
                <w:color w:val="auto"/>
              </w:rPr>
            </w:pPr>
          </w:p>
        </w:tc>
      </w:tr>
      <w:tr>
        <w:trPr>
          <w:trHeight w:val="153"/>
        </w:trPr>
        <w:tc>
          <w:tcPr>
            <w:tcW w:w="7900" w:type="dxa"/>
            <w:vAlign w:val="bottom"/>
            <w:gridSpan w:val="2"/>
            <w:shd w:val="clear" w:color="auto" w:fill="CFF0FC"/>
          </w:tcPr>
          <w:p>
            <w:pPr>
              <w:ind w:left="80"/>
              <w:spacing w:after="0"/>
              <w:rPr>
                <w:sz w:val="20"/>
                <w:szCs w:val="20"/>
                <w:color w:val="auto"/>
              </w:rPr>
            </w:pPr>
            <w:r>
              <w:rPr>
                <w:rFonts w:ascii="Arial" w:cs="Arial" w:eastAsia="Arial" w:hAnsi="Arial"/>
                <w:sz w:val="12"/>
                <w:szCs w:val="12"/>
                <w:color w:val="auto"/>
              </w:rPr>
              <w:t>Payable to related party pursuant to tax receivable agreement</w:t>
            </w:r>
          </w:p>
        </w:tc>
        <w:tc>
          <w:tcPr>
            <w:tcW w:w="1080" w:type="dxa"/>
            <w:vAlign w:val="bottom"/>
            <w:shd w:val="clear" w:color="auto" w:fill="CFF0FC"/>
          </w:tcPr>
          <w:p>
            <w:pPr>
              <w:spacing w:after="0"/>
              <w:rPr>
                <w:sz w:val="13"/>
                <w:szCs w:val="13"/>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61,174</w:t>
            </w:r>
          </w:p>
        </w:tc>
        <w:tc>
          <w:tcPr>
            <w:tcW w:w="28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69,996</w:t>
            </w:r>
          </w:p>
        </w:tc>
        <w:tc>
          <w:tcPr>
            <w:tcW w:w="120" w:type="dxa"/>
            <w:vAlign w:val="bottom"/>
            <w:shd w:val="clear" w:color="auto" w:fill="CFF0FC"/>
          </w:tcPr>
          <w:p>
            <w:pPr>
              <w:spacing w:after="0"/>
              <w:rPr>
                <w:sz w:val="13"/>
                <w:szCs w:val="13"/>
                <w:color w:val="auto"/>
              </w:rPr>
            </w:pPr>
          </w:p>
        </w:tc>
      </w:tr>
      <w:tr>
        <w:trPr>
          <w:trHeight w:val="153"/>
        </w:trPr>
        <w:tc>
          <w:tcPr>
            <w:tcW w:w="7900" w:type="dxa"/>
            <w:vAlign w:val="bottom"/>
            <w:gridSpan w:val="2"/>
          </w:tcPr>
          <w:p>
            <w:pPr>
              <w:ind w:left="80"/>
              <w:spacing w:after="0"/>
              <w:rPr>
                <w:sz w:val="20"/>
                <w:szCs w:val="20"/>
                <w:color w:val="auto"/>
              </w:rPr>
            </w:pPr>
            <w:r>
              <w:rPr>
                <w:rFonts w:ascii="Arial" w:cs="Arial" w:eastAsia="Arial" w:hAnsi="Arial"/>
                <w:sz w:val="12"/>
                <w:szCs w:val="12"/>
                <w:color w:val="auto"/>
              </w:rPr>
              <w:t>Asset retirement obligation</w:t>
            </w:r>
          </w:p>
        </w:tc>
        <w:tc>
          <w:tcPr>
            <w:tcW w:w="108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6,309</w:t>
            </w: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6,750</w:t>
            </w:r>
          </w:p>
        </w:tc>
        <w:tc>
          <w:tcPr>
            <w:tcW w:w="120" w:type="dxa"/>
            <w:vAlign w:val="bottom"/>
          </w:tcPr>
          <w:p>
            <w:pPr>
              <w:spacing w:after="0"/>
              <w:rPr>
                <w:sz w:val="13"/>
                <w:szCs w:val="13"/>
                <w:color w:val="auto"/>
              </w:rPr>
            </w:pPr>
          </w:p>
        </w:tc>
      </w:tr>
      <w:tr>
        <w:trPr>
          <w:trHeight w:val="153"/>
        </w:trPr>
        <w:tc>
          <w:tcPr>
            <w:tcW w:w="7900" w:type="dxa"/>
            <w:vAlign w:val="bottom"/>
            <w:gridSpan w:val="2"/>
            <w:shd w:val="clear" w:color="auto" w:fill="CFF0FC"/>
          </w:tcPr>
          <w:p>
            <w:pPr>
              <w:ind w:left="80"/>
              <w:spacing w:after="0"/>
              <w:rPr>
                <w:sz w:val="20"/>
                <w:szCs w:val="20"/>
                <w:color w:val="auto"/>
              </w:rPr>
            </w:pPr>
            <w:r>
              <w:rPr>
                <w:rFonts w:ascii="Arial" w:cs="Arial" w:eastAsia="Arial" w:hAnsi="Arial"/>
                <w:sz w:val="12"/>
                <w:szCs w:val="12"/>
                <w:color w:val="auto"/>
              </w:rPr>
              <w:t>Deferred tax liabilities</w:t>
            </w:r>
          </w:p>
        </w:tc>
        <w:tc>
          <w:tcPr>
            <w:tcW w:w="1080" w:type="dxa"/>
            <w:vAlign w:val="bottom"/>
            <w:tcBorders>
              <w:bottom w:val="single" w:sz="8" w:color="auto"/>
            </w:tcBorders>
            <w:shd w:val="clear" w:color="auto" w:fill="CFF0FC"/>
          </w:tcPr>
          <w:p>
            <w:pPr>
              <w:spacing w:after="0"/>
              <w:rPr>
                <w:sz w:val="13"/>
                <w:szCs w:val="13"/>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25,716</w:t>
            </w:r>
          </w:p>
        </w:tc>
        <w:tc>
          <w:tcPr>
            <w:tcW w:w="280" w:type="dxa"/>
            <w:vAlign w:val="bottom"/>
            <w:shd w:val="clear" w:color="auto" w:fill="CFF0FC"/>
          </w:tcPr>
          <w:p>
            <w:pPr>
              <w:spacing w:after="0"/>
              <w:rPr>
                <w:sz w:val="13"/>
                <w:szCs w:val="13"/>
                <w:color w:val="auto"/>
              </w:rPr>
            </w:pPr>
          </w:p>
        </w:tc>
        <w:tc>
          <w:tcPr>
            <w:tcW w:w="300" w:type="dxa"/>
            <w:vAlign w:val="bottom"/>
            <w:tcBorders>
              <w:bottom w:val="single" w:sz="8" w:color="auto"/>
            </w:tcBorders>
            <w:shd w:val="clear" w:color="auto" w:fill="CFF0FC"/>
          </w:tcPr>
          <w:p>
            <w:pPr>
              <w:spacing w:after="0"/>
              <w:rPr>
                <w:sz w:val="13"/>
                <w:szCs w:val="13"/>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33,627</w:t>
            </w:r>
          </w:p>
        </w:tc>
        <w:tc>
          <w:tcPr>
            <w:tcW w:w="120" w:type="dxa"/>
            <w:vAlign w:val="bottom"/>
            <w:shd w:val="clear" w:color="auto" w:fill="CFF0FC"/>
          </w:tcPr>
          <w:p>
            <w:pPr>
              <w:spacing w:after="0"/>
              <w:rPr>
                <w:sz w:val="13"/>
                <w:szCs w:val="13"/>
                <w:color w:val="auto"/>
              </w:rPr>
            </w:pPr>
          </w:p>
        </w:tc>
      </w:tr>
      <w:tr>
        <w:trPr>
          <w:trHeight w:val="142"/>
        </w:trPr>
        <w:tc>
          <w:tcPr>
            <w:tcW w:w="7900" w:type="dxa"/>
            <w:vAlign w:val="bottom"/>
            <w:gridSpan w:val="2"/>
          </w:tcPr>
          <w:p>
            <w:pPr>
              <w:spacing w:after="0"/>
              <w:rPr>
                <w:sz w:val="20"/>
                <w:szCs w:val="20"/>
                <w:color w:val="auto"/>
              </w:rPr>
            </w:pPr>
            <w:r>
              <w:rPr>
                <w:rFonts w:ascii="Arial" w:cs="Arial" w:eastAsia="Arial" w:hAnsi="Arial"/>
                <w:sz w:val="12"/>
                <w:szCs w:val="12"/>
                <w:color w:val="auto"/>
              </w:rPr>
              <w:t>Total liabilities</w:t>
            </w:r>
          </w:p>
        </w:tc>
        <w:tc>
          <w:tcPr>
            <w:tcW w:w="108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w w:val="86"/>
              </w:rPr>
              <w:t>1,068,079</w:t>
            </w: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1,042,727</w:t>
            </w:r>
          </w:p>
        </w:tc>
        <w:tc>
          <w:tcPr>
            <w:tcW w:w="120" w:type="dxa"/>
            <w:vAlign w:val="bottom"/>
          </w:tcPr>
          <w:p>
            <w:pPr>
              <w:spacing w:after="0"/>
              <w:rPr>
                <w:sz w:val="12"/>
                <w:szCs w:val="12"/>
                <w:color w:val="auto"/>
              </w:rPr>
            </w:pPr>
          </w:p>
        </w:tc>
      </w:tr>
      <w:tr>
        <w:trPr>
          <w:trHeight w:val="153"/>
        </w:trPr>
        <w:tc>
          <w:tcPr>
            <w:tcW w:w="790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Commitments and contingencies (Note 17)</w:t>
            </w:r>
          </w:p>
        </w:tc>
        <w:tc>
          <w:tcPr>
            <w:tcW w:w="108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3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53"/>
        </w:trPr>
        <w:tc>
          <w:tcPr>
            <w:tcW w:w="7900" w:type="dxa"/>
            <w:vAlign w:val="bottom"/>
            <w:gridSpan w:val="2"/>
          </w:tcPr>
          <w:p>
            <w:pPr>
              <w:spacing w:after="0"/>
              <w:rPr>
                <w:sz w:val="20"/>
                <w:szCs w:val="20"/>
                <w:color w:val="auto"/>
              </w:rPr>
            </w:pPr>
            <w:r>
              <w:rPr>
                <w:rFonts w:ascii="Arial" w:cs="Arial" w:eastAsia="Arial" w:hAnsi="Arial"/>
                <w:sz w:val="12"/>
                <w:szCs w:val="12"/>
                <w:color w:val="auto"/>
              </w:rPr>
              <w:t>Stockholders' equity</w:t>
            </w:r>
          </w:p>
        </w:tc>
        <w:tc>
          <w:tcPr>
            <w:tcW w:w="10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53"/>
        </w:trPr>
        <w:tc>
          <w:tcPr>
            <w:tcW w:w="7900" w:type="dxa"/>
            <w:vAlign w:val="bottom"/>
            <w:gridSpan w:val="2"/>
            <w:shd w:val="clear" w:color="auto" w:fill="CFF0FC"/>
          </w:tcPr>
          <w:p>
            <w:pPr>
              <w:ind w:left="80"/>
              <w:spacing w:after="0"/>
              <w:rPr>
                <w:sz w:val="20"/>
                <w:szCs w:val="20"/>
                <w:color w:val="auto"/>
              </w:rPr>
            </w:pPr>
            <w:r>
              <w:rPr>
                <w:rFonts w:ascii="Arial" w:cs="Arial" w:eastAsia="Arial" w:hAnsi="Arial"/>
                <w:sz w:val="12"/>
                <w:szCs w:val="12"/>
                <w:color w:val="auto"/>
              </w:rPr>
              <w:t>Preferred stock, $.0001 par value, 1,000 shares authorized with no shares issued and outstanding as of December 31, 2019 and 2018</w:t>
            </w:r>
          </w:p>
        </w:tc>
        <w:tc>
          <w:tcPr>
            <w:tcW w:w="1080" w:type="dxa"/>
            <w:vAlign w:val="bottom"/>
            <w:shd w:val="clear" w:color="auto" w:fill="CFF0FC"/>
          </w:tcPr>
          <w:p>
            <w:pPr>
              <w:spacing w:after="0"/>
              <w:rPr>
                <w:sz w:val="13"/>
                <w:szCs w:val="13"/>
                <w:color w:val="auto"/>
              </w:rPr>
            </w:pPr>
          </w:p>
        </w:tc>
        <w:tc>
          <w:tcPr>
            <w:tcW w:w="780" w:type="dxa"/>
            <w:vAlign w:val="bottom"/>
            <w:gridSpan w:val="2"/>
            <w:shd w:val="clear" w:color="auto" w:fill="CFF0FC"/>
          </w:tcPr>
          <w:p>
            <w:pPr>
              <w:jc w:val="right"/>
              <w:ind w:right="300"/>
              <w:spacing w:after="0"/>
              <w:rPr>
                <w:sz w:val="20"/>
                <w:szCs w:val="20"/>
                <w:color w:val="auto"/>
              </w:rPr>
            </w:pPr>
            <w:r>
              <w:rPr>
                <w:rFonts w:ascii="Arial" w:cs="Arial" w:eastAsia="Arial" w:hAnsi="Arial"/>
                <w:sz w:val="12"/>
                <w:szCs w:val="12"/>
                <w:color w:val="auto"/>
              </w:rPr>
              <w:t>—</w:t>
            </w:r>
          </w:p>
        </w:tc>
        <w:tc>
          <w:tcPr>
            <w:tcW w:w="300" w:type="dxa"/>
            <w:vAlign w:val="bottom"/>
            <w:shd w:val="clear" w:color="auto" w:fill="CFF0FC"/>
          </w:tcPr>
          <w:p>
            <w:pPr>
              <w:spacing w:after="0"/>
              <w:rPr>
                <w:sz w:val="13"/>
                <w:szCs w:val="13"/>
                <w:color w:val="auto"/>
              </w:rPr>
            </w:pPr>
          </w:p>
        </w:tc>
        <w:tc>
          <w:tcPr>
            <w:tcW w:w="142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w:t>
            </w:r>
          </w:p>
        </w:tc>
      </w:tr>
      <w:tr>
        <w:trPr>
          <w:trHeight w:val="144"/>
        </w:trPr>
        <w:tc>
          <w:tcPr>
            <w:tcW w:w="7900" w:type="dxa"/>
            <w:vAlign w:val="bottom"/>
            <w:gridSpan w:val="2"/>
          </w:tcPr>
          <w:p>
            <w:pPr>
              <w:ind w:left="80"/>
              <w:spacing w:after="0"/>
              <w:rPr>
                <w:sz w:val="20"/>
                <w:szCs w:val="20"/>
                <w:color w:val="auto"/>
              </w:rPr>
            </w:pPr>
            <w:r>
              <w:rPr>
                <w:rFonts w:ascii="Arial" w:cs="Arial" w:eastAsia="Arial" w:hAnsi="Arial"/>
                <w:sz w:val="12"/>
                <w:szCs w:val="12"/>
                <w:color w:val="auto"/>
              </w:rPr>
              <w:t>Common stock, $.0001 par value, 260,000 shares authorized with 159,150 and 156,057 shares issued and outstanding as of</w:t>
            </w:r>
          </w:p>
        </w:tc>
        <w:tc>
          <w:tcPr>
            <w:tcW w:w="10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53"/>
        </w:trPr>
        <w:tc>
          <w:tcPr>
            <w:tcW w:w="7900" w:type="dxa"/>
            <w:vAlign w:val="bottom"/>
            <w:gridSpan w:val="2"/>
          </w:tcPr>
          <w:p>
            <w:pPr>
              <w:ind w:left="80"/>
              <w:spacing w:after="0"/>
              <w:rPr>
                <w:sz w:val="20"/>
                <w:szCs w:val="20"/>
                <w:color w:val="auto"/>
              </w:rPr>
            </w:pPr>
            <w:r>
              <w:rPr>
                <w:rFonts w:ascii="Arial" w:cs="Arial" w:eastAsia="Arial" w:hAnsi="Arial"/>
                <w:sz w:val="12"/>
                <w:szCs w:val="12"/>
                <w:color w:val="auto"/>
              </w:rPr>
              <w:t>December 31, 2019 and 2018, respectively</w:t>
            </w:r>
          </w:p>
        </w:tc>
        <w:tc>
          <w:tcPr>
            <w:tcW w:w="108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16</w:t>
            </w: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16</w:t>
            </w:r>
          </w:p>
        </w:tc>
        <w:tc>
          <w:tcPr>
            <w:tcW w:w="120" w:type="dxa"/>
            <w:vAlign w:val="bottom"/>
          </w:tcPr>
          <w:p>
            <w:pPr>
              <w:spacing w:after="0"/>
              <w:rPr>
                <w:sz w:val="13"/>
                <w:szCs w:val="13"/>
                <w:color w:val="auto"/>
              </w:rPr>
            </w:pPr>
          </w:p>
        </w:tc>
      </w:tr>
      <w:tr>
        <w:trPr>
          <w:trHeight w:val="153"/>
        </w:trPr>
        <w:tc>
          <w:tcPr>
            <w:tcW w:w="7900" w:type="dxa"/>
            <w:vAlign w:val="bottom"/>
            <w:gridSpan w:val="2"/>
            <w:shd w:val="clear" w:color="auto" w:fill="CFF0FC"/>
          </w:tcPr>
          <w:p>
            <w:pPr>
              <w:ind w:left="80"/>
              <w:spacing w:after="0"/>
              <w:rPr>
                <w:sz w:val="20"/>
                <w:szCs w:val="20"/>
                <w:color w:val="auto"/>
              </w:rPr>
            </w:pPr>
            <w:r>
              <w:rPr>
                <w:rFonts w:ascii="Arial" w:cs="Arial" w:eastAsia="Arial" w:hAnsi="Arial"/>
                <w:sz w:val="12"/>
                <w:szCs w:val="12"/>
                <w:color w:val="auto"/>
              </w:rPr>
              <w:t>Common stock contingent consideration</w:t>
            </w:r>
          </w:p>
        </w:tc>
        <w:tc>
          <w:tcPr>
            <w:tcW w:w="1080" w:type="dxa"/>
            <w:vAlign w:val="bottom"/>
            <w:shd w:val="clear" w:color="auto" w:fill="CFF0FC"/>
          </w:tcPr>
          <w:p>
            <w:pPr>
              <w:spacing w:after="0"/>
              <w:rPr>
                <w:sz w:val="13"/>
                <w:szCs w:val="13"/>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54,862</w:t>
            </w:r>
          </w:p>
        </w:tc>
        <w:tc>
          <w:tcPr>
            <w:tcW w:w="28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73,150</w:t>
            </w:r>
          </w:p>
        </w:tc>
        <w:tc>
          <w:tcPr>
            <w:tcW w:w="120" w:type="dxa"/>
            <w:vAlign w:val="bottom"/>
            <w:shd w:val="clear" w:color="auto" w:fill="CFF0FC"/>
          </w:tcPr>
          <w:p>
            <w:pPr>
              <w:spacing w:after="0"/>
              <w:rPr>
                <w:sz w:val="13"/>
                <w:szCs w:val="13"/>
                <w:color w:val="auto"/>
              </w:rPr>
            </w:pPr>
          </w:p>
        </w:tc>
      </w:tr>
      <w:tr>
        <w:trPr>
          <w:trHeight w:val="153"/>
        </w:trPr>
        <w:tc>
          <w:tcPr>
            <w:tcW w:w="7900" w:type="dxa"/>
            <w:vAlign w:val="bottom"/>
            <w:gridSpan w:val="2"/>
          </w:tcPr>
          <w:p>
            <w:pPr>
              <w:ind w:left="80"/>
              <w:spacing w:after="0"/>
              <w:rPr>
                <w:sz w:val="20"/>
                <w:szCs w:val="20"/>
                <w:color w:val="auto"/>
              </w:rPr>
            </w:pPr>
            <w:r>
              <w:rPr>
                <w:rFonts w:ascii="Arial" w:cs="Arial" w:eastAsia="Arial" w:hAnsi="Arial"/>
                <w:sz w:val="12"/>
                <w:szCs w:val="12"/>
                <w:color w:val="auto"/>
              </w:rPr>
              <w:t>Additional paid-in capital</w:t>
            </w:r>
          </w:p>
        </w:tc>
        <w:tc>
          <w:tcPr>
            <w:tcW w:w="108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367,266</w:t>
            </w: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348,017</w:t>
            </w:r>
          </w:p>
        </w:tc>
        <w:tc>
          <w:tcPr>
            <w:tcW w:w="120" w:type="dxa"/>
            <w:vAlign w:val="bottom"/>
          </w:tcPr>
          <w:p>
            <w:pPr>
              <w:spacing w:after="0"/>
              <w:rPr>
                <w:sz w:val="13"/>
                <w:szCs w:val="13"/>
                <w:color w:val="auto"/>
              </w:rPr>
            </w:pPr>
          </w:p>
        </w:tc>
      </w:tr>
      <w:tr>
        <w:trPr>
          <w:trHeight w:val="153"/>
        </w:trPr>
        <w:tc>
          <w:tcPr>
            <w:tcW w:w="7900" w:type="dxa"/>
            <w:vAlign w:val="bottom"/>
            <w:gridSpan w:val="2"/>
            <w:shd w:val="clear" w:color="auto" w:fill="CFF0FC"/>
          </w:tcPr>
          <w:p>
            <w:pPr>
              <w:ind w:left="80"/>
              <w:spacing w:after="0"/>
              <w:rPr>
                <w:sz w:val="20"/>
                <w:szCs w:val="20"/>
                <w:color w:val="auto"/>
              </w:rPr>
            </w:pPr>
            <w:r>
              <w:rPr>
                <w:rFonts w:ascii="Arial" w:cs="Arial" w:eastAsia="Arial" w:hAnsi="Arial"/>
                <w:sz w:val="12"/>
                <w:szCs w:val="12"/>
                <w:color w:val="auto"/>
              </w:rPr>
              <w:t>Accumulated deficit</w:t>
            </w:r>
          </w:p>
        </w:tc>
        <w:tc>
          <w:tcPr>
            <w:tcW w:w="1080" w:type="dxa"/>
            <w:vAlign w:val="bottom"/>
            <w:shd w:val="clear" w:color="auto" w:fill="CFF0FC"/>
          </w:tcPr>
          <w:p>
            <w:pPr>
              <w:spacing w:after="0"/>
              <w:rPr>
                <w:sz w:val="13"/>
                <w:szCs w:val="13"/>
                <w:color w:val="auto"/>
              </w:rPr>
            </w:pPr>
          </w:p>
        </w:tc>
        <w:tc>
          <w:tcPr>
            <w:tcW w:w="78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(80,220)</w:t>
            </w:r>
          </w:p>
        </w:tc>
        <w:tc>
          <w:tcPr>
            <w:tcW w:w="300" w:type="dxa"/>
            <w:vAlign w:val="bottom"/>
            <w:shd w:val="clear" w:color="auto" w:fill="CFF0FC"/>
          </w:tcPr>
          <w:p>
            <w:pPr>
              <w:spacing w:after="0"/>
              <w:rPr>
                <w:sz w:val="13"/>
                <w:szCs w:val="13"/>
                <w:color w:val="auto"/>
              </w:rPr>
            </w:pPr>
          </w:p>
        </w:tc>
        <w:tc>
          <w:tcPr>
            <w:tcW w:w="142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(113,306)</w:t>
            </w:r>
          </w:p>
        </w:tc>
      </w:tr>
      <w:tr>
        <w:trPr>
          <w:trHeight w:val="153"/>
        </w:trPr>
        <w:tc>
          <w:tcPr>
            <w:tcW w:w="7900" w:type="dxa"/>
            <w:vAlign w:val="bottom"/>
            <w:gridSpan w:val="2"/>
          </w:tcPr>
          <w:p>
            <w:pPr>
              <w:ind w:left="80"/>
              <w:spacing w:after="0"/>
              <w:rPr>
                <w:sz w:val="20"/>
                <w:szCs w:val="20"/>
                <w:color w:val="auto"/>
              </w:rPr>
            </w:pPr>
            <w:r>
              <w:rPr>
                <w:rFonts w:ascii="Arial" w:cs="Arial" w:eastAsia="Arial" w:hAnsi="Arial"/>
                <w:sz w:val="12"/>
                <w:szCs w:val="12"/>
                <w:color w:val="auto"/>
              </w:rPr>
              <w:t>Accumulated other comprehensive loss</w:t>
            </w:r>
          </w:p>
        </w:tc>
        <w:tc>
          <w:tcPr>
            <w:tcW w:w="1080" w:type="dxa"/>
            <w:vAlign w:val="bottom"/>
          </w:tcPr>
          <w:p>
            <w:pPr>
              <w:spacing w:after="0"/>
              <w:rPr>
                <w:sz w:val="13"/>
                <w:szCs w:val="13"/>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2"/>
                <w:szCs w:val="12"/>
                <w:color w:val="auto"/>
              </w:rPr>
              <w:t>(2,577)</w:t>
            </w:r>
          </w:p>
        </w:tc>
        <w:tc>
          <w:tcPr>
            <w:tcW w:w="300" w:type="dxa"/>
            <w:vAlign w:val="bottom"/>
          </w:tcPr>
          <w:p>
            <w:pPr>
              <w:spacing w:after="0"/>
              <w:rPr>
                <w:sz w:val="13"/>
                <w:szCs w:val="13"/>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2"/>
                <w:szCs w:val="12"/>
                <w:color w:val="auto"/>
              </w:rPr>
              <w:t>(5,821)</w:t>
            </w:r>
          </w:p>
        </w:tc>
      </w:tr>
      <w:tr>
        <w:trPr>
          <w:trHeight w:val="142"/>
        </w:trPr>
        <w:tc>
          <w:tcPr>
            <w:tcW w:w="790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2"/>
                <w:szCs w:val="12"/>
                <w:color w:val="auto"/>
              </w:rPr>
              <w:t>Total stockholders' equity</w:t>
            </w:r>
          </w:p>
        </w:tc>
        <w:tc>
          <w:tcPr>
            <w:tcW w:w="1080" w:type="dxa"/>
            <w:vAlign w:val="bottom"/>
            <w:tcBorders>
              <w:top w:val="single" w:sz="8" w:color="auto"/>
              <w:bottom w:val="single" w:sz="8" w:color="auto"/>
            </w:tcBorders>
            <w:shd w:val="clear" w:color="auto" w:fill="CFF0FC"/>
          </w:tcPr>
          <w:p>
            <w:pPr>
              <w:spacing w:after="0"/>
              <w:rPr>
                <w:sz w:val="12"/>
                <w:szCs w:val="12"/>
                <w:color w:val="auto"/>
              </w:rPr>
            </w:pPr>
          </w:p>
        </w:tc>
        <w:tc>
          <w:tcPr>
            <w:tcW w:w="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339,347</w:t>
            </w:r>
          </w:p>
        </w:tc>
        <w:tc>
          <w:tcPr>
            <w:tcW w:w="280" w:type="dxa"/>
            <w:vAlign w:val="bottom"/>
            <w:tcBorders>
              <w:top w:val="single" w:sz="8" w:color="CFF0FC"/>
            </w:tcBorders>
            <w:shd w:val="clear" w:color="auto" w:fill="CFF0FC"/>
          </w:tcPr>
          <w:p>
            <w:pPr>
              <w:spacing w:after="0"/>
              <w:rPr>
                <w:sz w:val="12"/>
                <w:szCs w:val="12"/>
                <w:color w:val="auto"/>
              </w:rPr>
            </w:pPr>
          </w:p>
        </w:tc>
        <w:tc>
          <w:tcPr>
            <w:tcW w:w="300" w:type="dxa"/>
            <w:vAlign w:val="bottom"/>
            <w:tcBorders>
              <w:top w:val="single" w:sz="8" w:color="auto"/>
              <w:bottom w:val="single" w:sz="8" w:color="auto"/>
            </w:tcBorders>
            <w:shd w:val="clear" w:color="auto" w:fill="CFF0FC"/>
          </w:tcPr>
          <w:p>
            <w:pPr>
              <w:spacing w:after="0"/>
              <w:rPr>
                <w:sz w:val="12"/>
                <w:szCs w:val="12"/>
                <w:color w:val="auto"/>
              </w:rPr>
            </w:pP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302,056</w:t>
            </w:r>
          </w:p>
        </w:tc>
        <w:tc>
          <w:tcPr>
            <w:tcW w:w="120" w:type="dxa"/>
            <w:vAlign w:val="bottom"/>
            <w:tcBorders>
              <w:top w:val="single" w:sz="8" w:color="CFF0FC"/>
            </w:tcBorders>
            <w:shd w:val="clear" w:color="auto" w:fill="CFF0FC"/>
          </w:tcPr>
          <w:p>
            <w:pPr>
              <w:spacing w:after="0"/>
              <w:rPr>
                <w:sz w:val="12"/>
                <w:szCs w:val="12"/>
                <w:color w:val="auto"/>
              </w:rPr>
            </w:pPr>
          </w:p>
        </w:tc>
      </w:tr>
      <w:tr>
        <w:trPr>
          <w:trHeight w:val="149"/>
        </w:trPr>
        <w:tc>
          <w:tcPr>
            <w:tcW w:w="7900" w:type="dxa"/>
            <w:vAlign w:val="bottom"/>
            <w:gridSpan w:val="2"/>
          </w:tcPr>
          <w:p>
            <w:pPr>
              <w:spacing w:after="0"/>
              <w:rPr>
                <w:sz w:val="20"/>
                <w:szCs w:val="20"/>
                <w:color w:val="auto"/>
              </w:rPr>
            </w:pPr>
            <w:r>
              <w:rPr>
                <w:rFonts w:ascii="Arial" w:cs="Arial" w:eastAsia="Arial" w:hAnsi="Arial"/>
                <w:sz w:val="12"/>
                <w:szCs w:val="12"/>
                <w:color w:val="auto"/>
              </w:rPr>
              <w:t>Total liabilities and stockholders' equity</w:t>
            </w:r>
          </w:p>
        </w:tc>
        <w:tc>
          <w:tcPr>
            <w:tcW w:w="1080" w:type="dxa"/>
            <w:vAlign w:val="bottom"/>
            <w:tcBorders>
              <w:bottom w:val="single" w:sz="8" w:color="auto"/>
            </w:tcBorders>
          </w:tcPr>
          <w:p>
            <w:pPr>
              <w:jc w:val="right"/>
              <w:ind w:right="971"/>
              <w:spacing w:after="0"/>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6"/>
              </w:rPr>
              <w:t>1,407,426</w:t>
            </w:r>
          </w:p>
        </w:tc>
        <w:tc>
          <w:tcPr>
            <w:tcW w:w="280" w:type="dxa"/>
            <w:vAlign w:val="bottom"/>
          </w:tcPr>
          <w:p>
            <w:pPr>
              <w:spacing w:after="0"/>
              <w:rPr>
                <w:sz w:val="12"/>
                <w:szCs w:val="12"/>
                <w:color w:val="auto"/>
              </w:rPr>
            </w:pPr>
          </w:p>
        </w:tc>
        <w:tc>
          <w:tcPr>
            <w:tcW w:w="300" w:type="dxa"/>
            <w:vAlign w:val="bottom"/>
            <w:tcBorders>
              <w:bottom w:val="single" w:sz="8" w:color="auto"/>
            </w:tcBorders>
          </w:tcPr>
          <w:p>
            <w:pPr>
              <w:jc w:val="right"/>
              <w:ind w:right="190"/>
              <w:spacing w:after="0"/>
              <w:rPr>
                <w:sz w:val="20"/>
                <w:szCs w:val="20"/>
                <w:color w:val="auto"/>
              </w:rPr>
            </w:pPr>
            <w:r>
              <w:rPr>
                <w:rFonts w:ascii="Arial" w:cs="Arial" w:eastAsia="Arial" w:hAnsi="Arial"/>
                <w:sz w:val="10"/>
                <w:szCs w:val="10"/>
                <w:color w:val="auto"/>
                <w:w w:val="71"/>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1,344,783</w:t>
            </w:r>
          </w:p>
        </w:tc>
        <w:tc>
          <w:tcPr>
            <w:tcW w:w="120" w:type="dxa"/>
            <w:vAlign w:val="bottom"/>
          </w:tcPr>
          <w:p>
            <w:pPr>
              <w:spacing w:after="0"/>
              <w:rPr>
                <w:sz w:val="12"/>
                <w:szCs w:val="12"/>
                <w:color w:val="auto"/>
              </w:rPr>
            </w:pPr>
          </w:p>
        </w:tc>
      </w:tr>
    </w:tbl>
    <w:p>
      <w:pPr>
        <w:spacing w:after="0" w:line="139" w:lineRule="exact"/>
        <w:rPr>
          <w:sz w:val="20"/>
          <w:szCs w:val="20"/>
          <w:color w:val="auto"/>
        </w:rPr>
      </w:pPr>
    </w:p>
    <w:p>
      <w:pPr>
        <w:jc w:val="center"/>
        <w:ind w:right="20"/>
        <w:spacing w:after="0"/>
        <w:rPr>
          <w:sz w:val="20"/>
          <w:szCs w:val="20"/>
          <w:color w:val="auto"/>
        </w:rPr>
      </w:pPr>
      <w:r>
        <w:rPr>
          <w:rFonts w:ascii="Arial" w:cs="Arial" w:eastAsia="Arial" w:hAnsi="Arial"/>
          <w:sz w:val="11"/>
          <w:szCs w:val="11"/>
          <w:color w:val="auto"/>
        </w:rPr>
        <w:t>See accompanying Notes to Consolidated Financial Statements</w:t>
      </w:r>
    </w:p>
    <w:p>
      <w:pPr>
        <w:spacing w:after="0" w:line="149"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17740" cy="3683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ectPr>
          <w:pgSz w:w="11900" w:h="16838" w:orient="portrait"/>
          <w:cols w:equalWidth="0" w:num="1">
            <w:col w:w="11480"/>
          </w:cols>
          <w:pgMar w:left="220" w:top="127" w:right="199" w:bottom="1440" w:gutter="0" w:footer="0" w:header="0"/>
        </w:sectPr>
      </w:pPr>
    </w:p>
    <w:bookmarkStart w:id="69" w:name="page70"/>
    <w:bookmarkEnd w:id="69"/>
    <w:p>
      <w:pPr>
        <w:jc w:val="center"/>
        <w:ind w:right="20"/>
        <w:spacing w:after="0"/>
        <w:rPr>
          <w:sz w:val="20"/>
          <w:szCs w:val="20"/>
          <w:color w:val="auto"/>
        </w:rPr>
      </w:pPr>
      <w:r>
        <w:rPr>
          <w:rFonts w:ascii="Arial" w:cs="Arial" w:eastAsia="Arial" w:hAnsi="Arial"/>
          <w:sz w:val="12"/>
          <w:szCs w:val="12"/>
          <w:b w:val="1"/>
          <w:bCs w:val="1"/>
          <w:color w:val="auto"/>
        </w:rPr>
        <w:t>VERRA MOBILITY CORPORATION</w:t>
      </w:r>
    </w:p>
    <w:p>
      <w:pPr>
        <w:spacing w:after="0" w:line="19"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CONSOLIDATED STATEMENTS OF OPERATIONS</w:t>
      </w:r>
    </w:p>
    <w:p>
      <w:pPr>
        <w:spacing w:after="0" w:line="6"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AND COMPREHENSIVE INCOME (LOSS)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1520" w:type="dxa"/>
            <w:vAlign w:val="bottom"/>
          </w:tcPr>
          <w:p>
            <w:pPr>
              <w:spacing w:after="0"/>
              <w:rPr>
                <w:sz w:val="13"/>
                <w:szCs w:val="13"/>
                <w:color w:val="auto"/>
              </w:rPr>
            </w:pPr>
          </w:p>
        </w:tc>
        <w:tc>
          <w:tcPr>
            <w:tcW w:w="40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60" w:type="dxa"/>
            <w:vAlign w:val="bottom"/>
            <w:gridSpan w:val="2"/>
          </w:tcPr>
          <w:p>
            <w:pPr>
              <w:jc w:val="right"/>
              <w:ind w:right="440"/>
              <w:spacing w:after="0"/>
              <w:rPr>
                <w:sz w:val="20"/>
                <w:szCs w:val="20"/>
                <w:color w:val="auto"/>
              </w:rPr>
            </w:pPr>
            <w:r>
              <w:rPr>
                <w:rFonts w:ascii="Arial" w:cs="Arial" w:eastAsia="Arial" w:hAnsi="Arial"/>
                <w:sz w:val="10"/>
                <w:szCs w:val="10"/>
                <w:b w:val="1"/>
                <w:bCs w:val="1"/>
                <w:color w:val="auto"/>
                <w:w w:val="98"/>
              </w:rPr>
              <w:t>Successor</w:t>
            </w: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4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w w:val="79"/>
              </w:rPr>
              <w:t>Predecessor</w:t>
            </w:r>
          </w:p>
        </w:tc>
        <w:tc>
          <w:tcPr>
            <w:tcW w:w="0" w:type="dxa"/>
            <w:vAlign w:val="bottom"/>
          </w:tcPr>
          <w:p>
            <w:pPr>
              <w:spacing w:after="0"/>
              <w:rPr>
                <w:sz w:val="1"/>
                <w:szCs w:val="1"/>
                <w:color w:val="auto"/>
              </w:rPr>
            </w:pPr>
          </w:p>
        </w:tc>
      </w:tr>
      <w:tr>
        <w:trPr>
          <w:trHeight w:val="83"/>
        </w:trPr>
        <w:tc>
          <w:tcPr>
            <w:tcW w:w="1520" w:type="dxa"/>
            <w:vAlign w:val="bottom"/>
          </w:tcPr>
          <w:p>
            <w:pPr>
              <w:spacing w:after="0"/>
              <w:rPr>
                <w:sz w:val="7"/>
                <w:szCs w:val="7"/>
                <w:color w:val="auto"/>
              </w:rPr>
            </w:pPr>
          </w:p>
        </w:tc>
        <w:tc>
          <w:tcPr>
            <w:tcW w:w="4080" w:type="dxa"/>
            <w:vAlign w:val="bottom"/>
          </w:tcPr>
          <w:p>
            <w:pPr>
              <w:spacing w:after="0"/>
              <w:rPr>
                <w:sz w:val="7"/>
                <w:szCs w:val="7"/>
                <w:color w:val="auto"/>
              </w:rPr>
            </w:pPr>
          </w:p>
        </w:tc>
        <w:tc>
          <w:tcPr>
            <w:tcW w:w="260" w:type="dxa"/>
            <w:vAlign w:val="bottom"/>
            <w:tcBorders>
              <w:top w:val="single" w:sz="8" w:color="auto"/>
            </w:tcBorders>
          </w:tcPr>
          <w:p>
            <w:pPr>
              <w:spacing w:after="0"/>
              <w:rPr>
                <w:sz w:val="7"/>
                <w:szCs w:val="7"/>
                <w:color w:val="auto"/>
              </w:rPr>
            </w:pPr>
          </w:p>
        </w:tc>
        <w:tc>
          <w:tcPr>
            <w:tcW w:w="880" w:type="dxa"/>
            <w:vAlign w:val="bottom"/>
            <w:tcBorders>
              <w:top w:val="single" w:sz="8" w:color="auto"/>
            </w:tcBorders>
          </w:tcPr>
          <w:p>
            <w:pPr>
              <w:spacing w:after="0"/>
              <w:rPr>
                <w:sz w:val="7"/>
                <w:szCs w:val="7"/>
                <w:color w:val="auto"/>
              </w:rPr>
            </w:pPr>
          </w:p>
        </w:tc>
        <w:tc>
          <w:tcPr>
            <w:tcW w:w="300" w:type="dxa"/>
            <w:vAlign w:val="bottom"/>
            <w:tcBorders>
              <w:top w:val="single" w:sz="8" w:color="auto"/>
            </w:tcBorders>
          </w:tcPr>
          <w:p>
            <w:pPr>
              <w:spacing w:after="0"/>
              <w:rPr>
                <w:sz w:val="7"/>
                <w:szCs w:val="7"/>
                <w:color w:val="auto"/>
              </w:rPr>
            </w:pPr>
          </w:p>
        </w:tc>
        <w:tc>
          <w:tcPr>
            <w:tcW w:w="340" w:type="dxa"/>
            <w:vAlign w:val="bottom"/>
            <w:tcBorders>
              <w:top w:val="single" w:sz="8" w:color="auto"/>
            </w:tcBorders>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1120" w:type="dxa"/>
            <w:vAlign w:val="bottom"/>
            <w:tcBorders>
              <w:top w:val="single" w:sz="8" w:color="auto"/>
            </w:tcBorders>
          </w:tcPr>
          <w:p>
            <w:pPr>
              <w:jc w:val="center"/>
              <w:ind w:right="162"/>
              <w:spacing w:after="0" w:line="83" w:lineRule="exact"/>
              <w:rPr>
                <w:sz w:val="20"/>
                <w:szCs w:val="20"/>
                <w:color w:val="auto"/>
              </w:rPr>
            </w:pPr>
            <w:r>
              <w:rPr>
                <w:rFonts w:ascii="Arial" w:cs="Arial" w:eastAsia="Arial" w:hAnsi="Arial"/>
                <w:sz w:val="8"/>
                <w:szCs w:val="8"/>
                <w:b w:val="1"/>
                <w:bCs w:val="1"/>
                <w:color w:val="auto"/>
              </w:rPr>
              <w:t>Period from</w:t>
            </w:r>
          </w:p>
        </w:tc>
        <w:tc>
          <w:tcPr>
            <w:tcW w:w="240" w:type="dxa"/>
            <w:vAlign w:val="bottom"/>
            <w:tcBorders>
              <w:right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1100" w:type="dxa"/>
            <w:vAlign w:val="bottom"/>
            <w:tcBorders>
              <w:top w:val="single" w:sz="8" w:color="auto"/>
            </w:tcBorders>
          </w:tcPr>
          <w:p>
            <w:pPr>
              <w:jc w:val="center"/>
              <w:ind w:right="143"/>
              <w:spacing w:after="0" w:line="83" w:lineRule="exact"/>
              <w:rPr>
                <w:sz w:val="20"/>
                <w:szCs w:val="20"/>
                <w:color w:val="auto"/>
              </w:rPr>
            </w:pPr>
            <w:r>
              <w:rPr>
                <w:rFonts w:ascii="Arial" w:cs="Arial" w:eastAsia="Arial" w:hAnsi="Arial"/>
                <w:sz w:val="8"/>
                <w:szCs w:val="8"/>
                <w:b w:val="1"/>
                <w:bCs w:val="1"/>
                <w:color w:val="auto"/>
              </w:rPr>
              <w:t>Period from</w:t>
            </w: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1520" w:type="dxa"/>
            <w:vAlign w:val="bottom"/>
          </w:tcPr>
          <w:p>
            <w:pPr>
              <w:spacing w:after="0"/>
              <w:rPr>
                <w:sz w:val="8"/>
                <w:szCs w:val="8"/>
                <w:color w:val="auto"/>
              </w:rPr>
            </w:pPr>
          </w:p>
        </w:tc>
        <w:tc>
          <w:tcPr>
            <w:tcW w:w="40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520" w:type="dxa"/>
            <w:vAlign w:val="bottom"/>
            <w:gridSpan w:val="3"/>
          </w:tcPr>
          <w:p>
            <w:pPr>
              <w:jc w:val="right"/>
              <w:ind w:right="50"/>
              <w:spacing w:after="0" w:line="99" w:lineRule="exact"/>
              <w:rPr>
                <w:sz w:val="20"/>
                <w:szCs w:val="20"/>
                <w:color w:val="auto"/>
              </w:rPr>
            </w:pPr>
            <w:r>
              <w:rPr>
                <w:rFonts w:ascii="Arial" w:cs="Arial" w:eastAsia="Arial" w:hAnsi="Arial"/>
                <w:sz w:val="10"/>
                <w:szCs w:val="10"/>
                <w:b w:val="1"/>
                <w:bCs w:val="1"/>
                <w:color w:val="auto"/>
              </w:rPr>
              <w:t>For the Year Ended</w:t>
            </w:r>
          </w:p>
        </w:tc>
        <w:tc>
          <w:tcPr>
            <w:tcW w:w="8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360" w:type="dxa"/>
            <w:vAlign w:val="bottom"/>
            <w:tcBorders>
              <w:right w:val="single" w:sz="8" w:color="auto"/>
            </w:tcBorders>
            <w:gridSpan w:val="2"/>
          </w:tcPr>
          <w:p>
            <w:pPr>
              <w:jc w:val="center"/>
              <w:ind w:right="460"/>
              <w:spacing w:after="0" w:line="99" w:lineRule="exact"/>
              <w:rPr>
                <w:sz w:val="20"/>
                <w:szCs w:val="20"/>
                <w:color w:val="auto"/>
              </w:rPr>
            </w:pPr>
            <w:r>
              <w:rPr>
                <w:rFonts w:ascii="Arial" w:cs="Arial" w:eastAsia="Arial" w:hAnsi="Arial"/>
                <w:sz w:val="10"/>
                <w:szCs w:val="10"/>
                <w:b w:val="1"/>
                <w:bCs w:val="1"/>
                <w:color w:val="auto"/>
                <w:w w:val="86"/>
              </w:rPr>
              <w:t>June 1, 2017 to</w:t>
            </w: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60" w:type="dxa"/>
            <w:vAlign w:val="bottom"/>
            <w:gridSpan w:val="2"/>
          </w:tcPr>
          <w:p>
            <w:pPr>
              <w:jc w:val="center"/>
              <w:ind w:right="260"/>
              <w:spacing w:after="0" w:line="99" w:lineRule="exact"/>
              <w:rPr>
                <w:sz w:val="20"/>
                <w:szCs w:val="20"/>
                <w:color w:val="auto"/>
              </w:rPr>
            </w:pPr>
            <w:r>
              <w:rPr>
                <w:rFonts w:ascii="Arial" w:cs="Arial" w:eastAsia="Arial" w:hAnsi="Arial"/>
                <w:sz w:val="10"/>
                <w:szCs w:val="10"/>
                <w:b w:val="1"/>
                <w:bCs w:val="1"/>
                <w:color w:val="auto"/>
                <w:w w:val="88"/>
              </w:rPr>
              <w:t>January 1, 2017</w:t>
            </w:r>
          </w:p>
        </w:tc>
        <w:tc>
          <w:tcPr>
            <w:tcW w:w="0" w:type="dxa"/>
            <w:vAlign w:val="bottom"/>
          </w:tcPr>
          <w:p>
            <w:pPr>
              <w:spacing w:after="0"/>
              <w:rPr>
                <w:sz w:val="1"/>
                <w:szCs w:val="1"/>
                <w:color w:val="auto"/>
              </w:rPr>
            </w:pPr>
          </w:p>
        </w:tc>
      </w:tr>
      <w:tr>
        <w:trPr>
          <w:trHeight w:val="114"/>
        </w:trPr>
        <w:tc>
          <w:tcPr>
            <w:tcW w:w="1520" w:type="dxa"/>
            <w:vAlign w:val="bottom"/>
          </w:tcPr>
          <w:p>
            <w:pPr>
              <w:spacing w:after="0"/>
              <w:rPr>
                <w:sz w:val="9"/>
                <w:szCs w:val="9"/>
                <w:color w:val="auto"/>
              </w:rPr>
            </w:pPr>
          </w:p>
        </w:tc>
        <w:tc>
          <w:tcPr>
            <w:tcW w:w="408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520" w:type="dxa"/>
            <w:vAlign w:val="bottom"/>
            <w:tcBorders>
              <w:bottom w:val="single" w:sz="8" w:color="auto"/>
            </w:tcBorders>
            <w:gridSpan w:val="3"/>
          </w:tcPr>
          <w:p>
            <w:pPr>
              <w:jc w:val="right"/>
              <w:ind w:right="170"/>
              <w:spacing w:after="0" w:line="114" w:lineRule="exact"/>
              <w:rPr>
                <w:sz w:val="20"/>
                <w:szCs w:val="20"/>
                <w:color w:val="auto"/>
              </w:rPr>
            </w:pPr>
            <w:r>
              <w:rPr>
                <w:rFonts w:ascii="Arial" w:cs="Arial" w:eastAsia="Arial" w:hAnsi="Arial"/>
                <w:sz w:val="10"/>
                <w:szCs w:val="10"/>
                <w:b w:val="1"/>
                <w:bCs w:val="1"/>
                <w:color w:val="auto"/>
              </w:rPr>
              <w:t>December 31,</w:t>
            </w:r>
          </w:p>
        </w:tc>
        <w:tc>
          <w:tcPr>
            <w:tcW w:w="80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60" w:type="dxa"/>
            <w:vAlign w:val="bottom"/>
            <w:tcBorders>
              <w:right w:val="single" w:sz="8" w:color="auto"/>
            </w:tcBorders>
            <w:gridSpan w:val="2"/>
          </w:tcPr>
          <w:p>
            <w:pPr>
              <w:jc w:val="center"/>
              <w:ind w:right="440"/>
              <w:spacing w:after="0" w:line="114" w:lineRule="exact"/>
              <w:rPr>
                <w:sz w:val="20"/>
                <w:szCs w:val="20"/>
                <w:color w:val="auto"/>
              </w:rPr>
            </w:pPr>
            <w:r>
              <w:rPr>
                <w:rFonts w:ascii="Arial" w:cs="Arial" w:eastAsia="Arial" w:hAnsi="Arial"/>
                <w:sz w:val="10"/>
                <w:szCs w:val="10"/>
                <w:b w:val="1"/>
                <w:bCs w:val="1"/>
                <w:color w:val="auto"/>
                <w:w w:val="86"/>
              </w:rPr>
              <w:t>December 31,</w:t>
            </w: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gridSpan w:val="2"/>
          </w:tcPr>
          <w:p>
            <w:pPr>
              <w:jc w:val="center"/>
              <w:ind w:right="280"/>
              <w:spacing w:after="0" w:line="114" w:lineRule="exact"/>
              <w:rPr>
                <w:sz w:val="20"/>
                <w:szCs w:val="20"/>
                <w:color w:val="auto"/>
              </w:rPr>
            </w:pPr>
            <w:r>
              <w:rPr>
                <w:rFonts w:ascii="Arial" w:cs="Arial" w:eastAsia="Arial" w:hAnsi="Arial"/>
                <w:sz w:val="10"/>
                <w:szCs w:val="10"/>
                <w:b w:val="1"/>
                <w:bCs w:val="1"/>
                <w:color w:val="auto"/>
                <w:w w:val="90"/>
              </w:rPr>
              <w:t>to May 31,</w:t>
            </w:r>
          </w:p>
        </w:tc>
        <w:tc>
          <w:tcPr>
            <w:tcW w:w="0" w:type="dxa"/>
            <w:vAlign w:val="bottom"/>
          </w:tcPr>
          <w:p>
            <w:pPr>
              <w:spacing w:after="0"/>
              <w:rPr>
                <w:sz w:val="1"/>
                <w:szCs w:val="1"/>
                <w:color w:val="auto"/>
              </w:rPr>
            </w:pPr>
          </w:p>
        </w:tc>
      </w:tr>
      <w:tr>
        <w:trPr>
          <w:trHeight w:val="88"/>
        </w:trPr>
        <w:tc>
          <w:tcPr>
            <w:tcW w:w="1520" w:type="dxa"/>
            <w:vAlign w:val="bottom"/>
            <w:tcBorders>
              <w:bottom w:val="single" w:sz="8" w:color="auto"/>
            </w:tcBorders>
          </w:tcPr>
          <w:p>
            <w:pPr>
              <w:spacing w:after="0" w:line="88" w:lineRule="exact"/>
              <w:rPr>
                <w:sz w:val="20"/>
                <w:szCs w:val="20"/>
                <w:color w:val="auto"/>
              </w:rPr>
            </w:pPr>
            <w:r>
              <w:rPr>
                <w:rFonts w:ascii="Arial" w:cs="Arial" w:eastAsia="Arial" w:hAnsi="Arial"/>
                <w:sz w:val="10"/>
                <w:szCs w:val="10"/>
                <w:b w:val="1"/>
                <w:bCs w:val="1"/>
                <w:color w:val="auto"/>
                <w:w w:val="84"/>
              </w:rPr>
              <w:t>(In thousands, except per share data)</w:t>
            </w:r>
          </w:p>
        </w:tc>
        <w:tc>
          <w:tcPr>
            <w:tcW w:w="4080" w:type="dxa"/>
            <w:vAlign w:val="bottom"/>
          </w:tcPr>
          <w:p>
            <w:pPr>
              <w:spacing w:after="0"/>
              <w:rPr>
                <w:sz w:val="7"/>
                <w:szCs w:val="7"/>
                <w:color w:val="auto"/>
              </w:rPr>
            </w:pPr>
          </w:p>
        </w:tc>
        <w:tc>
          <w:tcPr>
            <w:tcW w:w="260" w:type="dxa"/>
            <w:vAlign w:val="bottom"/>
          </w:tcPr>
          <w:p>
            <w:pPr>
              <w:spacing w:after="0"/>
              <w:rPr>
                <w:sz w:val="7"/>
                <w:szCs w:val="7"/>
                <w:color w:val="auto"/>
              </w:rPr>
            </w:pPr>
          </w:p>
        </w:tc>
        <w:tc>
          <w:tcPr>
            <w:tcW w:w="880" w:type="dxa"/>
            <w:vAlign w:val="bottom"/>
          </w:tcPr>
          <w:p>
            <w:pPr>
              <w:jc w:val="right"/>
              <w:ind w:right="421"/>
              <w:spacing w:after="0" w:line="88" w:lineRule="exact"/>
              <w:rPr>
                <w:sz w:val="20"/>
                <w:szCs w:val="20"/>
                <w:color w:val="auto"/>
              </w:rPr>
            </w:pPr>
            <w:r>
              <w:rPr>
                <w:rFonts w:ascii="Arial" w:cs="Arial" w:eastAsia="Arial" w:hAnsi="Arial"/>
                <w:sz w:val="10"/>
                <w:szCs w:val="10"/>
                <w:b w:val="1"/>
                <w:bCs w:val="1"/>
                <w:color w:val="auto"/>
              </w:rPr>
              <w:t>2019</w:t>
            </w:r>
          </w:p>
        </w:tc>
        <w:tc>
          <w:tcPr>
            <w:tcW w:w="3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0" w:type="dxa"/>
            <w:vAlign w:val="bottom"/>
          </w:tcPr>
          <w:p>
            <w:pPr>
              <w:jc w:val="right"/>
              <w:ind w:right="421"/>
              <w:spacing w:after="0" w:line="88" w:lineRule="exact"/>
              <w:rPr>
                <w:sz w:val="20"/>
                <w:szCs w:val="20"/>
                <w:color w:val="auto"/>
              </w:rPr>
            </w:pPr>
            <w:r>
              <w:rPr>
                <w:rFonts w:ascii="Arial" w:cs="Arial" w:eastAsia="Arial" w:hAnsi="Arial"/>
                <w:sz w:val="10"/>
                <w:szCs w:val="10"/>
                <w:b w:val="1"/>
                <w:bCs w:val="1"/>
                <w:color w:val="auto"/>
              </w:rPr>
              <w:t>2018</w:t>
            </w: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120" w:type="dxa"/>
            <w:vAlign w:val="bottom"/>
          </w:tcPr>
          <w:p>
            <w:pPr>
              <w:jc w:val="center"/>
              <w:ind w:right="142"/>
              <w:spacing w:after="0" w:line="88" w:lineRule="exact"/>
              <w:rPr>
                <w:sz w:val="20"/>
                <w:szCs w:val="20"/>
                <w:color w:val="auto"/>
              </w:rPr>
            </w:pPr>
            <w:r>
              <w:rPr>
                <w:rFonts w:ascii="Arial" w:cs="Arial" w:eastAsia="Arial" w:hAnsi="Arial"/>
                <w:sz w:val="10"/>
                <w:szCs w:val="10"/>
                <w:b w:val="1"/>
                <w:bCs w:val="1"/>
                <w:color w:val="auto"/>
                <w:w w:val="89"/>
              </w:rPr>
              <w:t>2017</w:t>
            </w:r>
          </w:p>
        </w:tc>
        <w:tc>
          <w:tcPr>
            <w:tcW w:w="240" w:type="dxa"/>
            <w:vAlign w:val="bottom"/>
            <w:tcBorders>
              <w:right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100" w:type="dxa"/>
            <w:vAlign w:val="bottom"/>
          </w:tcPr>
          <w:p>
            <w:pPr>
              <w:jc w:val="center"/>
              <w:ind w:right="163"/>
              <w:spacing w:after="0" w:line="88" w:lineRule="exact"/>
              <w:rPr>
                <w:sz w:val="20"/>
                <w:szCs w:val="20"/>
                <w:color w:val="auto"/>
              </w:rPr>
            </w:pPr>
            <w:r>
              <w:rPr>
                <w:rFonts w:ascii="Arial" w:cs="Arial" w:eastAsia="Arial" w:hAnsi="Arial"/>
                <w:sz w:val="10"/>
                <w:szCs w:val="10"/>
                <w:b w:val="1"/>
                <w:bCs w:val="1"/>
                <w:color w:val="auto"/>
                <w:w w:val="89"/>
              </w:rPr>
              <w:t>2017</w:t>
            </w: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600" w:type="dxa"/>
            <w:vAlign w:val="bottom"/>
            <w:gridSpan w:val="2"/>
            <w:vMerge w:val="restart"/>
            <w:shd w:val="clear" w:color="auto" w:fill="CFF0FC"/>
          </w:tcPr>
          <w:p>
            <w:pPr>
              <w:spacing w:after="0"/>
              <w:rPr>
                <w:sz w:val="20"/>
                <w:szCs w:val="20"/>
                <w:color w:val="auto"/>
              </w:rPr>
            </w:pPr>
            <w:r>
              <w:rPr>
                <w:rFonts w:ascii="Arial" w:cs="Arial" w:eastAsia="Arial" w:hAnsi="Arial"/>
                <w:sz w:val="12"/>
                <w:szCs w:val="12"/>
                <w:color w:val="auto"/>
              </w:rPr>
              <w:t>Service revenue</w:t>
            </w: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5600" w:type="dxa"/>
            <w:vAlign w:val="bottom"/>
            <w:gridSpan w:val="2"/>
            <w:vMerge w:val="continue"/>
            <w:shd w:val="clear" w:color="auto" w:fill="CFF0FC"/>
          </w:tcPr>
          <w:p>
            <w:pPr>
              <w:spacing w:after="0"/>
              <w:rPr>
                <w:sz w:val="11"/>
                <w:szCs w:val="11"/>
                <w:color w:val="auto"/>
              </w:rPr>
            </w:pPr>
          </w:p>
        </w:tc>
        <w:tc>
          <w:tcPr>
            <w:tcW w:w="260" w:type="dxa"/>
            <w:vAlign w:val="bottom"/>
            <w:shd w:val="clear" w:color="auto" w:fill="CFF0FC"/>
          </w:tcPr>
          <w:p>
            <w:pPr>
              <w:jc w:val="right"/>
              <w:ind w:right="150"/>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FF0FC"/>
          </w:tcPr>
          <w:p>
            <w:pPr>
              <w:jc w:val="right"/>
              <w:spacing w:after="0" w:line="132" w:lineRule="exact"/>
              <w:rPr>
                <w:sz w:val="20"/>
                <w:szCs w:val="20"/>
                <w:color w:val="auto"/>
              </w:rPr>
            </w:pPr>
            <w:r>
              <w:rPr>
                <w:rFonts w:ascii="Arial" w:cs="Arial" w:eastAsia="Arial" w:hAnsi="Arial"/>
                <w:sz w:val="12"/>
                <w:szCs w:val="12"/>
                <w:color w:val="auto"/>
              </w:rPr>
              <w:t>416,723</w:t>
            </w:r>
          </w:p>
        </w:tc>
        <w:tc>
          <w:tcPr>
            <w:tcW w:w="300" w:type="dxa"/>
            <w:vAlign w:val="bottom"/>
            <w:shd w:val="clear" w:color="auto" w:fill="CFF0FC"/>
          </w:tcPr>
          <w:p>
            <w:pPr>
              <w:spacing w:after="0"/>
              <w:rPr>
                <w:sz w:val="11"/>
                <w:szCs w:val="11"/>
                <w:color w:val="auto"/>
              </w:rPr>
            </w:pPr>
          </w:p>
        </w:tc>
        <w:tc>
          <w:tcPr>
            <w:tcW w:w="340" w:type="dxa"/>
            <w:vAlign w:val="bottom"/>
            <w:shd w:val="clear" w:color="auto" w:fill="CFF0FC"/>
          </w:tcPr>
          <w:p>
            <w:pPr>
              <w:jc w:val="right"/>
              <w:ind w:right="230"/>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FF0FC"/>
          </w:tcPr>
          <w:p>
            <w:pPr>
              <w:jc w:val="right"/>
              <w:spacing w:after="0" w:line="132" w:lineRule="exact"/>
              <w:rPr>
                <w:sz w:val="20"/>
                <w:szCs w:val="20"/>
                <w:color w:val="auto"/>
              </w:rPr>
            </w:pPr>
            <w:r>
              <w:rPr>
                <w:rFonts w:ascii="Arial" w:cs="Arial" w:eastAsia="Arial" w:hAnsi="Arial"/>
                <w:sz w:val="12"/>
                <w:szCs w:val="12"/>
                <w:color w:val="auto"/>
              </w:rPr>
              <w:t>365,076</w:t>
            </w:r>
          </w:p>
        </w:tc>
        <w:tc>
          <w:tcPr>
            <w:tcW w:w="160" w:type="dxa"/>
            <w:vAlign w:val="bottom"/>
            <w:shd w:val="clear" w:color="auto" w:fill="CFF0FC"/>
          </w:tcPr>
          <w:p>
            <w:pPr>
              <w:spacing w:after="0"/>
              <w:rPr>
                <w:sz w:val="11"/>
                <w:szCs w:val="11"/>
                <w:color w:val="auto"/>
              </w:rPr>
            </w:pPr>
          </w:p>
        </w:tc>
        <w:tc>
          <w:tcPr>
            <w:tcW w:w="340" w:type="dxa"/>
            <w:vAlign w:val="bottom"/>
            <w:gridSpan w:val="2"/>
            <w:shd w:val="clear" w:color="auto" w:fill="CFF0FC"/>
          </w:tcPr>
          <w:p>
            <w:pPr>
              <w:jc w:val="right"/>
              <w:ind w:right="140"/>
              <w:spacing w:after="0" w:line="132" w:lineRule="exact"/>
              <w:rPr>
                <w:sz w:val="20"/>
                <w:szCs w:val="20"/>
                <w:color w:val="auto"/>
              </w:rPr>
            </w:pPr>
            <w:r>
              <w:rPr>
                <w:rFonts w:ascii="Arial" w:cs="Arial" w:eastAsia="Arial" w:hAnsi="Arial"/>
                <w:sz w:val="12"/>
                <w:szCs w:val="12"/>
                <w:color w:val="auto"/>
              </w:rPr>
              <w:t>$</w:t>
            </w:r>
          </w:p>
        </w:tc>
        <w:tc>
          <w:tcPr>
            <w:tcW w:w="1120" w:type="dxa"/>
            <w:vAlign w:val="bottom"/>
            <w:shd w:val="clear" w:color="auto" w:fill="CFF0FC"/>
          </w:tcPr>
          <w:p>
            <w:pPr>
              <w:jc w:val="right"/>
              <w:spacing w:after="0" w:line="132" w:lineRule="exact"/>
              <w:rPr>
                <w:sz w:val="20"/>
                <w:szCs w:val="20"/>
                <w:color w:val="auto"/>
              </w:rPr>
            </w:pPr>
            <w:r>
              <w:rPr>
                <w:rFonts w:ascii="Arial" w:cs="Arial" w:eastAsia="Arial" w:hAnsi="Arial"/>
                <w:sz w:val="12"/>
                <w:szCs w:val="12"/>
                <w:color w:val="auto"/>
              </w:rPr>
              <w:t>135,655</w:t>
            </w:r>
          </w:p>
        </w:tc>
        <w:tc>
          <w:tcPr>
            <w:tcW w:w="240" w:type="dxa"/>
            <w:vAlign w:val="bottom"/>
            <w:tcBorders>
              <w:right w:val="single" w:sz="8" w:color="auto"/>
            </w:tcBorders>
            <w:shd w:val="clear" w:color="auto" w:fill="CFF0FC"/>
          </w:tcPr>
          <w:p>
            <w:pPr>
              <w:spacing w:after="0"/>
              <w:rPr>
                <w:sz w:val="11"/>
                <w:szCs w:val="11"/>
                <w:color w:val="auto"/>
              </w:rPr>
            </w:pPr>
          </w:p>
        </w:tc>
        <w:tc>
          <w:tcPr>
            <w:tcW w:w="280" w:type="dxa"/>
            <w:vAlign w:val="bottom"/>
            <w:gridSpan w:val="2"/>
            <w:shd w:val="clear" w:color="auto" w:fill="CFF0FC"/>
          </w:tcPr>
          <w:p>
            <w:pPr>
              <w:jc w:val="right"/>
              <w:ind w:right="140"/>
              <w:spacing w:after="0" w:line="132" w:lineRule="exact"/>
              <w:rPr>
                <w:sz w:val="20"/>
                <w:szCs w:val="20"/>
                <w:color w:val="auto"/>
              </w:rPr>
            </w:pPr>
            <w:r>
              <w:rPr>
                <w:rFonts w:ascii="Arial" w:cs="Arial" w:eastAsia="Arial" w:hAnsi="Arial"/>
                <w:sz w:val="12"/>
                <w:szCs w:val="12"/>
                <w:color w:val="auto"/>
              </w:rPr>
              <w:t>$</w:t>
            </w:r>
          </w:p>
        </w:tc>
        <w:tc>
          <w:tcPr>
            <w:tcW w:w="1100" w:type="dxa"/>
            <w:vAlign w:val="bottom"/>
            <w:shd w:val="clear" w:color="auto" w:fill="CFF0FC"/>
          </w:tcPr>
          <w:p>
            <w:pPr>
              <w:jc w:val="right"/>
              <w:spacing w:after="0" w:line="132" w:lineRule="exact"/>
              <w:rPr>
                <w:sz w:val="20"/>
                <w:szCs w:val="20"/>
                <w:color w:val="auto"/>
              </w:rPr>
            </w:pPr>
            <w:r>
              <w:rPr>
                <w:rFonts w:ascii="Arial" w:cs="Arial" w:eastAsia="Arial" w:hAnsi="Arial"/>
                <w:sz w:val="12"/>
                <w:szCs w:val="12"/>
                <w:color w:val="auto"/>
              </w:rPr>
              <w:t>92,531</w:t>
            </w:r>
          </w:p>
        </w:tc>
        <w:tc>
          <w:tcPr>
            <w:tcW w:w="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5600" w:type="dxa"/>
            <w:vAlign w:val="bottom"/>
            <w:tcBorders>
              <w:bottom w:val="single" w:sz="8" w:color="CFF0FC"/>
            </w:tcBorders>
            <w:gridSpan w:val="2"/>
          </w:tcPr>
          <w:p>
            <w:pPr>
              <w:spacing w:after="0"/>
              <w:rPr>
                <w:sz w:val="20"/>
                <w:szCs w:val="20"/>
                <w:color w:val="auto"/>
              </w:rPr>
            </w:pPr>
            <w:r>
              <w:rPr>
                <w:rFonts w:ascii="Arial" w:cs="Arial" w:eastAsia="Arial" w:hAnsi="Arial"/>
                <w:sz w:val="12"/>
                <w:szCs w:val="12"/>
                <w:color w:val="auto"/>
              </w:rPr>
              <w:t>Product sales</w:t>
            </w: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32,014</w:t>
            </w:r>
          </w:p>
        </w:tc>
        <w:tc>
          <w:tcPr>
            <w:tcW w:w="30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5,070</w:t>
            </w:r>
          </w:p>
        </w:tc>
        <w:tc>
          <w:tcPr>
            <w:tcW w:w="160" w:type="dxa"/>
            <w:vAlign w:val="bottom"/>
            <w:tcBorders>
              <w:bottom w:val="single" w:sz="8" w:color="CFF0FC"/>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2,584</w:t>
            </w:r>
          </w:p>
        </w:tc>
        <w:tc>
          <w:tcPr>
            <w:tcW w:w="240" w:type="dxa"/>
            <w:vAlign w:val="bottom"/>
            <w:tcBorders>
              <w:bottom w:val="single" w:sz="8" w:color="CFF0FC"/>
              <w:right w:val="single" w:sz="8" w:color="auto"/>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1,340</w:t>
            </w:r>
          </w:p>
        </w:tc>
        <w:tc>
          <w:tcPr>
            <w:tcW w:w="6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5600" w:type="dxa"/>
            <w:vAlign w:val="bottom"/>
            <w:gridSpan w:val="2"/>
            <w:shd w:val="clear" w:color="auto" w:fill="CFF0FC"/>
          </w:tcPr>
          <w:p>
            <w:pPr>
              <w:ind w:left="80"/>
              <w:spacing w:after="0"/>
              <w:rPr>
                <w:sz w:val="20"/>
                <w:szCs w:val="20"/>
                <w:color w:val="auto"/>
              </w:rPr>
            </w:pPr>
            <w:r>
              <w:rPr>
                <w:rFonts w:ascii="Arial" w:cs="Arial" w:eastAsia="Arial" w:hAnsi="Arial"/>
                <w:sz w:val="12"/>
                <w:szCs w:val="12"/>
                <w:b w:val="1"/>
                <w:bCs w:val="1"/>
                <w:color w:val="auto"/>
              </w:rPr>
              <w:t>Total revenue</w:t>
            </w:r>
          </w:p>
        </w:tc>
        <w:tc>
          <w:tcPr>
            <w:tcW w:w="26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448,737</w:t>
            </w:r>
          </w:p>
        </w:tc>
        <w:tc>
          <w:tcPr>
            <w:tcW w:w="30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370,146</w:t>
            </w:r>
          </w:p>
        </w:tc>
        <w:tc>
          <w:tcPr>
            <w:tcW w:w="1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138,239</w:t>
            </w:r>
          </w:p>
        </w:tc>
        <w:tc>
          <w:tcPr>
            <w:tcW w:w="240" w:type="dxa"/>
            <w:vAlign w:val="bottom"/>
            <w:tcBorders>
              <w:right w:val="single" w:sz="8" w:color="auto"/>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93,871</w:t>
            </w: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5600" w:type="dxa"/>
            <w:vAlign w:val="bottom"/>
            <w:gridSpan w:val="2"/>
          </w:tcPr>
          <w:p>
            <w:pPr>
              <w:spacing w:after="0"/>
              <w:rPr>
                <w:sz w:val="20"/>
                <w:szCs w:val="20"/>
                <w:color w:val="auto"/>
              </w:rPr>
            </w:pPr>
            <w:r>
              <w:rPr>
                <w:rFonts w:ascii="Arial" w:cs="Arial" w:eastAsia="Arial" w:hAnsi="Arial"/>
                <w:sz w:val="12"/>
                <w:szCs w:val="12"/>
                <w:color w:val="auto"/>
              </w:rPr>
              <w:t>Cost of service revenue</w:t>
            </w:r>
          </w:p>
        </w:tc>
        <w:tc>
          <w:tcPr>
            <w:tcW w:w="2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5,561</w:t>
            </w: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5,788</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1,936</w:t>
            </w:r>
          </w:p>
        </w:tc>
        <w:tc>
          <w:tcPr>
            <w:tcW w:w="24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1,369</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60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Cost of product sales</w:t>
            </w:r>
          </w:p>
        </w:tc>
        <w:tc>
          <w:tcPr>
            <w:tcW w:w="26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13,919</w:t>
            </w:r>
          </w:p>
        </w:tc>
        <w:tc>
          <w:tcPr>
            <w:tcW w:w="30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3,447</w:t>
            </w:r>
          </w:p>
        </w:tc>
        <w:tc>
          <w:tcPr>
            <w:tcW w:w="1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1,590</w:t>
            </w:r>
          </w:p>
        </w:tc>
        <w:tc>
          <w:tcPr>
            <w:tcW w:w="240" w:type="dxa"/>
            <w:vAlign w:val="bottom"/>
            <w:tcBorders>
              <w:right w:val="single" w:sz="8" w:color="auto"/>
            </w:tcBorders>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964</w:t>
            </w:r>
          </w:p>
        </w:tc>
        <w:tc>
          <w:tcPr>
            <w:tcW w:w="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600" w:type="dxa"/>
            <w:vAlign w:val="bottom"/>
            <w:gridSpan w:val="2"/>
          </w:tcPr>
          <w:p>
            <w:pPr>
              <w:spacing w:after="0"/>
              <w:rPr>
                <w:sz w:val="20"/>
                <w:szCs w:val="20"/>
                <w:color w:val="auto"/>
              </w:rPr>
            </w:pPr>
            <w:r>
              <w:rPr>
                <w:rFonts w:ascii="Arial" w:cs="Arial" w:eastAsia="Arial" w:hAnsi="Arial"/>
                <w:sz w:val="12"/>
                <w:szCs w:val="12"/>
                <w:color w:val="auto"/>
              </w:rPr>
              <w:t>Operating expenses</w:t>
            </w:r>
          </w:p>
        </w:tc>
        <w:tc>
          <w:tcPr>
            <w:tcW w:w="2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125,640</w:t>
            </w: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108,883</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50,471</w:t>
            </w:r>
          </w:p>
        </w:tc>
        <w:tc>
          <w:tcPr>
            <w:tcW w:w="24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35,968</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60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Selling, general and administrative expenses</w:t>
            </w:r>
          </w:p>
        </w:tc>
        <w:tc>
          <w:tcPr>
            <w:tcW w:w="26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85,493</w:t>
            </w:r>
          </w:p>
        </w:tc>
        <w:tc>
          <w:tcPr>
            <w:tcW w:w="30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136,069</w:t>
            </w:r>
          </w:p>
        </w:tc>
        <w:tc>
          <w:tcPr>
            <w:tcW w:w="1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44,882</w:t>
            </w:r>
          </w:p>
        </w:tc>
        <w:tc>
          <w:tcPr>
            <w:tcW w:w="240" w:type="dxa"/>
            <w:vAlign w:val="bottom"/>
            <w:tcBorders>
              <w:right w:val="single" w:sz="8" w:color="auto"/>
            </w:tcBorders>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40,884</w:t>
            </w:r>
          </w:p>
        </w:tc>
        <w:tc>
          <w:tcPr>
            <w:tcW w:w="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600" w:type="dxa"/>
            <w:vAlign w:val="bottom"/>
            <w:gridSpan w:val="2"/>
          </w:tcPr>
          <w:p>
            <w:pPr>
              <w:spacing w:after="0"/>
              <w:rPr>
                <w:sz w:val="20"/>
                <w:szCs w:val="20"/>
                <w:color w:val="auto"/>
              </w:rPr>
            </w:pPr>
            <w:r>
              <w:rPr>
                <w:rFonts w:ascii="Arial" w:cs="Arial" w:eastAsia="Arial" w:hAnsi="Arial"/>
                <w:sz w:val="12"/>
                <w:szCs w:val="12"/>
                <w:color w:val="auto"/>
              </w:rPr>
              <w:t>Depreciation, amortization and (gain) loss on disposal of assets, net</w:t>
            </w:r>
          </w:p>
        </w:tc>
        <w:tc>
          <w:tcPr>
            <w:tcW w:w="2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115,771</w:t>
            </w: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103,353</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33,113</w:t>
            </w:r>
          </w:p>
        </w:tc>
        <w:tc>
          <w:tcPr>
            <w:tcW w:w="24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12,613</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60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Impairment of property and equipment</w:t>
            </w:r>
          </w:p>
        </w:tc>
        <w:tc>
          <w:tcPr>
            <w:tcW w:w="26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5,898</w:t>
            </w:r>
          </w:p>
        </w:tc>
        <w:tc>
          <w:tcPr>
            <w:tcW w:w="30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96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360" w:type="dxa"/>
            <w:vAlign w:val="bottom"/>
            <w:tcBorders>
              <w:right w:val="single" w:sz="8" w:color="auto"/>
            </w:tcBorders>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2"/>
        </w:trPr>
        <w:tc>
          <w:tcPr>
            <w:tcW w:w="5600" w:type="dxa"/>
            <w:vAlign w:val="bottom"/>
            <w:tcBorders>
              <w:bottom w:val="single" w:sz="8" w:color="CFF0FC"/>
            </w:tcBorders>
            <w:gridSpan w:val="2"/>
          </w:tcPr>
          <w:p>
            <w:pPr>
              <w:ind w:left="80"/>
              <w:spacing w:after="0"/>
              <w:rPr>
                <w:sz w:val="20"/>
                <w:szCs w:val="20"/>
                <w:color w:val="auto"/>
              </w:rPr>
            </w:pPr>
            <w:r>
              <w:rPr>
                <w:rFonts w:ascii="Arial" w:cs="Arial" w:eastAsia="Arial" w:hAnsi="Arial"/>
                <w:sz w:val="12"/>
                <w:szCs w:val="12"/>
                <w:color w:val="auto"/>
              </w:rPr>
              <w:t>Total costs and expenses</w:t>
            </w:r>
          </w:p>
        </w:tc>
        <w:tc>
          <w:tcPr>
            <w:tcW w:w="26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352,282</w:t>
            </w:r>
          </w:p>
        </w:tc>
        <w:tc>
          <w:tcPr>
            <w:tcW w:w="300" w:type="dxa"/>
            <w:vAlign w:val="bottom"/>
            <w:tcBorders>
              <w:bottom w:val="single" w:sz="8" w:color="CFF0FC"/>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357,540</w:t>
            </w:r>
          </w:p>
        </w:tc>
        <w:tc>
          <w:tcPr>
            <w:tcW w:w="160" w:type="dxa"/>
            <w:vAlign w:val="bottom"/>
            <w:tcBorders>
              <w:bottom w:val="single" w:sz="8" w:color="CFF0FC"/>
            </w:tcBorders>
          </w:tcPr>
          <w:p>
            <w:pPr>
              <w:spacing w:after="0"/>
              <w:rPr>
                <w:sz w:val="12"/>
                <w:szCs w:val="12"/>
                <w:color w:val="auto"/>
              </w:rPr>
            </w:pPr>
          </w:p>
        </w:tc>
        <w:tc>
          <w:tcPr>
            <w:tcW w:w="140" w:type="dxa"/>
            <w:vAlign w:val="bottom"/>
            <w:tcBorders>
              <w:bottom w:val="single" w:sz="8" w:color="CFF0FC"/>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131,992</w:t>
            </w:r>
          </w:p>
        </w:tc>
        <w:tc>
          <w:tcPr>
            <w:tcW w:w="240" w:type="dxa"/>
            <w:vAlign w:val="bottom"/>
            <w:tcBorders>
              <w:bottom w:val="single" w:sz="8" w:color="CFF0FC"/>
              <w:right w:val="single" w:sz="8" w:color="auto"/>
            </w:tcBorders>
          </w:tcPr>
          <w:p>
            <w:pPr>
              <w:spacing w:after="0"/>
              <w:rPr>
                <w:sz w:val="12"/>
                <w:szCs w:val="12"/>
                <w:color w:val="auto"/>
              </w:rPr>
            </w:pPr>
          </w:p>
        </w:tc>
        <w:tc>
          <w:tcPr>
            <w:tcW w:w="80" w:type="dxa"/>
            <w:vAlign w:val="bottom"/>
            <w:tcBorders>
              <w:bottom w:val="single" w:sz="8" w:color="CFF0FC"/>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91,798</w:t>
            </w:r>
          </w:p>
        </w:tc>
        <w:tc>
          <w:tcPr>
            <w:tcW w:w="6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600" w:type="dxa"/>
            <w:vAlign w:val="bottom"/>
            <w:gridSpan w:val="2"/>
            <w:shd w:val="clear" w:color="auto" w:fill="CFF0FC"/>
          </w:tcPr>
          <w:p>
            <w:pPr>
              <w:ind w:left="80"/>
              <w:spacing w:after="0"/>
              <w:rPr>
                <w:sz w:val="20"/>
                <w:szCs w:val="20"/>
                <w:color w:val="auto"/>
              </w:rPr>
            </w:pPr>
            <w:r>
              <w:rPr>
                <w:rFonts w:ascii="Arial" w:cs="Arial" w:eastAsia="Arial" w:hAnsi="Arial"/>
                <w:sz w:val="12"/>
                <w:szCs w:val="12"/>
                <w:b w:val="1"/>
                <w:bCs w:val="1"/>
                <w:color w:val="auto"/>
              </w:rPr>
              <w:t>Income from operations</w:t>
            </w:r>
          </w:p>
        </w:tc>
        <w:tc>
          <w:tcPr>
            <w:tcW w:w="26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96,455</w:t>
            </w:r>
          </w:p>
        </w:tc>
        <w:tc>
          <w:tcPr>
            <w:tcW w:w="30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12,606</w:t>
            </w:r>
          </w:p>
        </w:tc>
        <w:tc>
          <w:tcPr>
            <w:tcW w:w="1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6,247</w:t>
            </w:r>
          </w:p>
        </w:tc>
        <w:tc>
          <w:tcPr>
            <w:tcW w:w="240" w:type="dxa"/>
            <w:vAlign w:val="bottom"/>
            <w:tcBorders>
              <w:right w:val="single" w:sz="8" w:color="auto"/>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2,073</w:t>
            </w: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5600" w:type="dxa"/>
            <w:vAlign w:val="bottom"/>
            <w:gridSpan w:val="2"/>
          </w:tcPr>
          <w:p>
            <w:pPr>
              <w:spacing w:after="0"/>
              <w:rPr>
                <w:sz w:val="20"/>
                <w:szCs w:val="20"/>
                <w:color w:val="auto"/>
              </w:rPr>
            </w:pPr>
            <w:r>
              <w:rPr>
                <w:rFonts w:ascii="Arial" w:cs="Arial" w:eastAsia="Arial" w:hAnsi="Arial"/>
                <w:sz w:val="12"/>
                <w:szCs w:val="12"/>
                <w:color w:val="auto"/>
              </w:rPr>
              <w:t>Interest expense, net</w:t>
            </w:r>
          </w:p>
        </w:tc>
        <w:tc>
          <w:tcPr>
            <w:tcW w:w="2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60,729</w:t>
            </w: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69,550</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20,858</w:t>
            </w:r>
          </w:p>
        </w:tc>
        <w:tc>
          <w:tcPr>
            <w:tcW w:w="24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875</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60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Loss on extinguishment of debt</w:t>
            </w:r>
          </w:p>
        </w:tc>
        <w:tc>
          <w:tcPr>
            <w:tcW w:w="260" w:type="dxa"/>
            <w:vAlign w:val="bottom"/>
            <w:shd w:val="clear" w:color="auto" w:fill="CFF0FC"/>
          </w:tcPr>
          <w:p>
            <w:pPr>
              <w:spacing w:after="0"/>
              <w:rPr>
                <w:sz w:val="13"/>
                <w:szCs w:val="13"/>
                <w:color w:val="auto"/>
              </w:rPr>
            </w:pPr>
          </w:p>
        </w:tc>
        <w:tc>
          <w:tcPr>
            <w:tcW w:w="1180" w:type="dxa"/>
            <w:vAlign w:val="bottom"/>
            <w:gridSpan w:val="2"/>
            <w:shd w:val="clear" w:color="auto" w:fill="CFF0FC"/>
          </w:tcPr>
          <w:p>
            <w:pPr>
              <w:jc w:val="right"/>
              <w:ind w:right="320"/>
              <w:spacing w:after="0"/>
              <w:rPr>
                <w:sz w:val="20"/>
                <w:szCs w:val="20"/>
                <w:color w:val="auto"/>
              </w:rPr>
            </w:pPr>
            <w:r>
              <w:rPr>
                <w:rFonts w:ascii="Arial" w:cs="Arial" w:eastAsia="Arial" w:hAnsi="Arial"/>
                <w:sz w:val="12"/>
                <w:szCs w:val="12"/>
                <w:color w:val="auto"/>
              </w:rPr>
              <w:t>—</w:t>
            </w:r>
          </w:p>
        </w:tc>
        <w:tc>
          <w:tcPr>
            <w:tcW w:w="34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26,486</w:t>
            </w:r>
          </w:p>
        </w:tc>
        <w:tc>
          <w:tcPr>
            <w:tcW w:w="1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360" w:type="dxa"/>
            <w:vAlign w:val="bottom"/>
            <w:tcBorders>
              <w:right w:val="single" w:sz="8" w:color="auto"/>
            </w:tcBorders>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5600" w:type="dxa"/>
            <w:vAlign w:val="bottom"/>
            <w:gridSpan w:val="2"/>
          </w:tcPr>
          <w:p>
            <w:pPr>
              <w:spacing w:after="0"/>
              <w:rPr>
                <w:sz w:val="20"/>
                <w:szCs w:val="20"/>
                <w:color w:val="auto"/>
              </w:rPr>
            </w:pPr>
            <w:r>
              <w:rPr>
                <w:rFonts w:ascii="Arial" w:cs="Arial" w:eastAsia="Arial" w:hAnsi="Arial"/>
                <w:sz w:val="12"/>
                <w:szCs w:val="12"/>
                <w:color w:val="auto"/>
              </w:rPr>
              <w:t>Other income, net</w:t>
            </w:r>
          </w:p>
        </w:tc>
        <w:tc>
          <w:tcPr>
            <w:tcW w:w="260" w:type="dxa"/>
            <w:vAlign w:val="bottom"/>
          </w:tcPr>
          <w:p>
            <w:pPr>
              <w:spacing w:after="0"/>
              <w:rPr>
                <w:sz w:val="13"/>
                <w:szCs w:val="13"/>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2"/>
                <w:szCs w:val="12"/>
                <w:color w:val="auto"/>
              </w:rPr>
              <w:t>(11,198)</w:t>
            </w:r>
          </w:p>
        </w:tc>
        <w:tc>
          <w:tcPr>
            <w:tcW w:w="340" w:type="dxa"/>
            <w:vAlign w:val="bottom"/>
          </w:tcPr>
          <w:p>
            <w:pPr>
              <w:spacing w:after="0"/>
              <w:rPr>
                <w:sz w:val="13"/>
                <w:szCs w:val="13"/>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2"/>
                <w:szCs w:val="12"/>
                <w:color w:val="auto"/>
              </w:rPr>
              <w:t>(8,795)</w:t>
            </w: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6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2"/>
                <w:szCs w:val="12"/>
                <w:color w:val="auto"/>
              </w:rPr>
              <w:t>(2,172)</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2"/>
                <w:szCs w:val="12"/>
                <w:color w:val="auto"/>
              </w:rPr>
              <w:t>(1,294)</w:t>
            </w:r>
          </w:p>
        </w:tc>
        <w:tc>
          <w:tcPr>
            <w:tcW w:w="0" w:type="dxa"/>
            <w:vAlign w:val="bottom"/>
          </w:tcPr>
          <w:p>
            <w:pPr>
              <w:spacing w:after="0"/>
              <w:rPr>
                <w:sz w:val="1"/>
                <w:szCs w:val="1"/>
                <w:color w:val="auto"/>
              </w:rPr>
            </w:pPr>
          </w:p>
        </w:tc>
      </w:tr>
      <w:tr>
        <w:trPr>
          <w:trHeight w:val="20"/>
        </w:trPr>
        <w:tc>
          <w:tcPr>
            <w:tcW w:w="5600" w:type="dxa"/>
            <w:vAlign w:val="bottom"/>
            <w:gridSpan w:val="2"/>
            <w:vMerge w:val="restart"/>
            <w:shd w:val="clear" w:color="auto" w:fill="CFF0FC"/>
          </w:tcPr>
          <w:p>
            <w:pPr>
              <w:ind w:left="80"/>
              <w:spacing w:after="0"/>
              <w:rPr>
                <w:sz w:val="20"/>
                <w:szCs w:val="20"/>
                <w:color w:val="auto"/>
              </w:rPr>
            </w:pPr>
            <w:r>
              <w:rPr>
                <w:rFonts w:ascii="Arial" w:cs="Arial" w:eastAsia="Arial" w:hAnsi="Arial"/>
                <w:sz w:val="12"/>
                <w:szCs w:val="12"/>
                <w:color w:val="auto"/>
              </w:rPr>
              <w:t>Total other expenses (income)</w:t>
            </w: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600" w:type="dxa"/>
            <w:vAlign w:val="bottom"/>
            <w:gridSpan w:val="2"/>
            <w:vMerge w:val="continue"/>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49,531</w:t>
            </w:r>
          </w:p>
        </w:tc>
        <w:tc>
          <w:tcPr>
            <w:tcW w:w="30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87,241</w:t>
            </w:r>
          </w:p>
        </w:tc>
        <w:tc>
          <w:tcPr>
            <w:tcW w:w="1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18,686</w:t>
            </w:r>
          </w:p>
        </w:tc>
        <w:tc>
          <w:tcPr>
            <w:tcW w:w="240" w:type="dxa"/>
            <w:vAlign w:val="bottom"/>
            <w:tcBorders>
              <w:right w:val="single" w:sz="8" w:color="auto"/>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160" w:type="dxa"/>
            <w:vAlign w:val="bottom"/>
            <w:gridSpan w:val="2"/>
            <w:shd w:val="clear" w:color="auto" w:fill="CFF0FC"/>
          </w:tcPr>
          <w:p>
            <w:pPr>
              <w:jc w:val="right"/>
              <w:ind w:right="20"/>
              <w:spacing w:after="0"/>
              <w:rPr>
                <w:sz w:val="20"/>
                <w:szCs w:val="20"/>
                <w:color w:val="auto"/>
              </w:rPr>
            </w:pPr>
            <w:r>
              <w:rPr>
                <w:rFonts w:ascii="Arial" w:cs="Arial" w:eastAsia="Arial" w:hAnsi="Arial"/>
                <w:sz w:val="12"/>
                <w:szCs w:val="12"/>
                <w:color w:val="auto"/>
              </w:rPr>
              <w:t>(419)</w:t>
            </w:r>
          </w:p>
        </w:tc>
        <w:tc>
          <w:tcPr>
            <w:tcW w:w="0" w:type="dxa"/>
            <w:vAlign w:val="bottom"/>
          </w:tcPr>
          <w:p>
            <w:pPr>
              <w:spacing w:after="0"/>
              <w:rPr>
                <w:sz w:val="1"/>
                <w:szCs w:val="1"/>
                <w:color w:val="auto"/>
              </w:rPr>
            </w:pPr>
          </w:p>
        </w:tc>
      </w:tr>
      <w:tr>
        <w:trPr>
          <w:trHeight w:val="20"/>
        </w:trPr>
        <w:tc>
          <w:tcPr>
            <w:tcW w:w="5600" w:type="dxa"/>
            <w:vAlign w:val="bottom"/>
            <w:gridSpan w:val="2"/>
            <w:vMerge w:val="restart"/>
          </w:tcPr>
          <w:p>
            <w:pPr>
              <w:spacing w:after="0"/>
              <w:rPr>
                <w:sz w:val="20"/>
                <w:szCs w:val="20"/>
                <w:color w:val="auto"/>
              </w:rPr>
            </w:pPr>
            <w:r>
              <w:rPr>
                <w:rFonts w:ascii="Arial" w:cs="Arial" w:eastAsia="Arial" w:hAnsi="Arial"/>
                <w:sz w:val="12"/>
                <w:szCs w:val="12"/>
                <w:color w:val="auto"/>
              </w:rPr>
              <w:t>Income (loss) before income tax provision (benefit)</w:t>
            </w: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60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46,924</w:t>
            </w:r>
          </w:p>
        </w:tc>
        <w:tc>
          <w:tcPr>
            <w:tcW w:w="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2"/>
                <w:szCs w:val="12"/>
                <w:color w:val="auto"/>
              </w:rPr>
              <w:t>(74,635)</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2"/>
                <w:szCs w:val="12"/>
                <w:color w:val="auto"/>
              </w:rPr>
              <w:t>(12,439)</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2,492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560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Income tax provision (benefit)</w:t>
            </w:r>
          </w:p>
        </w:tc>
        <w:tc>
          <w:tcPr>
            <w:tcW w:w="26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13,581</w:t>
            </w:r>
          </w:p>
        </w:tc>
        <w:tc>
          <w:tcPr>
            <w:tcW w:w="30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(16,241)</w:t>
            </w:r>
          </w:p>
        </w:tc>
        <w:tc>
          <w:tcPr>
            <w:tcW w:w="1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360" w:type="dxa"/>
            <w:vAlign w:val="bottom"/>
            <w:tcBorders>
              <w:right w:val="single" w:sz="8" w:color="auto"/>
            </w:tcBorders>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(30,677)</w:t>
            </w:r>
          </w:p>
        </w:tc>
        <w:tc>
          <w:tcPr>
            <w:tcW w:w="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1,252</w:t>
            </w:r>
          </w:p>
        </w:tc>
        <w:tc>
          <w:tcPr>
            <w:tcW w:w="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6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Net income (loss)</w:t>
            </w: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5600" w:type="dxa"/>
            <w:vAlign w:val="bottom"/>
            <w:gridSpan w:val="2"/>
            <w:vMerge w:val="continue"/>
          </w:tcPr>
          <w:p>
            <w:pPr>
              <w:spacing w:after="0"/>
              <w:rPr>
                <w:sz w:val="12"/>
                <w:szCs w:val="12"/>
                <w:color w:val="auto"/>
              </w:rPr>
            </w:pPr>
          </w:p>
        </w:tc>
        <w:tc>
          <w:tcPr>
            <w:tcW w:w="260" w:type="dxa"/>
            <w:vAlign w:val="bottom"/>
          </w:tcPr>
          <w:p>
            <w:pPr>
              <w:jc w:val="right"/>
              <w:ind w:right="150"/>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33,343</w:t>
            </w:r>
          </w:p>
        </w:tc>
        <w:tc>
          <w:tcPr>
            <w:tcW w:w="300" w:type="dxa"/>
            <w:vAlign w:val="bottom"/>
          </w:tcPr>
          <w:p>
            <w:pPr>
              <w:spacing w:after="0"/>
              <w:rPr>
                <w:sz w:val="12"/>
                <w:szCs w:val="12"/>
                <w:color w:val="auto"/>
              </w:rPr>
            </w:pPr>
          </w:p>
        </w:tc>
        <w:tc>
          <w:tcPr>
            <w:tcW w:w="340" w:type="dxa"/>
            <w:vAlign w:val="bottom"/>
          </w:tcPr>
          <w:p>
            <w:pPr>
              <w:jc w:val="right"/>
              <w:ind w:right="230"/>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120"/>
              <w:spacing w:after="0"/>
              <w:rPr>
                <w:sz w:val="20"/>
                <w:szCs w:val="20"/>
                <w:color w:val="auto"/>
              </w:rPr>
            </w:pPr>
            <w:r>
              <w:rPr>
                <w:rFonts w:ascii="Arial" w:cs="Arial" w:eastAsia="Arial" w:hAnsi="Arial"/>
                <w:sz w:val="12"/>
                <w:szCs w:val="12"/>
                <w:color w:val="auto"/>
              </w:rPr>
              <w:t>(58,394)</w:t>
            </w:r>
          </w:p>
        </w:tc>
        <w:tc>
          <w:tcPr>
            <w:tcW w:w="3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120" w:type="dxa"/>
            <w:vAlign w:val="bottom"/>
          </w:tcPr>
          <w:p>
            <w:pPr>
              <w:jc w:val="right"/>
              <w:spacing w:after="0"/>
              <w:rPr>
                <w:sz w:val="20"/>
                <w:szCs w:val="20"/>
                <w:color w:val="auto"/>
              </w:rPr>
            </w:pPr>
            <w:r>
              <w:rPr>
                <w:rFonts w:ascii="Arial" w:cs="Arial" w:eastAsia="Arial" w:hAnsi="Arial"/>
                <w:sz w:val="12"/>
                <w:szCs w:val="12"/>
                <w:color w:val="auto"/>
              </w:rPr>
              <w:t>18,238</w:t>
            </w:r>
          </w:p>
        </w:tc>
        <w:tc>
          <w:tcPr>
            <w:tcW w:w="240" w:type="dxa"/>
            <w:vAlign w:val="bottom"/>
            <w:tcBorders>
              <w:right w:val="single" w:sz="8" w:color="auto"/>
            </w:tcBorders>
          </w:tcPr>
          <w:p>
            <w:pPr>
              <w:spacing w:after="0"/>
              <w:rPr>
                <w:sz w:val="12"/>
                <w:szCs w:val="12"/>
                <w:color w:val="auto"/>
              </w:rPr>
            </w:pPr>
          </w:p>
        </w:tc>
        <w:tc>
          <w:tcPr>
            <w:tcW w:w="2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100" w:type="dxa"/>
            <w:vAlign w:val="bottom"/>
          </w:tcPr>
          <w:p>
            <w:pPr>
              <w:jc w:val="right"/>
              <w:spacing w:after="0"/>
              <w:rPr>
                <w:sz w:val="20"/>
                <w:szCs w:val="20"/>
                <w:color w:val="auto"/>
              </w:rPr>
            </w:pPr>
            <w:r>
              <w:rPr>
                <w:rFonts w:ascii="Arial" w:cs="Arial" w:eastAsia="Arial" w:hAnsi="Arial"/>
                <w:sz w:val="12"/>
                <w:szCs w:val="12"/>
                <w:color w:val="auto"/>
              </w:rPr>
              <w:t>1,240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560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2"/>
                <w:szCs w:val="12"/>
                <w:b w:val="1"/>
                <w:bCs w:val="1"/>
                <w:color w:val="auto"/>
              </w:rPr>
              <w:t>Other comprehensive income (loss):</w:t>
            </w:r>
          </w:p>
        </w:tc>
        <w:tc>
          <w:tcPr>
            <w:tcW w:w="260" w:type="dxa"/>
            <w:vAlign w:val="bottom"/>
            <w:tcBorders>
              <w:top w:val="single" w:sz="8" w:color="auto"/>
            </w:tcBorders>
            <w:shd w:val="clear" w:color="auto" w:fill="CFF0FC"/>
          </w:tcPr>
          <w:p>
            <w:pPr>
              <w:spacing w:after="0"/>
              <w:rPr>
                <w:sz w:val="13"/>
                <w:szCs w:val="13"/>
                <w:color w:val="auto"/>
              </w:rPr>
            </w:pPr>
          </w:p>
        </w:tc>
        <w:tc>
          <w:tcPr>
            <w:tcW w:w="880" w:type="dxa"/>
            <w:vAlign w:val="bottom"/>
            <w:tcBorders>
              <w:top w:val="single" w:sz="8" w:color="auto"/>
            </w:tcBorders>
            <w:shd w:val="clear" w:color="auto" w:fill="CFF0FC"/>
          </w:tcPr>
          <w:p>
            <w:pPr>
              <w:spacing w:after="0"/>
              <w:rPr>
                <w:sz w:val="13"/>
                <w:szCs w:val="13"/>
                <w:color w:val="auto"/>
              </w:rPr>
            </w:pPr>
          </w:p>
        </w:tc>
        <w:tc>
          <w:tcPr>
            <w:tcW w:w="300" w:type="dxa"/>
            <w:vAlign w:val="bottom"/>
            <w:tcBorders>
              <w:top w:val="single" w:sz="8" w:color="CFF0FC"/>
            </w:tcBorders>
            <w:shd w:val="clear" w:color="auto" w:fill="CFF0FC"/>
          </w:tcPr>
          <w:p>
            <w:pPr>
              <w:spacing w:after="0"/>
              <w:rPr>
                <w:sz w:val="13"/>
                <w:szCs w:val="13"/>
                <w:color w:val="auto"/>
              </w:rPr>
            </w:pPr>
          </w:p>
        </w:tc>
        <w:tc>
          <w:tcPr>
            <w:tcW w:w="340" w:type="dxa"/>
            <w:vAlign w:val="bottom"/>
            <w:tcBorders>
              <w:top w:val="single" w:sz="8" w:color="auto"/>
            </w:tcBorders>
            <w:shd w:val="clear" w:color="auto" w:fill="CFF0FC"/>
          </w:tcPr>
          <w:p>
            <w:pPr>
              <w:spacing w:after="0"/>
              <w:rPr>
                <w:sz w:val="13"/>
                <w:szCs w:val="13"/>
                <w:color w:val="auto"/>
              </w:rPr>
            </w:pPr>
          </w:p>
        </w:tc>
        <w:tc>
          <w:tcPr>
            <w:tcW w:w="800" w:type="dxa"/>
            <w:vAlign w:val="bottom"/>
            <w:tcBorders>
              <w:top w:val="single" w:sz="8" w:color="auto"/>
            </w:tcBorders>
            <w:shd w:val="clear" w:color="auto" w:fill="CFF0FC"/>
          </w:tcPr>
          <w:p>
            <w:pPr>
              <w:spacing w:after="0"/>
              <w:rPr>
                <w:sz w:val="13"/>
                <w:szCs w:val="13"/>
                <w:color w:val="auto"/>
              </w:rPr>
            </w:pPr>
          </w:p>
        </w:tc>
        <w:tc>
          <w:tcPr>
            <w:tcW w:w="16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CFF0FC"/>
            </w:tcBorders>
            <w:shd w:val="clear" w:color="auto" w:fill="CFF0FC"/>
          </w:tcPr>
          <w:p>
            <w:pPr>
              <w:spacing w:after="0"/>
              <w:rPr>
                <w:sz w:val="13"/>
                <w:szCs w:val="13"/>
                <w:color w:val="auto"/>
              </w:rPr>
            </w:pPr>
          </w:p>
        </w:tc>
        <w:tc>
          <w:tcPr>
            <w:tcW w:w="200" w:type="dxa"/>
            <w:vAlign w:val="bottom"/>
            <w:tcBorders>
              <w:top w:val="single" w:sz="8" w:color="auto"/>
            </w:tcBorders>
            <w:shd w:val="clear" w:color="auto" w:fill="CFF0FC"/>
          </w:tcPr>
          <w:p>
            <w:pPr>
              <w:spacing w:after="0"/>
              <w:rPr>
                <w:sz w:val="13"/>
                <w:szCs w:val="13"/>
                <w:color w:val="auto"/>
              </w:rPr>
            </w:pPr>
          </w:p>
        </w:tc>
        <w:tc>
          <w:tcPr>
            <w:tcW w:w="1120" w:type="dxa"/>
            <w:vAlign w:val="bottom"/>
            <w:tcBorders>
              <w:top w:val="single" w:sz="8" w:color="auto"/>
            </w:tcBorders>
            <w:shd w:val="clear" w:color="auto" w:fill="CFF0FC"/>
          </w:tcPr>
          <w:p>
            <w:pPr>
              <w:spacing w:after="0"/>
              <w:rPr>
                <w:sz w:val="13"/>
                <w:szCs w:val="13"/>
                <w:color w:val="auto"/>
              </w:rPr>
            </w:pPr>
          </w:p>
        </w:tc>
        <w:tc>
          <w:tcPr>
            <w:tcW w:w="240" w:type="dxa"/>
            <w:vAlign w:val="bottom"/>
            <w:tcBorders>
              <w:top w:val="single" w:sz="8" w:color="CFF0FC"/>
              <w:right w:val="single" w:sz="8" w:color="auto"/>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200" w:type="dxa"/>
            <w:vAlign w:val="bottom"/>
            <w:tcBorders>
              <w:top w:val="single" w:sz="8" w:color="auto"/>
            </w:tcBorders>
            <w:shd w:val="clear" w:color="auto" w:fill="CFF0FC"/>
          </w:tcPr>
          <w:p>
            <w:pPr>
              <w:spacing w:after="0"/>
              <w:rPr>
                <w:sz w:val="13"/>
                <w:szCs w:val="13"/>
                <w:color w:val="auto"/>
              </w:rPr>
            </w:pPr>
          </w:p>
        </w:tc>
        <w:tc>
          <w:tcPr>
            <w:tcW w:w="1100" w:type="dxa"/>
            <w:vAlign w:val="bottom"/>
            <w:tcBorders>
              <w:top w:val="single" w:sz="8" w:color="auto"/>
            </w:tcBorders>
            <w:shd w:val="clear" w:color="auto" w:fill="CFF0FC"/>
          </w:tcPr>
          <w:p>
            <w:pPr>
              <w:spacing w:after="0"/>
              <w:rPr>
                <w:sz w:val="13"/>
                <w:szCs w:val="13"/>
                <w:color w:val="auto"/>
              </w:rPr>
            </w:pPr>
          </w:p>
        </w:tc>
        <w:tc>
          <w:tcPr>
            <w:tcW w:w="6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600" w:type="dxa"/>
            <w:vAlign w:val="bottom"/>
            <w:gridSpan w:val="2"/>
          </w:tcPr>
          <w:p>
            <w:pPr>
              <w:spacing w:after="0"/>
              <w:rPr>
                <w:sz w:val="20"/>
                <w:szCs w:val="20"/>
                <w:color w:val="auto"/>
              </w:rPr>
            </w:pPr>
            <w:r>
              <w:rPr>
                <w:rFonts w:ascii="Arial" w:cs="Arial" w:eastAsia="Arial" w:hAnsi="Arial"/>
                <w:sz w:val="12"/>
                <w:szCs w:val="12"/>
                <w:color w:val="auto"/>
              </w:rPr>
              <w:t>Change in foreign currency translation adjustment</w:t>
            </w:r>
          </w:p>
        </w:tc>
        <w:tc>
          <w:tcPr>
            <w:tcW w:w="2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3,244</w:t>
            </w: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2"/>
                <w:szCs w:val="12"/>
                <w:color w:val="auto"/>
              </w:rPr>
              <w:t>(5,821)</w:t>
            </w: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6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
        </w:trPr>
        <w:tc>
          <w:tcPr>
            <w:tcW w:w="5600" w:type="dxa"/>
            <w:vAlign w:val="bottom"/>
            <w:gridSpan w:val="2"/>
            <w:vMerge w:val="restart"/>
            <w:shd w:val="clear" w:color="auto" w:fill="CFF0FC"/>
          </w:tcPr>
          <w:p>
            <w:pPr>
              <w:ind w:left="80"/>
              <w:spacing w:after="0"/>
              <w:rPr>
                <w:sz w:val="20"/>
                <w:szCs w:val="20"/>
                <w:color w:val="auto"/>
              </w:rPr>
            </w:pPr>
            <w:r>
              <w:rPr>
                <w:rFonts w:ascii="Arial" w:cs="Arial" w:eastAsia="Arial" w:hAnsi="Arial"/>
                <w:sz w:val="12"/>
                <w:szCs w:val="12"/>
                <w:color w:val="auto"/>
              </w:rPr>
              <w:t>Total comprehensive income (loss)</w:t>
            </w: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5600" w:type="dxa"/>
            <w:vAlign w:val="bottom"/>
            <w:gridSpan w:val="2"/>
            <w:vMerge w:val="continue"/>
            <w:shd w:val="clear" w:color="auto" w:fill="CFF0FC"/>
          </w:tcPr>
          <w:p>
            <w:pPr>
              <w:spacing w:after="0"/>
              <w:rPr>
                <w:sz w:val="14"/>
                <w:szCs w:val="14"/>
                <w:color w:val="auto"/>
              </w:rPr>
            </w:pPr>
          </w:p>
        </w:tc>
        <w:tc>
          <w:tcPr>
            <w:tcW w:w="260" w:type="dxa"/>
            <w:vAlign w:val="bottom"/>
            <w:shd w:val="clear" w:color="auto" w:fill="CFF0FC"/>
          </w:tcPr>
          <w:p>
            <w:pPr>
              <w:jc w:val="right"/>
              <w:ind w:right="150"/>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36,587</w:t>
            </w:r>
          </w:p>
        </w:tc>
        <w:tc>
          <w:tcPr>
            <w:tcW w:w="300" w:type="dxa"/>
            <w:vAlign w:val="bottom"/>
            <w:shd w:val="clear" w:color="auto" w:fill="CFF0FC"/>
          </w:tcPr>
          <w:p>
            <w:pPr>
              <w:spacing w:after="0"/>
              <w:rPr>
                <w:sz w:val="14"/>
                <w:szCs w:val="14"/>
                <w:color w:val="auto"/>
              </w:rPr>
            </w:pPr>
          </w:p>
        </w:tc>
        <w:tc>
          <w:tcPr>
            <w:tcW w:w="340" w:type="dxa"/>
            <w:vAlign w:val="bottom"/>
            <w:shd w:val="clear" w:color="auto" w:fill="CFF0FC"/>
          </w:tcPr>
          <w:p>
            <w:pPr>
              <w:jc w:val="right"/>
              <w:ind w:right="230"/>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(64,215)</w:t>
            </w:r>
          </w:p>
        </w:tc>
        <w:tc>
          <w:tcPr>
            <w:tcW w:w="34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18,238</w:t>
            </w:r>
          </w:p>
        </w:tc>
        <w:tc>
          <w:tcPr>
            <w:tcW w:w="240" w:type="dxa"/>
            <w:vAlign w:val="bottom"/>
            <w:tcBorders>
              <w:right w:val="single" w:sz="8" w:color="auto"/>
            </w:tcBorders>
            <w:shd w:val="clear" w:color="auto" w:fill="CFF0FC"/>
          </w:tcPr>
          <w:p>
            <w:pPr>
              <w:spacing w:after="0"/>
              <w:rPr>
                <w:sz w:val="14"/>
                <w:szCs w:val="14"/>
                <w:color w:val="auto"/>
              </w:rPr>
            </w:pPr>
          </w:p>
        </w:tc>
        <w:tc>
          <w:tcPr>
            <w:tcW w:w="28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1,240</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5600" w:type="dxa"/>
            <w:vAlign w:val="bottom"/>
            <w:tcBorders>
              <w:top w:val="single" w:sz="8" w:color="CFF0FC"/>
            </w:tcBorders>
            <w:gridSpan w:val="2"/>
          </w:tcPr>
          <w:p>
            <w:pPr>
              <w:spacing w:after="0"/>
              <w:rPr>
                <w:sz w:val="20"/>
                <w:szCs w:val="20"/>
                <w:color w:val="auto"/>
              </w:rPr>
            </w:pPr>
            <w:r>
              <w:rPr>
                <w:rFonts w:ascii="Arial" w:cs="Arial" w:eastAsia="Arial" w:hAnsi="Arial"/>
                <w:sz w:val="12"/>
                <w:szCs w:val="12"/>
                <w:b w:val="1"/>
                <w:bCs w:val="1"/>
                <w:color w:val="auto"/>
              </w:rPr>
              <w:t>Net income (loss) per share:</w:t>
            </w:r>
          </w:p>
        </w:tc>
        <w:tc>
          <w:tcPr>
            <w:tcW w:w="2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300" w:type="dxa"/>
            <w:vAlign w:val="bottom"/>
            <w:tcBorders>
              <w:top w:val="single" w:sz="8" w:color="CFF0FC"/>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60" w:type="dxa"/>
            <w:vAlign w:val="bottom"/>
            <w:tcBorders>
              <w:top w:val="single" w:sz="8" w:color="CFF0FC"/>
            </w:tcBorders>
          </w:tcPr>
          <w:p>
            <w:pPr>
              <w:spacing w:after="0"/>
              <w:rPr>
                <w:sz w:val="12"/>
                <w:szCs w:val="12"/>
                <w:color w:val="auto"/>
              </w:rPr>
            </w:pPr>
          </w:p>
        </w:tc>
        <w:tc>
          <w:tcPr>
            <w:tcW w:w="140" w:type="dxa"/>
            <w:vAlign w:val="bottom"/>
            <w:tcBorders>
              <w:top w:val="single" w:sz="8" w:color="CFF0FC"/>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240" w:type="dxa"/>
            <w:vAlign w:val="bottom"/>
            <w:tcBorders>
              <w:top w:val="single" w:sz="8" w:color="CFF0FC"/>
              <w:right w:val="single" w:sz="8" w:color="auto"/>
            </w:tcBorders>
          </w:tcPr>
          <w:p>
            <w:pPr>
              <w:spacing w:after="0"/>
              <w:rPr>
                <w:sz w:val="12"/>
                <w:szCs w:val="12"/>
                <w:color w:val="auto"/>
              </w:rPr>
            </w:pPr>
          </w:p>
        </w:tc>
        <w:tc>
          <w:tcPr>
            <w:tcW w:w="80" w:type="dxa"/>
            <w:vAlign w:val="bottom"/>
            <w:tcBorders>
              <w:top w:val="single" w:sz="8" w:color="CFF0FC"/>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60" w:type="dxa"/>
            <w:vAlign w:val="bottom"/>
            <w:tcBorders>
              <w:top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560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Basic</w:t>
            </w:r>
          </w:p>
        </w:tc>
        <w:tc>
          <w:tcPr>
            <w:tcW w:w="260" w:type="dxa"/>
            <w:vAlign w:val="bottom"/>
            <w:shd w:val="clear" w:color="auto" w:fill="CFF0FC"/>
          </w:tcPr>
          <w:p>
            <w:pPr>
              <w:jc w:val="right"/>
              <w:ind w:right="150"/>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0.21</w:t>
            </w:r>
          </w:p>
        </w:tc>
        <w:tc>
          <w:tcPr>
            <w:tcW w:w="300" w:type="dxa"/>
            <w:vAlign w:val="bottom"/>
            <w:shd w:val="clear" w:color="auto" w:fill="CFF0FC"/>
          </w:tcPr>
          <w:p>
            <w:pPr>
              <w:spacing w:after="0"/>
              <w:rPr>
                <w:sz w:val="13"/>
                <w:szCs w:val="13"/>
                <w:color w:val="auto"/>
              </w:rPr>
            </w:pPr>
          </w:p>
        </w:tc>
        <w:tc>
          <w:tcPr>
            <w:tcW w:w="340" w:type="dxa"/>
            <w:vAlign w:val="bottom"/>
            <w:shd w:val="clear" w:color="auto" w:fill="CFF0FC"/>
          </w:tcPr>
          <w:p>
            <w:pPr>
              <w:jc w:val="right"/>
              <w:ind w:right="230"/>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(0.67)</w:t>
            </w:r>
          </w:p>
        </w:tc>
        <w:tc>
          <w:tcPr>
            <w:tcW w:w="34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0.30</w:t>
            </w:r>
          </w:p>
        </w:tc>
        <w:tc>
          <w:tcPr>
            <w:tcW w:w="240" w:type="dxa"/>
            <w:vAlign w:val="bottom"/>
            <w:tcBorders>
              <w:right w:val="single" w:sz="8" w:color="auto"/>
            </w:tcBorders>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100" w:type="dxa"/>
            <w:vAlign w:val="bottom"/>
            <w:shd w:val="clear" w:color="auto" w:fill="CFF0FC"/>
          </w:tcPr>
          <w:p>
            <w:pPr>
              <w:jc w:val="center"/>
              <w:ind w:right="163"/>
              <w:spacing w:after="0"/>
              <w:rPr>
                <w:sz w:val="20"/>
                <w:szCs w:val="20"/>
                <w:color w:val="auto"/>
              </w:rPr>
            </w:pPr>
            <w:r>
              <w:rPr>
                <w:rFonts w:ascii="Arial" w:cs="Arial" w:eastAsia="Arial" w:hAnsi="Arial"/>
                <w:sz w:val="11"/>
                <w:szCs w:val="11"/>
                <w:i w:val="1"/>
                <w:iCs w:val="1"/>
                <w:color w:val="auto"/>
                <w:w w:val="88"/>
              </w:rPr>
              <w:t>(1)</w:t>
            </w:r>
          </w:p>
        </w:tc>
        <w:tc>
          <w:tcPr>
            <w:tcW w:w="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600" w:type="dxa"/>
            <w:vAlign w:val="bottom"/>
            <w:gridSpan w:val="2"/>
          </w:tcPr>
          <w:p>
            <w:pPr>
              <w:spacing w:after="0"/>
              <w:rPr>
                <w:sz w:val="20"/>
                <w:szCs w:val="20"/>
                <w:color w:val="auto"/>
              </w:rPr>
            </w:pPr>
            <w:r>
              <w:rPr>
                <w:rFonts w:ascii="Arial" w:cs="Arial" w:eastAsia="Arial" w:hAnsi="Arial"/>
                <w:sz w:val="12"/>
                <w:szCs w:val="12"/>
                <w:color w:val="auto"/>
              </w:rPr>
              <w:t>Diluted</w:t>
            </w:r>
          </w:p>
        </w:tc>
        <w:tc>
          <w:tcPr>
            <w:tcW w:w="260" w:type="dxa"/>
            <w:vAlign w:val="bottom"/>
          </w:tcPr>
          <w:p>
            <w:pPr>
              <w:jc w:val="right"/>
              <w:ind w:right="150"/>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0.21</w:t>
            </w:r>
          </w:p>
        </w:tc>
        <w:tc>
          <w:tcPr>
            <w:tcW w:w="300" w:type="dxa"/>
            <w:vAlign w:val="bottom"/>
          </w:tcPr>
          <w:p>
            <w:pPr>
              <w:spacing w:after="0"/>
              <w:rPr>
                <w:sz w:val="13"/>
                <w:szCs w:val="13"/>
                <w:color w:val="auto"/>
              </w:rPr>
            </w:pPr>
          </w:p>
        </w:tc>
        <w:tc>
          <w:tcPr>
            <w:tcW w:w="340" w:type="dxa"/>
            <w:vAlign w:val="bottom"/>
          </w:tcPr>
          <w:p>
            <w:pPr>
              <w:jc w:val="right"/>
              <w:ind w:right="230"/>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120"/>
              <w:spacing w:after="0"/>
              <w:rPr>
                <w:sz w:val="20"/>
                <w:szCs w:val="20"/>
                <w:color w:val="auto"/>
              </w:rPr>
            </w:pPr>
            <w:r>
              <w:rPr>
                <w:rFonts w:ascii="Arial" w:cs="Arial" w:eastAsia="Arial" w:hAnsi="Arial"/>
                <w:sz w:val="12"/>
                <w:szCs w:val="12"/>
                <w:color w:val="auto"/>
              </w:rPr>
              <w:t>(0.67)</w:t>
            </w:r>
          </w:p>
        </w:tc>
        <w:tc>
          <w:tcPr>
            <w:tcW w:w="3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120" w:type="dxa"/>
            <w:vAlign w:val="bottom"/>
          </w:tcPr>
          <w:p>
            <w:pPr>
              <w:jc w:val="right"/>
              <w:spacing w:after="0"/>
              <w:rPr>
                <w:sz w:val="20"/>
                <w:szCs w:val="20"/>
                <w:color w:val="auto"/>
              </w:rPr>
            </w:pPr>
            <w:r>
              <w:rPr>
                <w:rFonts w:ascii="Arial" w:cs="Arial" w:eastAsia="Arial" w:hAnsi="Arial"/>
                <w:sz w:val="12"/>
                <w:szCs w:val="12"/>
                <w:color w:val="auto"/>
              </w:rPr>
              <w:t>0.30</w:t>
            </w:r>
          </w:p>
        </w:tc>
        <w:tc>
          <w:tcPr>
            <w:tcW w:w="24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tcPr>
          <w:p>
            <w:pPr>
              <w:jc w:val="center"/>
              <w:ind w:right="163"/>
              <w:spacing w:after="0"/>
              <w:rPr>
                <w:sz w:val="20"/>
                <w:szCs w:val="20"/>
                <w:color w:val="auto"/>
              </w:rPr>
            </w:pPr>
            <w:r>
              <w:rPr>
                <w:rFonts w:ascii="Arial" w:cs="Arial" w:eastAsia="Arial" w:hAnsi="Arial"/>
                <w:sz w:val="11"/>
                <w:szCs w:val="11"/>
                <w:i w:val="1"/>
                <w:iCs w:val="1"/>
                <w:color w:val="auto"/>
                <w:w w:val="88"/>
              </w:rPr>
              <w:t>(1)</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600" w:type="dxa"/>
            <w:vAlign w:val="bottom"/>
            <w:gridSpan w:val="2"/>
            <w:shd w:val="clear" w:color="auto" w:fill="CFF0FC"/>
          </w:tcPr>
          <w:p>
            <w:pPr>
              <w:spacing w:after="0"/>
              <w:rPr>
                <w:sz w:val="20"/>
                <w:szCs w:val="20"/>
                <w:color w:val="auto"/>
              </w:rPr>
            </w:pPr>
            <w:r>
              <w:rPr>
                <w:rFonts w:ascii="Arial" w:cs="Arial" w:eastAsia="Arial" w:hAnsi="Arial"/>
                <w:sz w:val="12"/>
                <w:szCs w:val="12"/>
                <w:b w:val="1"/>
                <w:bCs w:val="1"/>
                <w:color w:val="auto"/>
              </w:rPr>
              <w:t>Weighted average shares used in per share calculation:</w:t>
            </w:r>
          </w:p>
        </w:tc>
        <w:tc>
          <w:tcPr>
            <w:tcW w:w="26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240" w:type="dxa"/>
            <w:vAlign w:val="bottom"/>
            <w:tcBorders>
              <w:right w:val="single" w:sz="8" w:color="auto"/>
            </w:tcBorders>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1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600" w:type="dxa"/>
            <w:vAlign w:val="bottom"/>
            <w:gridSpan w:val="2"/>
          </w:tcPr>
          <w:p>
            <w:pPr>
              <w:spacing w:after="0"/>
              <w:rPr>
                <w:sz w:val="20"/>
                <w:szCs w:val="20"/>
                <w:color w:val="auto"/>
              </w:rPr>
            </w:pPr>
            <w:r>
              <w:rPr>
                <w:rFonts w:ascii="Arial" w:cs="Arial" w:eastAsia="Arial" w:hAnsi="Arial"/>
                <w:sz w:val="12"/>
                <w:szCs w:val="12"/>
                <w:color w:val="auto"/>
              </w:rPr>
              <w:t>Basic outstanding</w:t>
            </w:r>
          </w:p>
        </w:tc>
        <w:tc>
          <w:tcPr>
            <w:tcW w:w="2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157,890</w:t>
            </w: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87,320</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60,484</w:t>
            </w:r>
          </w:p>
        </w:tc>
        <w:tc>
          <w:tcPr>
            <w:tcW w:w="24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60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Diluted outstanding</w:t>
            </w:r>
          </w:p>
        </w:tc>
        <w:tc>
          <w:tcPr>
            <w:tcW w:w="26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161,522</w:t>
            </w:r>
          </w:p>
        </w:tc>
        <w:tc>
          <w:tcPr>
            <w:tcW w:w="30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87,320</w:t>
            </w:r>
          </w:p>
        </w:tc>
        <w:tc>
          <w:tcPr>
            <w:tcW w:w="1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60,484</w:t>
            </w:r>
          </w:p>
        </w:tc>
        <w:tc>
          <w:tcPr>
            <w:tcW w:w="240" w:type="dxa"/>
            <w:vAlign w:val="bottom"/>
            <w:tcBorders>
              <w:right w:val="single" w:sz="8" w:color="auto"/>
            </w:tcBorders>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1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ind w:left="920" w:hanging="604"/>
        <w:spacing w:after="0"/>
        <w:tabs>
          <w:tab w:leader="none" w:pos="920" w:val="left"/>
        </w:tabs>
        <w:numPr>
          <w:ilvl w:val="0"/>
          <w:numId w:val="23"/>
        </w:numPr>
        <w:rPr>
          <w:rFonts w:ascii="Arial" w:cs="Arial" w:eastAsia="Arial" w:hAnsi="Arial"/>
          <w:sz w:val="11"/>
          <w:szCs w:val="11"/>
          <w:i w:val="1"/>
          <w:iCs w:val="1"/>
          <w:color w:val="auto"/>
        </w:rPr>
      </w:pPr>
      <w:r>
        <w:rPr>
          <w:rFonts w:ascii="Arial" w:cs="Arial" w:eastAsia="Arial" w:hAnsi="Arial"/>
          <w:sz w:val="11"/>
          <w:szCs w:val="11"/>
          <w:color w:val="auto"/>
        </w:rPr>
        <w:t>Basic and diluted EPS for the Predecessor period are not presented for lack of comparability with the Successor periods.</w:t>
      </w:r>
    </w:p>
    <w:p>
      <w:pPr>
        <w:spacing w:after="0" w:line="108" w:lineRule="exact"/>
        <w:rPr>
          <w:sz w:val="20"/>
          <w:szCs w:val="20"/>
          <w:color w:val="auto"/>
        </w:rPr>
      </w:pPr>
    </w:p>
    <w:p>
      <w:pPr>
        <w:jc w:val="center"/>
        <w:ind w:right="20"/>
        <w:spacing w:after="0"/>
        <w:rPr>
          <w:sz w:val="20"/>
          <w:szCs w:val="20"/>
          <w:color w:val="auto"/>
        </w:rPr>
      </w:pPr>
      <w:r>
        <w:rPr>
          <w:rFonts w:ascii="Arial" w:cs="Arial" w:eastAsia="Arial" w:hAnsi="Arial"/>
          <w:sz w:val="11"/>
          <w:szCs w:val="11"/>
          <w:color w:val="auto"/>
        </w:rPr>
        <w:t>See accompanying Notes to Consolidated Financial Statements</w:t>
      </w:r>
    </w:p>
    <w:p>
      <w:pPr>
        <w:spacing w:after="0" w:line="200" w:lineRule="exact"/>
        <w:rPr>
          <w:sz w:val="20"/>
          <w:szCs w:val="20"/>
          <w:color w:val="auto"/>
        </w:rPr>
      </w:pPr>
    </w:p>
    <w:p>
      <w:pPr>
        <w:spacing w:after="0" w:line="381"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17740" cy="3683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ectPr>
          <w:pgSz w:w="11900" w:h="16838" w:orient="portrait"/>
          <w:cols w:equalWidth="0" w:num="1">
            <w:col w:w="11480"/>
          </w:cols>
          <w:pgMar w:left="220" w:top="127" w:right="199" w:bottom="1440" w:gutter="0" w:footer="0" w:header="0"/>
        </w:sectPr>
      </w:pPr>
    </w:p>
    <w:bookmarkStart w:id="70" w:name="page71"/>
    <w:bookmarkEnd w:id="70"/>
    <w:p>
      <w:pPr>
        <w:jc w:val="center"/>
        <w:ind w:right="20"/>
        <w:spacing w:after="0"/>
        <w:rPr>
          <w:sz w:val="20"/>
          <w:szCs w:val="20"/>
          <w:color w:val="auto"/>
        </w:rPr>
      </w:pPr>
      <w:r>
        <w:rPr>
          <w:rFonts w:ascii="Arial" w:cs="Arial" w:eastAsia="Arial" w:hAnsi="Arial"/>
          <w:sz w:val="12"/>
          <w:szCs w:val="12"/>
          <w:b w:val="1"/>
          <w:bCs w:val="1"/>
          <w:color w:val="auto"/>
        </w:rPr>
        <w:t>VERRA MOBILITY CORPORATION</w:t>
      </w:r>
    </w:p>
    <w:p>
      <w:pPr>
        <w:spacing w:after="0" w:line="19"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CONSOLIDATED STATEMENTS OF STOCKHOLDERS’ EQUITY</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92"/>
        </w:trPr>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1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240" w:type="dxa"/>
            <w:vAlign w:val="bottom"/>
          </w:tcPr>
          <w:p>
            <w:pPr>
              <w:spacing w:after="0"/>
              <w:rPr>
                <w:sz w:val="7"/>
                <w:szCs w:val="7"/>
                <w:color w:val="auto"/>
              </w:rPr>
            </w:pPr>
          </w:p>
        </w:tc>
        <w:tc>
          <w:tcPr>
            <w:tcW w:w="2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20" w:type="dxa"/>
            <w:vAlign w:val="bottom"/>
          </w:tcPr>
          <w:p>
            <w:pPr>
              <w:spacing w:after="0"/>
              <w:rPr>
                <w:sz w:val="7"/>
                <w:szCs w:val="7"/>
                <w:color w:val="auto"/>
              </w:rPr>
            </w:pPr>
          </w:p>
        </w:tc>
        <w:tc>
          <w:tcPr>
            <w:tcW w:w="380" w:type="dxa"/>
            <w:vAlign w:val="bottom"/>
          </w:tcPr>
          <w:p>
            <w:pPr>
              <w:spacing w:after="0"/>
              <w:rPr>
                <w:sz w:val="7"/>
                <w:szCs w:val="7"/>
                <w:color w:val="auto"/>
              </w:rPr>
            </w:pPr>
          </w:p>
        </w:tc>
        <w:tc>
          <w:tcPr>
            <w:tcW w:w="280" w:type="dxa"/>
            <w:vAlign w:val="bottom"/>
          </w:tcPr>
          <w:p>
            <w:pPr>
              <w:spacing w:after="0"/>
              <w:rPr>
                <w:sz w:val="7"/>
                <w:szCs w:val="7"/>
                <w:color w:val="auto"/>
              </w:rPr>
            </w:pPr>
          </w:p>
        </w:tc>
        <w:tc>
          <w:tcPr>
            <w:tcW w:w="340" w:type="dxa"/>
            <w:vAlign w:val="bottom"/>
          </w:tcPr>
          <w:p>
            <w:pPr>
              <w:spacing w:after="0"/>
              <w:rPr>
                <w:sz w:val="7"/>
                <w:szCs w:val="7"/>
                <w:color w:val="auto"/>
              </w:rPr>
            </w:pPr>
          </w:p>
        </w:tc>
        <w:tc>
          <w:tcPr>
            <w:tcW w:w="220" w:type="dxa"/>
            <w:vAlign w:val="bottom"/>
          </w:tcPr>
          <w:p>
            <w:pPr>
              <w:spacing w:after="0"/>
              <w:rPr>
                <w:sz w:val="7"/>
                <w:szCs w:val="7"/>
                <w:color w:val="auto"/>
              </w:rPr>
            </w:pPr>
          </w:p>
        </w:tc>
        <w:tc>
          <w:tcPr>
            <w:tcW w:w="38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220" w:type="dxa"/>
            <w:vAlign w:val="bottom"/>
          </w:tcPr>
          <w:p>
            <w:pPr>
              <w:spacing w:after="0"/>
              <w:rPr>
                <w:sz w:val="7"/>
                <w:szCs w:val="7"/>
                <w:color w:val="auto"/>
              </w:rPr>
            </w:pPr>
          </w:p>
        </w:tc>
        <w:tc>
          <w:tcPr>
            <w:tcW w:w="38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gridSpan w:val="2"/>
          </w:tcPr>
          <w:p>
            <w:pPr>
              <w:jc w:val="center"/>
              <w:ind w:right="280"/>
              <w:spacing w:after="0"/>
              <w:rPr>
                <w:sz w:val="20"/>
                <w:szCs w:val="20"/>
                <w:color w:val="auto"/>
              </w:rPr>
            </w:pPr>
            <w:r>
              <w:rPr>
                <w:rFonts w:ascii="Arial" w:cs="Arial" w:eastAsia="Arial" w:hAnsi="Arial"/>
                <w:sz w:val="8"/>
                <w:szCs w:val="8"/>
                <w:b w:val="1"/>
                <w:bCs w:val="1"/>
                <w:color w:val="auto"/>
                <w:w w:val="86"/>
              </w:rPr>
              <w:t>Common</w:t>
            </w: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380" w:type="dxa"/>
            <w:vAlign w:val="bottom"/>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gridSpan w:val="3"/>
          </w:tcPr>
          <w:p>
            <w:pPr>
              <w:jc w:val="center"/>
              <w:ind w:right="220"/>
              <w:spacing w:after="0"/>
              <w:rPr>
                <w:sz w:val="20"/>
                <w:szCs w:val="20"/>
                <w:color w:val="auto"/>
              </w:rPr>
            </w:pPr>
            <w:r>
              <w:rPr>
                <w:rFonts w:ascii="Arial" w:cs="Arial" w:eastAsia="Arial" w:hAnsi="Arial"/>
                <w:sz w:val="8"/>
                <w:szCs w:val="8"/>
                <w:b w:val="1"/>
                <w:bCs w:val="1"/>
                <w:color w:val="auto"/>
                <w:w w:val="87"/>
              </w:rPr>
              <w:t>Accumulated</w:t>
            </w: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1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gridSpan w:val="3"/>
          </w:tcPr>
          <w:p>
            <w:pPr>
              <w:jc w:val="right"/>
              <w:ind w:right="14"/>
              <w:spacing w:after="0" w:line="90" w:lineRule="exact"/>
              <w:rPr>
                <w:sz w:val="20"/>
                <w:szCs w:val="20"/>
                <w:color w:val="auto"/>
              </w:rPr>
            </w:pPr>
            <w:r>
              <w:rPr>
                <w:rFonts w:ascii="Arial" w:cs="Arial" w:eastAsia="Arial" w:hAnsi="Arial"/>
                <w:sz w:val="8"/>
                <w:szCs w:val="8"/>
                <w:b w:val="1"/>
                <w:bCs w:val="1"/>
                <w:color w:val="auto"/>
              </w:rPr>
              <w:t>Common</w:t>
            </w:r>
          </w:p>
        </w:tc>
        <w:tc>
          <w:tcPr>
            <w:tcW w:w="34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0" w:type="dxa"/>
            <w:vAlign w:val="bottom"/>
            <w:gridSpan w:val="3"/>
          </w:tcPr>
          <w:p>
            <w:pPr>
              <w:ind w:left="220"/>
              <w:spacing w:after="0" w:line="90" w:lineRule="exact"/>
              <w:rPr>
                <w:sz w:val="20"/>
                <w:szCs w:val="20"/>
                <w:color w:val="auto"/>
              </w:rPr>
            </w:pPr>
            <w:r>
              <w:rPr>
                <w:rFonts w:ascii="Arial" w:cs="Arial" w:eastAsia="Arial" w:hAnsi="Arial"/>
                <w:sz w:val="8"/>
                <w:szCs w:val="8"/>
                <w:b w:val="1"/>
                <w:bCs w:val="1"/>
                <w:color w:val="auto"/>
              </w:rPr>
              <w:t>Preferred</w:t>
            </w:r>
          </w:p>
        </w:tc>
        <w:tc>
          <w:tcPr>
            <w:tcW w:w="160" w:type="dxa"/>
            <w:vAlign w:val="bottom"/>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gridSpan w:val="2"/>
          </w:tcPr>
          <w:p>
            <w:pPr>
              <w:jc w:val="right"/>
              <w:spacing w:after="0" w:line="90" w:lineRule="exact"/>
              <w:rPr>
                <w:sz w:val="20"/>
                <w:szCs w:val="20"/>
                <w:color w:val="auto"/>
              </w:rPr>
            </w:pPr>
            <w:r>
              <w:rPr>
                <w:rFonts w:ascii="Arial" w:cs="Arial" w:eastAsia="Arial" w:hAnsi="Arial"/>
                <w:sz w:val="8"/>
                <w:szCs w:val="8"/>
                <w:b w:val="1"/>
                <w:bCs w:val="1"/>
                <w:color w:val="auto"/>
              </w:rPr>
              <w:t>Series A</w:t>
            </w:r>
          </w:p>
        </w:tc>
        <w:tc>
          <w:tcPr>
            <w:tcW w:w="340" w:type="dxa"/>
            <w:vAlign w:val="bottom"/>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gridSpan w:val="3"/>
          </w:tcPr>
          <w:p>
            <w:pPr>
              <w:jc w:val="right"/>
              <w:spacing w:after="0" w:line="90" w:lineRule="exact"/>
              <w:rPr>
                <w:sz w:val="20"/>
                <w:szCs w:val="20"/>
                <w:color w:val="auto"/>
              </w:rPr>
            </w:pPr>
            <w:r>
              <w:rPr>
                <w:rFonts w:ascii="Arial" w:cs="Arial" w:eastAsia="Arial" w:hAnsi="Arial"/>
                <w:sz w:val="8"/>
                <w:szCs w:val="8"/>
                <w:b w:val="1"/>
                <w:bCs w:val="1"/>
                <w:color w:val="auto"/>
              </w:rPr>
              <w:t>Series B</w:t>
            </w:r>
          </w:p>
        </w:tc>
        <w:tc>
          <w:tcPr>
            <w:tcW w:w="340" w:type="dxa"/>
            <w:vAlign w:val="bottom"/>
          </w:tcPr>
          <w:p>
            <w:pPr>
              <w:spacing w:after="0"/>
              <w:rPr>
                <w:sz w:val="7"/>
                <w:szCs w:val="7"/>
                <w:color w:val="auto"/>
              </w:rPr>
            </w:pPr>
          </w:p>
        </w:tc>
        <w:tc>
          <w:tcPr>
            <w:tcW w:w="220" w:type="dxa"/>
            <w:vAlign w:val="bottom"/>
          </w:tcPr>
          <w:p>
            <w:pPr>
              <w:spacing w:after="0"/>
              <w:rPr>
                <w:sz w:val="7"/>
                <w:szCs w:val="7"/>
                <w:color w:val="auto"/>
              </w:rPr>
            </w:pPr>
          </w:p>
        </w:tc>
        <w:tc>
          <w:tcPr>
            <w:tcW w:w="680" w:type="dxa"/>
            <w:vAlign w:val="bottom"/>
            <w:gridSpan w:val="3"/>
          </w:tcPr>
          <w:p>
            <w:pPr>
              <w:jc w:val="right"/>
              <w:ind w:right="20"/>
              <w:spacing w:after="0" w:line="90" w:lineRule="exact"/>
              <w:rPr>
                <w:sz w:val="20"/>
                <w:szCs w:val="20"/>
                <w:color w:val="auto"/>
              </w:rPr>
            </w:pPr>
            <w:r>
              <w:rPr>
                <w:rFonts w:ascii="Arial" w:cs="Arial" w:eastAsia="Arial" w:hAnsi="Arial"/>
                <w:sz w:val="8"/>
                <w:szCs w:val="8"/>
                <w:b w:val="1"/>
                <w:bCs w:val="1"/>
                <w:color w:val="auto"/>
              </w:rPr>
              <w:t>Treasury</w:t>
            </w:r>
          </w:p>
        </w:tc>
        <w:tc>
          <w:tcPr>
            <w:tcW w:w="3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gridSpan w:val="2"/>
          </w:tcPr>
          <w:p>
            <w:pPr>
              <w:jc w:val="center"/>
              <w:ind w:right="280"/>
              <w:spacing w:after="0" w:line="90" w:lineRule="exact"/>
              <w:rPr>
                <w:sz w:val="20"/>
                <w:szCs w:val="20"/>
                <w:color w:val="auto"/>
              </w:rPr>
            </w:pPr>
            <w:r>
              <w:rPr>
                <w:rFonts w:ascii="Arial" w:cs="Arial" w:eastAsia="Arial" w:hAnsi="Arial"/>
                <w:sz w:val="8"/>
                <w:szCs w:val="8"/>
                <w:b w:val="1"/>
                <w:bCs w:val="1"/>
                <w:color w:val="auto"/>
                <w:w w:val="82"/>
              </w:rPr>
              <w:t>Stock</w:t>
            </w:r>
          </w:p>
        </w:tc>
        <w:tc>
          <w:tcPr>
            <w:tcW w:w="540" w:type="dxa"/>
            <w:vAlign w:val="bottom"/>
            <w:gridSpan w:val="3"/>
          </w:tcPr>
          <w:p>
            <w:pPr>
              <w:ind w:left="20"/>
              <w:spacing w:after="0" w:line="90" w:lineRule="exact"/>
              <w:rPr>
                <w:sz w:val="20"/>
                <w:szCs w:val="20"/>
                <w:color w:val="auto"/>
              </w:rPr>
            </w:pPr>
            <w:r>
              <w:rPr>
                <w:rFonts w:ascii="Arial" w:cs="Arial" w:eastAsia="Arial" w:hAnsi="Arial"/>
                <w:sz w:val="8"/>
                <w:szCs w:val="8"/>
                <w:b w:val="1"/>
                <w:bCs w:val="1"/>
                <w:color w:val="auto"/>
              </w:rPr>
              <w:t>Additional</w:t>
            </w:r>
          </w:p>
        </w:tc>
        <w:tc>
          <w:tcPr>
            <w:tcW w:w="160" w:type="dxa"/>
            <w:vAlign w:val="bottom"/>
          </w:tcPr>
          <w:p>
            <w:pPr>
              <w:spacing w:after="0"/>
              <w:rPr>
                <w:sz w:val="7"/>
                <w:szCs w:val="7"/>
                <w:color w:val="auto"/>
              </w:rPr>
            </w:pPr>
          </w:p>
        </w:tc>
        <w:tc>
          <w:tcPr>
            <w:tcW w:w="3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gridSpan w:val="2"/>
          </w:tcPr>
          <w:p>
            <w:pPr>
              <w:jc w:val="center"/>
              <w:ind w:right="320"/>
              <w:spacing w:after="0" w:line="90" w:lineRule="exact"/>
              <w:rPr>
                <w:sz w:val="20"/>
                <w:szCs w:val="20"/>
                <w:color w:val="auto"/>
              </w:rPr>
            </w:pPr>
            <w:r>
              <w:rPr>
                <w:rFonts w:ascii="Arial" w:cs="Arial" w:eastAsia="Arial" w:hAnsi="Arial"/>
                <w:sz w:val="8"/>
                <w:szCs w:val="8"/>
                <w:b w:val="1"/>
                <w:bCs w:val="1"/>
                <w:color w:val="auto"/>
                <w:w w:val="93"/>
              </w:rPr>
              <w:t>Other</w:t>
            </w:r>
          </w:p>
        </w:tc>
        <w:tc>
          <w:tcPr>
            <w:tcW w:w="80" w:type="dxa"/>
            <w:vAlign w:val="bottom"/>
          </w:tcPr>
          <w:p>
            <w:pPr>
              <w:spacing w:after="0"/>
              <w:rPr>
                <w:sz w:val="7"/>
                <w:szCs w:val="7"/>
                <w:color w:val="auto"/>
              </w:rPr>
            </w:pPr>
          </w:p>
        </w:tc>
        <w:tc>
          <w:tcPr>
            <w:tcW w:w="460" w:type="dxa"/>
            <w:vAlign w:val="bottom"/>
            <w:gridSpan w:val="2"/>
          </w:tcPr>
          <w:p>
            <w:pPr>
              <w:jc w:val="right"/>
              <w:ind w:right="220"/>
              <w:spacing w:after="0" w:line="90" w:lineRule="exact"/>
              <w:rPr>
                <w:sz w:val="20"/>
                <w:szCs w:val="20"/>
                <w:color w:val="auto"/>
              </w:rPr>
            </w:pPr>
            <w:r>
              <w:rPr>
                <w:rFonts w:ascii="Arial" w:cs="Arial" w:eastAsia="Arial" w:hAnsi="Arial"/>
                <w:sz w:val="8"/>
                <w:szCs w:val="8"/>
                <w:b w:val="1"/>
                <w:bCs w:val="1"/>
                <w:color w:val="auto"/>
              </w:rPr>
              <w:t>Total</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gridSpan w:val="2"/>
          </w:tcPr>
          <w:p>
            <w:pPr>
              <w:jc w:val="right"/>
              <w:ind w:right="74"/>
              <w:spacing w:after="0"/>
              <w:rPr>
                <w:sz w:val="20"/>
                <w:szCs w:val="20"/>
                <w:color w:val="auto"/>
              </w:rPr>
            </w:pPr>
            <w:r>
              <w:rPr>
                <w:rFonts w:ascii="Arial" w:cs="Arial" w:eastAsia="Arial" w:hAnsi="Arial"/>
                <w:sz w:val="8"/>
                <w:szCs w:val="8"/>
                <w:b w:val="1"/>
                <w:bCs w:val="1"/>
                <w:color w:val="auto"/>
                <w:w w:val="82"/>
              </w:rPr>
              <w:t>Stock</w:t>
            </w:r>
          </w:p>
        </w:tc>
        <w:tc>
          <w:tcPr>
            <w:tcW w:w="3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60" w:type="dxa"/>
            <w:vAlign w:val="bottom"/>
            <w:gridSpan w:val="2"/>
          </w:tcPr>
          <w:p>
            <w:pPr>
              <w:ind w:left="40"/>
              <w:spacing w:after="0"/>
              <w:rPr>
                <w:sz w:val="20"/>
                <w:szCs w:val="20"/>
                <w:color w:val="auto"/>
              </w:rPr>
            </w:pPr>
            <w:r>
              <w:rPr>
                <w:rFonts w:ascii="Arial" w:cs="Arial" w:eastAsia="Arial" w:hAnsi="Arial"/>
                <w:sz w:val="8"/>
                <w:szCs w:val="8"/>
                <w:b w:val="1"/>
                <w:bCs w:val="1"/>
                <w:color w:val="auto"/>
              </w:rPr>
              <w:t>Stock</w:t>
            </w: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gridSpan w:val="2"/>
          </w:tcPr>
          <w:p>
            <w:pPr>
              <w:jc w:val="right"/>
              <w:spacing w:after="0"/>
              <w:rPr>
                <w:sz w:val="20"/>
                <w:szCs w:val="20"/>
                <w:color w:val="auto"/>
              </w:rPr>
            </w:pPr>
            <w:r>
              <w:rPr>
                <w:rFonts w:ascii="Arial" w:cs="Arial" w:eastAsia="Arial" w:hAnsi="Arial"/>
                <w:sz w:val="8"/>
                <w:szCs w:val="8"/>
                <w:b w:val="1"/>
                <w:bCs w:val="1"/>
                <w:color w:val="auto"/>
              </w:rPr>
              <w:t>Preferred</w:t>
            </w: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gridSpan w:val="3"/>
          </w:tcPr>
          <w:p>
            <w:pPr>
              <w:jc w:val="right"/>
              <w:spacing w:after="0"/>
              <w:rPr>
                <w:sz w:val="20"/>
                <w:szCs w:val="20"/>
                <w:color w:val="auto"/>
              </w:rPr>
            </w:pPr>
            <w:r>
              <w:rPr>
                <w:rFonts w:ascii="Arial" w:cs="Arial" w:eastAsia="Arial" w:hAnsi="Arial"/>
                <w:sz w:val="8"/>
                <w:szCs w:val="8"/>
                <w:b w:val="1"/>
                <w:bCs w:val="1"/>
                <w:color w:val="auto"/>
              </w:rPr>
              <w:t>Preferred</w:t>
            </w: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gridSpan w:val="2"/>
          </w:tcPr>
          <w:p>
            <w:pPr>
              <w:jc w:val="right"/>
              <w:ind w:right="60"/>
              <w:spacing w:after="0"/>
              <w:rPr>
                <w:sz w:val="20"/>
                <w:szCs w:val="20"/>
                <w:color w:val="auto"/>
              </w:rPr>
            </w:pPr>
            <w:r>
              <w:rPr>
                <w:rFonts w:ascii="Arial" w:cs="Arial" w:eastAsia="Arial" w:hAnsi="Arial"/>
                <w:sz w:val="8"/>
                <w:szCs w:val="8"/>
                <w:b w:val="1"/>
                <w:bCs w:val="1"/>
                <w:color w:val="auto"/>
              </w:rPr>
              <w:t>Stock</w:t>
            </w: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gridSpan w:val="2"/>
          </w:tcPr>
          <w:p>
            <w:pPr>
              <w:jc w:val="center"/>
              <w:ind w:right="280"/>
              <w:spacing w:after="0"/>
              <w:rPr>
                <w:sz w:val="20"/>
                <w:szCs w:val="20"/>
                <w:color w:val="auto"/>
              </w:rPr>
            </w:pPr>
            <w:r>
              <w:rPr>
                <w:rFonts w:ascii="Arial" w:cs="Arial" w:eastAsia="Arial" w:hAnsi="Arial"/>
                <w:sz w:val="8"/>
                <w:szCs w:val="8"/>
                <w:b w:val="1"/>
                <w:bCs w:val="1"/>
                <w:color w:val="auto"/>
                <w:w w:val="89"/>
              </w:rPr>
              <w:t>Contingent</w:t>
            </w:r>
          </w:p>
        </w:tc>
        <w:tc>
          <w:tcPr>
            <w:tcW w:w="60" w:type="dxa"/>
            <w:vAlign w:val="bottom"/>
          </w:tcPr>
          <w:p>
            <w:pPr>
              <w:spacing w:after="0"/>
              <w:rPr>
                <w:sz w:val="8"/>
                <w:szCs w:val="8"/>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8"/>
                <w:szCs w:val="8"/>
                <w:b w:val="1"/>
                <w:bCs w:val="1"/>
                <w:color w:val="auto"/>
                <w:w w:val="89"/>
              </w:rPr>
              <w:t>Paid-in</w:t>
            </w:r>
          </w:p>
        </w:tc>
        <w:tc>
          <w:tcPr>
            <w:tcW w:w="760" w:type="dxa"/>
            <w:vAlign w:val="bottom"/>
            <w:gridSpan w:val="3"/>
          </w:tcPr>
          <w:p>
            <w:pPr>
              <w:ind w:left="100"/>
              <w:spacing w:after="0"/>
              <w:rPr>
                <w:sz w:val="20"/>
                <w:szCs w:val="20"/>
                <w:color w:val="auto"/>
              </w:rPr>
            </w:pPr>
            <w:r>
              <w:rPr>
                <w:rFonts w:ascii="Arial" w:cs="Arial" w:eastAsia="Arial" w:hAnsi="Arial"/>
                <w:sz w:val="8"/>
                <w:szCs w:val="8"/>
                <w:b w:val="1"/>
                <w:bCs w:val="1"/>
                <w:color w:val="auto"/>
              </w:rPr>
              <w:t>Accumulated</w:t>
            </w:r>
          </w:p>
        </w:tc>
        <w:tc>
          <w:tcPr>
            <w:tcW w:w="740" w:type="dxa"/>
            <w:vAlign w:val="bottom"/>
            <w:gridSpan w:val="3"/>
          </w:tcPr>
          <w:p>
            <w:pPr>
              <w:spacing w:after="0"/>
              <w:rPr>
                <w:sz w:val="20"/>
                <w:szCs w:val="20"/>
                <w:color w:val="auto"/>
              </w:rPr>
            </w:pPr>
            <w:r>
              <w:rPr>
                <w:rFonts w:ascii="Arial" w:cs="Arial" w:eastAsia="Arial" w:hAnsi="Arial"/>
                <w:sz w:val="8"/>
                <w:szCs w:val="8"/>
                <w:b w:val="1"/>
                <w:bCs w:val="1"/>
                <w:color w:val="auto"/>
              </w:rPr>
              <w:t>Comprehensive</w:t>
            </w:r>
          </w:p>
        </w:tc>
        <w:tc>
          <w:tcPr>
            <w:tcW w:w="540" w:type="dxa"/>
            <w:vAlign w:val="bottom"/>
            <w:gridSpan w:val="3"/>
          </w:tcPr>
          <w:p>
            <w:pPr>
              <w:spacing w:after="0"/>
              <w:rPr>
                <w:sz w:val="20"/>
                <w:szCs w:val="20"/>
                <w:color w:val="auto"/>
              </w:rPr>
            </w:pPr>
            <w:r>
              <w:rPr>
                <w:rFonts w:ascii="Arial" w:cs="Arial" w:eastAsia="Arial" w:hAnsi="Arial"/>
                <w:sz w:val="8"/>
                <w:szCs w:val="8"/>
                <w:b w:val="1"/>
                <w:bCs w:val="1"/>
                <w:color w:val="auto"/>
                <w:w w:val="98"/>
              </w:rPr>
              <w:t>Stockholders'</w:t>
            </w:r>
          </w:p>
        </w:tc>
        <w:tc>
          <w:tcPr>
            <w:tcW w:w="0" w:type="dxa"/>
            <w:vAlign w:val="bottom"/>
          </w:tcPr>
          <w:p>
            <w:pPr>
              <w:spacing w:after="0"/>
              <w:rPr>
                <w:sz w:val="1"/>
                <w:szCs w:val="1"/>
                <w:color w:val="auto"/>
              </w:rPr>
            </w:pPr>
          </w:p>
        </w:tc>
      </w:tr>
      <w:tr>
        <w:trPr>
          <w:trHeight w:val="107"/>
        </w:trPr>
        <w:tc>
          <w:tcPr>
            <w:tcW w:w="2240" w:type="dxa"/>
            <w:vAlign w:val="bottom"/>
            <w:gridSpan w:val="4"/>
          </w:tcPr>
          <w:p>
            <w:pPr>
              <w:spacing w:after="0" w:line="87" w:lineRule="exact"/>
              <w:rPr>
                <w:sz w:val="20"/>
                <w:szCs w:val="20"/>
                <w:color w:val="auto"/>
              </w:rPr>
            </w:pPr>
            <w:r>
              <w:rPr>
                <w:rFonts w:ascii="Arial" w:cs="Arial" w:eastAsia="Arial" w:hAnsi="Arial"/>
                <w:sz w:val="8"/>
                <w:szCs w:val="8"/>
                <w:b w:val="1"/>
                <w:bCs w:val="1"/>
                <w:color w:val="auto"/>
              </w:rPr>
              <w:t>(In thousands)</w:t>
            </w:r>
          </w:p>
        </w:tc>
        <w:tc>
          <w:tcPr>
            <w:tcW w:w="400" w:type="dxa"/>
            <w:vAlign w:val="bottom"/>
          </w:tcPr>
          <w:p>
            <w:pPr>
              <w:jc w:val="right"/>
              <w:ind w:right="58"/>
              <w:spacing w:after="0" w:line="87" w:lineRule="exact"/>
              <w:rPr>
                <w:sz w:val="20"/>
                <w:szCs w:val="20"/>
                <w:color w:val="auto"/>
              </w:rPr>
            </w:pPr>
            <w:r>
              <w:rPr>
                <w:rFonts w:ascii="Arial" w:cs="Arial" w:eastAsia="Arial" w:hAnsi="Arial"/>
                <w:sz w:val="8"/>
                <w:szCs w:val="8"/>
                <w:b w:val="1"/>
                <w:bCs w:val="1"/>
                <w:color w:val="auto"/>
              </w:rPr>
              <w:t>Shares</w:t>
            </w:r>
          </w:p>
        </w:tc>
        <w:tc>
          <w:tcPr>
            <w:tcW w:w="24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gridSpan w:val="2"/>
          </w:tcPr>
          <w:p>
            <w:pPr>
              <w:spacing w:after="0" w:line="87" w:lineRule="exact"/>
              <w:rPr>
                <w:sz w:val="20"/>
                <w:szCs w:val="20"/>
                <w:color w:val="auto"/>
              </w:rPr>
            </w:pPr>
            <w:r>
              <w:rPr>
                <w:rFonts w:ascii="Arial" w:cs="Arial" w:eastAsia="Arial" w:hAnsi="Arial"/>
                <w:sz w:val="8"/>
                <w:szCs w:val="8"/>
                <w:b w:val="1"/>
                <w:bCs w:val="1"/>
                <w:color w:val="auto"/>
              </w:rPr>
              <w:t>Amount</w:t>
            </w:r>
          </w:p>
        </w:tc>
        <w:tc>
          <w:tcPr>
            <w:tcW w:w="240" w:type="dxa"/>
            <w:vAlign w:val="bottom"/>
          </w:tcPr>
          <w:p>
            <w:pPr>
              <w:spacing w:after="0" w:line="87" w:lineRule="exact"/>
              <w:rPr>
                <w:sz w:val="20"/>
                <w:szCs w:val="20"/>
                <w:color w:val="auto"/>
              </w:rPr>
            </w:pPr>
            <w:r>
              <w:rPr>
                <w:rFonts w:ascii="Arial" w:cs="Arial" w:eastAsia="Arial" w:hAnsi="Arial"/>
                <w:sz w:val="8"/>
                <w:szCs w:val="8"/>
                <w:b w:val="1"/>
                <w:bCs w:val="1"/>
                <w:color w:val="auto"/>
                <w:w w:val="82"/>
              </w:rPr>
              <w:t>Shares</w:t>
            </w:r>
          </w:p>
        </w:tc>
        <w:tc>
          <w:tcPr>
            <w:tcW w:w="240" w:type="dxa"/>
            <w:vAlign w:val="bottom"/>
          </w:tcPr>
          <w:p>
            <w:pPr>
              <w:spacing w:after="0"/>
              <w:rPr>
                <w:sz w:val="9"/>
                <w:szCs w:val="9"/>
                <w:color w:val="auto"/>
              </w:rPr>
            </w:pPr>
          </w:p>
        </w:tc>
        <w:tc>
          <w:tcPr>
            <w:tcW w:w="500" w:type="dxa"/>
            <w:vAlign w:val="bottom"/>
            <w:gridSpan w:val="3"/>
          </w:tcPr>
          <w:p>
            <w:pPr>
              <w:spacing w:after="0" w:line="87" w:lineRule="exact"/>
              <w:rPr>
                <w:sz w:val="20"/>
                <w:szCs w:val="20"/>
                <w:color w:val="auto"/>
              </w:rPr>
            </w:pPr>
            <w:r>
              <w:rPr>
                <w:rFonts w:ascii="Arial" w:cs="Arial" w:eastAsia="Arial" w:hAnsi="Arial"/>
                <w:sz w:val="8"/>
                <w:szCs w:val="8"/>
                <w:b w:val="1"/>
                <w:bCs w:val="1"/>
                <w:color w:val="auto"/>
              </w:rPr>
              <w:t>Amount</w:t>
            </w:r>
          </w:p>
        </w:tc>
        <w:tc>
          <w:tcPr>
            <w:tcW w:w="380" w:type="dxa"/>
            <w:vAlign w:val="bottom"/>
          </w:tcPr>
          <w:p>
            <w:pPr>
              <w:jc w:val="right"/>
              <w:ind w:right="38"/>
              <w:spacing w:after="0" w:line="87" w:lineRule="exact"/>
              <w:rPr>
                <w:sz w:val="20"/>
                <w:szCs w:val="20"/>
                <w:color w:val="auto"/>
              </w:rPr>
            </w:pPr>
            <w:r>
              <w:rPr>
                <w:rFonts w:ascii="Arial" w:cs="Arial" w:eastAsia="Arial" w:hAnsi="Arial"/>
                <w:sz w:val="8"/>
                <w:szCs w:val="8"/>
                <w:b w:val="1"/>
                <w:bCs w:val="1"/>
                <w:color w:val="auto"/>
              </w:rPr>
              <w:t>Shares</w:t>
            </w:r>
          </w:p>
        </w:tc>
        <w:tc>
          <w:tcPr>
            <w:tcW w:w="280" w:type="dxa"/>
            <w:vAlign w:val="bottom"/>
          </w:tcPr>
          <w:p>
            <w:pPr>
              <w:spacing w:after="0"/>
              <w:rPr>
                <w:sz w:val="9"/>
                <w:szCs w:val="9"/>
                <w:color w:val="auto"/>
              </w:rPr>
            </w:pPr>
          </w:p>
        </w:tc>
        <w:tc>
          <w:tcPr>
            <w:tcW w:w="560" w:type="dxa"/>
            <w:vAlign w:val="bottom"/>
            <w:gridSpan w:val="2"/>
          </w:tcPr>
          <w:p>
            <w:pPr>
              <w:spacing w:after="0" w:line="87" w:lineRule="exact"/>
              <w:rPr>
                <w:sz w:val="20"/>
                <w:szCs w:val="20"/>
                <w:color w:val="auto"/>
              </w:rPr>
            </w:pPr>
            <w:r>
              <w:rPr>
                <w:rFonts w:ascii="Arial" w:cs="Arial" w:eastAsia="Arial" w:hAnsi="Arial"/>
                <w:sz w:val="8"/>
                <w:szCs w:val="8"/>
                <w:b w:val="1"/>
                <w:bCs w:val="1"/>
                <w:color w:val="auto"/>
              </w:rPr>
              <w:t>Amount</w:t>
            </w:r>
          </w:p>
        </w:tc>
        <w:tc>
          <w:tcPr>
            <w:tcW w:w="600" w:type="dxa"/>
            <w:vAlign w:val="bottom"/>
            <w:gridSpan w:val="2"/>
          </w:tcPr>
          <w:p>
            <w:pPr>
              <w:ind w:left="80"/>
              <w:spacing w:after="0" w:line="87" w:lineRule="exact"/>
              <w:rPr>
                <w:sz w:val="20"/>
                <w:szCs w:val="20"/>
                <w:color w:val="auto"/>
              </w:rPr>
            </w:pPr>
            <w:r>
              <w:rPr>
                <w:rFonts w:ascii="Arial" w:cs="Arial" w:eastAsia="Arial" w:hAnsi="Arial"/>
                <w:sz w:val="8"/>
                <w:szCs w:val="8"/>
                <w:b w:val="1"/>
                <w:bCs w:val="1"/>
                <w:color w:val="auto"/>
              </w:rPr>
              <w:t>Shares</w:t>
            </w:r>
          </w:p>
        </w:tc>
        <w:tc>
          <w:tcPr>
            <w:tcW w:w="60" w:type="dxa"/>
            <w:vAlign w:val="bottom"/>
          </w:tcPr>
          <w:p>
            <w:pPr>
              <w:spacing w:after="0"/>
              <w:rPr>
                <w:sz w:val="9"/>
                <w:szCs w:val="9"/>
                <w:color w:val="auto"/>
              </w:rPr>
            </w:pPr>
          </w:p>
        </w:tc>
        <w:tc>
          <w:tcPr>
            <w:tcW w:w="560" w:type="dxa"/>
            <w:vAlign w:val="bottom"/>
            <w:gridSpan w:val="2"/>
          </w:tcPr>
          <w:p>
            <w:pPr>
              <w:jc w:val="right"/>
              <w:ind w:right="280"/>
              <w:spacing w:after="0" w:line="87" w:lineRule="exact"/>
              <w:rPr>
                <w:sz w:val="20"/>
                <w:szCs w:val="20"/>
                <w:color w:val="auto"/>
              </w:rPr>
            </w:pPr>
            <w:r>
              <w:rPr>
                <w:rFonts w:ascii="Arial" w:cs="Arial" w:eastAsia="Arial" w:hAnsi="Arial"/>
                <w:sz w:val="8"/>
                <w:szCs w:val="8"/>
                <w:b w:val="1"/>
                <w:bCs w:val="1"/>
                <w:color w:val="auto"/>
                <w:w w:val="85"/>
              </w:rPr>
              <w:t>Amount</w:t>
            </w:r>
          </w:p>
        </w:tc>
        <w:tc>
          <w:tcPr>
            <w:tcW w:w="380" w:type="dxa"/>
            <w:vAlign w:val="bottom"/>
          </w:tcPr>
          <w:p>
            <w:pPr>
              <w:jc w:val="right"/>
              <w:ind w:right="38"/>
              <w:spacing w:after="0" w:line="87" w:lineRule="exact"/>
              <w:rPr>
                <w:sz w:val="20"/>
                <w:szCs w:val="20"/>
                <w:color w:val="auto"/>
              </w:rPr>
            </w:pPr>
            <w:r>
              <w:rPr>
                <w:rFonts w:ascii="Arial" w:cs="Arial" w:eastAsia="Arial" w:hAnsi="Arial"/>
                <w:sz w:val="8"/>
                <w:szCs w:val="8"/>
                <w:b w:val="1"/>
                <w:bCs w:val="1"/>
                <w:color w:val="auto"/>
              </w:rPr>
              <w:t>Shares</w:t>
            </w: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gridSpan w:val="2"/>
          </w:tcPr>
          <w:p>
            <w:pPr>
              <w:jc w:val="right"/>
              <w:ind w:right="200"/>
              <w:spacing w:after="0" w:line="87" w:lineRule="exact"/>
              <w:rPr>
                <w:sz w:val="20"/>
                <w:szCs w:val="20"/>
                <w:color w:val="auto"/>
              </w:rPr>
            </w:pPr>
            <w:r>
              <w:rPr>
                <w:rFonts w:ascii="Arial" w:cs="Arial" w:eastAsia="Arial" w:hAnsi="Arial"/>
                <w:sz w:val="8"/>
                <w:szCs w:val="8"/>
                <w:b w:val="1"/>
                <w:bCs w:val="1"/>
                <w:color w:val="auto"/>
                <w:w w:val="85"/>
              </w:rPr>
              <w:t>Amount</w:t>
            </w:r>
          </w:p>
        </w:tc>
        <w:tc>
          <w:tcPr>
            <w:tcW w:w="800" w:type="dxa"/>
            <w:vAlign w:val="bottom"/>
            <w:gridSpan w:val="3"/>
          </w:tcPr>
          <w:p>
            <w:pPr>
              <w:ind w:left="100"/>
              <w:spacing w:after="0" w:line="87" w:lineRule="exact"/>
              <w:rPr>
                <w:sz w:val="20"/>
                <w:szCs w:val="20"/>
                <w:color w:val="auto"/>
              </w:rPr>
            </w:pPr>
            <w:r>
              <w:rPr>
                <w:rFonts w:ascii="Arial" w:cs="Arial" w:eastAsia="Arial" w:hAnsi="Arial"/>
                <w:sz w:val="8"/>
                <w:szCs w:val="8"/>
                <w:b w:val="1"/>
                <w:bCs w:val="1"/>
                <w:color w:val="auto"/>
              </w:rPr>
              <w:t>Consideration</w:t>
            </w:r>
          </w:p>
        </w:tc>
        <w:tc>
          <w:tcPr>
            <w:tcW w:w="60" w:type="dxa"/>
            <w:vAlign w:val="bottom"/>
          </w:tcPr>
          <w:p>
            <w:pPr>
              <w:spacing w:after="0"/>
              <w:rPr>
                <w:sz w:val="9"/>
                <w:szCs w:val="9"/>
                <w:color w:val="auto"/>
              </w:rPr>
            </w:pPr>
          </w:p>
        </w:tc>
        <w:tc>
          <w:tcPr>
            <w:tcW w:w="480" w:type="dxa"/>
            <w:vAlign w:val="bottom"/>
            <w:gridSpan w:val="2"/>
          </w:tcPr>
          <w:p>
            <w:pPr>
              <w:jc w:val="right"/>
              <w:ind w:right="220"/>
              <w:spacing w:after="0" w:line="87" w:lineRule="exact"/>
              <w:rPr>
                <w:sz w:val="20"/>
                <w:szCs w:val="20"/>
                <w:color w:val="auto"/>
              </w:rPr>
            </w:pPr>
            <w:r>
              <w:rPr>
                <w:rFonts w:ascii="Arial" w:cs="Arial" w:eastAsia="Arial" w:hAnsi="Arial"/>
                <w:sz w:val="8"/>
                <w:szCs w:val="8"/>
                <w:b w:val="1"/>
                <w:bCs w:val="1"/>
                <w:color w:val="auto"/>
                <w:w w:val="89"/>
              </w:rPr>
              <w:t>Capital</w:t>
            </w:r>
          </w:p>
        </w:tc>
        <w:tc>
          <w:tcPr>
            <w:tcW w:w="160" w:type="dxa"/>
            <w:vAlign w:val="bottom"/>
          </w:tcPr>
          <w:p>
            <w:pPr>
              <w:spacing w:after="0"/>
              <w:rPr>
                <w:sz w:val="9"/>
                <w:szCs w:val="9"/>
                <w:color w:val="auto"/>
              </w:rPr>
            </w:pPr>
          </w:p>
        </w:tc>
        <w:tc>
          <w:tcPr>
            <w:tcW w:w="600" w:type="dxa"/>
            <w:vAlign w:val="bottom"/>
            <w:gridSpan w:val="2"/>
          </w:tcPr>
          <w:p>
            <w:pPr>
              <w:jc w:val="right"/>
              <w:ind w:right="340"/>
              <w:spacing w:after="0" w:line="87" w:lineRule="exact"/>
              <w:rPr>
                <w:sz w:val="20"/>
                <w:szCs w:val="20"/>
                <w:color w:val="auto"/>
              </w:rPr>
            </w:pPr>
            <w:r>
              <w:rPr>
                <w:rFonts w:ascii="Arial" w:cs="Arial" w:eastAsia="Arial" w:hAnsi="Arial"/>
                <w:sz w:val="8"/>
                <w:szCs w:val="8"/>
                <w:b w:val="1"/>
                <w:bCs w:val="1"/>
                <w:color w:val="auto"/>
                <w:w w:val="97"/>
              </w:rPr>
              <w:t>Deficit</w:t>
            </w:r>
          </w:p>
        </w:tc>
        <w:tc>
          <w:tcPr>
            <w:tcW w:w="100" w:type="dxa"/>
            <w:vAlign w:val="bottom"/>
          </w:tcPr>
          <w:p>
            <w:pPr>
              <w:spacing w:after="0"/>
              <w:rPr>
                <w:sz w:val="9"/>
                <w:szCs w:val="9"/>
                <w:color w:val="auto"/>
              </w:rPr>
            </w:pPr>
          </w:p>
        </w:tc>
        <w:tc>
          <w:tcPr>
            <w:tcW w:w="640" w:type="dxa"/>
            <w:vAlign w:val="bottom"/>
            <w:gridSpan w:val="2"/>
          </w:tcPr>
          <w:p>
            <w:pPr>
              <w:jc w:val="center"/>
              <w:ind w:right="340"/>
              <w:spacing w:after="0" w:line="87" w:lineRule="exact"/>
              <w:rPr>
                <w:sz w:val="20"/>
                <w:szCs w:val="20"/>
                <w:color w:val="auto"/>
              </w:rPr>
            </w:pPr>
            <w:r>
              <w:rPr>
                <w:rFonts w:ascii="Arial" w:cs="Arial" w:eastAsia="Arial" w:hAnsi="Arial"/>
                <w:sz w:val="8"/>
                <w:szCs w:val="8"/>
                <w:b w:val="1"/>
                <w:bCs w:val="1"/>
                <w:color w:val="auto"/>
                <w:w w:val="74"/>
              </w:rPr>
              <w:t>Loss</w:t>
            </w:r>
          </w:p>
        </w:tc>
        <w:tc>
          <w:tcPr>
            <w:tcW w:w="80" w:type="dxa"/>
            <w:vAlign w:val="bottom"/>
          </w:tcPr>
          <w:p>
            <w:pPr>
              <w:spacing w:after="0"/>
              <w:rPr>
                <w:sz w:val="9"/>
                <w:szCs w:val="9"/>
                <w:color w:val="auto"/>
              </w:rPr>
            </w:pPr>
          </w:p>
        </w:tc>
        <w:tc>
          <w:tcPr>
            <w:tcW w:w="460" w:type="dxa"/>
            <w:vAlign w:val="bottom"/>
            <w:gridSpan w:val="2"/>
          </w:tcPr>
          <w:p>
            <w:pPr>
              <w:jc w:val="right"/>
              <w:ind w:right="200"/>
              <w:spacing w:after="0" w:line="87" w:lineRule="exact"/>
              <w:rPr>
                <w:sz w:val="20"/>
                <w:szCs w:val="20"/>
                <w:color w:val="auto"/>
              </w:rPr>
            </w:pPr>
            <w:r>
              <w:rPr>
                <w:rFonts w:ascii="Arial" w:cs="Arial" w:eastAsia="Arial" w:hAnsi="Arial"/>
                <w:sz w:val="8"/>
                <w:szCs w:val="8"/>
                <w:b w:val="1"/>
                <w:bCs w:val="1"/>
                <w:color w:val="auto"/>
                <w:w w:val="97"/>
              </w:rPr>
              <w:t>Equity</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460" w:type="dxa"/>
            <w:vAlign w:val="bottom"/>
            <w:tcBorders>
              <w:top w:val="single" w:sz="8" w:color="auto"/>
            </w:tcBorders>
            <w:shd w:val="clear" w:color="auto" w:fill="CFF0FC"/>
          </w:tcPr>
          <w:p>
            <w:pPr>
              <w:spacing w:after="0" w:line="78" w:lineRule="exact"/>
              <w:rPr>
                <w:sz w:val="20"/>
                <w:szCs w:val="20"/>
                <w:color w:val="auto"/>
              </w:rPr>
            </w:pPr>
            <w:r>
              <w:rPr>
                <w:rFonts w:ascii="Arial" w:cs="Arial" w:eastAsia="Arial" w:hAnsi="Arial"/>
                <w:sz w:val="8"/>
                <w:szCs w:val="8"/>
                <w:b w:val="1"/>
                <w:bCs w:val="1"/>
                <w:i w:val="1"/>
                <w:iCs w:val="1"/>
                <w:color w:val="auto"/>
                <w:w w:val="91"/>
              </w:rPr>
              <w:t>Predecessor</w:t>
            </w:r>
          </w:p>
        </w:tc>
        <w:tc>
          <w:tcPr>
            <w:tcW w:w="1760" w:type="dxa"/>
            <w:vAlign w:val="bottom"/>
            <w:tcBorders>
              <w:top w:val="single" w:sz="8" w:color="CFF0FC"/>
            </w:tcBorders>
            <w:gridSpan w:val="2"/>
            <w:shd w:val="clear" w:color="auto" w:fill="CFF0FC"/>
          </w:tcPr>
          <w:p>
            <w:pPr>
              <w:spacing w:after="0"/>
              <w:rPr>
                <w:sz w:val="6"/>
                <w:szCs w:val="6"/>
                <w:color w:val="auto"/>
              </w:rPr>
            </w:pPr>
          </w:p>
        </w:tc>
        <w:tc>
          <w:tcPr>
            <w:tcW w:w="400" w:type="dxa"/>
            <w:vAlign w:val="bottom"/>
            <w:tcBorders>
              <w:top w:val="single" w:sz="8" w:color="auto"/>
            </w:tcBorders>
            <w:shd w:val="clear" w:color="auto" w:fill="CFF0FC"/>
          </w:tcPr>
          <w:p>
            <w:pPr>
              <w:spacing w:after="0"/>
              <w:rPr>
                <w:sz w:val="6"/>
                <w:szCs w:val="6"/>
                <w:color w:val="auto"/>
              </w:rPr>
            </w:pPr>
          </w:p>
        </w:tc>
        <w:tc>
          <w:tcPr>
            <w:tcW w:w="240" w:type="dxa"/>
            <w:vAlign w:val="bottom"/>
            <w:tcBorders>
              <w:top w:val="single" w:sz="8" w:color="CFF0FC"/>
            </w:tcBorders>
            <w:shd w:val="clear" w:color="auto" w:fill="CFF0FC"/>
          </w:tcPr>
          <w:p>
            <w:pPr>
              <w:spacing w:after="0"/>
              <w:rPr>
                <w:sz w:val="6"/>
                <w:szCs w:val="6"/>
                <w:color w:val="auto"/>
              </w:rPr>
            </w:pPr>
          </w:p>
        </w:tc>
        <w:tc>
          <w:tcPr>
            <w:tcW w:w="60" w:type="dxa"/>
            <w:vAlign w:val="bottom"/>
            <w:tcBorders>
              <w:top w:val="single" w:sz="8" w:color="auto"/>
            </w:tcBorders>
            <w:shd w:val="clear" w:color="auto" w:fill="CFF0FC"/>
          </w:tcPr>
          <w:p>
            <w:pPr>
              <w:spacing w:after="0"/>
              <w:rPr>
                <w:sz w:val="6"/>
                <w:szCs w:val="6"/>
                <w:color w:val="auto"/>
              </w:rPr>
            </w:pPr>
          </w:p>
        </w:tc>
        <w:tc>
          <w:tcPr>
            <w:tcW w:w="340" w:type="dxa"/>
            <w:vAlign w:val="bottom"/>
            <w:tcBorders>
              <w:top w:val="single" w:sz="8" w:color="auto"/>
            </w:tcBorders>
            <w:shd w:val="clear" w:color="auto" w:fill="CFF0FC"/>
          </w:tcPr>
          <w:p>
            <w:pPr>
              <w:spacing w:after="0"/>
              <w:rPr>
                <w:sz w:val="6"/>
                <w:szCs w:val="6"/>
                <w:color w:val="auto"/>
              </w:rPr>
            </w:pPr>
          </w:p>
        </w:tc>
        <w:tc>
          <w:tcPr>
            <w:tcW w:w="240" w:type="dxa"/>
            <w:vAlign w:val="bottom"/>
            <w:tcBorders>
              <w:top w:val="single" w:sz="8" w:color="CFF0FC"/>
            </w:tcBorders>
            <w:shd w:val="clear" w:color="auto" w:fill="CFF0FC"/>
          </w:tcPr>
          <w:p>
            <w:pPr>
              <w:spacing w:after="0"/>
              <w:rPr>
                <w:sz w:val="6"/>
                <w:szCs w:val="6"/>
                <w:color w:val="auto"/>
              </w:rPr>
            </w:pPr>
          </w:p>
        </w:tc>
        <w:tc>
          <w:tcPr>
            <w:tcW w:w="240" w:type="dxa"/>
            <w:vAlign w:val="bottom"/>
            <w:tcBorders>
              <w:top w:val="single" w:sz="8" w:color="auto"/>
            </w:tcBorders>
            <w:shd w:val="clear" w:color="auto" w:fill="CFF0FC"/>
          </w:tcPr>
          <w:p>
            <w:pPr>
              <w:spacing w:after="0"/>
              <w:rPr>
                <w:sz w:val="6"/>
                <w:szCs w:val="6"/>
                <w:color w:val="auto"/>
              </w:rPr>
            </w:pPr>
          </w:p>
        </w:tc>
        <w:tc>
          <w:tcPr>
            <w:tcW w:w="240" w:type="dxa"/>
            <w:vAlign w:val="bottom"/>
            <w:tcBorders>
              <w:top w:val="single" w:sz="8" w:color="CFF0FC"/>
            </w:tcBorders>
            <w:shd w:val="clear" w:color="auto" w:fill="CFF0FC"/>
          </w:tcPr>
          <w:p>
            <w:pPr>
              <w:spacing w:after="0"/>
              <w:rPr>
                <w:sz w:val="6"/>
                <w:szCs w:val="6"/>
                <w:color w:val="auto"/>
              </w:rPr>
            </w:pPr>
          </w:p>
        </w:tc>
        <w:tc>
          <w:tcPr>
            <w:tcW w:w="120" w:type="dxa"/>
            <w:vAlign w:val="bottom"/>
            <w:tcBorders>
              <w:top w:val="single" w:sz="8" w:color="auto"/>
            </w:tcBorders>
            <w:shd w:val="clear" w:color="auto" w:fill="CFF0FC"/>
          </w:tcPr>
          <w:p>
            <w:pPr>
              <w:spacing w:after="0"/>
              <w:rPr>
                <w:sz w:val="6"/>
                <w:szCs w:val="6"/>
                <w:color w:val="auto"/>
              </w:rPr>
            </w:pPr>
          </w:p>
        </w:tc>
        <w:tc>
          <w:tcPr>
            <w:tcW w:w="160" w:type="dxa"/>
            <w:vAlign w:val="bottom"/>
            <w:tcBorders>
              <w:top w:val="single" w:sz="8" w:color="auto"/>
            </w:tcBorders>
            <w:shd w:val="clear" w:color="auto" w:fill="CFF0FC"/>
          </w:tcPr>
          <w:p>
            <w:pPr>
              <w:spacing w:after="0"/>
              <w:rPr>
                <w:sz w:val="6"/>
                <w:szCs w:val="6"/>
                <w:color w:val="auto"/>
              </w:rPr>
            </w:pPr>
          </w:p>
        </w:tc>
        <w:tc>
          <w:tcPr>
            <w:tcW w:w="220" w:type="dxa"/>
            <w:vAlign w:val="bottom"/>
            <w:tcBorders>
              <w:top w:val="single" w:sz="8" w:color="CFF0FC"/>
            </w:tcBorders>
            <w:shd w:val="clear" w:color="auto" w:fill="CFF0FC"/>
          </w:tcPr>
          <w:p>
            <w:pPr>
              <w:spacing w:after="0"/>
              <w:rPr>
                <w:sz w:val="6"/>
                <w:szCs w:val="6"/>
                <w:color w:val="auto"/>
              </w:rPr>
            </w:pPr>
          </w:p>
        </w:tc>
        <w:tc>
          <w:tcPr>
            <w:tcW w:w="380" w:type="dxa"/>
            <w:vAlign w:val="bottom"/>
            <w:tcBorders>
              <w:top w:val="single" w:sz="8" w:color="auto"/>
            </w:tcBorders>
            <w:shd w:val="clear" w:color="auto" w:fill="CFF0FC"/>
          </w:tcPr>
          <w:p>
            <w:pPr>
              <w:spacing w:after="0"/>
              <w:rPr>
                <w:sz w:val="6"/>
                <w:szCs w:val="6"/>
                <w:color w:val="auto"/>
              </w:rPr>
            </w:pPr>
          </w:p>
        </w:tc>
        <w:tc>
          <w:tcPr>
            <w:tcW w:w="280" w:type="dxa"/>
            <w:vAlign w:val="bottom"/>
            <w:tcBorders>
              <w:top w:val="single" w:sz="8" w:color="CFF0FC"/>
              <w:right w:val="single" w:sz="8" w:color="CFF0FC"/>
            </w:tcBorders>
            <w:shd w:val="clear" w:color="auto" w:fill="CFF0FC"/>
          </w:tcPr>
          <w:p>
            <w:pPr>
              <w:spacing w:after="0"/>
              <w:rPr>
                <w:sz w:val="6"/>
                <w:szCs w:val="6"/>
                <w:color w:val="auto"/>
              </w:rPr>
            </w:pPr>
          </w:p>
        </w:tc>
        <w:tc>
          <w:tcPr>
            <w:tcW w:w="340" w:type="dxa"/>
            <w:vAlign w:val="bottom"/>
            <w:tcBorders>
              <w:top w:val="single" w:sz="8" w:color="auto"/>
            </w:tcBorders>
            <w:shd w:val="clear" w:color="auto" w:fill="CFF0FC"/>
          </w:tcPr>
          <w:p>
            <w:pPr>
              <w:spacing w:after="0"/>
              <w:rPr>
                <w:sz w:val="6"/>
                <w:szCs w:val="6"/>
                <w:color w:val="auto"/>
              </w:rPr>
            </w:pPr>
          </w:p>
        </w:tc>
        <w:tc>
          <w:tcPr>
            <w:tcW w:w="220" w:type="dxa"/>
            <w:vAlign w:val="bottom"/>
            <w:tcBorders>
              <w:top w:val="single" w:sz="8" w:color="CFF0FC"/>
            </w:tcBorders>
            <w:shd w:val="clear" w:color="auto" w:fill="CFF0FC"/>
          </w:tcPr>
          <w:p>
            <w:pPr>
              <w:spacing w:after="0"/>
              <w:rPr>
                <w:sz w:val="6"/>
                <w:szCs w:val="6"/>
                <w:color w:val="auto"/>
              </w:rPr>
            </w:pPr>
          </w:p>
        </w:tc>
        <w:tc>
          <w:tcPr>
            <w:tcW w:w="380" w:type="dxa"/>
            <w:vAlign w:val="bottom"/>
            <w:tcBorders>
              <w:top w:val="single" w:sz="8" w:color="auto"/>
            </w:tcBorders>
            <w:shd w:val="clear" w:color="auto" w:fill="CFF0FC"/>
          </w:tcPr>
          <w:p>
            <w:pPr>
              <w:spacing w:after="0"/>
              <w:rPr>
                <w:sz w:val="6"/>
                <w:szCs w:val="6"/>
                <w:color w:val="auto"/>
              </w:rPr>
            </w:pPr>
          </w:p>
        </w:tc>
        <w:tc>
          <w:tcPr>
            <w:tcW w:w="220" w:type="dxa"/>
            <w:vAlign w:val="bottom"/>
            <w:tcBorders>
              <w:top w:val="single" w:sz="8" w:color="CFF0FC"/>
            </w:tcBorders>
            <w:shd w:val="clear" w:color="auto" w:fill="CFF0FC"/>
          </w:tcPr>
          <w:p>
            <w:pPr>
              <w:spacing w:after="0"/>
              <w:rPr>
                <w:sz w:val="6"/>
                <w:szCs w:val="6"/>
                <w:color w:val="auto"/>
              </w:rPr>
            </w:pPr>
          </w:p>
        </w:tc>
        <w:tc>
          <w:tcPr>
            <w:tcW w:w="60" w:type="dxa"/>
            <w:vAlign w:val="bottom"/>
            <w:tcBorders>
              <w:top w:val="single" w:sz="8" w:color="auto"/>
            </w:tcBorders>
            <w:shd w:val="clear" w:color="auto" w:fill="CFF0FC"/>
          </w:tcPr>
          <w:p>
            <w:pPr>
              <w:spacing w:after="0"/>
              <w:rPr>
                <w:sz w:val="6"/>
                <w:szCs w:val="6"/>
                <w:color w:val="auto"/>
              </w:rPr>
            </w:pPr>
          </w:p>
        </w:tc>
        <w:tc>
          <w:tcPr>
            <w:tcW w:w="340" w:type="dxa"/>
            <w:vAlign w:val="bottom"/>
            <w:tcBorders>
              <w:top w:val="single" w:sz="8" w:color="auto"/>
            </w:tcBorders>
            <w:shd w:val="clear" w:color="auto" w:fill="CFF0FC"/>
          </w:tcPr>
          <w:p>
            <w:pPr>
              <w:spacing w:after="0"/>
              <w:rPr>
                <w:sz w:val="6"/>
                <w:szCs w:val="6"/>
                <w:color w:val="auto"/>
              </w:rPr>
            </w:pPr>
          </w:p>
        </w:tc>
        <w:tc>
          <w:tcPr>
            <w:tcW w:w="220" w:type="dxa"/>
            <w:vAlign w:val="bottom"/>
            <w:tcBorders>
              <w:top w:val="single" w:sz="8" w:color="CFF0FC"/>
            </w:tcBorders>
            <w:shd w:val="clear" w:color="auto" w:fill="CFF0FC"/>
          </w:tcPr>
          <w:p>
            <w:pPr>
              <w:spacing w:after="0"/>
              <w:rPr>
                <w:sz w:val="6"/>
                <w:szCs w:val="6"/>
                <w:color w:val="auto"/>
              </w:rPr>
            </w:pPr>
          </w:p>
        </w:tc>
        <w:tc>
          <w:tcPr>
            <w:tcW w:w="380" w:type="dxa"/>
            <w:vAlign w:val="bottom"/>
            <w:tcBorders>
              <w:top w:val="single" w:sz="8" w:color="auto"/>
            </w:tcBorders>
            <w:shd w:val="clear" w:color="auto" w:fill="CFF0FC"/>
          </w:tcPr>
          <w:p>
            <w:pPr>
              <w:spacing w:after="0"/>
              <w:rPr>
                <w:sz w:val="6"/>
                <w:szCs w:val="6"/>
                <w:color w:val="auto"/>
              </w:rPr>
            </w:pPr>
          </w:p>
        </w:tc>
        <w:tc>
          <w:tcPr>
            <w:tcW w:w="220" w:type="dxa"/>
            <w:vAlign w:val="bottom"/>
            <w:tcBorders>
              <w:top w:val="single" w:sz="8" w:color="CFF0FC"/>
            </w:tcBorders>
            <w:shd w:val="clear" w:color="auto" w:fill="CFF0FC"/>
          </w:tcPr>
          <w:p>
            <w:pPr>
              <w:spacing w:after="0"/>
              <w:rPr>
                <w:sz w:val="6"/>
                <w:szCs w:val="6"/>
                <w:color w:val="auto"/>
              </w:rPr>
            </w:pPr>
          </w:p>
        </w:tc>
        <w:tc>
          <w:tcPr>
            <w:tcW w:w="80" w:type="dxa"/>
            <w:vAlign w:val="bottom"/>
            <w:tcBorders>
              <w:top w:val="single" w:sz="8" w:color="auto"/>
            </w:tcBorders>
            <w:shd w:val="clear" w:color="auto" w:fill="CFF0FC"/>
          </w:tcPr>
          <w:p>
            <w:pPr>
              <w:spacing w:after="0"/>
              <w:rPr>
                <w:sz w:val="6"/>
                <w:szCs w:val="6"/>
                <w:color w:val="auto"/>
              </w:rPr>
            </w:pPr>
          </w:p>
        </w:tc>
        <w:tc>
          <w:tcPr>
            <w:tcW w:w="360" w:type="dxa"/>
            <w:vAlign w:val="bottom"/>
            <w:tcBorders>
              <w:top w:val="single" w:sz="8" w:color="auto"/>
            </w:tcBorders>
            <w:shd w:val="clear" w:color="auto" w:fill="CFF0FC"/>
          </w:tcPr>
          <w:p>
            <w:pPr>
              <w:spacing w:after="0"/>
              <w:rPr>
                <w:sz w:val="6"/>
                <w:szCs w:val="6"/>
                <w:color w:val="auto"/>
              </w:rPr>
            </w:pPr>
          </w:p>
        </w:tc>
        <w:tc>
          <w:tcPr>
            <w:tcW w:w="120" w:type="dxa"/>
            <w:vAlign w:val="bottom"/>
            <w:tcBorders>
              <w:top w:val="single" w:sz="8" w:color="CFF0FC"/>
            </w:tcBorders>
            <w:shd w:val="clear" w:color="auto" w:fill="CFF0FC"/>
          </w:tcPr>
          <w:p>
            <w:pPr>
              <w:spacing w:after="0"/>
              <w:rPr>
                <w:sz w:val="6"/>
                <w:szCs w:val="6"/>
                <w:color w:val="auto"/>
              </w:rPr>
            </w:pPr>
          </w:p>
        </w:tc>
        <w:tc>
          <w:tcPr>
            <w:tcW w:w="140" w:type="dxa"/>
            <w:vAlign w:val="bottom"/>
            <w:tcBorders>
              <w:top w:val="single" w:sz="8" w:color="CFF0FC"/>
              <w:right w:val="single" w:sz="8" w:color="CFF0FC"/>
            </w:tcBorders>
            <w:shd w:val="clear" w:color="auto" w:fill="CFF0FC"/>
          </w:tcPr>
          <w:p>
            <w:pPr>
              <w:spacing w:after="0"/>
              <w:rPr>
                <w:sz w:val="6"/>
                <w:szCs w:val="6"/>
                <w:color w:val="auto"/>
              </w:rPr>
            </w:pPr>
          </w:p>
        </w:tc>
        <w:tc>
          <w:tcPr>
            <w:tcW w:w="440" w:type="dxa"/>
            <w:vAlign w:val="bottom"/>
            <w:tcBorders>
              <w:top w:val="single" w:sz="8" w:color="auto"/>
            </w:tcBorders>
            <w:shd w:val="clear" w:color="auto" w:fill="CFF0FC"/>
          </w:tcPr>
          <w:p>
            <w:pPr>
              <w:spacing w:after="0"/>
              <w:rPr>
                <w:sz w:val="6"/>
                <w:szCs w:val="6"/>
                <w:color w:val="auto"/>
              </w:rPr>
            </w:pPr>
          </w:p>
        </w:tc>
        <w:tc>
          <w:tcPr>
            <w:tcW w:w="220" w:type="dxa"/>
            <w:vAlign w:val="bottom"/>
            <w:tcBorders>
              <w:top w:val="single" w:sz="8" w:color="CFF0FC"/>
            </w:tcBorders>
            <w:shd w:val="clear" w:color="auto" w:fill="CFF0FC"/>
          </w:tcPr>
          <w:p>
            <w:pPr>
              <w:spacing w:after="0"/>
              <w:rPr>
                <w:sz w:val="6"/>
                <w:szCs w:val="6"/>
                <w:color w:val="auto"/>
              </w:rPr>
            </w:pPr>
          </w:p>
        </w:tc>
        <w:tc>
          <w:tcPr>
            <w:tcW w:w="60" w:type="dxa"/>
            <w:vAlign w:val="bottom"/>
            <w:tcBorders>
              <w:top w:val="single" w:sz="8" w:color="auto"/>
            </w:tcBorders>
            <w:shd w:val="clear" w:color="auto" w:fill="CFF0FC"/>
          </w:tcPr>
          <w:p>
            <w:pPr>
              <w:spacing w:after="0"/>
              <w:rPr>
                <w:sz w:val="6"/>
                <w:szCs w:val="6"/>
                <w:color w:val="auto"/>
              </w:rPr>
            </w:pPr>
          </w:p>
        </w:tc>
        <w:tc>
          <w:tcPr>
            <w:tcW w:w="360" w:type="dxa"/>
            <w:vAlign w:val="bottom"/>
            <w:tcBorders>
              <w:top w:val="single" w:sz="8" w:color="auto"/>
            </w:tcBorders>
            <w:shd w:val="clear" w:color="auto" w:fill="CFF0FC"/>
          </w:tcPr>
          <w:p>
            <w:pPr>
              <w:spacing w:after="0"/>
              <w:rPr>
                <w:sz w:val="6"/>
                <w:szCs w:val="6"/>
                <w:color w:val="auto"/>
              </w:rPr>
            </w:pPr>
          </w:p>
        </w:tc>
        <w:tc>
          <w:tcPr>
            <w:tcW w:w="120" w:type="dxa"/>
            <w:vAlign w:val="bottom"/>
            <w:tcBorders>
              <w:top w:val="single" w:sz="8" w:color="CFF0FC"/>
            </w:tcBorders>
            <w:shd w:val="clear" w:color="auto" w:fill="CFF0FC"/>
          </w:tcPr>
          <w:p>
            <w:pPr>
              <w:spacing w:after="0"/>
              <w:rPr>
                <w:sz w:val="6"/>
                <w:szCs w:val="6"/>
                <w:color w:val="auto"/>
              </w:rPr>
            </w:pPr>
          </w:p>
        </w:tc>
        <w:tc>
          <w:tcPr>
            <w:tcW w:w="160" w:type="dxa"/>
            <w:vAlign w:val="bottom"/>
            <w:tcBorders>
              <w:top w:val="single" w:sz="8" w:color="CFF0FC"/>
              <w:right w:val="single" w:sz="8" w:color="CFF0FC"/>
            </w:tcBorders>
            <w:shd w:val="clear" w:color="auto" w:fill="CFF0FC"/>
          </w:tcPr>
          <w:p>
            <w:pPr>
              <w:spacing w:after="0"/>
              <w:rPr>
                <w:sz w:val="6"/>
                <w:szCs w:val="6"/>
                <w:color w:val="auto"/>
              </w:rPr>
            </w:pPr>
          </w:p>
        </w:tc>
        <w:tc>
          <w:tcPr>
            <w:tcW w:w="380" w:type="dxa"/>
            <w:vAlign w:val="bottom"/>
            <w:tcBorders>
              <w:top w:val="single" w:sz="8" w:color="auto"/>
            </w:tcBorders>
            <w:shd w:val="clear" w:color="auto" w:fill="CFF0FC"/>
          </w:tcPr>
          <w:p>
            <w:pPr>
              <w:spacing w:after="0"/>
              <w:rPr>
                <w:sz w:val="6"/>
                <w:szCs w:val="6"/>
                <w:color w:val="auto"/>
              </w:rPr>
            </w:pPr>
          </w:p>
        </w:tc>
        <w:tc>
          <w:tcPr>
            <w:tcW w:w="220" w:type="dxa"/>
            <w:vAlign w:val="bottom"/>
            <w:tcBorders>
              <w:top w:val="single" w:sz="8" w:color="CFF0FC"/>
            </w:tcBorders>
            <w:shd w:val="clear" w:color="auto" w:fill="CFF0FC"/>
          </w:tcPr>
          <w:p>
            <w:pPr>
              <w:spacing w:after="0"/>
              <w:rPr>
                <w:sz w:val="6"/>
                <w:szCs w:val="6"/>
                <w:color w:val="auto"/>
              </w:rPr>
            </w:pPr>
          </w:p>
        </w:tc>
        <w:tc>
          <w:tcPr>
            <w:tcW w:w="100" w:type="dxa"/>
            <w:vAlign w:val="bottom"/>
            <w:tcBorders>
              <w:top w:val="single" w:sz="8" w:color="auto"/>
            </w:tcBorders>
            <w:shd w:val="clear" w:color="auto" w:fill="CFF0FC"/>
          </w:tcPr>
          <w:p>
            <w:pPr>
              <w:spacing w:after="0"/>
              <w:rPr>
                <w:sz w:val="6"/>
                <w:szCs w:val="6"/>
                <w:color w:val="auto"/>
              </w:rPr>
            </w:pPr>
          </w:p>
        </w:tc>
        <w:tc>
          <w:tcPr>
            <w:tcW w:w="420" w:type="dxa"/>
            <w:vAlign w:val="bottom"/>
            <w:tcBorders>
              <w:top w:val="single" w:sz="8" w:color="auto"/>
            </w:tcBorders>
            <w:shd w:val="clear" w:color="auto" w:fill="CFF0FC"/>
          </w:tcPr>
          <w:p>
            <w:pPr>
              <w:spacing w:after="0"/>
              <w:rPr>
                <w:sz w:val="6"/>
                <w:szCs w:val="6"/>
                <w:color w:val="auto"/>
              </w:rPr>
            </w:pPr>
          </w:p>
        </w:tc>
        <w:tc>
          <w:tcPr>
            <w:tcW w:w="220" w:type="dxa"/>
            <w:vAlign w:val="bottom"/>
            <w:tcBorders>
              <w:top w:val="single" w:sz="8" w:color="CFF0FC"/>
            </w:tcBorders>
            <w:shd w:val="clear" w:color="auto" w:fill="CFF0FC"/>
          </w:tcPr>
          <w:p>
            <w:pPr>
              <w:spacing w:after="0"/>
              <w:rPr>
                <w:sz w:val="6"/>
                <w:szCs w:val="6"/>
                <w:color w:val="auto"/>
              </w:rPr>
            </w:pPr>
          </w:p>
        </w:tc>
        <w:tc>
          <w:tcPr>
            <w:tcW w:w="80" w:type="dxa"/>
            <w:vAlign w:val="bottom"/>
            <w:tcBorders>
              <w:top w:val="single" w:sz="8" w:color="auto"/>
            </w:tcBorders>
            <w:shd w:val="clear" w:color="auto" w:fill="CFF0FC"/>
          </w:tcPr>
          <w:p>
            <w:pPr>
              <w:spacing w:after="0"/>
              <w:rPr>
                <w:sz w:val="6"/>
                <w:szCs w:val="6"/>
                <w:color w:val="auto"/>
              </w:rPr>
            </w:pPr>
          </w:p>
        </w:tc>
        <w:tc>
          <w:tcPr>
            <w:tcW w:w="400" w:type="dxa"/>
            <w:vAlign w:val="bottom"/>
            <w:tcBorders>
              <w:top w:val="single" w:sz="8" w:color="auto"/>
            </w:tcBorders>
            <w:shd w:val="clear" w:color="auto" w:fill="CFF0FC"/>
          </w:tcPr>
          <w:p>
            <w:pPr>
              <w:spacing w:after="0"/>
              <w:rPr>
                <w:sz w:val="6"/>
                <w:szCs w:val="6"/>
                <w:color w:val="auto"/>
              </w:rPr>
            </w:pPr>
          </w:p>
        </w:tc>
        <w:tc>
          <w:tcPr>
            <w:tcW w:w="60" w:type="dxa"/>
            <w:vAlign w:val="bottom"/>
            <w:tcBorders>
              <w:top w:val="single" w:sz="8" w:color="CFF0FC"/>
            </w:tcBorders>
            <w:shd w:val="clear" w:color="auto" w:fill="CFF0FC"/>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2100" w:type="dxa"/>
            <w:vAlign w:val="bottom"/>
            <w:tcBorders>
              <w:top w:val="single" w:sz="8" w:color="auto"/>
            </w:tcBorders>
            <w:gridSpan w:val="2"/>
          </w:tcPr>
          <w:p>
            <w:pPr>
              <w:spacing w:after="0" w:line="88" w:lineRule="exact"/>
              <w:rPr>
                <w:sz w:val="20"/>
                <w:szCs w:val="20"/>
                <w:color w:val="auto"/>
              </w:rPr>
            </w:pPr>
            <w:r>
              <w:rPr>
                <w:rFonts w:ascii="Arial" w:cs="Arial" w:eastAsia="Arial" w:hAnsi="Arial"/>
                <w:sz w:val="8"/>
                <w:szCs w:val="8"/>
                <w:b w:val="1"/>
                <w:bCs w:val="1"/>
                <w:color w:val="auto"/>
              </w:rPr>
              <w:t>Balance as of December 31, 2016</w:t>
            </w:r>
          </w:p>
        </w:tc>
        <w:tc>
          <w:tcPr>
            <w:tcW w:w="120" w:type="dxa"/>
            <w:vAlign w:val="bottom"/>
          </w:tcPr>
          <w:p>
            <w:pPr>
              <w:spacing w:after="0"/>
              <w:rPr>
                <w:sz w:val="7"/>
                <w:szCs w:val="7"/>
                <w:color w:val="auto"/>
              </w:rPr>
            </w:pPr>
          </w:p>
        </w:tc>
        <w:tc>
          <w:tcPr>
            <w:tcW w:w="400" w:type="dxa"/>
            <w:vAlign w:val="bottom"/>
          </w:tcPr>
          <w:p>
            <w:pPr>
              <w:jc w:val="right"/>
              <w:spacing w:after="0" w:line="88" w:lineRule="exact"/>
              <w:rPr>
                <w:sz w:val="20"/>
                <w:szCs w:val="20"/>
                <w:color w:val="auto"/>
              </w:rPr>
            </w:pPr>
            <w:r>
              <w:rPr>
                <w:rFonts w:ascii="Arial" w:cs="Arial" w:eastAsia="Arial" w:hAnsi="Arial"/>
                <w:sz w:val="8"/>
                <w:szCs w:val="8"/>
                <w:color w:val="auto"/>
              </w:rPr>
              <w:t>87,626</w:t>
            </w:r>
          </w:p>
        </w:tc>
        <w:tc>
          <w:tcPr>
            <w:tcW w:w="300" w:type="dxa"/>
            <w:vAlign w:val="bottom"/>
            <w:gridSpan w:val="2"/>
          </w:tcPr>
          <w:p>
            <w:pPr>
              <w:jc w:val="right"/>
              <w:spacing w:after="0" w:line="88" w:lineRule="exact"/>
              <w:rPr>
                <w:sz w:val="20"/>
                <w:szCs w:val="20"/>
                <w:color w:val="auto"/>
              </w:rPr>
            </w:pPr>
            <w:r>
              <w:rPr>
                <w:rFonts w:ascii="Arial" w:cs="Arial" w:eastAsia="Arial" w:hAnsi="Arial"/>
                <w:sz w:val="8"/>
                <w:szCs w:val="8"/>
                <w:color w:val="auto"/>
              </w:rPr>
              <w:t>$</w:t>
            </w:r>
          </w:p>
        </w:tc>
        <w:tc>
          <w:tcPr>
            <w:tcW w:w="340" w:type="dxa"/>
            <w:vAlign w:val="bottom"/>
          </w:tcPr>
          <w:p>
            <w:pPr>
              <w:jc w:val="right"/>
              <w:spacing w:after="0" w:line="88" w:lineRule="exact"/>
              <w:rPr>
                <w:sz w:val="20"/>
                <w:szCs w:val="20"/>
                <w:color w:val="auto"/>
              </w:rPr>
            </w:pPr>
            <w:r>
              <w:rPr>
                <w:rFonts w:ascii="Arial" w:cs="Arial" w:eastAsia="Arial" w:hAnsi="Arial"/>
                <w:sz w:val="8"/>
                <w:szCs w:val="8"/>
                <w:color w:val="auto"/>
              </w:rPr>
              <w:t>1,006</w:t>
            </w:r>
          </w:p>
        </w:tc>
        <w:tc>
          <w:tcPr>
            <w:tcW w:w="240" w:type="dxa"/>
            <w:vAlign w:val="bottom"/>
          </w:tcPr>
          <w:p>
            <w:pPr>
              <w:spacing w:after="0"/>
              <w:rPr>
                <w:sz w:val="7"/>
                <w:szCs w:val="7"/>
                <w:color w:val="auto"/>
              </w:rPr>
            </w:pPr>
          </w:p>
        </w:tc>
        <w:tc>
          <w:tcPr>
            <w:tcW w:w="240" w:type="dxa"/>
            <w:vAlign w:val="bottom"/>
          </w:tcPr>
          <w:p>
            <w:pPr>
              <w:ind w:left="160"/>
              <w:spacing w:after="0" w:line="88" w:lineRule="exact"/>
              <w:rPr>
                <w:sz w:val="20"/>
                <w:szCs w:val="20"/>
                <w:color w:val="auto"/>
              </w:rPr>
            </w:pPr>
            <w:r>
              <w:rPr>
                <w:rFonts w:ascii="Arial" w:cs="Arial" w:eastAsia="Arial" w:hAnsi="Arial"/>
                <w:sz w:val="8"/>
                <w:szCs w:val="8"/>
                <w:color w:val="auto"/>
                <w:w w:val="74"/>
              </w:rPr>
              <w:t>—</w:t>
            </w:r>
          </w:p>
        </w:tc>
        <w:tc>
          <w:tcPr>
            <w:tcW w:w="360" w:type="dxa"/>
            <w:vAlign w:val="bottom"/>
            <w:gridSpan w:val="2"/>
          </w:tcPr>
          <w:p>
            <w:pPr>
              <w:ind w:left="240"/>
              <w:spacing w:after="0" w:line="88" w:lineRule="exact"/>
              <w:rPr>
                <w:sz w:val="20"/>
                <w:szCs w:val="20"/>
                <w:color w:val="auto"/>
              </w:rPr>
            </w:pPr>
            <w:r>
              <w:rPr>
                <w:rFonts w:ascii="Arial" w:cs="Arial" w:eastAsia="Arial" w:hAnsi="Arial"/>
                <w:sz w:val="8"/>
                <w:szCs w:val="8"/>
                <w:color w:val="auto"/>
              </w:rPr>
              <w:t>$</w:t>
            </w:r>
          </w:p>
        </w:tc>
        <w:tc>
          <w:tcPr>
            <w:tcW w:w="380" w:type="dxa"/>
            <w:vAlign w:val="bottom"/>
            <w:gridSpan w:val="2"/>
          </w:tcPr>
          <w:p>
            <w:pPr>
              <w:ind w:left="60"/>
              <w:spacing w:after="0" w:line="88" w:lineRule="exact"/>
              <w:rPr>
                <w:sz w:val="20"/>
                <w:szCs w:val="20"/>
                <w:color w:val="auto"/>
              </w:rPr>
            </w:pPr>
            <w:r>
              <w:rPr>
                <w:rFonts w:ascii="Arial" w:cs="Arial" w:eastAsia="Arial" w:hAnsi="Arial"/>
                <w:sz w:val="8"/>
                <w:szCs w:val="8"/>
                <w:color w:val="auto"/>
              </w:rPr>
              <w:t>—</w:t>
            </w:r>
          </w:p>
        </w:tc>
        <w:tc>
          <w:tcPr>
            <w:tcW w:w="380" w:type="dxa"/>
            <w:vAlign w:val="bottom"/>
          </w:tcPr>
          <w:p>
            <w:pPr>
              <w:jc w:val="right"/>
              <w:spacing w:after="0" w:line="88" w:lineRule="exact"/>
              <w:rPr>
                <w:sz w:val="20"/>
                <w:szCs w:val="20"/>
                <w:color w:val="auto"/>
              </w:rPr>
            </w:pPr>
            <w:r>
              <w:rPr>
                <w:rFonts w:ascii="Arial" w:cs="Arial" w:eastAsia="Arial" w:hAnsi="Arial"/>
                <w:sz w:val="8"/>
                <w:szCs w:val="8"/>
                <w:color w:val="auto"/>
              </w:rPr>
              <w:t>46,400</w:t>
            </w:r>
          </w:p>
        </w:tc>
        <w:tc>
          <w:tcPr>
            <w:tcW w:w="280" w:type="dxa"/>
            <w:vAlign w:val="bottom"/>
          </w:tcPr>
          <w:p>
            <w:pPr>
              <w:jc w:val="right"/>
              <w:spacing w:after="0" w:line="88" w:lineRule="exact"/>
              <w:rPr>
                <w:sz w:val="20"/>
                <w:szCs w:val="20"/>
                <w:color w:val="auto"/>
              </w:rPr>
            </w:pPr>
            <w:r>
              <w:rPr>
                <w:rFonts w:ascii="Arial" w:cs="Arial" w:eastAsia="Arial" w:hAnsi="Arial"/>
                <w:sz w:val="8"/>
                <w:szCs w:val="8"/>
                <w:color w:val="auto"/>
              </w:rPr>
              <w:t>$</w:t>
            </w:r>
          </w:p>
        </w:tc>
        <w:tc>
          <w:tcPr>
            <w:tcW w:w="340" w:type="dxa"/>
            <w:vAlign w:val="bottom"/>
          </w:tcPr>
          <w:p>
            <w:pPr>
              <w:jc w:val="right"/>
              <w:spacing w:after="0" w:line="88" w:lineRule="exact"/>
              <w:rPr>
                <w:sz w:val="20"/>
                <w:szCs w:val="20"/>
                <w:color w:val="auto"/>
              </w:rPr>
            </w:pPr>
            <w:r>
              <w:rPr>
                <w:rFonts w:ascii="Arial" w:cs="Arial" w:eastAsia="Arial" w:hAnsi="Arial"/>
                <w:sz w:val="8"/>
                <w:szCs w:val="8"/>
                <w:color w:val="auto"/>
              </w:rPr>
              <w:t>57,471</w:t>
            </w:r>
          </w:p>
        </w:tc>
        <w:tc>
          <w:tcPr>
            <w:tcW w:w="220" w:type="dxa"/>
            <w:vAlign w:val="bottom"/>
          </w:tcPr>
          <w:p>
            <w:pPr>
              <w:spacing w:after="0"/>
              <w:rPr>
                <w:sz w:val="7"/>
                <w:szCs w:val="7"/>
                <w:color w:val="auto"/>
              </w:rPr>
            </w:pPr>
          </w:p>
        </w:tc>
        <w:tc>
          <w:tcPr>
            <w:tcW w:w="380" w:type="dxa"/>
            <w:vAlign w:val="bottom"/>
          </w:tcPr>
          <w:p>
            <w:pPr>
              <w:jc w:val="right"/>
              <w:spacing w:after="0" w:line="88" w:lineRule="exact"/>
              <w:rPr>
                <w:sz w:val="20"/>
                <w:szCs w:val="20"/>
                <w:color w:val="auto"/>
              </w:rPr>
            </w:pPr>
            <w:r>
              <w:rPr>
                <w:rFonts w:ascii="Arial" w:cs="Arial" w:eastAsia="Arial" w:hAnsi="Arial"/>
                <w:sz w:val="8"/>
                <w:szCs w:val="8"/>
                <w:color w:val="auto"/>
              </w:rPr>
              <w:t>23,000</w:t>
            </w:r>
          </w:p>
        </w:tc>
        <w:tc>
          <w:tcPr>
            <w:tcW w:w="220" w:type="dxa"/>
            <w:vAlign w:val="bottom"/>
          </w:tcPr>
          <w:p>
            <w:pPr>
              <w:spacing w:after="0"/>
              <w:rPr>
                <w:sz w:val="7"/>
                <w:szCs w:val="7"/>
                <w:color w:val="auto"/>
              </w:rPr>
            </w:pPr>
          </w:p>
        </w:tc>
        <w:tc>
          <w:tcPr>
            <w:tcW w:w="60" w:type="dxa"/>
            <w:vAlign w:val="bottom"/>
          </w:tcPr>
          <w:p>
            <w:pPr>
              <w:jc w:val="right"/>
              <w:spacing w:after="0"/>
              <w:rPr>
                <w:sz w:val="20"/>
                <w:szCs w:val="20"/>
                <w:color w:val="auto"/>
              </w:rPr>
            </w:pPr>
            <w:r>
              <w:rPr>
                <w:rFonts w:ascii="Arial" w:cs="Arial" w:eastAsia="Arial" w:hAnsi="Arial"/>
                <w:sz w:val="5"/>
                <w:szCs w:val="5"/>
                <w:color w:val="auto"/>
                <w:w w:val="70"/>
              </w:rPr>
              <w:t>$</w:t>
            </w:r>
          </w:p>
        </w:tc>
        <w:tc>
          <w:tcPr>
            <w:tcW w:w="340" w:type="dxa"/>
            <w:vAlign w:val="bottom"/>
          </w:tcPr>
          <w:p>
            <w:pPr>
              <w:jc w:val="right"/>
              <w:spacing w:after="0" w:line="88" w:lineRule="exact"/>
              <w:rPr>
                <w:sz w:val="20"/>
                <w:szCs w:val="20"/>
                <w:color w:val="auto"/>
              </w:rPr>
            </w:pPr>
            <w:r>
              <w:rPr>
                <w:rFonts w:ascii="Arial" w:cs="Arial" w:eastAsia="Arial" w:hAnsi="Arial"/>
                <w:sz w:val="8"/>
                <w:szCs w:val="8"/>
                <w:color w:val="auto"/>
              </w:rPr>
              <w:t>45,869</w:t>
            </w:r>
          </w:p>
        </w:tc>
        <w:tc>
          <w:tcPr>
            <w:tcW w:w="220" w:type="dxa"/>
            <w:vAlign w:val="bottom"/>
          </w:tcPr>
          <w:p>
            <w:pPr>
              <w:spacing w:after="0"/>
              <w:rPr>
                <w:sz w:val="7"/>
                <w:szCs w:val="7"/>
                <w:color w:val="auto"/>
              </w:rPr>
            </w:pPr>
          </w:p>
        </w:tc>
        <w:tc>
          <w:tcPr>
            <w:tcW w:w="380" w:type="dxa"/>
            <w:vAlign w:val="bottom"/>
          </w:tcPr>
          <w:p>
            <w:pPr>
              <w:jc w:val="right"/>
              <w:spacing w:after="0" w:line="88" w:lineRule="exact"/>
              <w:rPr>
                <w:sz w:val="20"/>
                <w:szCs w:val="20"/>
                <w:color w:val="auto"/>
              </w:rPr>
            </w:pPr>
            <w:r>
              <w:rPr>
                <w:rFonts w:ascii="Arial" w:cs="Arial" w:eastAsia="Arial" w:hAnsi="Arial"/>
                <w:sz w:val="8"/>
                <w:szCs w:val="8"/>
                <w:color w:val="auto"/>
              </w:rPr>
              <w:t>13,000</w:t>
            </w:r>
          </w:p>
        </w:tc>
        <w:tc>
          <w:tcPr>
            <w:tcW w:w="300" w:type="dxa"/>
            <w:vAlign w:val="bottom"/>
            <w:gridSpan w:val="2"/>
          </w:tcPr>
          <w:p>
            <w:pPr>
              <w:jc w:val="right"/>
              <w:ind w:right="40"/>
              <w:spacing w:after="0" w:line="88" w:lineRule="exact"/>
              <w:rPr>
                <w:sz w:val="20"/>
                <w:szCs w:val="20"/>
                <w:color w:val="auto"/>
              </w:rPr>
            </w:pPr>
            <w:r>
              <w:rPr>
                <w:rFonts w:ascii="Arial" w:cs="Arial" w:eastAsia="Arial" w:hAnsi="Arial"/>
                <w:sz w:val="8"/>
                <w:szCs w:val="8"/>
                <w:color w:val="auto"/>
              </w:rPr>
              <w:t>$</w:t>
            </w:r>
          </w:p>
        </w:tc>
        <w:tc>
          <w:tcPr>
            <w:tcW w:w="480" w:type="dxa"/>
            <w:vAlign w:val="bottom"/>
            <w:gridSpan w:val="2"/>
          </w:tcPr>
          <w:p>
            <w:pPr>
              <w:jc w:val="right"/>
              <w:ind w:right="100"/>
              <w:spacing w:after="0" w:line="88" w:lineRule="exact"/>
              <w:rPr>
                <w:sz w:val="20"/>
                <w:szCs w:val="20"/>
                <w:color w:val="auto"/>
              </w:rPr>
            </w:pPr>
            <w:r>
              <w:rPr>
                <w:rFonts w:ascii="Arial" w:cs="Arial" w:eastAsia="Arial" w:hAnsi="Arial"/>
                <w:sz w:val="8"/>
                <w:szCs w:val="8"/>
                <w:color w:val="auto"/>
              </w:rPr>
              <w:t>(24,500)</w:t>
            </w:r>
          </w:p>
        </w:tc>
        <w:tc>
          <w:tcPr>
            <w:tcW w:w="140" w:type="dxa"/>
            <w:vAlign w:val="bottom"/>
          </w:tcPr>
          <w:p>
            <w:pPr>
              <w:ind w:left="100"/>
              <w:spacing w:after="0"/>
              <w:rPr>
                <w:sz w:val="20"/>
                <w:szCs w:val="20"/>
                <w:color w:val="auto"/>
              </w:rPr>
            </w:pPr>
            <w:r>
              <w:rPr>
                <w:rFonts w:ascii="Arial" w:cs="Arial" w:eastAsia="Arial" w:hAnsi="Arial"/>
                <w:sz w:val="1"/>
                <w:szCs w:val="1"/>
                <w:color w:val="auto"/>
                <w:w w:val="4294967288"/>
              </w:rPr>
              <w:t>$</w:t>
            </w:r>
          </w:p>
        </w:tc>
        <w:tc>
          <w:tcPr>
            <w:tcW w:w="660" w:type="dxa"/>
            <w:vAlign w:val="bottom"/>
            <w:gridSpan w:val="2"/>
          </w:tcPr>
          <w:p>
            <w:pPr>
              <w:jc w:val="right"/>
              <w:ind w:right="240"/>
              <w:spacing w:after="0" w:line="88" w:lineRule="exact"/>
              <w:rPr>
                <w:sz w:val="20"/>
                <w:szCs w:val="20"/>
                <w:color w:val="auto"/>
              </w:rPr>
            </w:pPr>
            <w:r>
              <w:rPr>
                <w:rFonts w:ascii="Arial" w:cs="Arial" w:eastAsia="Arial" w:hAnsi="Arial"/>
                <w:sz w:val="8"/>
                <w:szCs w:val="8"/>
                <w:color w:val="auto"/>
              </w:rPr>
              <w:t>—</w:t>
            </w:r>
          </w:p>
        </w:tc>
        <w:tc>
          <w:tcPr>
            <w:tcW w:w="60" w:type="dxa"/>
            <w:vAlign w:val="bottom"/>
          </w:tcPr>
          <w:p>
            <w:pPr>
              <w:spacing w:after="0" w:line="88" w:lineRule="exact"/>
              <w:rPr>
                <w:sz w:val="20"/>
                <w:szCs w:val="20"/>
                <w:color w:val="auto"/>
              </w:rPr>
            </w:pPr>
            <w:r>
              <w:rPr>
                <w:rFonts w:ascii="Arial" w:cs="Arial" w:eastAsia="Arial" w:hAnsi="Arial"/>
                <w:sz w:val="8"/>
                <w:szCs w:val="8"/>
                <w:color w:val="auto"/>
                <w:w w:val="88"/>
              </w:rPr>
              <w:t>$</w:t>
            </w:r>
          </w:p>
        </w:tc>
        <w:tc>
          <w:tcPr>
            <w:tcW w:w="360" w:type="dxa"/>
            <w:vAlign w:val="bottom"/>
          </w:tcPr>
          <w:p>
            <w:pPr>
              <w:jc w:val="right"/>
              <w:spacing w:after="0" w:line="88" w:lineRule="exact"/>
              <w:rPr>
                <w:sz w:val="20"/>
                <w:szCs w:val="20"/>
                <w:color w:val="auto"/>
              </w:rPr>
            </w:pPr>
            <w:r>
              <w:rPr>
                <w:rFonts w:ascii="Arial" w:cs="Arial" w:eastAsia="Arial" w:hAnsi="Arial"/>
                <w:sz w:val="8"/>
                <w:szCs w:val="8"/>
                <w:color w:val="auto"/>
              </w:rPr>
              <w:t>1,642</w:t>
            </w:r>
          </w:p>
        </w:tc>
        <w:tc>
          <w:tcPr>
            <w:tcW w:w="120" w:type="dxa"/>
            <w:vAlign w:val="bottom"/>
          </w:tcPr>
          <w:p>
            <w:pPr>
              <w:spacing w:after="0"/>
              <w:rPr>
                <w:sz w:val="7"/>
                <w:szCs w:val="7"/>
                <w:color w:val="auto"/>
              </w:rPr>
            </w:pPr>
          </w:p>
        </w:tc>
        <w:tc>
          <w:tcPr>
            <w:tcW w:w="160" w:type="dxa"/>
            <w:vAlign w:val="bottom"/>
          </w:tcPr>
          <w:p>
            <w:pPr>
              <w:ind w:left="100"/>
              <w:spacing w:after="0"/>
              <w:rPr>
                <w:sz w:val="20"/>
                <w:szCs w:val="20"/>
                <w:color w:val="auto"/>
              </w:rPr>
            </w:pPr>
            <w:r>
              <w:rPr>
                <w:rFonts w:ascii="Arial" w:cs="Arial" w:eastAsia="Arial" w:hAnsi="Arial"/>
                <w:sz w:val="5"/>
                <w:szCs w:val="5"/>
                <w:color w:val="auto"/>
                <w:w w:val="70"/>
              </w:rPr>
              <w:t>$</w:t>
            </w:r>
          </w:p>
        </w:tc>
        <w:tc>
          <w:tcPr>
            <w:tcW w:w="600" w:type="dxa"/>
            <w:vAlign w:val="bottom"/>
            <w:gridSpan w:val="2"/>
          </w:tcPr>
          <w:p>
            <w:pPr>
              <w:jc w:val="right"/>
              <w:ind w:right="200"/>
              <w:spacing w:after="0" w:line="88" w:lineRule="exact"/>
              <w:rPr>
                <w:sz w:val="20"/>
                <w:szCs w:val="20"/>
                <w:color w:val="auto"/>
              </w:rPr>
            </w:pPr>
            <w:r>
              <w:rPr>
                <w:rFonts w:ascii="Arial" w:cs="Arial" w:eastAsia="Arial" w:hAnsi="Arial"/>
                <w:sz w:val="8"/>
                <w:szCs w:val="8"/>
                <w:color w:val="auto"/>
              </w:rPr>
              <w:t>(5,983)</w:t>
            </w:r>
          </w:p>
        </w:tc>
        <w:tc>
          <w:tcPr>
            <w:tcW w:w="100" w:type="dxa"/>
            <w:vAlign w:val="bottom"/>
          </w:tcPr>
          <w:p>
            <w:pPr>
              <w:spacing w:after="0" w:line="88" w:lineRule="exact"/>
              <w:rPr>
                <w:sz w:val="20"/>
                <w:szCs w:val="20"/>
                <w:color w:val="auto"/>
              </w:rPr>
            </w:pPr>
            <w:r>
              <w:rPr>
                <w:rFonts w:ascii="Arial" w:cs="Arial" w:eastAsia="Arial" w:hAnsi="Arial"/>
                <w:sz w:val="8"/>
                <w:szCs w:val="8"/>
                <w:color w:val="auto"/>
              </w:rPr>
              <w:t>$</w:t>
            </w:r>
          </w:p>
        </w:tc>
        <w:tc>
          <w:tcPr>
            <w:tcW w:w="640" w:type="dxa"/>
            <w:vAlign w:val="bottom"/>
            <w:gridSpan w:val="2"/>
          </w:tcPr>
          <w:p>
            <w:pPr>
              <w:jc w:val="right"/>
              <w:ind w:right="220"/>
              <w:spacing w:after="0" w:line="88" w:lineRule="exact"/>
              <w:rPr>
                <w:sz w:val="20"/>
                <w:szCs w:val="20"/>
                <w:color w:val="auto"/>
              </w:rPr>
            </w:pPr>
            <w:r>
              <w:rPr>
                <w:rFonts w:ascii="Arial" w:cs="Arial" w:eastAsia="Arial" w:hAnsi="Arial"/>
                <w:sz w:val="8"/>
                <w:szCs w:val="8"/>
                <w:color w:val="auto"/>
              </w:rPr>
              <w:t>—</w:t>
            </w:r>
          </w:p>
        </w:tc>
        <w:tc>
          <w:tcPr>
            <w:tcW w:w="80" w:type="dxa"/>
            <w:vAlign w:val="bottom"/>
          </w:tcPr>
          <w:p>
            <w:pPr>
              <w:spacing w:after="0" w:line="88" w:lineRule="exact"/>
              <w:rPr>
                <w:sz w:val="20"/>
                <w:szCs w:val="20"/>
                <w:color w:val="auto"/>
              </w:rPr>
            </w:pPr>
            <w:r>
              <w:rPr>
                <w:rFonts w:ascii="Arial" w:cs="Arial" w:eastAsia="Arial" w:hAnsi="Arial"/>
                <w:sz w:val="8"/>
                <w:szCs w:val="8"/>
                <w:color w:val="auto"/>
              </w:rPr>
              <w:t>$</w:t>
            </w:r>
          </w:p>
        </w:tc>
        <w:tc>
          <w:tcPr>
            <w:tcW w:w="400" w:type="dxa"/>
            <w:vAlign w:val="bottom"/>
          </w:tcPr>
          <w:p>
            <w:pPr>
              <w:jc w:val="right"/>
              <w:spacing w:after="0" w:line="88" w:lineRule="exact"/>
              <w:rPr>
                <w:sz w:val="20"/>
                <w:szCs w:val="20"/>
                <w:color w:val="auto"/>
              </w:rPr>
            </w:pPr>
            <w:r>
              <w:rPr>
                <w:rFonts w:ascii="Arial" w:cs="Arial" w:eastAsia="Arial" w:hAnsi="Arial"/>
                <w:sz w:val="8"/>
                <w:szCs w:val="8"/>
                <w:color w:val="auto"/>
              </w:rPr>
              <w:t>75,505</w:t>
            </w: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2240" w:type="dxa"/>
            <w:vAlign w:val="bottom"/>
            <w:gridSpan w:val="4"/>
            <w:shd w:val="clear" w:color="auto" w:fill="CFF0FC"/>
          </w:tcPr>
          <w:p>
            <w:pPr>
              <w:spacing w:after="0"/>
              <w:rPr>
                <w:sz w:val="20"/>
                <w:szCs w:val="20"/>
                <w:color w:val="auto"/>
              </w:rPr>
            </w:pPr>
            <w:r>
              <w:rPr>
                <w:rFonts w:ascii="Arial" w:cs="Arial" w:eastAsia="Arial" w:hAnsi="Arial"/>
                <w:sz w:val="8"/>
                <w:szCs w:val="8"/>
                <w:color w:val="auto"/>
              </w:rPr>
              <w:t>Net income period from January 1, 2017 to May 31, 2017</w:t>
            </w:r>
          </w:p>
        </w:tc>
        <w:tc>
          <w:tcPr>
            <w:tcW w:w="400" w:type="dxa"/>
            <w:vAlign w:val="bottom"/>
            <w:shd w:val="clear" w:color="auto" w:fill="CFF0FC"/>
          </w:tcPr>
          <w:p>
            <w:pPr>
              <w:jc w:val="right"/>
              <w:spacing w:after="0"/>
              <w:rPr>
                <w:sz w:val="20"/>
                <w:szCs w:val="20"/>
                <w:color w:val="auto"/>
              </w:rPr>
            </w:pPr>
            <w:r>
              <w:rPr>
                <w:rFonts w:ascii="Arial" w:cs="Arial" w:eastAsia="Arial" w:hAnsi="Arial"/>
                <w:sz w:val="8"/>
                <w:szCs w:val="8"/>
                <w:color w:val="auto"/>
              </w:rPr>
              <w:t>—</w:t>
            </w:r>
          </w:p>
        </w:tc>
        <w:tc>
          <w:tcPr>
            <w:tcW w:w="24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8"/>
                <w:szCs w:val="8"/>
                <w:color w:val="auto"/>
              </w:rPr>
              <w:t>—</w:t>
            </w:r>
          </w:p>
        </w:tc>
        <w:tc>
          <w:tcPr>
            <w:tcW w:w="240" w:type="dxa"/>
            <w:vAlign w:val="bottom"/>
            <w:shd w:val="clear" w:color="auto" w:fill="CFF0FC"/>
          </w:tcPr>
          <w:p>
            <w:pPr>
              <w:spacing w:after="0"/>
              <w:rPr>
                <w:sz w:val="8"/>
                <w:szCs w:val="8"/>
                <w:color w:val="auto"/>
              </w:rPr>
            </w:pPr>
          </w:p>
        </w:tc>
        <w:tc>
          <w:tcPr>
            <w:tcW w:w="240" w:type="dxa"/>
            <w:vAlign w:val="bottom"/>
            <w:shd w:val="clear" w:color="auto" w:fill="CFF0FC"/>
          </w:tcPr>
          <w:p>
            <w:pPr>
              <w:ind w:left="160"/>
              <w:spacing w:after="0"/>
              <w:rPr>
                <w:sz w:val="20"/>
                <w:szCs w:val="20"/>
                <w:color w:val="auto"/>
              </w:rPr>
            </w:pPr>
            <w:r>
              <w:rPr>
                <w:rFonts w:ascii="Arial" w:cs="Arial" w:eastAsia="Arial" w:hAnsi="Arial"/>
                <w:sz w:val="8"/>
                <w:szCs w:val="8"/>
                <w:color w:val="auto"/>
                <w:w w:val="74"/>
              </w:rPr>
              <w:t>—</w:t>
            </w:r>
          </w:p>
        </w:tc>
        <w:tc>
          <w:tcPr>
            <w:tcW w:w="24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60" w:type="dxa"/>
            <w:vAlign w:val="bottom"/>
            <w:shd w:val="clear" w:color="auto" w:fill="CFF0FC"/>
          </w:tcPr>
          <w:p>
            <w:pPr>
              <w:ind w:left="60"/>
              <w:spacing w:after="0"/>
              <w:rPr>
                <w:sz w:val="20"/>
                <w:szCs w:val="20"/>
                <w:color w:val="auto"/>
              </w:rPr>
            </w:pPr>
            <w:r>
              <w:rPr>
                <w:rFonts w:ascii="Arial" w:cs="Arial" w:eastAsia="Arial" w:hAnsi="Arial"/>
                <w:sz w:val="8"/>
                <w:szCs w:val="8"/>
                <w:color w:val="auto"/>
                <w:w w:val="99"/>
              </w:rPr>
              <w:t>—</w:t>
            </w:r>
          </w:p>
        </w:tc>
        <w:tc>
          <w:tcPr>
            <w:tcW w:w="220" w:type="dxa"/>
            <w:vAlign w:val="bottom"/>
            <w:shd w:val="clear" w:color="auto" w:fill="CFF0FC"/>
          </w:tcPr>
          <w:p>
            <w:pPr>
              <w:spacing w:after="0"/>
              <w:rPr>
                <w:sz w:val="8"/>
                <w:szCs w:val="8"/>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8"/>
                <w:szCs w:val="8"/>
                <w:color w:val="auto"/>
              </w:rPr>
              <w:t>—</w:t>
            </w:r>
          </w:p>
        </w:tc>
        <w:tc>
          <w:tcPr>
            <w:tcW w:w="280" w:type="dxa"/>
            <w:vAlign w:val="bottom"/>
            <w:tcBorders>
              <w:right w:val="single" w:sz="8" w:color="CFF0FC"/>
            </w:tcBorders>
            <w:shd w:val="clear" w:color="auto" w:fill="CFF0FC"/>
          </w:tcPr>
          <w:p>
            <w:pPr>
              <w:spacing w:after="0"/>
              <w:rPr>
                <w:sz w:val="8"/>
                <w:szCs w:val="8"/>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8"/>
                <w:szCs w:val="8"/>
                <w:color w:val="auto"/>
              </w:rPr>
              <w:t>—</w:t>
            </w:r>
          </w:p>
        </w:tc>
        <w:tc>
          <w:tcPr>
            <w:tcW w:w="220" w:type="dxa"/>
            <w:vAlign w:val="bottom"/>
            <w:shd w:val="clear" w:color="auto" w:fill="CFF0FC"/>
          </w:tcPr>
          <w:p>
            <w:pPr>
              <w:spacing w:after="0"/>
              <w:rPr>
                <w:sz w:val="8"/>
                <w:szCs w:val="8"/>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8"/>
                <w:szCs w:val="8"/>
                <w:color w:val="auto"/>
              </w:rPr>
              <w:t>—</w:t>
            </w:r>
          </w:p>
        </w:tc>
        <w:tc>
          <w:tcPr>
            <w:tcW w:w="22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560" w:type="dxa"/>
            <w:vAlign w:val="bottom"/>
            <w:gridSpan w:val="2"/>
            <w:shd w:val="clear" w:color="auto" w:fill="CFF0FC"/>
          </w:tcPr>
          <w:p>
            <w:pPr>
              <w:jc w:val="right"/>
              <w:ind w:right="220"/>
              <w:spacing w:after="0"/>
              <w:rPr>
                <w:sz w:val="20"/>
                <w:szCs w:val="20"/>
                <w:color w:val="auto"/>
              </w:rPr>
            </w:pPr>
            <w:r>
              <w:rPr>
                <w:rFonts w:ascii="Arial" w:cs="Arial" w:eastAsia="Arial" w:hAnsi="Arial"/>
                <w:sz w:val="8"/>
                <w:szCs w:val="8"/>
                <w:color w:val="auto"/>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8"/>
                <w:szCs w:val="8"/>
                <w:color w:val="auto"/>
              </w:rPr>
              <w:t>—</w:t>
            </w:r>
          </w:p>
        </w:tc>
        <w:tc>
          <w:tcPr>
            <w:tcW w:w="22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480" w:type="dxa"/>
            <w:vAlign w:val="bottom"/>
            <w:gridSpan w:val="2"/>
            <w:shd w:val="clear" w:color="auto" w:fill="CFF0FC"/>
          </w:tcPr>
          <w:p>
            <w:pPr>
              <w:jc w:val="right"/>
              <w:ind w:right="120"/>
              <w:spacing w:after="0"/>
              <w:rPr>
                <w:sz w:val="20"/>
                <w:szCs w:val="20"/>
                <w:color w:val="auto"/>
              </w:rPr>
            </w:pPr>
            <w:r>
              <w:rPr>
                <w:rFonts w:ascii="Arial" w:cs="Arial" w:eastAsia="Arial" w:hAnsi="Arial"/>
                <w:sz w:val="8"/>
                <w:szCs w:val="8"/>
                <w:color w:val="auto"/>
              </w:rPr>
              <w:t>—</w:t>
            </w:r>
          </w:p>
        </w:tc>
        <w:tc>
          <w:tcPr>
            <w:tcW w:w="140" w:type="dxa"/>
            <w:vAlign w:val="bottom"/>
            <w:tcBorders>
              <w:right w:val="single" w:sz="8" w:color="CFF0FC"/>
            </w:tcBorders>
            <w:shd w:val="clear" w:color="auto" w:fill="CFF0FC"/>
          </w:tcPr>
          <w:p>
            <w:pPr>
              <w:spacing w:after="0"/>
              <w:rPr>
                <w:sz w:val="8"/>
                <w:szCs w:val="8"/>
                <w:color w:val="auto"/>
              </w:rPr>
            </w:pPr>
          </w:p>
        </w:tc>
        <w:tc>
          <w:tcPr>
            <w:tcW w:w="660" w:type="dxa"/>
            <w:vAlign w:val="bottom"/>
            <w:gridSpan w:val="2"/>
            <w:shd w:val="clear" w:color="auto" w:fill="CFF0FC"/>
          </w:tcPr>
          <w:p>
            <w:pPr>
              <w:jc w:val="right"/>
              <w:ind w:right="240"/>
              <w:spacing w:after="0"/>
              <w:rPr>
                <w:sz w:val="20"/>
                <w:szCs w:val="20"/>
                <w:color w:val="auto"/>
              </w:rPr>
            </w:pPr>
            <w:r>
              <w:rPr>
                <w:rFonts w:ascii="Arial" w:cs="Arial" w:eastAsia="Arial" w:hAnsi="Arial"/>
                <w:sz w:val="8"/>
                <w:szCs w:val="8"/>
                <w:color w:val="auto"/>
              </w:rPr>
              <w:t>—</w:t>
            </w:r>
          </w:p>
        </w:tc>
        <w:tc>
          <w:tcPr>
            <w:tcW w:w="60" w:type="dxa"/>
            <w:vAlign w:val="bottom"/>
            <w:shd w:val="clear" w:color="auto" w:fill="CFF0FC"/>
          </w:tcPr>
          <w:p>
            <w:pPr>
              <w:spacing w:after="0"/>
              <w:rPr>
                <w:sz w:val="8"/>
                <w:szCs w:val="8"/>
                <w:color w:val="auto"/>
              </w:rPr>
            </w:pPr>
          </w:p>
        </w:tc>
        <w:tc>
          <w:tcPr>
            <w:tcW w:w="480" w:type="dxa"/>
            <w:vAlign w:val="bottom"/>
            <w:gridSpan w:val="2"/>
            <w:shd w:val="clear" w:color="auto" w:fill="CFF0FC"/>
          </w:tcPr>
          <w:p>
            <w:pPr>
              <w:jc w:val="right"/>
              <w:ind w:right="140"/>
              <w:spacing w:after="0"/>
              <w:rPr>
                <w:sz w:val="20"/>
                <w:szCs w:val="20"/>
                <w:color w:val="auto"/>
              </w:rPr>
            </w:pPr>
            <w:r>
              <w:rPr>
                <w:rFonts w:ascii="Arial" w:cs="Arial" w:eastAsia="Arial" w:hAnsi="Arial"/>
                <w:sz w:val="8"/>
                <w:szCs w:val="8"/>
                <w:color w:val="auto"/>
              </w:rPr>
              <w:t>—</w:t>
            </w:r>
          </w:p>
        </w:tc>
        <w:tc>
          <w:tcPr>
            <w:tcW w:w="160" w:type="dxa"/>
            <w:vAlign w:val="bottom"/>
            <w:tcBorders>
              <w:right w:val="single" w:sz="8" w:color="CFF0FC"/>
            </w:tcBorders>
            <w:shd w:val="clear" w:color="auto" w:fill="CFF0FC"/>
          </w:tcPr>
          <w:p>
            <w:pPr>
              <w:spacing w:after="0"/>
              <w:rPr>
                <w:sz w:val="8"/>
                <w:szCs w:val="8"/>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8"/>
                <w:szCs w:val="8"/>
                <w:color w:val="auto"/>
              </w:rPr>
              <w:t>1,240</w:t>
            </w:r>
          </w:p>
        </w:tc>
        <w:tc>
          <w:tcPr>
            <w:tcW w:w="2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640" w:type="dxa"/>
            <w:vAlign w:val="bottom"/>
            <w:gridSpan w:val="2"/>
            <w:shd w:val="clear" w:color="auto" w:fill="CFF0FC"/>
          </w:tcPr>
          <w:p>
            <w:pPr>
              <w:jc w:val="right"/>
              <w:ind w:right="220"/>
              <w:spacing w:after="0"/>
              <w:rPr>
                <w:sz w:val="20"/>
                <w:szCs w:val="20"/>
                <w:color w:val="auto"/>
              </w:rPr>
            </w:pPr>
            <w:r>
              <w:rPr>
                <w:rFonts w:ascii="Arial" w:cs="Arial" w:eastAsia="Arial" w:hAnsi="Arial"/>
                <w:sz w:val="8"/>
                <w:szCs w:val="8"/>
                <w:color w:val="auto"/>
              </w:rPr>
              <w:t>—</w:t>
            </w:r>
          </w:p>
        </w:tc>
        <w:tc>
          <w:tcPr>
            <w:tcW w:w="80" w:type="dxa"/>
            <w:vAlign w:val="bottom"/>
            <w:shd w:val="clear" w:color="auto" w:fill="CFF0FC"/>
          </w:tcPr>
          <w:p>
            <w:pPr>
              <w:spacing w:after="0"/>
              <w:rPr>
                <w:sz w:val="8"/>
                <w:szCs w:val="8"/>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8"/>
                <w:szCs w:val="8"/>
                <w:color w:val="auto"/>
              </w:rPr>
              <w:t>1,240</w:t>
            </w:r>
          </w:p>
        </w:tc>
        <w:tc>
          <w:tcPr>
            <w:tcW w:w="6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240" w:type="dxa"/>
            <w:vAlign w:val="bottom"/>
            <w:gridSpan w:val="4"/>
            <w:vMerge w:val="restart"/>
          </w:tcPr>
          <w:p>
            <w:pPr>
              <w:spacing w:after="0"/>
              <w:rPr>
                <w:sz w:val="20"/>
                <w:szCs w:val="20"/>
                <w:color w:val="auto"/>
              </w:rPr>
            </w:pPr>
            <w:r>
              <w:rPr>
                <w:rFonts w:ascii="Arial" w:cs="Arial" w:eastAsia="Arial" w:hAnsi="Arial"/>
                <w:sz w:val="8"/>
                <w:szCs w:val="8"/>
                <w:color w:val="auto"/>
              </w:rPr>
              <w:t>Balance as of May 31, 2017</w:t>
            </w:r>
          </w:p>
        </w:tc>
        <w:tc>
          <w:tcPr>
            <w:tcW w:w="4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240" w:type="dxa"/>
            <w:vAlign w:val="bottom"/>
            <w:gridSpan w:val="4"/>
            <w:vMerge w:val="continue"/>
          </w:tcPr>
          <w:p>
            <w:pPr>
              <w:spacing w:after="0"/>
              <w:rPr>
                <w:sz w:val="8"/>
                <w:szCs w:val="8"/>
                <w:color w:val="auto"/>
              </w:rPr>
            </w:pPr>
          </w:p>
        </w:tc>
        <w:tc>
          <w:tcPr>
            <w:tcW w:w="400" w:type="dxa"/>
            <w:vAlign w:val="bottom"/>
          </w:tcPr>
          <w:p>
            <w:pPr>
              <w:jc w:val="right"/>
              <w:spacing w:after="0" w:line="88" w:lineRule="exact"/>
              <w:rPr>
                <w:sz w:val="20"/>
                <w:szCs w:val="20"/>
                <w:color w:val="auto"/>
              </w:rPr>
            </w:pPr>
            <w:r>
              <w:rPr>
                <w:rFonts w:ascii="Arial" w:cs="Arial" w:eastAsia="Arial" w:hAnsi="Arial"/>
                <w:sz w:val="8"/>
                <w:szCs w:val="8"/>
                <w:color w:val="auto"/>
              </w:rPr>
              <w:t>87,626</w:t>
            </w:r>
          </w:p>
        </w:tc>
        <w:tc>
          <w:tcPr>
            <w:tcW w:w="240" w:type="dxa"/>
            <w:vAlign w:val="bottom"/>
          </w:tcPr>
          <w:p>
            <w:pPr>
              <w:spacing w:after="0"/>
              <w:rPr>
                <w:sz w:val="8"/>
                <w:szCs w:val="8"/>
                <w:color w:val="auto"/>
              </w:rPr>
            </w:pPr>
          </w:p>
        </w:tc>
        <w:tc>
          <w:tcPr>
            <w:tcW w:w="60" w:type="dxa"/>
            <w:vAlign w:val="bottom"/>
          </w:tcPr>
          <w:p>
            <w:pPr>
              <w:jc w:val="right"/>
              <w:spacing w:after="0"/>
              <w:rPr>
                <w:sz w:val="20"/>
                <w:szCs w:val="20"/>
                <w:color w:val="auto"/>
              </w:rPr>
            </w:pPr>
            <w:r>
              <w:rPr>
                <w:rFonts w:ascii="Arial" w:cs="Arial" w:eastAsia="Arial" w:hAnsi="Arial"/>
                <w:sz w:val="5"/>
                <w:szCs w:val="5"/>
                <w:color w:val="auto"/>
                <w:w w:val="70"/>
              </w:rPr>
              <w:t>$</w:t>
            </w:r>
          </w:p>
        </w:tc>
        <w:tc>
          <w:tcPr>
            <w:tcW w:w="340" w:type="dxa"/>
            <w:vAlign w:val="bottom"/>
          </w:tcPr>
          <w:p>
            <w:pPr>
              <w:jc w:val="right"/>
              <w:spacing w:after="0" w:line="88" w:lineRule="exact"/>
              <w:rPr>
                <w:sz w:val="20"/>
                <w:szCs w:val="20"/>
                <w:color w:val="auto"/>
              </w:rPr>
            </w:pPr>
            <w:r>
              <w:rPr>
                <w:rFonts w:ascii="Arial" w:cs="Arial" w:eastAsia="Arial" w:hAnsi="Arial"/>
                <w:sz w:val="8"/>
                <w:szCs w:val="8"/>
                <w:color w:val="auto"/>
              </w:rPr>
              <w:t>1,006</w:t>
            </w:r>
          </w:p>
        </w:tc>
        <w:tc>
          <w:tcPr>
            <w:tcW w:w="240" w:type="dxa"/>
            <w:vAlign w:val="bottom"/>
          </w:tcPr>
          <w:p>
            <w:pPr>
              <w:spacing w:after="0"/>
              <w:rPr>
                <w:sz w:val="8"/>
                <w:szCs w:val="8"/>
                <w:color w:val="auto"/>
              </w:rPr>
            </w:pPr>
          </w:p>
        </w:tc>
        <w:tc>
          <w:tcPr>
            <w:tcW w:w="240" w:type="dxa"/>
            <w:vAlign w:val="bottom"/>
          </w:tcPr>
          <w:p>
            <w:pPr>
              <w:ind w:left="160"/>
              <w:spacing w:after="0" w:line="88" w:lineRule="exact"/>
              <w:rPr>
                <w:sz w:val="20"/>
                <w:szCs w:val="20"/>
                <w:color w:val="auto"/>
              </w:rPr>
            </w:pPr>
            <w:r>
              <w:rPr>
                <w:rFonts w:ascii="Arial" w:cs="Arial" w:eastAsia="Arial" w:hAnsi="Arial"/>
                <w:sz w:val="8"/>
                <w:szCs w:val="8"/>
                <w:color w:val="auto"/>
                <w:w w:val="74"/>
              </w:rPr>
              <w:t>—</w:t>
            </w:r>
          </w:p>
        </w:tc>
        <w:tc>
          <w:tcPr>
            <w:tcW w:w="360" w:type="dxa"/>
            <w:vAlign w:val="bottom"/>
            <w:gridSpan w:val="2"/>
          </w:tcPr>
          <w:p>
            <w:pPr>
              <w:ind w:left="240"/>
              <w:spacing w:after="0" w:line="88" w:lineRule="exact"/>
              <w:rPr>
                <w:sz w:val="20"/>
                <w:szCs w:val="20"/>
                <w:color w:val="auto"/>
              </w:rPr>
            </w:pPr>
            <w:r>
              <w:rPr>
                <w:rFonts w:ascii="Arial" w:cs="Arial" w:eastAsia="Arial" w:hAnsi="Arial"/>
                <w:sz w:val="8"/>
                <w:szCs w:val="8"/>
                <w:color w:val="auto"/>
              </w:rPr>
              <w:t>$</w:t>
            </w:r>
          </w:p>
        </w:tc>
        <w:tc>
          <w:tcPr>
            <w:tcW w:w="380" w:type="dxa"/>
            <w:vAlign w:val="bottom"/>
            <w:gridSpan w:val="2"/>
          </w:tcPr>
          <w:p>
            <w:pPr>
              <w:ind w:left="60"/>
              <w:spacing w:after="0" w:line="88" w:lineRule="exact"/>
              <w:rPr>
                <w:sz w:val="20"/>
                <w:szCs w:val="20"/>
                <w:color w:val="auto"/>
              </w:rPr>
            </w:pPr>
            <w:r>
              <w:rPr>
                <w:rFonts w:ascii="Arial" w:cs="Arial" w:eastAsia="Arial" w:hAnsi="Arial"/>
                <w:sz w:val="8"/>
                <w:szCs w:val="8"/>
                <w:color w:val="auto"/>
              </w:rPr>
              <w:t>—</w:t>
            </w:r>
          </w:p>
        </w:tc>
        <w:tc>
          <w:tcPr>
            <w:tcW w:w="380" w:type="dxa"/>
            <w:vAlign w:val="bottom"/>
          </w:tcPr>
          <w:p>
            <w:pPr>
              <w:jc w:val="right"/>
              <w:spacing w:after="0" w:line="88" w:lineRule="exact"/>
              <w:rPr>
                <w:sz w:val="20"/>
                <w:szCs w:val="20"/>
                <w:color w:val="auto"/>
              </w:rPr>
            </w:pPr>
            <w:r>
              <w:rPr>
                <w:rFonts w:ascii="Arial" w:cs="Arial" w:eastAsia="Arial" w:hAnsi="Arial"/>
                <w:sz w:val="8"/>
                <w:szCs w:val="8"/>
                <w:color w:val="auto"/>
              </w:rPr>
              <w:t>46,400</w:t>
            </w:r>
          </w:p>
        </w:tc>
        <w:tc>
          <w:tcPr>
            <w:tcW w:w="280" w:type="dxa"/>
            <w:vAlign w:val="bottom"/>
          </w:tcPr>
          <w:p>
            <w:pPr>
              <w:jc w:val="right"/>
              <w:spacing w:after="0" w:line="88" w:lineRule="exact"/>
              <w:rPr>
                <w:sz w:val="20"/>
                <w:szCs w:val="20"/>
                <w:color w:val="auto"/>
              </w:rPr>
            </w:pPr>
            <w:r>
              <w:rPr>
                <w:rFonts w:ascii="Arial" w:cs="Arial" w:eastAsia="Arial" w:hAnsi="Arial"/>
                <w:sz w:val="8"/>
                <w:szCs w:val="8"/>
                <w:color w:val="auto"/>
              </w:rPr>
              <w:t>$</w:t>
            </w:r>
          </w:p>
        </w:tc>
        <w:tc>
          <w:tcPr>
            <w:tcW w:w="340" w:type="dxa"/>
            <w:vAlign w:val="bottom"/>
          </w:tcPr>
          <w:p>
            <w:pPr>
              <w:jc w:val="right"/>
              <w:spacing w:after="0" w:line="88" w:lineRule="exact"/>
              <w:rPr>
                <w:sz w:val="20"/>
                <w:szCs w:val="20"/>
                <w:color w:val="auto"/>
              </w:rPr>
            </w:pPr>
            <w:r>
              <w:rPr>
                <w:rFonts w:ascii="Arial" w:cs="Arial" w:eastAsia="Arial" w:hAnsi="Arial"/>
                <w:sz w:val="8"/>
                <w:szCs w:val="8"/>
                <w:color w:val="auto"/>
              </w:rPr>
              <w:t>57,471</w:t>
            </w:r>
          </w:p>
        </w:tc>
        <w:tc>
          <w:tcPr>
            <w:tcW w:w="220" w:type="dxa"/>
            <w:vAlign w:val="bottom"/>
          </w:tcPr>
          <w:p>
            <w:pPr>
              <w:spacing w:after="0"/>
              <w:rPr>
                <w:sz w:val="8"/>
                <w:szCs w:val="8"/>
                <w:color w:val="auto"/>
              </w:rPr>
            </w:pPr>
          </w:p>
        </w:tc>
        <w:tc>
          <w:tcPr>
            <w:tcW w:w="380" w:type="dxa"/>
            <w:vAlign w:val="bottom"/>
          </w:tcPr>
          <w:p>
            <w:pPr>
              <w:jc w:val="right"/>
              <w:spacing w:after="0" w:line="88" w:lineRule="exact"/>
              <w:rPr>
                <w:sz w:val="20"/>
                <w:szCs w:val="20"/>
                <w:color w:val="auto"/>
              </w:rPr>
            </w:pPr>
            <w:r>
              <w:rPr>
                <w:rFonts w:ascii="Arial" w:cs="Arial" w:eastAsia="Arial" w:hAnsi="Arial"/>
                <w:sz w:val="8"/>
                <w:szCs w:val="8"/>
                <w:color w:val="auto"/>
              </w:rPr>
              <w:t>23,000</w:t>
            </w:r>
          </w:p>
        </w:tc>
        <w:tc>
          <w:tcPr>
            <w:tcW w:w="220" w:type="dxa"/>
            <w:vAlign w:val="bottom"/>
          </w:tcPr>
          <w:p>
            <w:pPr>
              <w:spacing w:after="0"/>
              <w:rPr>
                <w:sz w:val="8"/>
                <w:szCs w:val="8"/>
                <w:color w:val="auto"/>
              </w:rPr>
            </w:pPr>
          </w:p>
        </w:tc>
        <w:tc>
          <w:tcPr>
            <w:tcW w:w="60" w:type="dxa"/>
            <w:vAlign w:val="bottom"/>
          </w:tcPr>
          <w:p>
            <w:pPr>
              <w:jc w:val="right"/>
              <w:spacing w:after="0"/>
              <w:rPr>
                <w:sz w:val="20"/>
                <w:szCs w:val="20"/>
                <w:color w:val="auto"/>
              </w:rPr>
            </w:pPr>
            <w:r>
              <w:rPr>
                <w:rFonts w:ascii="Arial" w:cs="Arial" w:eastAsia="Arial" w:hAnsi="Arial"/>
                <w:sz w:val="5"/>
                <w:szCs w:val="5"/>
                <w:color w:val="auto"/>
                <w:w w:val="70"/>
              </w:rPr>
              <w:t>$</w:t>
            </w:r>
          </w:p>
        </w:tc>
        <w:tc>
          <w:tcPr>
            <w:tcW w:w="340" w:type="dxa"/>
            <w:vAlign w:val="bottom"/>
          </w:tcPr>
          <w:p>
            <w:pPr>
              <w:jc w:val="right"/>
              <w:spacing w:after="0" w:line="88" w:lineRule="exact"/>
              <w:rPr>
                <w:sz w:val="20"/>
                <w:szCs w:val="20"/>
                <w:color w:val="auto"/>
              </w:rPr>
            </w:pPr>
            <w:r>
              <w:rPr>
                <w:rFonts w:ascii="Arial" w:cs="Arial" w:eastAsia="Arial" w:hAnsi="Arial"/>
                <w:sz w:val="8"/>
                <w:szCs w:val="8"/>
                <w:color w:val="auto"/>
              </w:rPr>
              <w:t>45,869</w:t>
            </w:r>
          </w:p>
        </w:tc>
        <w:tc>
          <w:tcPr>
            <w:tcW w:w="220" w:type="dxa"/>
            <w:vAlign w:val="bottom"/>
          </w:tcPr>
          <w:p>
            <w:pPr>
              <w:spacing w:after="0"/>
              <w:rPr>
                <w:sz w:val="8"/>
                <w:szCs w:val="8"/>
                <w:color w:val="auto"/>
              </w:rPr>
            </w:pPr>
          </w:p>
        </w:tc>
        <w:tc>
          <w:tcPr>
            <w:tcW w:w="380" w:type="dxa"/>
            <w:vAlign w:val="bottom"/>
          </w:tcPr>
          <w:p>
            <w:pPr>
              <w:jc w:val="right"/>
              <w:spacing w:after="0" w:line="88" w:lineRule="exact"/>
              <w:rPr>
                <w:sz w:val="20"/>
                <w:szCs w:val="20"/>
                <w:color w:val="auto"/>
              </w:rPr>
            </w:pPr>
            <w:r>
              <w:rPr>
                <w:rFonts w:ascii="Arial" w:cs="Arial" w:eastAsia="Arial" w:hAnsi="Arial"/>
                <w:sz w:val="8"/>
                <w:szCs w:val="8"/>
                <w:color w:val="auto"/>
              </w:rPr>
              <w:t>13,000</w:t>
            </w:r>
          </w:p>
        </w:tc>
        <w:tc>
          <w:tcPr>
            <w:tcW w:w="300" w:type="dxa"/>
            <w:vAlign w:val="bottom"/>
            <w:gridSpan w:val="2"/>
          </w:tcPr>
          <w:p>
            <w:pPr>
              <w:jc w:val="right"/>
              <w:ind w:right="40"/>
              <w:spacing w:after="0" w:line="88" w:lineRule="exact"/>
              <w:rPr>
                <w:sz w:val="20"/>
                <w:szCs w:val="20"/>
                <w:color w:val="auto"/>
              </w:rPr>
            </w:pPr>
            <w:r>
              <w:rPr>
                <w:rFonts w:ascii="Arial" w:cs="Arial" w:eastAsia="Arial" w:hAnsi="Arial"/>
                <w:sz w:val="8"/>
                <w:szCs w:val="8"/>
                <w:color w:val="auto"/>
              </w:rPr>
              <w:t>$</w:t>
            </w:r>
          </w:p>
        </w:tc>
        <w:tc>
          <w:tcPr>
            <w:tcW w:w="480" w:type="dxa"/>
            <w:vAlign w:val="bottom"/>
            <w:gridSpan w:val="2"/>
          </w:tcPr>
          <w:p>
            <w:pPr>
              <w:jc w:val="right"/>
              <w:ind w:right="100"/>
              <w:spacing w:after="0" w:line="88" w:lineRule="exact"/>
              <w:rPr>
                <w:sz w:val="20"/>
                <w:szCs w:val="20"/>
                <w:color w:val="auto"/>
              </w:rPr>
            </w:pPr>
            <w:r>
              <w:rPr>
                <w:rFonts w:ascii="Arial" w:cs="Arial" w:eastAsia="Arial" w:hAnsi="Arial"/>
                <w:sz w:val="8"/>
                <w:szCs w:val="8"/>
                <w:color w:val="auto"/>
              </w:rPr>
              <w:t>(24,500 )</w:t>
            </w:r>
          </w:p>
        </w:tc>
        <w:tc>
          <w:tcPr>
            <w:tcW w:w="140" w:type="dxa"/>
            <w:vAlign w:val="bottom"/>
          </w:tcPr>
          <w:p>
            <w:pPr>
              <w:ind w:left="100"/>
              <w:spacing w:after="0"/>
              <w:rPr>
                <w:sz w:val="20"/>
                <w:szCs w:val="20"/>
                <w:color w:val="auto"/>
              </w:rPr>
            </w:pPr>
            <w:r>
              <w:rPr>
                <w:rFonts w:ascii="Arial" w:cs="Arial" w:eastAsia="Arial" w:hAnsi="Arial"/>
                <w:sz w:val="1"/>
                <w:szCs w:val="1"/>
                <w:color w:val="auto"/>
                <w:w w:val="4294967288"/>
              </w:rPr>
              <w:t>$</w:t>
            </w:r>
          </w:p>
        </w:tc>
        <w:tc>
          <w:tcPr>
            <w:tcW w:w="660" w:type="dxa"/>
            <w:vAlign w:val="bottom"/>
            <w:gridSpan w:val="2"/>
          </w:tcPr>
          <w:p>
            <w:pPr>
              <w:jc w:val="right"/>
              <w:ind w:right="240"/>
              <w:spacing w:after="0" w:line="88" w:lineRule="exact"/>
              <w:rPr>
                <w:sz w:val="20"/>
                <w:szCs w:val="20"/>
                <w:color w:val="auto"/>
              </w:rPr>
            </w:pPr>
            <w:r>
              <w:rPr>
                <w:rFonts w:ascii="Arial" w:cs="Arial" w:eastAsia="Arial" w:hAnsi="Arial"/>
                <w:sz w:val="8"/>
                <w:szCs w:val="8"/>
                <w:color w:val="auto"/>
              </w:rPr>
              <w:t>—</w:t>
            </w:r>
          </w:p>
        </w:tc>
        <w:tc>
          <w:tcPr>
            <w:tcW w:w="60" w:type="dxa"/>
            <w:vAlign w:val="bottom"/>
          </w:tcPr>
          <w:p>
            <w:pPr>
              <w:spacing w:after="0" w:line="88" w:lineRule="exact"/>
              <w:rPr>
                <w:sz w:val="20"/>
                <w:szCs w:val="20"/>
                <w:color w:val="auto"/>
              </w:rPr>
            </w:pPr>
            <w:r>
              <w:rPr>
                <w:rFonts w:ascii="Arial" w:cs="Arial" w:eastAsia="Arial" w:hAnsi="Arial"/>
                <w:sz w:val="8"/>
                <w:szCs w:val="8"/>
                <w:color w:val="auto"/>
                <w:w w:val="88"/>
              </w:rPr>
              <w:t>$</w:t>
            </w:r>
          </w:p>
        </w:tc>
        <w:tc>
          <w:tcPr>
            <w:tcW w:w="360" w:type="dxa"/>
            <w:vAlign w:val="bottom"/>
          </w:tcPr>
          <w:p>
            <w:pPr>
              <w:jc w:val="right"/>
              <w:spacing w:after="0" w:line="88" w:lineRule="exact"/>
              <w:rPr>
                <w:sz w:val="20"/>
                <w:szCs w:val="20"/>
                <w:color w:val="auto"/>
              </w:rPr>
            </w:pPr>
            <w:r>
              <w:rPr>
                <w:rFonts w:ascii="Arial" w:cs="Arial" w:eastAsia="Arial" w:hAnsi="Arial"/>
                <w:sz w:val="8"/>
                <w:szCs w:val="8"/>
                <w:color w:val="auto"/>
              </w:rPr>
              <w:t>1,642</w:t>
            </w:r>
          </w:p>
        </w:tc>
        <w:tc>
          <w:tcPr>
            <w:tcW w:w="120" w:type="dxa"/>
            <w:vAlign w:val="bottom"/>
          </w:tcPr>
          <w:p>
            <w:pPr>
              <w:spacing w:after="0"/>
              <w:rPr>
                <w:sz w:val="8"/>
                <w:szCs w:val="8"/>
                <w:color w:val="auto"/>
              </w:rPr>
            </w:pPr>
          </w:p>
        </w:tc>
        <w:tc>
          <w:tcPr>
            <w:tcW w:w="160" w:type="dxa"/>
            <w:vAlign w:val="bottom"/>
          </w:tcPr>
          <w:p>
            <w:pPr>
              <w:ind w:left="100"/>
              <w:spacing w:after="0"/>
              <w:rPr>
                <w:sz w:val="20"/>
                <w:szCs w:val="20"/>
                <w:color w:val="auto"/>
              </w:rPr>
            </w:pPr>
            <w:r>
              <w:rPr>
                <w:rFonts w:ascii="Arial" w:cs="Arial" w:eastAsia="Arial" w:hAnsi="Arial"/>
                <w:sz w:val="5"/>
                <w:szCs w:val="5"/>
                <w:color w:val="auto"/>
                <w:w w:val="70"/>
              </w:rPr>
              <w:t>$</w:t>
            </w:r>
          </w:p>
        </w:tc>
        <w:tc>
          <w:tcPr>
            <w:tcW w:w="600" w:type="dxa"/>
            <w:vAlign w:val="bottom"/>
            <w:gridSpan w:val="2"/>
          </w:tcPr>
          <w:p>
            <w:pPr>
              <w:jc w:val="right"/>
              <w:ind w:right="200"/>
              <w:spacing w:after="0" w:line="88" w:lineRule="exact"/>
              <w:rPr>
                <w:sz w:val="20"/>
                <w:szCs w:val="20"/>
                <w:color w:val="auto"/>
              </w:rPr>
            </w:pPr>
            <w:r>
              <w:rPr>
                <w:rFonts w:ascii="Arial" w:cs="Arial" w:eastAsia="Arial" w:hAnsi="Arial"/>
                <w:sz w:val="8"/>
                <w:szCs w:val="8"/>
                <w:color w:val="auto"/>
              </w:rPr>
              <w:t>(4,743)</w:t>
            </w:r>
          </w:p>
        </w:tc>
        <w:tc>
          <w:tcPr>
            <w:tcW w:w="100" w:type="dxa"/>
            <w:vAlign w:val="bottom"/>
          </w:tcPr>
          <w:p>
            <w:pPr>
              <w:spacing w:after="0" w:line="88" w:lineRule="exact"/>
              <w:rPr>
                <w:sz w:val="20"/>
                <w:szCs w:val="20"/>
                <w:color w:val="auto"/>
              </w:rPr>
            </w:pPr>
            <w:r>
              <w:rPr>
                <w:rFonts w:ascii="Arial" w:cs="Arial" w:eastAsia="Arial" w:hAnsi="Arial"/>
                <w:sz w:val="8"/>
                <w:szCs w:val="8"/>
                <w:color w:val="auto"/>
              </w:rPr>
              <w:t>$</w:t>
            </w:r>
          </w:p>
        </w:tc>
        <w:tc>
          <w:tcPr>
            <w:tcW w:w="640" w:type="dxa"/>
            <w:vAlign w:val="bottom"/>
            <w:gridSpan w:val="2"/>
          </w:tcPr>
          <w:p>
            <w:pPr>
              <w:jc w:val="right"/>
              <w:ind w:right="220"/>
              <w:spacing w:after="0" w:line="88" w:lineRule="exact"/>
              <w:rPr>
                <w:sz w:val="20"/>
                <w:szCs w:val="20"/>
                <w:color w:val="auto"/>
              </w:rPr>
            </w:pPr>
            <w:r>
              <w:rPr>
                <w:rFonts w:ascii="Arial" w:cs="Arial" w:eastAsia="Arial" w:hAnsi="Arial"/>
                <w:sz w:val="8"/>
                <w:szCs w:val="8"/>
                <w:color w:val="auto"/>
              </w:rPr>
              <w:t>—</w:t>
            </w:r>
          </w:p>
        </w:tc>
        <w:tc>
          <w:tcPr>
            <w:tcW w:w="80" w:type="dxa"/>
            <w:vAlign w:val="bottom"/>
          </w:tcPr>
          <w:p>
            <w:pPr>
              <w:spacing w:after="0" w:line="88" w:lineRule="exact"/>
              <w:rPr>
                <w:sz w:val="20"/>
                <w:szCs w:val="20"/>
                <w:color w:val="auto"/>
              </w:rPr>
            </w:pPr>
            <w:r>
              <w:rPr>
                <w:rFonts w:ascii="Arial" w:cs="Arial" w:eastAsia="Arial" w:hAnsi="Arial"/>
                <w:sz w:val="8"/>
                <w:szCs w:val="8"/>
                <w:color w:val="auto"/>
              </w:rPr>
              <w:t>$</w:t>
            </w:r>
          </w:p>
        </w:tc>
        <w:tc>
          <w:tcPr>
            <w:tcW w:w="400" w:type="dxa"/>
            <w:vAlign w:val="bottom"/>
          </w:tcPr>
          <w:p>
            <w:pPr>
              <w:jc w:val="right"/>
              <w:spacing w:after="0" w:line="88" w:lineRule="exact"/>
              <w:rPr>
                <w:sz w:val="20"/>
                <w:szCs w:val="20"/>
                <w:color w:val="auto"/>
              </w:rPr>
            </w:pPr>
            <w:r>
              <w:rPr>
                <w:rFonts w:ascii="Arial" w:cs="Arial" w:eastAsia="Arial" w:hAnsi="Arial"/>
                <w:sz w:val="8"/>
                <w:szCs w:val="8"/>
                <w:color w:val="auto"/>
              </w:rPr>
              <w:t>76,745</w:t>
            </w: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460" w:type="dxa"/>
            <w:vAlign w:val="bottom"/>
            <w:tcBorders>
              <w:top w:val="single" w:sz="8" w:color="CFF0FC"/>
            </w:tcBorders>
            <w:shd w:val="clear" w:color="auto" w:fill="CFF0FC"/>
          </w:tcPr>
          <w:p>
            <w:pPr>
              <w:spacing w:after="0"/>
              <w:rPr>
                <w:sz w:val="8"/>
                <w:szCs w:val="8"/>
                <w:color w:val="auto"/>
              </w:rPr>
            </w:pPr>
          </w:p>
        </w:tc>
        <w:tc>
          <w:tcPr>
            <w:tcW w:w="1640" w:type="dxa"/>
            <w:vAlign w:val="bottom"/>
            <w:tcBorders>
              <w:top w:val="single" w:sz="8" w:color="CFF0FC"/>
            </w:tcBorders>
            <w:shd w:val="clear" w:color="auto" w:fill="CFF0FC"/>
          </w:tcPr>
          <w:p>
            <w:pPr>
              <w:spacing w:after="0"/>
              <w:rPr>
                <w:sz w:val="8"/>
                <w:szCs w:val="8"/>
                <w:color w:val="auto"/>
              </w:rPr>
            </w:pPr>
          </w:p>
        </w:tc>
        <w:tc>
          <w:tcPr>
            <w:tcW w:w="120" w:type="dxa"/>
            <w:vAlign w:val="bottom"/>
            <w:tcBorders>
              <w:top w:val="single" w:sz="8" w:color="CFF0FC"/>
            </w:tcBorders>
            <w:shd w:val="clear" w:color="auto" w:fill="CFF0FC"/>
          </w:tcPr>
          <w:p>
            <w:pPr>
              <w:spacing w:after="0"/>
              <w:rPr>
                <w:sz w:val="8"/>
                <w:szCs w:val="8"/>
                <w:color w:val="auto"/>
              </w:rPr>
            </w:pPr>
          </w:p>
        </w:tc>
        <w:tc>
          <w:tcPr>
            <w:tcW w:w="400" w:type="dxa"/>
            <w:vAlign w:val="bottom"/>
            <w:tcBorders>
              <w:top w:val="single" w:sz="8" w:color="auto"/>
            </w:tcBorders>
            <w:shd w:val="clear" w:color="auto" w:fill="CFF0FC"/>
          </w:tcPr>
          <w:p>
            <w:pPr>
              <w:spacing w:after="0"/>
              <w:rPr>
                <w:sz w:val="8"/>
                <w:szCs w:val="8"/>
                <w:color w:val="auto"/>
              </w:rPr>
            </w:pPr>
          </w:p>
        </w:tc>
        <w:tc>
          <w:tcPr>
            <w:tcW w:w="240" w:type="dxa"/>
            <w:vAlign w:val="bottom"/>
            <w:tcBorders>
              <w:top w:val="single" w:sz="8" w:color="CFF0FC"/>
            </w:tcBorders>
            <w:shd w:val="clear" w:color="auto" w:fill="CFF0FC"/>
          </w:tcPr>
          <w:p>
            <w:pPr>
              <w:spacing w:after="0"/>
              <w:rPr>
                <w:sz w:val="8"/>
                <w:szCs w:val="8"/>
                <w:color w:val="auto"/>
              </w:rPr>
            </w:pPr>
          </w:p>
        </w:tc>
        <w:tc>
          <w:tcPr>
            <w:tcW w:w="60" w:type="dxa"/>
            <w:vAlign w:val="bottom"/>
            <w:tcBorders>
              <w:top w:val="single" w:sz="8" w:color="auto"/>
            </w:tcBorders>
            <w:shd w:val="clear" w:color="auto" w:fill="CFF0FC"/>
          </w:tcPr>
          <w:p>
            <w:pPr>
              <w:spacing w:after="0"/>
              <w:rPr>
                <w:sz w:val="8"/>
                <w:szCs w:val="8"/>
                <w:color w:val="auto"/>
              </w:rPr>
            </w:pPr>
          </w:p>
        </w:tc>
        <w:tc>
          <w:tcPr>
            <w:tcW w:w="340" w:type="dxa"/>
            <w:vAlign w:val="bottom"/>
            <w:tcBorders>
              <w:top w:val="single" w:sz="8" w:color="auto"/>
            </w:tcBorders>
            <w:shd w:val="clear" w:color="auto" w:fill="CFF0FC"/>
          </w:tcPr>
          <w:p>
            <w:pPr>
              <w:spacing w:after="0"/>
              <w:rPr>
                <w:sz w:val="8"/>
                <w:szCs w:val="8"/>
                <w:color w:val="auto"/>
              </w:rPr>
            </w:pPr>
          </w:p>
        </w:tc>
        <w:tc>
          <w:tcPr>
            <w:tcW w:w="240" w:type="dxa"/>
            <w:vAlign w:val="bottom"/>
            <w:tcBorders>
              <w:top w:val="single" w:sz="8" w:color="CFF0FC"/>
            </w:tcBorders>
            <w:shd w:val="clear" w:color="auto" w:fill="CFF0FC"/>
          </w:tcPr>
          <w:p>
            <w:pPr>
              <w:spacing w:after="0"/>
              <w:rPr>
                <w:sz w:val="8"/>
                <w:szCs w:val="8"/>
                <w:color w:val="auto"/>
              </w:rPr>
            </w:pPr>
          </w:p>
        </w:tc>
        <w:tc>
          <w:tcPr>
            <w:tcW w:w="240" w:type="dxa"/>
            <w:vAlign w:val="bottom"/>
            <w:tcBorders>
              <w:top w:val="single" w:sz="8" w:color="auto"/>
            </w:tcBorders>
            <w:shd w:val="clear" w:color="auto" w:fill="CFF0FC"/>
          </w:tcPr>
          <w:p>
            <w:pPr>
              <w:spacing w:after="0"/>
              <w:rPr>
                <w:sz w:val="8"/>
                <w:szCs w:val="8"/>
                <w:color w:val="auto"/>
              </w:rPr>
            </w:pPr>
          </w:p>
        </w:tc>
        <w:tc>
          <w:tcPr>
            <w:tcW w:w="240" w:type="dxa"/>
            <w:vAlign w:val="bottom"/>
            <w:tcBorders>
              <w:top w:val="single" w:sz="8" w:color="CFF0FC"/>
            </w:tcBorders>
            <w:shd w:val="clear" w:color="auto" w:fill="CFF0FC"/>
          </w:tcPr>
          <w:p>
            <w:pPr>
              <w:spacing w:after="0"/>
              <w:rPr>
                <w:sz w:val="8"/>
                <w:szCs w:val="8"/>
                <w:color w:val="auto"/>
              </w:rPr>
            </w:pPr>
          </w:p>
        </w:tc>
        <w:tc>
          <w:tcPr>
            <w:tcW w:w="120" w:type="dxa"/>
            <w:vAlign w:val="bottom"/>
            <w:tcBorders>
              <w:top w:val="single" w:sz="8" w:color="auto"/>
            </w:tcBorders>
            <w:shd w:val="clear" w:color="auto" w:fill="CFF0FC"/>
          </w:tcPr>
          <w:p>
            <w:pPr>
              <w:spacing w:after="0"/>
              <w:rPr>
                <w:sz w:val="8"/>
                <w:szCs w:val="8"/>
                <w:color w:val="auto"/>
              </w:rPr>
            </w:pPr>
          </w:p>
        </w:tc>
        <w:tc>
          <w:tcPr>
            <w:tcW w:w="160" w:type="dxa"/>
            <w:vAlign w:val="bottom"/>
            <w:tcBorders>
              <w:top w:val="single" w:sz="8" w:color="auto"/>
            </w:tcBorders>
            <w:shd w:val="clear" w:color="auto" w:fill="CFF0FC"/>
          </w:tcPr>
          <w:p>
            <w:pPr>
              <w:spacing w:after="0"/>
              <w:rPr>
                <w:sz w:val="8"/>
                <w:szCs w:val="8"/>
                <w:color w:val="auto"/>
              </w:rPr>
            </w:pPr>
          </w:p>
        </w:tc>
        <w:tc>
          <w:tcPr>
            <w:tcW w:w="220" w:type="dxa"/>
            <w:vAlign w:val="bottom"/>
            <w:tcBorders>
              <w:top w:val="single" w:sz="8" w:color="CFF0FC"/>
            </w:tcBorders>
            <w:shd w:val="clear" w:color="auto" w:fill="CFF0FC"/>
          </w:tcPr>
          <w:p>
            <w:pPr>
              <w:spacing w:after="0"/>
              <w:rPr>
                <w:sz w:val="8"/>
                <w:szCs w:val="8"/>
                <w:color w:val="auto"/>
              </w:rPr>
            </w:pPr>
          </w:p>
        </w:tc>
        <w:tc>
          <w:tcPr>
            <w:tcW w:w="380" w:type="dxa"/>
            <w:vAlign w:val="bottom"/>
            <w:tcBorders>
              <w:top w:val="single" w:sz="8" w:color="auto"/>
            </w:tcBorders>
            <w:shd w:val="clear" w:color="auto" w:fill="CFF0FC"/>
          </w:tcPr>
          <w:p>
            <w:pPr>
              <w:spacing w:after="0"/>
              <w:rPr>
                <w:sz w:val="8"/>
                <w:szCs w:val="8"/>
                <w:color w:val="auto"/>
              </w:rPr>
            </w:pPr>
          </w:p>
        </w:tc>
        <w:tc>
          <w:tcPr>
            <w:tcW w:w="280" w:type="dxa"/>
            <w:vAlign w:val="bottom"/>
            <w:tcBorders>
              <w:top w:val="single" w:sz="8" w:color="CFF0FC"/>
              <w:right w:val="single" w:sz="8" w:color="CFF0FC"/>
            </w:tcBorders>
            <w:shd w:val="clear" w:color="auto" w:fill="CFF0FC"/>
          </w:tcPr>
          <w:p>
            <w:pPr>
              <w:spacing w:after="0"/>
              <w:rPr>
                <w:sz w:val="8"/>
                <w:szCs w:val="8"/>
                <w:color w:val="auto"/>
              </w:rPr>
            </w:pPr>
          </w:p>
        </w:tc>
        <w:tc>
          <w:tcPr>
            <w:tcW w:w="340" w:type="dxa"/>
            <w:vAlign w:val="bottom"/>
            <w:tcBorders>
              <w:top w:val="single" w:sz="8" w:color="auto"/>
            </w:tcBorders>
            <w:shd w:val="clear" w:color="auto" w:fill="CFF0FC"/>
          </w:tcPr>
          <w:p>
            <w:pPr>
              <w:spacing w:after="0"/>
              <w:rPr>
                <w:sz w:val="8"/>
                <w:szCs w:val="8"/>
                <w:color w:val="auto"/>
              </w:rPr>
            </w:pPr>
          </w:p>
        </w:tc>
        <w:tc>
          <w:tcPr>
            <w:tcW w:w="220" w:type="dxa"/>
            <w:vAlign w:val="bottom"/>
            <w:tcBorders>
              <w:top w:val="single" w:sz="8" w:color="CFF0FC"/>
            </w:tcBorders>
            <w:shd w:val="clear" w:color="auto" w:fill="CFF0FC"/>
          </w:tcPr>
          <w:p>
            <w:pPr>
              <w:spacing w:after="0"/>
              <w:rPr>
                <w:sz w:val="8"/>
                <w:szCs w:val="8"/>
                <w:color w:val="auto"/>
              </w:rPr>
            </w:pPr>
          </w:p>
        </w:tc>
        <w:tc>
          <w:tcPr>
            <w:tcW w:w="380" w:type="dxa"/>
            <w:vAlign w:val="bottom"/>
            <w:tcBorders>
              <w:top w:val="single" w:sz="8" w:color="auto"/>
            </w:tcBorders>
            <w:shd w:val="clear" w:color="auto" w:fill="CFF0FC"/>
          </w:tcPr>
          <w:p>
            <w:pPr>
              <w:spacing w:after="0"/>
              <w:rPr>
                <w:sz w:val="8"/>
                <w:szCs w:val="8"/>
                <w:color w:val="auto"/>
              </w:rPr>
            </w:pPr>
          </w:p>
        </w:tc>
        <w:tc>
          <w:tcPr>
            <w:tcW w:w="220" w:type="dxa"/>
            <w:vAlign w:val="bottom"/>
            <w:tcBorders>
              <w:top w:val="single" w:sz="8" w:color="CFF0FC"/>
            </w:tcBorders>
            <w:shd w:val="clear" w:color="auto" w:fill="CFF0FC"/>
          </w:tcPr>
          <w:p>
            <w:pPr>
              <w:spacing w:after="0"/>
              <w:rPr>
                <w:sz w:val="8"/>
                <w:szCs w:val="8"/>
                <w:color w:val="auto"/>
              </w:rPr>
            </w:pPr>
          </w:p>
        </w:tc>
        <w:tc>
          <w:tcPr>
            <w:tcW w:w="60" w:type="dxa"/>
            <w:vAlign w:val="bottom"/>
            <w:tcBorders>
              <w:top w:val="single" w:sz="8" w:color="auto"/>
            </w:tcBorders>
            <w:shd w:val="clear" w:color="auto" w:fill="CFF0FC"/>
          </w:tcPr>
          <w:p>
            <w:pPr>
              <w:spacing w:after="0"/>
              <w:rPr>
                <w:sz w:val="8"/>
                <w:szCs w:val="8"/>
                <w:color w:val="auto"/>
              </w:rPr>
            </w:pPr>
          </w:p>
        </w:tc>
        <w:tc>
          <w:tcPr>
            <w:tcW w:w="340" w:type="dxa"/>
            <w:vAlign w:val="bottom"/>
            <w:tcBorders>
              <w:top w:val="single" w:sz="8" w:color="auto"/>
            </w:tcBorders>
            <w:shd w:val="clear" w:color="auto" w:fill="CFF0FC"/>
          </w:tcPr>
          <w:p>
            <w:pPr>
              <w:spacing w:after="0"/>
              <w:rPr>
                <w:sz w:val="8"/>
                <w:szCs w:val="8"/>
                <w:color w:val="auto"/>
              </w:rPr>
            </w:pPr>
          </w:p>
        </w:tc>
        <w:tc>
          <w:tcPr>
            <w:tcW w:w="220" w:type="dxa"/>
            <w:vAlign w:val="bottom"/>
            <w:tcBorders>
              <w:top w:val="single" w:sz="8" w:color="CFF0FC"/>
            </w:tcBorders>
            <w:shd w:val="clear" w:color="auto" w:fill="CFF0FC"/>
          </w:tcPr>
          <w:p>
            <w:pPr>
              <w:spacing w:after="0"/>
              <w:rPr>
                <w:sz w:val="8"/>
                <w:szCs w:val="8"/>
                <w:color w:val="auto"/>
              </w:rPr>
            </w:pPr>
          </w:p>
        </w:tc>
        <w:tc>
          <w:tcPr>
            <w:tcW w:w="380" w:type="dxa"/>
            <w:vAlign w:val="bottom"/>
            <w:tcBorders>
              <w:top w:val="single" w:sz="8" w:color="auto"/>
            </w:tcBorders>
            <w:shd w:val="clear" w:color="auto" w:fill="CFF0FC"/>
          </w:tcPr>
          <w:p>
            <w:pPr>
              <w:spacing w:after="0"/>
              <w:rPr>
                <w:sz w:val="8"/>
                <w:szCs w:val="8"/>
                <w:color w:val="auto"/>
              </w:rPr>
            </w:pPr>
          </w:p>
        </w:tc>
        <w:tc>
          <w:tcPr>
            <w:tcW w:w="220" w:type="dxa"/>
            <w:vAlign w:val="bottom"/>
            <w:tcBorders>
              <w:top w:val="single" w:sz="8" w:color="CFF0FC"/>
            </w:tcBorders>
            <w:shd w:val="clear" w:color="auto" w:fill="CFF0FC"/>
          </w:tcPr>
          <w:p>
            <w:pPr>
              <w:spacing w:after="0"/>
              <w:rPr>
                <w:sz w:val="8"/>
                <w:szCs w:val="8"/>
                <w:color w:val="auto"/>
              </w:rPr>
            </w:pPr>
          </w:p>
        </w:tc>
        <w:tc>
          <w:tcPr>
            <w:tcW w:w="80" w:type="dxa"/>
            <w:vAlign w:val="bottom"/>
            <w:tcBorders>
              <w:top w:val="single" w:sz="8" w:color="auto"/>
            </w:tcBorders>
            <w:shd w:val="clear" w:color="auto" w:fill="CFF0FC"/>
          </w:tcPr>
          <w:p>
            <w:pPr>
              <w:spacing w:after="0"/>
              <w:rPr>
                <w:sz w:val="8"/>
                <w:szCs w:val="8"/>
                <w:color w:val="auto"/>
              </w:rPr>
            </w:pPr>
          </w:p>
        </w:tc>
        <w:tc>
          <w:tcPr>
            <w:tcW w:w="360" w:type="dxa"/>
            <w:vAlign w:val="bottom"/>
            <w:tcBorders>
              <w:top w:val="single" w:sz="8" w:color="auto"/>
            </w:tcBorders>
            <w:shd w:val="clear" w:color="auto" w:fill="CFF0FC"/>
          </w:tcPr>
          <w:p>
            <w:pPr>
              <w:spacing w:after="0"/>
              <w:rPr>
                <w:sz w:val="8"/>
                <w:szCs w:val="8"/>
                <w:color w:val="auto"/>
              </w:rPr>
            </w:pPr>
          </w:p>
        </w:tc>
        <w:tc>
          <w:tcPr>
            <w:tcW w:w="120" w:type="dxa"/>
            <w:vAlign w:val="bottom"/>
            <w:tcBorders>
              <w:top w:val="single" w:sz="8" w:color="CFF0FC"/>
            </w:tcBorders>
            <w:shd w:val="clear" w:color="auto" w:fill="CFF0FC"/>
          </w:tcPr>
          <w:p>
            <w:pPr>
              <w:spacing w:after="0"/>
              <w:rPr>
                <w:sz w:val="8"/>
                <w:szCs w:val="8"/>
                <w:color w:val="auto"/>
              </w:rPr>
            </w:pPr>
          </w:p>
        </w:tc>
        <w:tc>
          <w:tcPr>
            <w:tcW w:w="140" w:type="dxa"/>
            <w:vAlign w:val="bottom"/>
            <w:tcBorders>
              <w:top w:val="single" w:sz="8" w:color="CFF0FC"/>
              <w:right w:val="single" w:sz="8" w:color="CFF0FC"/>
            </w:tcBorders>
            <w:shd w:val="clear" w:color="auto" w:fill="CFF0FC"/>
          </w:tcPr>
          <w:p>
            <w:pPr>
              <w:spacing w:after="0"/>
              <w:rPr>
                <w:sz w:val="8"/>
                <w:szCs w:val="8"/>
                <w:color w:val="auto"/>
              </w:rPr>
            </w:pPr>
          </w:p>
        </w:tc>
        <w:tc>
          <w:tcPr>
            <w:tcW w:w="440" w:type="dxa"/>
            <w:vAlign w:val="bottom"/>
            <w:tcBorders>
              <w:top w:val="single" w:sz="8" w:color="auto"/>
            </w:tcBorders>
            <w:shd w:val="clear" w:color="auto" w:fill="CFF0FC"/>
          </w:tcPr>
          <w:p>
            <w:pPr>
              <w:spacing w:after="0"/>
              <w:rPr>
                <w:sz w:val="8"/>
                <w:szCs w:val="8"/>
                <w:color w:val="auto"/>
              </w:rPr>
            </w:pPr>
          </w:p>
        </w:tc>
        <w:tc>
          <w:tcPr>
            <w:tcW w:w="220" w:type="dxa"/>
            <w:vAlign w:val="bottom"/>
            <w:tcBorders>
              <w:top w:val="single" w:sz="8" w:color="CFF0FC"/>
            </w:tcBorders>
            <w:shd w:val="clear" w:color="auto" w:fill="CFF0FC"/>
          </w:tcPr>
          <w:p>
            <w:pPr>
              <w:spacing w:after="0"/>
              <w:rPr>
                <w:sz w:val="8"/>
                <w:szCs w:val="8"/>
                <w:color w:val="auto"/>
              </w:rPr>
            </w:pPr>
          </w:p>
        </w:tc>
        <w:tc>
          <w:tcPr>
            <w:tcW w:w="60" w:type="dxa"/>
            <w:vAlign w:val="bottom"/>
            <w:tcBorders>
              <w:top w:val="single" w:sz="8" w:color="auto"/>
            </w:tcBorders>
            <w:shd w:val="clear" w:color="auto" w:fill="CFF0FC"/>
          </w:tcPr>
          <w:p>
            <w:pPr>
              <w:spacing w:after="0"/>
              <w:rPr>
                <w:sz w:val="8"/>
                <w:szCs w:val="8"/>
                <w:color w:val="auto"/>
              </w:rPr>
            </w:pPr>
          </w:p>
        </w:tc>
        <w:tc>
          <w:tcPr>
            <w:tcW w:w="360" w:type="dxa"/>
            <w:vAlign w:val="bottom"/>
            <w:tcBorders>
              <w:top w:val="single" w:sz="8" w:color="auto"/>
            </w:tcBorders>
            <w:shd w:val="clear" w:color="auto" w:fill="CFF0FC"/>
          </w:tcPr>
          <w:p>
            <w:pPr>
              <w:spacing w:after="0"/>
              <w:rPr>
                <w:sz w:val="8"/>
                <w:szCs w:val="8"/>
                <w:color w:val="auto"/>
              </w:rPr>
            </w:pPr>
          </w:p>
        </w:tc>
        <w:tc>
          <w:tcPr>
            <w:tcW w:w="120" w:type="dxa"/>
            <w:vAlign w:val="bottom"/>
            <w:tcBorders>
              <w:top w:val="single" w:sz="8" w:color="CFF0FC"/>
            </w:tcBorders>
            <w:shd w:val="clear" w:color="auto" w:fill="CFF0FC"/>
          </w:tcPr>
          <w:p>
            <w:pPr>
              <w:spacing w:after="0"/>
              <w:rPr>
                <w:sz w:val="8"/>
                <w:szCs w:val="8"/>
                <w:color w:val="auto"/>
              </w:rPr>
            </w:pPr>
          </w:p>
        </w:tc>
        <w:tc>
          <w:tcPr>
            <w:tcW w:w="160" w:type="dxa"/>
            <w:vAlign w:val="bottom"/>
            <w:tcBorders>
              <w:top w:val="single" w:sz="8" w:color="CFF0FC"/>
              <w:right w:val="single" w:sz="8" w:color="CFF0FC"/>
            </w:tcBorders>
            <w:shd w:val="clear" w:color="auto" w:fill="CFF0FC"/>
          </w:tcPr>
          <w:p>
            <w:pPr>
              <w:spacing w:after="0"/>
              <w:rPr>
                <w:sz w:val="8"/>
                <w:szCs w:val="8"/>
                <w:color w:val="auto"/>
              </w:rPr>
            </w:pPr>
          </w:p>
        </w:tc>
        <w:tc>
          <w:tcPr>
            <w:tcW w:w="380" w:type="dxa"/>
            <w:vAlign w:val="bottom"/>
            <w:tcBorders>
              <w:top w:val="single" w:sz="8" w:color="auto"/>
            </w:tcBorders>
            <w:shd w:val="clear" w:color="auto" w:fill="CFF0FC"/>
          </w:tcPr>
          <w:p>
            <w:pPr>
              <w:spacing w:after="0"/>
              <w:rPr>
                <w:sz w:val="8"/>
                <w:szCs w:val="8"/>
                <w:color w:val="auto"/>
              </w:rPr>
            </w:pPr>
          </w:p>
        </w:tc>
        <w:tc>
          <w:tcPr>
            <w:tcW w:w="220" w:type="dxa"/>
            <w:vAlign w:val="bottom"/>
            <w:tcBorders>
              <w:top w:val="single" w:sz="8" w:color="CFF0FC"/>
            </w:tcBorders>
            <w:shd w:val="clear" w:color="auto" w:fill="CFF0FC"/>
          </w:tcPr>
          <w:p>
            <w:pPr>
              <w:spacing w:after="0"/>
              <w:rPr>
                <w:sz w:val="8"/>
                <w:szCs w:val="8"/>
                <w:color w:val="auto"/>
              </w:rPr>
            </w:pPr>
          </w:p>
        </w:tc>
        <w:tc>
          <w:tcPr>
            <w:tcW w:w="100" w:type="dxa"/>
            <w:vAlign w:val="bottom"/>
            <w:tcBorders>
              <w:top w:val="single" w:sz="8" w:color="auto"/>
            </w:tcBorders>
            <w:shd w:val="clear" w:color="auto" w:fill="CFF0FC"/>
          </w:tcPr>
          <w:p>
            <w:pPr>
              <w:spacing w:after="0"/>
              <w:rPr>
                <w:sz w:val="8"/>
                <w:szCs w:val="8"/>
                <w:color w:val="auto"/>
              </w:rPr>
            </w:pPr>
          </w:p>
        </w:tc>
        <w:tc>
          <w:tcPr>
            <w:tcW w:w="420" w:type="dxa"/>
            <w:vAlign w:val="bottom"/>
            <w:tcBorders>
              <w:top w:val="single" w:sz="8" w:color="auto"/>
            </w:tcBorders>
            <w:shd w:val="clear" w:color="auto" w:fill="CFF0FC"/>
          </w:tcPr>
          <w:p>
            <w:pPr>
              <w:spacing w:after="0"/>
              <w:rPr>
                <w:sz w:val="8"/>
                <w:szCs w:val="8"/>
                <w:color w:val="auto"/>
              </w:rPr>
            </w:pPr>
          </w:p>
        </w:tc>
        <w:tc>
          <w:tcPr>
            <w:tcW w:w="220" w:type="dxa"/>
            <w:vAlign w:val="bottom"/>
            <w:tcBorders>
              <w:top w:val="single" w:sz="8" w:color="CFF0FC"/>
            </w:tcBorders>
            <w:shd w:val="clear" w:color="auto" w:fill="CFF0FC"/>
          </w:tcPr>
          <w:p>
            <w:pPr>
              <w:spacing w:after="0"/>
              <w:rPr>
                <w:sz w:val="8"/>
                <w:szCs w:val="8"/>
                <w:color w:val="auto"/>
              </w:rPr>
            </w:pPr>
          </w:p>
        </w:tc>
        <w:tc>
          <w:tcPr>
            <w:tcW w:w="80" w:type="dxa"/>
            <w:vAlign w:val="bottom"/>
            <w:tcBorders>
              <w:top w:val="single" w:sz="8" w:color="auto"/>
            </w:tcBorders>
            <w:shd w:val="clear" w:color="auto" w:fill="CFF0FC"/>
          </w:tcPr>
          <w:p>
            <w:pPr>
              <w:spacing w:after="0"/>
              <w:rPr>
                <w:sz w:val="8"/>
                <w:szCs w:val="8"/>
                <w:color w:val="auto"/>
              </w:rPr>
            </w:pPr>
          </w:p>
        </w:tc>
        <w:tc>
          <w:tcPr>
            <w:tcW w:w="400" w:type="dxa"/>
            <w:vAlign w:val="bottom"/>
            <w:tcBorders>
              <w:top w:val="single" w:sz="8" w:color="auto"/>
            </w:tcBorders>
            <w:shd w:val="clear" w:color="auto" w:fill="CFF0FC"/>
          </w:tcPr>
          <w:p>
            <w:pPr>
              <w:spacing w:after="0"/>
              <w:rPr>
                <w:sz w:val="8"/>
                <w:szCs w:val="8"/>
                <w:color w:val="auto"/>
              </w:rPr>
            </w:pPr>
          </w:p>
        </w:tc>
        <w:tc>
          <w:tcPr>
            <w:tcW w:w="60" w:type="dxa"/>
            <w:vAlign w:val="bottom"/>
            <w:tcBorders>
              <w:top w:val="single" w:sz="8" w:color="CFF0FC"/>
            </w:tcBorders>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240" w:type="dxa"/>
            <w:vAlign w:val="bottom"/>
            <w:gridSpan w:val="4"/>
          </w:tcPr>
          <w:p>
            <w:pPr>
              <w:spacing w:after="0"/>
              <w:rPr>
                <w:sz w:val="20"/>
                <w:szCs w:val="20"/>
                <w:color w:val="auto"/>
              </w:rPr>
            </w:pPr>
            <w:r>
              <w:rPr>
                <w:rFonts w:ascii="Arial" w:cs="Arial" w:eastAsia="Arial" w:hAnsi="Arial"/>
                <w:sz w:val="8"/>
                <w:szCs w:val="8"/>
                <w:b w:val="1"/>
                <w:bCs w:val="1"/>
                <w:i w:val="1"/>
                <w:iCs w:val="1"/>
                <w:color w:val="auto"/>
              </w:rPr>
              <w:t>Successor</w:t>
            </w: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2100" w:type="dxa"/>
            <w:vAlign w:val="bottom"/>
            <w:tcBorders>
              <w:top w:val="single" w:sz="8" w:color="auto"/>
            </w:tcBorders>
            <w:gridSpan w:val="2"/>
            <w:shd w:val="clear" w:color="auto" w:fill="CFF0FC"/>
          </w:tcPr>
          <w:p>
            <w:pPr>
              <w:spacing w:after="0" w:line="88" w:lineRule="exact"/>
              <w:rPr>
                <w:sz w:val="20"/>
                <w:szCs w:val="20"/>
                <w:color w:val="auto"/>
              </w:rPr>
            </w:pPr>
            <w:r>
              <w:rPr>
                <w:rFonts w:ascii="Arial" w:cs="Arial" w:eastAsia="Arial" w:hAnsi="Arial"/>
                <w:sz w:val="8"/>
                <w:szCs w:val="8"/>
                <w:color w:val="auto"/>
              </w:rPr>
              <w:t>Balance as of May 31, 2017</w:t>
            </w:r>
          </w:p>
        </w:tc>
        <w:tc>
          <w:tcPr>
            <w:tcW w:w="120" w:type="dxa"/>
            <w:vAlign w:val="bottom"/>
            <w:tcBorders>
              <w:top w:val="single" w:sz="8" w:color="CFF0FC"/>
            </w:tcBorders>
            <w:shd w:val="clear" w:color="auto" w:fill="CFF0FC"/>
          </w:tcPr>
          <w:p>
            <w:pPr>
              <w:spacing w:after="0"/>
              <w:rPr>
                <w:sz w:val="7"/>
                <w:szCs w:val="7"/>
                <w:color w:val="auto"/>
              </w:rPr>
            </w:pPr>
          </w:p>
        </w:tc>
        <w:tc>
          <w:tcPr>
            <w:tcW w:w="400" w:type="dxa"/>
            <w:vAlign w:val="bottom"/>
            <w:tcBorders>
              <w:top w:val="single" w:sz="8" w:color="CFF0FC"/>
            </w:tcBorders>
            <w:shd w:val="clear" w:color="auto" w:fill="CFF0FC"/>
          </w:tcPr>
          <w:p>
            <w:pPr>
              <w:jc w:val="right"/>
              <w:spacing w:after="0" w:line="88" w:lineRule="exact"/>
              <w:rPr>
                <w:sz w:val="20"/>
                <w:szCs w:val="20"/>
                <w:color w:val="auto"/>
              </w:rPr>
            </w:pPr>
            <w:r>
              <w:rPr>
                <w:rFonts w:ascii="Arial" w:cs="Arial" w:eastAsia="Arial" w:hAnsi="Arial"/>
                <w:sz w:val="8"/>
                <w:szCs w:val="8"/>
                <w:color w:val="auto"/>
              </w:rPr>
              <w:t>—</w:t>
            </w:r>
          </w:p>
        </w:tc>
        <w:tc>
          <w:tcPr>
            <w:tcW w:w="300" w:type="dxa"/>
            <w:vAlign w:val="bottom"/>
            <w:tcBorders>
              <w:top w:val="single" w:sz="8" w:color="CFF0FC"/>
            </w:tcBorders>
            <w:gridSpan w:val="2"/>
            <w:shd w:val="clear" w:color="auto" w:fill="CFF0FC"/>
          </w:tcPr>
          <w:p>
            <w:pPr>
              <w:jc w:val="right"/>
              <w:spacing w:after="0" w:line="88" w:lineRule="exact"/>
              <w:rPr>
                <w:sz w:val="20"/>
                <w:szCs w:val="20"/>
                <w:color w:val="auto"/>
              </w:rPr>
            </w:pPr>
            <w:r>
              <w:rPr>
                <w:rFonts w:ascii="Arial" w:cs="Arial" w:eastAsia="Arial" w:hAnsi="Arial"/>
                <w:sz w:val="8"/>
                <w:szCs w:val="8"/>
                <w:color w:val="auto"/>
              </w:rPr>
              <w:t>$</w:t>
            </w:r>
          </w:p>
        </w:tc>
        <w:tc>
          <w:tcPr>
            <w:tcW w:w="580" w:type="dxa"/>
            <w:vAlign w:val="bottom"/>
            <w:tcBorders>
              <w:top w:val="single" w:sz="8" w:color="CFF0FC"/>
            </w:tcBorders>
            <w:gridSpan w:val="2"/>
            <w:shd w:val="clear" w:color="auto" w:fill="CFF0FC"/>
          </w:tcPr>
          <w:p>
            <w:pPr>
              <w:jc w:val="right"/>
              <w:ind w:right="240"/>
              <w:spacing w:after="0" w:line="88" w:lineRule="exact"/>
              <w:rPr>
                <w:sz w:val="20"/>
                <w:szCs w:val="20"/>
                <w:color w:val="auto"/>
              </w:rPr>
            </w:pPr>
            <w:r>
              <w:rPr>
                <w:rFonts w:ascii="Arial" w:cs="Arial" w:eastAsia="Arial" w:hAnsi="Arial"/>
                <w:sz w:val="8"/>
                <w:szCs w:val="8"/>
                <w:color w:val="auto"/>
              </w:rPr>
              <w:t>—</w:t>
            </w:r>
          </w:p>
        </w:tc>
        <w:tc>
          <w:tcPr>
            <w:tcW w:w="240" w:type="dxa"/>
            <w:vAlign w:val="bottom"/>
            <w:tcBorders>
              <w:top w:val="single" w:sz="8" w:color="CFF0FC"/>
            </w:tcBorders>
            <w:shd w:val="clear" w:color="auto" w:fill="CFF0FC"/>
          </w:tcPr>
          <w:p>
            <w:pPr>
              <w:ind w:left="160"/>
              <w:spacing w:after="0" w:line="88" w:lineRule="exact"/>
              <w:rPr>
                <w:sz w:val="20"/>
                <w:szCs w:val="20"/>
                <w:color w:val="auto"/>
              </w:rPr>
            </w:pPr>
            <w:r>
              <w:rPr>
                <w:rFonts w:ascii="Arial" w:cs="Arial" w:eastAsia="Arial" w:hAnsi="Arial"/>
                <w:sz w:val="8"/>
                <w:szCs w:val="8"/>
                <w:color w:val="auto"/>
                <w:w w:val="74"/>
              </w:rPr>
              <w:t>—</w:t>
            </w:r>
          </w:p>
        </w:tc>
        <w:tc>
          <w:tcPr>
            <w:tcW w:w="360" w:type="dxa"/>
            <w:vAlign w:val="bottom"/>
            <w:tcBorders>
              <w:top w:val="single" w:sz="8" w:color="CFF0FC"/>
            </w:tcBorders>
            <w:gridSpan w:val="2"/>
            <w:shd w:val="clear" w:color="auto" w:fill="CFF0FC"/>
          </w:tcPr>
          <w:p>
            <w:pPr>
              <w:ind w:left="240"/>
              <w:spacing w:after="0" w:line="88" w:lineRule="exact"/>
              <w:rPr>
                <w:sz w:val="20"/>
                <w:szCs w:val="20"/>
                <w:color w:val="auto"/>
              </w:rPr>
            </w:pPr>
            <w:r>
              <w:rPr>
                <w:rFonts w:ascii="Arial" w:cs="Arial" w:eastAsia="Arial" w:hAnsi="Arial"/>
                <w:sz w:val="8"/>
                <w:szCs w:val="8"/>
                <w:color w:val="auto"/>
              </w:rPr>
              <w:t>$</w:t>
            </w:r>
          </w:p>
        </w:tc>
        <w:tc>
          <w:tcPr>
            <w:tcW w:w="380" w:type="dxa"/>
            <w:vAlign w:val="bottom"/>
            <w:tcBorders>
              <w:top w:val="single" w:sz="8" w:color="CFF0FC"/>
            </w:tcBorders>
            <w:gridSpan w:val="2"/>
            <w:shd w:val="clear" w:color="auto" w:fill="CFF0FC"/>
          </w:tcPr>
          <w:p>
            <w:pPr>
              <w:ind w:left="60"/>
              <w:spacing w:after="0" w:line="88" w:lineRule="exact"/>
              <w:rPr>
                <w:sz w:val="20"/>
                <w:szCs w:val="20"/>
                <w:color w:val="auto"/>
              </w:rPr>
            </w:pPr>
            <w:r>
              <w:rPr>
                <w:rFonts w:ascii="Arial" w:cs="Arial" w:eastAsia="Arial" w:hAnsi="Arial"/>
                <w:sz w:val="8"/>
                <w:szCs w:val="8"/>
                <w:color w:val="auto"/>
              </w:rPr>
              <w:t>—</w:t>
            </w:r>
          </w:p>
        </w:tc>
        <w:tc>
          <w:tcPr>
            <w:tcW w:w="380" w:type="dxa"/>
            <w:vAlign w:val="bottom"/>
            <w:tcBorders>
              <w:top w:val="single" w:sz="8" w:color="CFF0FC"/>
            </w:tcBorders>
            <w:shd w:val="clear" w:color="auto" w:fill="CFF0FC"/>
          </w:tcPr>
          <w:p>
            <w:pPr>
              <w:jc w:val="right"/>
              <w:spacing w:after="0" w:line="88" w:lineRule="exact"/>
              <w:rPr>
                <w:sz w:val="20"/>
                <w:szCs w:val="20"/>
                <w:color w:val="auto"/>
              </w:rPr>
            </w:pPr>
            <w:r>
              <w:rPr>
                <w:rFonts w:ascii="Arial" w:cs="Arial" w:eastAsia="Arial" w:hAnsi="Arial"/>
                <w:sz w:val="8"/>
                <w:szCs w:val="8"/>
                <w:color w:val="auto"/>
              </w:rPr>
              <w:t>—</w:t>
            </w:r>
          </w:p>
        </w:tc>
        <w:tc>
          <w:tcPr>
            <w:tcW w:w="280" w:type="dxa"/>
            <w:vAlign w:val="bottom"/>
            <w:tcBorders>
              <w:top w:val="single" w:sz="8" w:color="CFF0FC"/>
              <w:right w:val="single" w:sz="8" w:color="CFF0FC"/>
            </w:tcBorders>
            <w:shd w:val="clear" w:color="auto" w:fill="CFF0FC"/>
          </w:tcPr>
          <w:p>
            <w:pPr>
              <w:jc w:val="right"/>
              <w:spacing w:after="0" w:line="88" w:lineRule="exact"/>
              <w:rPr>
                <w:sz w:val="20"/>
                <w:szCs w:val="20"/>
                <w:color w:val="auto"/>
              </w:rPr>
            </w:pPr>
            <w:r>
              <w:rPr>
                <w:rFonts w:ascii="Arial" w:cs="Arial" w:eastAsia="Arial" w:hAnsi="Arial"/>
                <w:sz w:val="8"/>
                <w:szCs w:val="8"/>
                <w:color w:val="auto"/>
              </w:rPr>
              <w:t>$</w:t>
            </w:r>
          </w:p>
        </w:tc>
        <w:tc>
          <w:tcPr>
            <w:tcW w:w="560" w:type="dxa"/>
            <w:vAlign w:val="bottom"/>
            <w:tcBorders>
              <w:top w:val="single" w:sz="8" w:color="CFF0FC"/>
            </w:tcBorders>
            <w:gridSpan w:val="2"/>
            <w:shd w:val="clear" w:color="auto" w:fill="CFF0FC"/>
          </w:tcPr>
          <w:p>
            <w:pPr>
              <w:jc w:val="right"/>
              <w:ind w:right="220"/>
              <w:spacing w:after="0" w:line="88" w:lineRule="exact"/>
              <w:rPr>
                <w:sz w:val="20"/>
                <w:szCs w:val="20"/>
                <w:color w:val="auto"/>
              </w:rPr>
            </w:pPr>
            <w:r>
              <w:rPr>
                <w:rFonts w:ascii="Arial" w:cs="Arial" w:eastAsia="Arial" w:hAnsi="Arial"/>
                <w:sz w:val="8"/>
                <w:szCs w:val="8"/>
                <w:color w:val="auto"/>
              </w:rPr>
              <w:t>—</w:t>
            </w:r>
          </w:p>
        </w:tc>
        <w:tc>
          <w:tcPr>
            <w:tcW w:w="600" w:type="dxa"/>
            <w:vAlign w:val="bottom"/>
            <w:tcBorders>
              <w:top w:val="single" w:sz="8" w:color="CFF0FC"/>
            </w:tcBorders>
            <w:gridSpan w:val="2"/>
            <w:shd w:val="clear" w:color="auto" w:fill="CFF0FC"/>
          </w:tcPr>
          <w:p>
            <w:pPr>
              <w:jc w:val="right"/>
              <w:ind w:right="240"/>
              <w:spacing w:after="0" w:line="88" w:lineRule="exact"/>
              <w:rPr>
                <w:sz w:val="20"/>
                <w:szCs w:val="20"/>
                <w:color w:val="auto"/>
              </w:rPr>
            </w:pPr>
            <w:r>
              <w:rPr>
                <w:rFonts w:ascii="Arial" w:cs="Arial" w:eastAsia="Arial" w:hAnsi="Arial"/>
                <w:sz w:val="8"/>
                <w:szCs w:val="8"/>
                <w:color w:val="auto"/>
              </w:rPr>
              <w:t>—</w:t>
            </w:r>
          </w:p>
        </w:tc>
        <w:tc>
          <w:tcPr>
            <w:tcW w:w="6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5"/>
                <w:szCs w:val="5"/>
                <w:color w:val="auto"/>
                <w:w w:val="70"/>
              </w:rPr>
              <w:t>$</w:t>
            </w:r>
          </w:p>
        </w:tc>
        <w:tc>
          <w:tcPr>
            <w:tcW w:w="560" w:type="dxa"/>
            <w:vAlign w:val="bottom"/>
            <w:tcBorders>
              <w:top w:val="single" w:sz="8" w:color="CFF0FC"/>
            </w:tcBorders>
            <w:gridSpan w:val="2"/>
            <w:shd w:val="clear" w:color="auto" w:fill="CFF0FC"/>
          </w:tcPr>
          <w:p>
            <w:pPr>
              <w:jc w:val="right"/>
              <w:ind w:right="220"/>
              <w:spacing w:after="0" w:line="88" w:lineRule="exact"/>
              <w:rPr>
                <w:sz w:val="20"/>
                <w:szCs w:val="20"/>
                <w:color w:val="auto"/>
              </w:rPr>
            </w:pPr>
            <w:r>
              <w:rPr>
                <w:rFonts w:ascii="Arial" w:cs="Arial" w:eastAsia="Arial" w:hAnsi="Arial"/>
                <w:sz w:val="8"/>
                <w:szCs w:val="8"/>
                <w:color w:val="auto"/>
              </w:rPr>
              <w:t>—</w:t>
            </w:r>
          </w:p>
        </w:tc>
        <w:tc>
          <w:tcPr>
            <w:tcW w:w="380" w:type="dxa"/>
            <w:vAlign w:val="bottom"/>
            <w:tcBorders>
              <w:top w:val="single" w:sz="8" w:color="CFF0FC"/>
            </w:tcBorders>
            <w:shd w:val="clear" w:color="auto" w:fill="CFF0FC"/>
          </w:tcPr>
          <w:p>
            <w:pPr>
              <w:jc w:val="right"/>
              <w:spacing w:after="0" w:line="88" w:lineRule="exact"/>
              <w:rPr>
                <w:sz w:val="20"/>
                <w:szCs w:val="20"/>
                <w:color w:val="auto"/>
              </w:rPr>
            </w:pPr>
            <w:r>
              <w:rPr>
                <w:rFonts w:ascii="Arial" w:cs="Arial" w:eastAsia="Arial" w:hAnsi="Arial"/>
                <w:sz w:val="8"/>
                <w:szCs w:val="8"/>
                <w:color w:val="auto"/>
              </w:rPr>
              <w:t>—</w:t>
            </w:r>
          </w:p>
        </w:tc>
        <w:tc>
          <w:tcPr>
            <w:tcW w:w="300" w:type="dxa"/>
            <w:vAlign w:val="bottom"/>
            <w:tcBorders>
              <w:top w:val="single" w:sz="8" w:color="CFF0FC"/>
            </w:tcBorders>
            <w:gridSpan w:val="2"/>
            <w:shd w:val="clear" w:color="auto" w:fill="CFF0FC"/>
          </w:tcPr>
          <w:p>
            <w:pPr>
              <w:jc w:val="right"/>
              <w:ind w:right="40"/>
              <w:spacing w:after="0" w:line="88" w:lineRule="exact"/>
              <w:rPr>
                <w:sz w:val="20"/>
                <w:szCs w:val="20"/>
                <w:color w:val="auto"/>
              </w:rPr>
            </w:pPr>
            <w:r>
              <w:rPr>
                <w:rFonts w:ascii="Arial" w:cs="Arial" w:eastAsia="Arial" w:hAnsi="Arial"/>
                <w:sz w:val="8"/>
                <w:szCs w:val="8"/>
                <w:color w:val="auto"/>
              </w:rPr>
              <w:t>$</w:t>
            </w:r>
          </w:p>
        </w:tc>
        <w:tc>
          <w:tcPr>
            <w:tcW w:w="480" w:type="dxa"/>
            <w:vAlign w:val="bottom"/>
            <w:tcBorders>
              <w:top w:val="single" w:sz="8" w:color="CFF0FC"/>
            </w:tcBorders>
            <w:gridSpan w:val="2"/>
            <w:shd w:val="clear" w:color="auto" w:fill="CFF0FC"/>
          </w:tcPr>
          <w:p>
            <w:pPr>
              <w:jc w:val="right"/>
              <w:ind w:right="120"/>
              <w:spacing w:after="0" w:line="88" w:lineRule="exact"/>
              <w:rPr>
                <w:sz w:val="20"/>
                <w:szCs w:val="20"/>
                <w:color w:val="auto"/>
              </w:rPr>
            </w:pPr>
            <w:r>
              <w:rPr>
                <w:rFonts w:ascii="Arial" w:cs="Arial" w:eastAsia="Arial" w:hAnsi="Arial"/>
                <w:sz w:val="8"/>
                <w:szCs w:val="8"/>
                <w:color w:val="auto"/>
              </w:rPr>
              <w:t>—</w:t>
            </w:r>
          </w:p>
        </w:tc>
        <w:tc>
          <w:tcPr>
            <w:tcW w:w="140" w:type="dxa"/>
            <w:vAlign w:val="bottom"/>
            <w:tcBorders>
              <w:top w:val="single" w:sz="8" w:color="CFF0FC"/>
              <w:right w:val="single" w:sz="8" w:color="CFF0FC"/>
            </w:tcBorders>
            <w:shd w:val="clear" w:color="auto" w:fill="CFF0FC"/>
          </w:tcPr>
          <w:p>
            <w:pPr>
              <w:ind w:left="100"/>
              <w:spacing w:after="0"/>
              <w:rPr>
                <w:sz w:val="20"/>
                <w:szCs w:val="20"/>
                <w:color w:val="auto"/>
              </w:rPr>
            </w:pPr>
            <w:r>
              <w:rPr>
                <w:rFonts w:ascii="Arial" w:cs="Arial" w:eastAsia="Arial" w:hAnsi="Arial"/>
                <w:sz w:val="1"/>
                <w:szCs w:val="1"/>
                <w:color w:val="auto"/>
                <w:w w:val="4294967288"/>
              </w:rPr>
              <w:t>$</w:t>
            </w:r>
          </w:p>
        </w:tc>
        <w:tc>
          <w:tcPr>
            <w:tcW w:w="660" w:type="dxa"/>
            <w:vAlign w:val="bottom"/>
            <w:tcBorders>
              <w:top w:val="single" w:sz="8" w:color="CFF0FC"/>
            </w:tcBorders>
            <w:gridSpan w:val="2"/>
            <w:shd w:val="clear" w:color="auto" w:fill="CFF0FC"/>
          </w:tcPr>
          <w:p>
            <w:pPr>
              <w:jc w:val="right"/>
              <w:ind w:right="240"/>
              <w:spacing w:after="0" w:line="88" w:lineRule="exact"/>
              <w:rPr>
                <w:sz w:val="20"/>
                <w:szCs w:val="20"/>
                <w:color w:val="auto"/>
              </w:rPr>
            </w:pPr>
            <w:r>
              <w:rPr>
                <w:rFonts w:ascii="Arial" w:cs="Arial" w:eastAsia="Arial" w:hAnsi="Arial"/>
                <w:sz w:val="8"/>
                <w:szCs w:val="8"/>
                <w:color w:val="auto"/>
              </w:rPr>
              <w:t>—</w:t>
            </w:r>
          </w:p>
        </w:tc>
        <w:tc>
          <w:tcPr>
            <w:tcW w:w="60" w:type="dxa"/>
            <w:vAlign w:val="bottom"/>
            <w:tcBorders>
              <w:top w:val="single" w:sz="8" w:color="CFF0FC"/>
            </w:tcBorders>
            <w:shd w:val="clear" w:color="auto" w:fill="CFF0FC"/>
          </w:tcPr>
          <w:p>
            <w:pPr>
              <w:spacing w:after="0" w:line="88" w:lineRule="exact"/>
              <w:rPr>
                <w:sz w:val="20"/>
                <w:szCs w:val="20"/>
                <w:color w:val="auto"/>
              </w:rPr>
            </w:pPr>
            <w:r>
              <w:rPr>
                <w:rFonts w:ascii="Arial" w:cs="Arial" w:eastAsia="Arial" w:hAnsi="Arial"/>
                <w:sz w:val="8"/>
                <w:szCs w:val="8"/>
                <w:color w:val="auto"/>
                <w:w w:val="88"/>
              </w:rPr>
              <w:t>$</w:t>
            </w:r>
          </w:p>
        </w:tc>
        <w:tc>
          <w:tcPr>
            <w:tcW w:w="480" w:type="dxa"/>
            <w:vAlign w:val="bottom"/>
            <w:tcBorders>
              <w:top w:val="single" w:sz="8" w:color="CFF0FC"/>
            </w:tcBorders>
            <w:gridSpan w:val="2"/>
            <w:shd w:val="clear" w:color="auto" w:fill="CFF0FC"/>
          </w:tcPr>
          <w:p>
            <w:pPr>
              <w:jc w:val="right"/>
              <w:ind w:right="140"/>
              <w:spacing w:after="0" w:line="88" w:lineRule="exact"/>
              <w:rPr>
                <w:sz w:val="20"/>
                <w:szCs w:val="20"/>
                <w:color w:val="auto"/>
              </w:rPr>
            </w:pPr>
            <w:r>
              <w:rPr>
                <w:rFonts w:ascii="Arial" w:cs="Arial" w:eastAsia="Arial" w:hAnsi="Arial"/>
                <w:sz w:val="8"/>
                <w:szCs w:val="8"/>
                <w:color w:val="auto"/>
              </w:rPr>
              <w:t>—</w:t>
            </w:r>
          </w:p>
        </w:tc>
        <w:tc>
          <w:tcPr>
            <w:tcW w:w="160" w:type="dxa"/>
            <w:vAlign w:val="bottom"/>
            <w:tcBorders>
              <w:top w:val="single" w:sz="8" w:color="CFF0FC"/>
              <w:right w:val="single" w:sz="8" w:color="CFF0FC"/>
            </w:tcBorders>
            <w:shd w:val="clear" w:color="auto" w:fill="CFF0FC"/>
          </w:tcPr>
          <w:p>
            <w:pPr>
              <w:ind w:left="100"/>
              <w:spacing w:after="0"/>
              <w:rPr>
                <w:sz w:val="20"/>
                <w:szCs w:val="20"/>
                <w:color w:val="auto"/>
              </w:rPr>
            </w:pPr>
            <w:r>
              <w:rPr>
                <w:rFonts w:ascii="Arial" w:cs="Arial" w:eastAsia="Arial" w:hAnsi="Arial"/>
                <w:sz w:val="5"/>
                <w:szCs w:val="5"/>
                <w:color w:val="auto"/>
                <w:w w:val="70"/>
              </w:rPr>
              <w:t>$</w:t>
            </w:r>
          </w:p>
        </w:tc>
        <w:tc>
          <w:tcPr>
            <w:tcW w:w="600" w:type="dxa"/>
            <w:vAlign w:val="bottom"/>
            <w:tcBorders>
              <w:top w:val="single" w:sz="8" w:color="CFF0FC"/>
            </w:tcBorders>
            <w:gridSpan w:val="2"/>
            <w:shd w:val="clear" w:color="auto" w:fill="CFF0FC"/>
          </w:tcPr>
          <w:p>
            <w:pPr>
              <w:jc w:val="right"/>
              <w:ind w:right="220"/>
              <w:spacing w:after="0" w:line="88" w:lineRule="exact"/>
              <w:rPr>
                <w:sz w:val="20"/>
                <w:szCs w:val="20"/>
                <w:color w:val="auto"/>
              </w:rPr>
            </w:pPr>
            <w:r>
              <w:rPr>
                <w:rFonts w:ascii="Arial" w:cs="Arial" w:eastAsia="Arial" w:hAnsi="Arial"/>
                <w:sz w:val="8"/>
                <w:szCs w:val="8"/>
                <w:color w:val="auto"/>
              </w:rPr>
              <w:t>—</w:t>
            </w:r>
          </w:p>
        </w:tc>
        <w:tc>
          <w:tcPr>
            <w:tcW w:w="100" w:type="dxa"/>
            <w:vAlign w:val="bottom"/>
            <w:tcBorders>
              <w:top w:val="single" w:sz="8" w:color="CFF0FC"/>
            </w:tcBorders>
            <w:shd w:val="clear" w:color="auto" w:fill="CFF0FC"/>
          </w:tcPr>
          <w:p>
            <w:pPr>
              <w:spacing w:after="0" w:line="88" w:lineRule="exact"/>
              <w:rPr>
                <w:sz w:val="20"/>
                <w:szCs w:val="20"/>
                <w:color w:val="auto"/>
              </w:rPr>
            </w:pPr>
            <w:r>
              <w:rPr>
                <w:rFonts w:ascii="Arial" w:cs="Arial" w:eastAsia="Arial" w:hAnsi="Arial"/>
                <w:sz w:val="8"/>
                <w:szCs w:val="8"/>
                <w:color w:val="auto"/>
              </w:rPr>
              <w:t>$</w:t>
            </w:r>
          </w:p>
        </w:tc>
        <w:tc>
          <w:tcPr>
            <w:tcW w:w="640" w:type="dxa"/>
            <w:vAlign w:val="bottom"/>
            <w:tcBorders>
              <w:top w:val="single" w:sz="8" w:color="CFF0FC"/>
            </w:tcBorders>
            <w:gridSpan w:val="2"/>
            <w:shd w:val="clear" w:color="auto" w:fill="CFF0FC"/>
          </w:tcPr>
          <w:p>
            <w:pPr>
              <w:jc w:val="right"/>
              <w:ind w:right="220"/>
              <w:spacing w:after="0" w:line="88" w:lineRule="exact"/>
              <w:rPr>
                <w:sz w:val="20"/>
                <w:szCs w:val="20"/>
                <w:color w:val="auto"/>
              </w:rPr>
            </w:pPr>
            <w:r>
              <w:rPr>
                <w:rFonts w:ascii="Arial" w:cs="Arial" w:eastAsia="Arial" w:hAnsi="Arial"/>
                <w:sz w:val="8"/>
                <w:szCs w:val="8"/>
                <w:color w:val="auto"/>
              </w:rPr>
              <w:t>—</w:t>
            </w:r>
          </w:p>
        </w:tc>
        <w:tc>
          <w:tcPr>
            <w:tcW w:w="80" w:type="dxa"/>
            <w:vAlign w:val="bottom"/>
            <w:tcBorders>
              <w:top w:val="single" w:sz="8" w:color="CFF0FC"/>
            </w:tcBorders>
            <w:shd w:val="clear" w:color="auto" w:fill="CFF0FC"/>
          </w:tcPr>
          <w:p>
            <w:pPr>
              <w:spacing w:after="0" w:line="88" w:lineRule="exact"/>
              <w:rPr>
                <w:sz w:val="20"/>
                <w:szCs w:val="20"/>
                <w:color w:val="auto"/>
              </w:rPr>
            </w:pPr>
            <w:r>
              <w:rPr>
                <w:rFonts w:ascii="Arial" w:cs="Arial" w:eastAsia="Arial" w:hAnsi="Arial"/>
                <w:sz w:val="8"/>
                <w:szCs w:val="8"/>
                <w:color w:val="auto"/>
              </w:rPr>
              <w:t>$</w:t>
            </w:r>
          </w:p>
        </w:tc>
        <w:tc>
          <w:tcPr>
            <w:tcW w:w="460" w:type="dxa"/>
            <w:vAlign w:val="bottom"/>
            <w:tcBorders>
              <w:top w:val="single" w:sz="8" w:color="CFF0FC"/>
            </w:tcBorders>
            <w:gridSpan w:val="2"/>
            <w:shd w:val="clear" w:color="auto" w:fill="CFF0FC"/>
          </w:tcPr>
          <w:p>
            <w:pPr>
              <w:jc w:val="right"/>
              <w:ind w:right="60"/>
              <w:spacing w:after="0" w:line="88" w:lineRule="exact"/>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99"/>
        </w:trPr>
        <w:tc>
          <w:tcPr>
            <w:tcW w:w="2240" w:type="dxa"/>
            <w:vAlign w:val="bottom"/>
            <w:gridSpan w:val="4"/>
          </w:tcPr>
          <w:p>
            <w:pPr>
              <w:spacing w:after="0"/>
              <w:rPr>
                <w:sz w:val="20"/>
                <w:szCs w:val="20"/>
                <w:color w:val="auto"/>
              </w:rPr>
            </w:pPr>
            <w:r>
              <w:rPr>
                <w:rFonts w:ascii="Arial" w:cs="Arial" w:eastAsia="Arial" w:hAnsi="Arial"/>
                <w:sz w:val="8"/>
                <w:szCs w:val="8"/>
                <w:color w:val="auto"/>
              </w:rPr>
              <w:t>Net income period from June 1, 2017 to December 31, 2017</w:t>
            </w:r>
          </w:p>
        </w:tc>
        <w:tc>
          <w:tcPr>
            <w:tcW w:w="400" w:type="dxa"/>
            <w:vAlign w:val="bottom"/>
          </w:tcPr>
          <w:p>
            <w:pPr>
              <w:jc w:val="right"/>
              <w:spacing w:after="0"/>
              <w:rPr>
                <w:sz w:val="20"/>
                <w:szCs w:val="20"/>
                <w:color w:val="auto"/>
              </w:rPr>
            </w:pPr>
            <w:r>
              <w:rPr>
                <w:rFonts w:ascii="Arial" w:cs="Arial" w:eastAsia="Arial" w:hAnsi="Arial"/>
                <w:sz w:val="8"/>
                <w:szCs w:val="8"/>
                <w:color w:val="auto"/>
              </w:rPr>
              <w:t>—</w:t>
            </w: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8"/>
                <w:szCs w:val="8"/>
                <w:color w:val="auto"/>
              </w:rPr>
              <w:t>—</w:t>
            </w:r>
          </w:p>
        </w:tc>
        <w:tc>
          <w:tcPr>
            <w:tcW w:w="240" w:type="dxa"/>
            <w:vAlign w:val="bottom"/>
          </w:tcPr>
          <w:p>
            <w:pPr>
              <w:ind w:left="160"/>
              <w:spacing w:after="0"/>
              <w:rPr>
                <w:sz w:val="20"/>
                <w:szCs w:val="20"/>
                <w:color w:val="auto"/>
              </w:rPr>
            </w:pPr>
            <w:r>
              <w:rPr>
                <w:rFonts w:ascii="Arial" w:cs="Arial" w:eastAsia="Arial" w:hAnsi="Arial"/>
                <w:sz w:val="8"/>
                <w:szCs w:val="8"/>
                <w:color w:val="auto"/>
                <w:w w:val="74"/>
              </w:rPr>
              <w:t>—</w:t>
            </w: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gridSpan w:val="2"/>
          </w:tcPr>
          <w:p>
            <w:pPr>
              <w:ind w:left="60"/>
              <w:spacing w:after="0"/>
              <w:rPr>
                <w:sz w:val="20"/>
                <w:szCs w:val="20"/>
                <w:color w:val="auto"/>
              </w:rPr>
            </w:pPr>
            <w:r>
              <w:rPr>
                <w:rFonts w:ascii="Arial" w:cs="Arial" w:eastAsia="Arial" w:hAnsi="Arial"/>
                <w:sz w:val="8"/>
                <w:szCs w:val="8"/>
                <w:color w:val="auto"/>
              </w:rPr>
              <w:t>—</w:t>
            </w:r>
          </w:p>
        </w:tc>
        <w:tc>
          <w:tcPr>
            <w:tcW w:w="380" w:type="dxa"/>
            <w:vAlign w:val="bottom"/>
          </w:tcPr>
          <w:p>
            <w:pPr>
              <w:jc w:val="right"/>
              <w:spacing w:after="0"/>
              <w:rPr>
                <w:sz w:val="20"/>
                <w:szCs w:val="20"/>
                <w:color w:val="auto"/>
              </w:rPr>
            </w:pPr>
            <w:r>
              <w:rPr>
                <w:rFonts w:ascii="Arial" w:cs="Arial" w:eastAsia="Arial" w:hAnsi="Arial"/>
                <w:sz w:val="8"/>
                <w:szCs w:val="8"/>
                <w:color w:val="auto"/>
              </w:rPr>
              <w:t>—</w:t>
            </w:r>
          </w:p>
        </w:tc>
        <w:tc>
          <w:tcPr>
            <w:tcW w:w="280" w:type="dxa"/>
            <w:vAlign w:val="bottom"/>
          </w:tcPr>
          <w:p>
            <w:pPr>
              <w:spacing w:after="0"/>
              <w:rPr>
                <w:sz w:val="8"/>
                <w:szCs w:val="8"/>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8"/>
                <w:szCs w:val="8"/>
                <w:color w:val="auto"/>
              </w:rPr>
              <w:t>—</w:t>
            </w:r>
          </w:p>
        </w:tc>
        <w:tc>
          <w:tcPr>
            <w:tcW w:w="600" w:type="dxa"/>
            <w:vAlign w:val="bottom"/>
            <w:gridSpan w:val="2"/>
          </w:tcPr>
          <w:p>
            <w:pPr>
              <w:jc w:val="right"/>
              <w:ind w:right="240"/>
              <w:spacing w:after="0"/>
              <w:rPr>
                <w:sz w:val="20"/>
                <w:szCs w:val="20"/>
                <w:color w:val="auto"/>
              </w:rPr>
            </w:pPr>
            <w:r>
              <w:rPr>
                <w:rFonts w:ascii="Arial" w:cs="Arial" w:eastAsia="Arial" w:hAnsi="Arial"/>
                <w:sz w:val="8"/>
                <w:szCs w:val="8"/>
                <w:color w:val="auto"/>
              </w:rPr>
              <w:t>—</w:t>
            </w:r>
          </w:p>
        </w:tc>
        <w:tc>
          <w:tcPr>
            <w:tcW w:w="60" w:type="dxa"/>
            <w:vAlign w:val="bottom"/>
          </w:tcPr>
          <w:p>
            <w:pPr>
              <w:spacing w:after="0"/>
              <w:rPr>
                <w:sz w:val="8"/>
                <w:szCs w:val="8"/>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8"/>
                <w:szCs w:val="8"/>
                <w:color w:val="auto"/>
              </w:rPr>
              <w:t>—</w:t>
            </w:r>
          </w:p>
        </w:tc>
        <w:tc>
          <w:tcPr>
            <w:tcW w:w="380" w:type="dxa"/>
            <w:vAlign w:val="bottom"/>
          </w:tcPr>
          <w:p>
            <w:pPr>
              <w:jc w:val="right"/>
              <w:spacing w:after="0"/>
              <w:rPr>
                <w:sz w:val="20"/>
                <w:szCs w:val="20"/>
                <w:color w:val="auto"/>
              </w:rPr>
            </w:pPr>
            <w:r>
              <w:rPr>
                <w:rFonts w:ascii="Arial" w:cs="Arial" w:eastAsia="Arial" w:hAnsi="Arial"/>
                <w:sz w:val="8"/>
                <w:szCs w:val="8"/>
                <w:color w:val="auto"/>
              </w:rPr>
              <w:t>—</w:t>
            </w: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8"/>
                <w:szCs w:val="8"/>
                <w:color w:val="auto"/>
              </w:rPr>
              <w:t>—</w:t>
            </w:r>
          </w:p>
        </w:tc>
        <w:tc>
          <w:tcPr>
            <w:tcW w:w="140" w:type="dxa"/>
            <w:vAlign w:val="bottom"/>
          </w:tcPr>
          <w:p>
            <w:pPr>
              <w:spacing w:after="0"/>
              <w:rPr>
                <w:sz w:val="8"/>
                <w:szCs w:val="8"/>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8"/>
                <w:szCs w:val="8"/>
                <w:color w:val="auto"/>
              </w:rPr>
              <w:t>—</w:t>
            </w:r>
          </w:p>
        </w:tc>
        <w:tc>
          <w:tcPr>
            <w:tcW w:w="60" w:type="dxa"/>
            <w:vAlign w:val="bottom"/>
          </w:tcPr>
          <w:p>
            <w:pPr>
              <w:spacing w:after="0"/>
              <w:rPr>
                <w:sz w:val="8"/>
                <w:szCs w:val="8"/>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8"/>
                <w:szCs w:val="8"/>
                <w:color w:val="auto"/>
              </w:rPr>
              <w:t>—</w:t>
            </w:r>
          </w:p>
        </w:tc>
        <w:tc>
          <w:tcPr>
            <w:tcW w:w="160" w:type="dxa"/>
            <w:vAlign w:val="bottom"/>
          </w:tcPr>
          <w:p>
            <w:pPr>
              <w:spacing w:after="0"/>
              <w:rPr>
                <w:sz w:val="8"/>
                <w:szCs w:val="8"/>
                <w:color w:val="auto"/>
              </w:rPr>
            </w:pPr>
          </w:p>
        </w:tc>
        <w:tc>
          <w:tcPr>
            <w:tcW w:w="380" w:type="dxa"/>
            <w:vAlign w:val="bottom"/>
          </w:tcPr>
          <w:p>
            <w:pPr>
              <w:jc w:val="right"/>
              <w:spacing w:after="0"/>
              <w:rPr>
                <w:sz w:val="20"/>
                <w:szCs w:val="20"/>
                <w:color w:val="auto"/>
              </w:rPr>
            </w:pPr>
            <w:r>
              <w:rPr>
                <w:rFonts w:ascii="Arial" w:cs="Arial" w:eastAsia="Arial" w:hAnsi="Arial"/>
                <w:sz w:val="8"/>
                <w:szCs w:val="8"/>
                <w:color w:val="auto"/>
              </w:rPr>
              <w:t>18,238</w:t>
            </w: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8"/>
                <w:szCs w:val="8"/>
                <w:color w:val="auto"/>
              </w:rPr>
            </w:pPr>
          </w:p>
        </w:tc>
        <w:tc>
          <w:tcPr>
            <w:tcW w:w="400" w:type="dxa"/>
            <w:vAlign w:val="bottom"/>
          </w:tcPr>
          <w:p>
            <w:pPr>
              <w:jc w:val="right"/>
              <w:spacing w:after="0"/>
              <w:rPr>
                <w:sz w:val="20"/>
                <w:szCs w:val="20"/>
                <w:color w:val="auto"/>
              </w:rPr>
            </w:pPr>
            <w:r>
              <w:rPr>
                <w:rFonts w:ascii="Arial" w:cs="Arial" w:eastAsia="Arial" w:hAnsi="Arial"/>
                <w:sz w:val="8"/>
                <w:szCs w:val="8"/>
                <w:color w:val="auto"/>
              </w:rPr>
              <w:t>18,238</w:t>
            </w: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240" w:type="dxa"/>
            <w:vAlign w:val="bottom"/>
            <w:gridSpan w:val="4"/>
            <w:shd w:val="clear" w:color="auto" w:fill="CFF0FC"/>
          </w:tcPr>
          <w:p>
            <w:pPr>
              <w:spacing w:after="0"/>
              <w:rPr>
                <w:sz w:val="20"/>
                <w:szCs w:val="20"/>
                <w:color w:val="auto"/>
              </w:rPr>
            </w:pPr>
            <w:r>
              <w:rPr>
                <w:rFonts w:ascii="Arial" w:cs="Arial" w:eastAsia="Arial" w:hAnsi="Arial"/>
                <w:sz w:val="8"/>
                <w:szCs w:val="8"/>
                <w:color w:val="auto"/>
              </w:rPr>
              <w:t>Equity contribution</w:t>
            </w:r>
          </w:p>
        </w:tc>
        <w:tc>
          <w:tcPr>
            <w:tcW w:w="400" w:type="dxa"/>
            <w:vAlign w:val="bottom"/>
            <w:shd w:val="clear" w:color="auto" w:fill="CFF0FC"/>
          </w:tcPr>
          <w:p>
            <w:pPr>
              <w:jc w:val="right"/>
              <w:spacing w:after="0"/>
              <w:rPr>
                <w:sz w:val="20"/>
                <w:szCs w:val="20"/>
                <w:color w:val="auto"/>
              </w:rPr>
            </w:pPr>
            <w:r>
              <w:rPr>
                <w:rFonts w:ascii="Arial" w:cs="Arial" w:eastAsia="Arial" w:hAnsi="Arial"/>
                <w:sz w:val="8"/>
                <w:szCs w:val="8"/>
                <w:color w:val="auto"/>
              </w:rPr>
              <w:t>60,484</w:t>
            </w:r>
          </w:p>
        </w:tc>
        <w:tc>
          <w:tcPr>
            <w:tcW w:w="24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8"/>
                <w:szCs w:val="8"/>
                <w:color w:val="auto"/>
              </w:rPr>
              <w:t>6</w:t>
            </w:r>
          </w:p>
        </w:tc>
        <w:tc>
          <w:tcPr>
            <w:tcW w:w="240" w:type="dxa"/>
            <w:vAlign w:val="bottom"/>
            <w:shd w:val="clear" w:color="auto" w:fill="CFF0FC"/>
          </w:tcPr>
          <w:p>
            <w:pPr>
              <w:spacing w:after="0"/>
              <w:rPr>
                <w:sz w:val="8"/>
                <w:szCs w:val="8"/>
                <w:color w:val="auto"/>
              </w:rPr>
            </w:pPr>
          </w:p>
        </w:tc>
        <w:tc>
          <w:tcPr>
            <w:tcW w:w="240" w:type="dxa"/>
            <w:vAlign w:val="bottom"/>
            <w:shd w:val="clear" w:color="auto" w:fill="CFF0FC"/>
          </w:tcPr>
          <w:p>
            <w:pPr>
              <w:ind w:left="160"/>
              <w:spacing w:after="0"/>
              <w:rPr>
                <w:sz w:val="20"/>
                <w:szCs w:val="20"/>
                <w:color w:val="auto"/>
              </w:rPr>
            </w:pPr>
            <w:r>
              <w:rPr>
                <w:rFonts w:ascii="Arial" w:cs="Arial" w:eastAsia="Arial" w:hAnsi="Arial"/>
                <w:sz w:val="8"/>
                <w:szCs w:val="8"/>
                <w:color w:val="auto"/>
                <w:w w:val="74"/>
              </w:rPr>
              <w:t>—</w:t>
            </w:r>
          </w:p>
        </w:tc>
        <w:tc>
          <w:tcPr>
            <w:tcW w:w="24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60" w:type="dxa"/>
            <w:vAlign w:val="bottom"/>
            <w:shd w:val="clear" w:color="auto" w:fill="CFF0FC"/>
          </w:tcPr>
          <w:p>
            <w:pPr>
              <w:ind w:left="60"/>
              <w:spacing w:after="0"/>
              <w:rPr>
                <w:sz w:val="20"/>
                <w:szCs w:val="20"/>
                <w:color w:val="auto"/>
              </w:rPr>
            </w:pPr>
            <w:r>
              <w:rPr>
                <w:rFonts w:ascii="Arial" w:cs="Arial" w:eastAsia="Arial" w:hAnsi="Arial"/>
                <w:sz w:val="8"/>
                <w:szCs w:val="8"/>
                <w:color w:val="auto"/>
                <w:w w:val="99"/>
              </w:rPr>
              <w:t>—</w:t>
            </w:r>
          </w:p>
        </w:tc>
        <w:tc>
          <w:tcPr>
            <w:tcW w:w="220" w:type="dxa"/>
            <w:vAlign w:val="bottom"/>
            <w:shd w:val="clear" w:color="auto" w:fill="CFF0FC"/>
          </w:tcPr>
          <w:p>
            <w:pPr>
              <w:spacing w:after="0"/>
              <w:rPr>
                <w:sz w:val="8"/>
                <w:szCs w:val="8"/>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8"/>
                <w:szCs w:val="8"/>
                <w:color w:val="auto"/>
              </w:rPr>
              <w:t>—</w:t>
            </w:r>
          </w:p>
        </w:tc>
        <w:tc>
          <w:tcPr>
            <w:tcW w:w="280" w:type="dxa"/>
            <w:vAlign w:val="bottom"/>
            <w:tcBorders>
              <w:right w:val="single" w:sz="8" w:color="CFF0FC"/>
            </w:tcBorders>
            <w:shd w:val="clear" w:color="auto" w:fill="CFF0FC"/>
          </w:tcPr>
          <w:p>
            <w:pPr>
              <w:spacing w:after="0"/>
              <w:rPr>
                <w:sz w:val="8"/>
                <w:szCs w:val="8"/>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8"/>
                <w:szCs w:val="8"/>
                <w:color w:val="auto"/>
              </w:rPr>
              <w:t>—</w:t>
            </w:r>
          </w:p>
        </w:tc>
        <w:tc>
          <w:tcPr>
            <w:tcW w:w="220" w:type="dxa"/>
            <w:vAlign w:val="bottom"/>
            <w:shd w:val="clear" w:color="auto" w:fill="CFF0FC"/>
          </w:tcPr>
          <w:p>
            <w:pPr>
              <w:spacing w:after="0"/>
              <w:rPr>
                <w:sz w:val="8"/>
                <w:szCs w:val="8"/>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8"/>
                <w:szCs w:val="8"/>
                <w:color w:val="auto"/>
              </w:rPr>
              <w:t>—</w:t>
            </w:r>
          </w:p>
        </w:tc>
        <w:tc>
          <w:tcPr>
            <w:tcW w:w="22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560" w:type="dxa"/>
            <w:vAlign w:val="bottom"/>
            <w:gridSpan w:val="2"/>
            <w:shd w:val="clear" w:color="auto" w:fill="CFF0FC"/>
          </w:tcPr>
          <w:p>
            <w:pPr>
              <w:jc w:val="right"/>
              <w:ind w:right="220"/>
              <w:spacing w:after="0"/>
              <w:rPr>
                <w:sz w:val="20"/>
                <w:szCs w:val="20"/>
                <w:color w:val="auto"/>
              </w:rPr>
            </w:pPr>
            <w:r>
              <w:rPr>
                <w:rFonts w:ascii="Arial" w:cs="Arial" w:eastAsia="Arial" w:hAnsi="Arial"/>
                <w:sz w:val="8"/>
                <w:szCs w:val="8"/>
                <w:color w:val="auto"/>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8"/>
                <w:szCs w:val="8"/>
                <w:color w:val="auto"/>
              </w:rPr>
              <w:t>—</w:t>
            </w:r>
          </w:p>
        </w:tc>
        <w:tc>
          <w:tcPr>
            <w:tcW w:w="22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480" w:type="dxa"/>
            <w:vAlign w:val="bottom"/>
            <w:gridSpan w:val="2"/>
            <w:shd w:val="clear" w:color="auto" w:fill="CFF0FC"/>
          </w:tcPr>
          <w:p>
            <w:pPr>
              <w:jc w:val="right"/>
              <w:ind w:right="120"/>
              <w:spacing w:after="0"/>
              <w:rPr>
                <w:sz w:val="20"/>
                <w:szCs w:val="20"/>
                <w:color w:val="auto"/>
              </w:rPr>
            </w:pPr>
            <w:r>
              <w:rPr>
                <w:rFonts w:ascii="Arial" w:cs="Arial" w:eastAsia="Arial" w:hAnsi="Arial"/>
                <w:sz w:val="8"/>
                <w:szCs w:val="8"/>
                <w:color w:val="auto"/>
              </w:rPr>
              <w:t>—</w:t>
            </w:r>
          </w:p>
        </w:tc>
        <w:tc>
          <w:tcPr>
            <w:tcW w:w="140" w:type="dxa"/>
            <w:vAlign w:val="bottom"/>
            <w:tcBorders>
              <w:right w:val="single" w:sz="8" w:color="CFF0FC"/>
            </w:tcBorders>
            <w:shd w:val="clear" w:color="auto" w:fill="CFF0FC"/>
          </w:tcPr>
          <w:p>
            <w:pPr>
              <w:spacing w:after="0"/>
              <w:rPr>
                <w:sz w:val="8"/>
                <w:szCs w:val="8"/>
                <w:color w:val="auto"/>
              </w:rPr>
            </w:pPr>
          </w:p>
        </w:tc>
        <w:tc>
          <w:tcPr>
            <w:tcW w:w="660" w:type="dxa"/>
            <w:vAlign w:val="bottom"/>
            <w:gridSpan w:val="2"/>
            <w:shd w:val="clear" w:color="auto" w:fill="CFF0FC"/>
          </w:tcPr>
          <w:p>
            <w:pPr>
              <w:jc w:val="right"/>
              <w:ind w:right="240"/>
              <w:spacing w:after="0"/>
              <w:rPr>
                <w:sz w:val="20"/>
                <w:szCs w:val="20"/>
                <w:color w:val="auto"/>
              </w:rPr>
            </w:pPr>
            <w:r>
              <w:rPr>
                <w:rFonts w:ascii="Arial" w:cs="Arial" w:eastAsia="Arial" w:hAnsi="Arial"/>
                <w:sz w:val="8"/>
                <w:szCs w:val="8"/>
                <w:color w:val="auto"/>
              </w:rPr>
              <w:t>—</w:t>
            </w:r>
          </w:p>
        </w:tc>
        <w:tc>
          <w:tcPr>
            <w:tcW w:w="60" w:type="dxa"/>
            <w:vAlign w:val="bottom"/>
            <w:shd w:val="clear" w:color="auto" w:fill="CFF0FC"/>
          </w:tcPr>
          <w:p>
            <w:pPr>
              <w:spacing w:after="0"/>
              <w:rPr>
                <w:sz w:val="8"/>
                <w:szCs w:val="8"/>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8"/>
                <w:szCs w:val="8"/>
                <w:color w:val="auto"/>
              </w:rPr>
              <w:t>129,020</w:t>
            </w:r>
          </w:p>
        </w:tc>
        <w:tc>
          <w:tcPr>
            <w:tcW w:w="120" w:type="dxa"/>
            <w:vAlign w:val="bottom"/>
            <w:shd w:val="clear" w:color="auto" w:fill="CFF0FC"/>
          </w:tcPr>
          <w:p>
            <w:pPr>
              <w:spacing w:after="0"/>
              <w:rPr>
                <w:sz w:val="8"/>
                <w:szCs w:val="8"/>
                <w:color w:val="auto"/>
              </w:rPr>
            </w:pPr>
          </w:p>
        </w:tc>
        <w:tc>
          <w:tcPr>
            <w:tcW w:w="160" w:type="dxa"/>
            <w:vAlign w:val="bottom"/>
            <w:tcBorders>
              <w:right w:val="single" w:sz="8" w:color="CFF0FC"/>
            </w:tcBorders>
            <w:shd w:val="clear" w:color="auto" w:fill="CFF0FC"/>
          </w:tcPr>
          <w:p>
            <w:pPr>
              <w:spacing w:after="0"/>
              <w:rPr>
                <w:sz w:val="8"/>
                <w:szCs w:val="8"/>
                <w:color w:val="auto"/>
              </w:rPr>
            </w:pPr>
          </w:p>
        </w:tc>
        <w:tc>
          <w:tcPr>
            <w:tcW w:w="600" w:type="dxa"/>
            <w:vAlign w:val="bottom"/>
            <w:gridSpan w:val="2"/>
            <w:shd w:val="clear" w:color="auto" w:fill="CFF0FC"/>
          </w:tcPr>
          <w:p>
            <w:pPr>
              <w:jc w:val="right"/>
              <w:ind w:right="220"/>
              <w:spacing w:after="0"/>
              <w:rPr>
                <w:sz w:val="20"/>
                <w:szCs w:val="20"/>
                <w:color w:val="auto"/>
              </w:rPr>
            </w:pPr>
            <w:r>
              <w:rPr>
                <w:rFonts w:ascii="Arial" w:cs="Arial" w:eastAsia="Arial" w:hAnsi="Arial"/>
                <w:sz w:val="8"/>
                <w:szCs w:val="8"/>
                <w:color w:val="auto"/>
              </w:rPr>
              <w:t>—</w:t>
            </w:r>
          </w:p>
        </w:tc>
        <w:tc>
          <w:tcPr>
            <w:tcW w:w="100" w:type="dxa"/>
            <w:vAlign w:val="bottom"/>
            <w:shd w:val="clear" w:color="auto" w:fill="CFF0FC"/>
          </w:tcPr>
          <w:p>
            <w:pPr>
              <w:spacing w:after="0"/>
              <w:rPr>
                <w:sz w:val="8"/>
                <w:szCs w:val="8"/>
                <w:color w:val="auto"/>
              </w:rPr>
            </w:pPr>
          </w:p>
        </w:tc>
        <w:tc>
          <w:tcPr>
            <w:tcW w:w="640" w:type="dxa"/>
            <w:vAlign w:val="bottom"/>
            <w:gridSpan w:val="2"/>
            <w:shd w:val="clear" w:color="auto" w:fill="CFF0FC"/>
          </w:tcPr>
          <w:p>
            <w:pPr>
              <w:jc w:val="right"/>
              <w:ind w:right="220"/>
              <w:spacing w:after="0"/>
              <w:rPr>
                <w:sz w:val="20"/>
                <w:szCs w:val="20"/>
                <w:color w:val="auto"/>
              </w:rPr>
            </w:pPr>
            <w:r>
              <w:rPr>
                <w:rFonts w:ascii="Arial" w:cs="Arial" w:eastAsia="Arial" w:hAnsi="Arial"/>
                <w:sz w:val="8"/>
                <w:szCs w:val="8"/>
                <w:color w:val="auto"/>
              </w:rPr>
              <w:t>—</w:t>
            </w:r>
          </w:p>
        </w:tc>
        <w:tc>
          <w:tcPr>
            <w:tcW w:w="80" w:type="dxa"/>
            <w:vAlign w:val="bottom"/>
            <w:shd w:val="clear" w:color="auto" w:fill="CFF0FC"/>
          </w:tcPr>
          <w:p>
            <w:pPr>
              <w:spacing w:after="0"/>
              <w:rPr>
                <w:sz w:val="8"/>
                <w:szCs w:val="8"/>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8"/>
                <w:szCs w:val="8"/>
                <w:color w:val="auto"/>
              </w:rPr>
              <w:t>129,026</w:t>
            </w:r>
          </w:p>
        </w:tc>
        <w:tc>
          <w:tcPr>
            <w:tcW w:w="6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240" w:type="dxa"/>
            <w:vAlign w:val="bottom"/>
            <w:gridSpan w:val="4"/>
            <w:vMerge w:val="restart"/>
          </w:tcPr>
          <w:p>
            <w:pPr>
              <w:spacing w:after="0"/>
              <w:rPr>
                <w:sz w:val="20"/>
                <w:szCs w:val="20"/>
                <w:color w:val="auto"/>
              </w:rPr>
            </w:pPr>
            <w:r>
              <w:rPr>
                <w:rFonts w:ascii="Arial" w:cs="Arial" w:eastAsia="Arial" w:hAnsi="Arial"/>
                <w:sz w:val="8"/>
                <w:szCs w:val="8"/>
                <w:b w:val="1"/>
                <w:bCs w:val="1"/>
                <w:color w:val="auto"/>
              </w:rPr>
              <w:t>Balance as of December 31, 2017</w:t>
            </w:r>
          </w:p>
        </w:tc>
        <w:tc>
          <w:tcPr>
            <w:tcW w:w="4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240" w:type="dxa"/>
            <w:vAlign w:val="bottom"/>
            <w:gridSpan w:val="4"/>
            <w:vMerge w:val="continue"/>
          </w:tcPr>
          <w:p>
            <w:pPr>
              <w:spacing w:after="0"/>
              <w:rPr>
                <w:sz w:val="7"/>
                <w:szCs w:val="7"/>
                <w:color w:val="auto"/>
              </w:rPr>
            </w:pPr>
          </w:p>
        </w:tc>
        <w:tc>
          <w:tcPr>
            <w:tcW w:w="400" w:type="dxa"/>
            <w:vAlign w:val="bottom"/>
          </w:tcPr>
          <w:p>
            <w:pPr>
              <w:jc w:val="right"/>
              <w:spacing w:after="0" w:line="88" w:lineRule="exact"/>
              <w:rPr>
                <w:sz w:val="20"/>
                <w:szCs w:val="20"/>
                <w:color w:val="auto"/>
              </w:rPr>
            </w:pPr>
            <w:r>
              <w:rPr>
                <w:rFonts w:ascii="Arial" w:cs="Arial" w:eastAsia="Arial" w:hAnsi="Arial"/>
                <w:sz w:val="8"/>
                <w:szCs w:val="8"/>
                <w:color w:val="auto"/>
              </w:rPr>
              <w:t>60,484</w:t>
            </w:r>
          </w:p>
        </w:tc>
        <w:tc>
          <w:tcPr>
            <w:tcW w:w="240" w:type="dxa"/>
            <w:vAlign w:val="bottom"/>
          </w:tcPr>
          <w:p>
            <w:pPr>
              <w:spacing w:after="0"/>
              <w:rPr>
                <w:sz w:val="7"/>
                <w:szCs w:val="7"/>
                <w:color w:val="auto"/>
              </w:rPr>
            </w:pPr>
          </w:p>
        </w:tc>
        <w:tc>
          <w:tcPr>
            <w:tcW w:w="60" w:type="dxa"/>
            <w:vAlign w:val="bottom"/>
          </w:tcPr>
          <w:p>
            <w:pPr>
              <w:jc w:val="right"/>
              <w:spacing w:after="0"/>
              <w:rPr>
                <w:sz w:val="20"/>
                <w:szCs w:val="20"/>
                <w:color w:val="auto"/>
              </w:rPr>
            </w:pPr>
            <w:r>
              <w:rPr>
                <w:rFonts w:ascii="Arial" w:cs="Arial" w:eastAsia="Arial" w:hAnsi="Arial"/>
                <w:sz w:val="5"/>
                <w:szCs w:val="5"/>
                <w:color w:val="auto"/>
                <w:w w:val="70"/>
              </w:rPr>
              <w:t>$</w:t>
            </w:r>
          </w:p>
        </w:tc>
        <w:tc>
          <w:tcPr>
            <w:tcW w:w="340" w:type="dxa"/>
            <w:vAlign w:val="bottom"/>
          </w:tcPr>
          <w:p>
            <w:pPr>
              <w:jc w:val="right"/>
              <w:spacing w:after="0" w:line="88" w:lineRule="exact"/>
              <w:rPr>
                <w:sz w:val="20"/>
                <w:szCs w:val="20"/>
                <w:color w:val="auto"/>
              </w:rPr>
            </w:pPr>
            <w:r>
              <w:rPr>
                <w:rFonts w:ascii="Arial" w:cs="Arial" w:eastAsia="Arial" w:hAnsi="Arial"/>
                <w:sz w:val="8"/>
                <w:szCs w:val="8"/>
                <w:color w:val="auto"/>
              </w:rPr>
              <w:t>6</w:t>
            </w:r>
          </w:p>
        </w:tc>
        <w:tc>
          <w:tcPr>
            <w:tcW w:w="240" w:type="dxa"/>
            <w:vAlign w:val="bottom"/>
          </w:tcPr>
          <w:p>
            <w:pPr>
              <w:spacing w:after="0"/>
              <w:rPr>
                <w:sz w:val="7"/>
                <w:szCs w:val="7"/>
                <w:color w:val="auto"/>
              </w:rPr>
            </w:pPr>
          </w:p>
        </w:tc>
        <w:tc>
          <w:tcPr>
            <w:tcW w:w="240" w:type="dxa"/>
            <w:vAlign w:val="bottom"/>
          </w:tcPr>
          <w:p>
            <w:pPr>
              <w:ind w:left="160"/>
              <w:spacing w:after="0" w:line="88" w:lineRule="exact"/>
              <w:rPr>
                <w:sz w:val="20"/>
                <w:szCs w:val="20"/>
                <w:color w:val="auto"/>
              </w:rPr>
            </w:pPr>
            <w:r>
              <w:rPr>
                <w:rFonts w:ascii="Arial" w:cs="Arial" w:eastAsia="Arial" w:hAnsi="Arial"/>
                <w:sz w:val="8"/>
                <w:szCs w:val="8"/>
                <w:color w:val="auto"/>
                <w:w w:val="74"/>
              </w:rPr>
              <w:t>—</w:t>
            </w:r>
          </w:p>
        </w:tc>
        <w:tc>
          <w:tcPr>
            <w:tcW w:w="360" w:type="dxa"/>
            <w:vAlign w:val="bottom"/>
            <w:gridSpan w:val="2"/>
          </w:tcPr>
          <w:p>
            <w:pPr>
              <w:ind w:left="240"/>
              <w:spacing w:after="0" w:line="88" w:lineRule="exact"/>
              <w:rPr>
                <w:sz w:val="20"/>
                <w:szCs w:val="20"/>
                <w:color w:val="auto"/>
              </w:rPr>
            </w:pPr>
            <w:r>
              <w:rPr>
                <w:rFonts w:ascii="Arial" w:cs="Arial" w:eastAsia="Arial" w:hAnsi="Arial"/>
                <w:sz w:val="8"/>
                <w:szCs w:val="8"/>
                <w:color w:val="auto"/>
              </w:rPr>
              <w:t>$</w:t>
            </w:r>
          </w:p>
        </w:tc>
        <w:tc>
          <w:tcPr>
            <w:tcW w:w="380" w:type="dxa"/>
            <w:vAlign w:val="bottom"/>
            <w:gridSpan w:val="2"/>
          </w:tcPr>
          <w:p>
            <w:pPr>
              <w:ind w:left="60"/>
              <w:spacing w:after="0" w:line="88" w:lineRule="exact"/>
              <w:rPr>
                <w:sz w:val="20"/>
                <w:szCs w:val="20"/>
                <w:color w:val="auto"/>
              </w:rPr>
            </w:pPr>
            <w:r>
              <w:rPr>
                <w:rFonts w:ascii="Arial" w:cs="Arial" w:eastAsia="Arial" w:hAnsi="Arial"/>
                <w:sz w:val="8"/>
                <w:szCs w:val="8"/>
                <w:color w:val="auto"/>
              </w:rPr>
              <w:t>—</w:t>
            </w:r>
          </w:p>
        </w:tc>
        <w:tc>
          <w:tcPr>
            <w:tcW w:w="380" w:type="dxa"/>
            <w:vAlign w:val="bottom"/>
          </w:tcPr>
          <w:p>
            <w:pPr>
              <w:jc w:val="right"/>
              <w:spacing w:after="0" w:line="88" w:lineRule="exact"/>
              <w:rPr>
                <w:sz w:val="20"/>
                <w:szCs w:val="20"/>
                <w:color w:val="auto"/>
              </w:rPr>
            </w:pPr>
            <w:r>
              <w:rPr>
                <w:rFonts w:ascii="Arial" w:cs="Arial" w:eastAsia="Arial" w:hAnsi="Arial"/>
                <w:sz w:val="8"/>
                <w:szCs w:val="8"/>
                <w:color w:val="auto"/>
              </w:rPr>
              <w:t>—</w:t>
            </w:r>
          </w:p>
        </w:tc>
        <w:tc>
          <w:tcPr>
            <w:tcW w:w="280" w:type="dxa"/>
            <w:vAlign w:val="bottom"/>
          </w:tcPr>
          <w:p>
            <w:pPr>
              <w:jc w:val="right"/>
              <w:spacing w:after="0" w:line="88" w:lineRule="exact"/>
              <w:rPr>
                <w:sz w:val="20"/>
                <w:szCs w:val="20"/>
                <w:color w:val="auto"/>
              </w:rPr>
            </w:pPr>
            <w:r>
              <w:rPr>
                <w:rFonts w:ascii="Arial" w:cs="Arial" w:eastAsia="Arial" w:hAnsi="Arial"/>
                <w:sz w:val="8"/>
                <w:szCs w:val="8"/>
                <w:color w:val="auto"/>
              </w:rPr>
              <w:t>$</w:t>
            </w:r>
          </w:p>
        </w:tc>
        <w:tc>
          <w:tcPr>
            <w:tcW w:w="560" w:type="dxa"/>
            <w:vAlign w:val="bottom"/>
            <w:gridSpan w:val="2"/>
          </w:tcPr>
          <w:p>
            <w:pPr>
              <w:jc w:val="right"/>
              <w:ind w:right="220"/>
              <w:spacing w:after="0" w:line="88" w:lineRule="exact"/>
              <w:rPr>
                <w:sz w:val="20"/>
                <w:szCs w:val="20"/>
                <w:color w:val="auto"/>
              </w:rPr>
            </w:pPr>
            <w:r>
              <w:rPr>
                <w:rFonts w:ascii="Arial" w:cs="Arial" w:eastAsia="Arial" w:hAnsi="Arial"/>
                <w:sz w:val="8"/>
                <w:szCs w:val="8"/>
                <w:color w:val="auto"/>
              </w:rPr>
              <w:t>—</w:t>
            </w:r>
          </w:p>
        </w:tc>
        <w:tc>
          <w:tcPr>
            <w:tcW w:w="600" w:type="dxa"/>
            <w:vAlign w:val="bottom"/>
            <w:gridSpan w:val="2"/>
          </w:tcPr>
          <w:p>
            <w:pPr>
              <w:jc w:val="right"/>
              <w:ind w:right="240"/>
              <w:spacing w:after="0" w:line="88" w:lineRule="exact"/>
              <w:rPr>
                <w:sz w:val="20"/>
                <w:szCs w:val="20"/>
                <w:color w:val="auto"/>
              </w:rPr>
            </w:pPr>
            <w:r>
              <w:rPr>
                <w:rFonts w:ascii="Arial" w:cs="Arial" w:eastAsia="Arial" w:hAnsi="Arial"/>
                <w:sz w:val="8"/>
                <w:szCs w:val="8"/>
                <w:color w:val="auto"/>
              </w:rPr>
              <w:t>—</w:t>
            </w:r>
          </w:p>
        </w:tc>
        <w:tc>
          <w:tcPr>
            <w:tcW w:w="60" w:type="dxa"/>
            <w:vAlign w:val="bottom"/>
          </w:tcPr>
          <w:p>
            <w:pPr>
              <w:jc w:val="right"/>
              <w:spacing w:after="0"/>
              <w:rPr>
                <w:sz w:val="20"/>
                <w:szCs w:val="20"/>
                <w:color w:val="auto"/>
              </w:rPr>
            </w:pPr>
            <w:r>
              <w:rPr>
                <w:rFonts w:ascii="Arial" w:cs="Arial" w:eastAsia="Arial" w:hAnsi="Arial"/>
                <w:sz w:val="5"/>
                <w:szCs w:val="5"/>
                <w:color w:val="auto"/>
                <w:w w:val="70"/>
              </w:rPr>
              <w:t>$</w:t>
            </w:r>
          </w:p>
        </w:tc>
        <w:tc>
          <w:tcPr>
            <w:tcW w:w="560" w:type="dxa"/>
            <w:vAlign w:val="bottom"/>
            <w:gridSpan w:val="2"/>
          </w:tcPr>
          <w:p>
            <w:pPr>
              <w:jc w:val="right"/>
              <w:ind w:right="220"/>
              <w:spacing w:after="0" w:line="88" w:lineRule="exact"/>
              <w:rPr>
                <w:sz w:val="20"/>
                <w:szCs w:val="20"/>
                <w:color w:val="auto"/>
              </w:rPr>
            </w:pPr>
            <w:r>
              <w:rPr>
                <w:rFonts w:ascii="Arial" w:cs="Arial" w:eastAsia="Arial" w:hAnsi="Arial"/>
                <w:sz w:val="8"/>
                <w:szCs w:val="8"/>
                <w:color w:val="auto"/>
              </w:rPr>
              <w:t>—</w:t>
            </w:r>
          </w:p>
        </w:tc>
        <w:tc>
          <w:tcPr>
            <w:tcW w:w="380" w:type="dxa"/>
            <w:vAlign w:val="bottom"/>
          </w:tcPr>
          <w:p>
            <w:pPr>
              <w:jc w:val="right"/>
              <w:spacing w:after="0" w:line="88" w:lineRule="exact"/>
              <w:rPr>
                <w:sz w:val="20"/>
                <w:szCs w:val="20"/>
                <w:color w:val="auto"/>
              </w:rPr>
            </w:pPr>
            <w:r>
              <w:rPr>
                <w:rFonts w:ascii="Arial" w:cs="Arial" w:eastAsia="Arial" w:hAnsi="Arial"/>
                <w:sz w:val="8"/>
                <w:szCs w:val="8"/>
                <w:color w:val="auto"/>
              </w:rPr>
              <w:t>—</w:t>
            </w:r>
          </w:p>
        </w:tc>
        <w:tc>
          <w:tcPr>
            <w:tcW w:w="300" w:type="dxa"/>
            <w:vAlign w:val="bottom"/>
            <w:gridSpan w:val="2"/>
          </w:tcPr>
          <w:p>
            <w:pPr>
              <w:jc w:val="right"/>
              <w:ind w:right="40"/>
              <w:spacing w:after="0" w:line="88" w:lineRule="exact"/>
              <w:rPr>
                <w:sz w:val="20"/>
                <w:szCs w:val="20"/>
                <w:color w:val="auto"/>
              </w:rPr>
            </w:pPr>
            <w:r>
              <w:rPr>
                <w:rFonts w:ascii="Arial" w:cs="Arial" w:eastAsia="Arial" w:hAnsi="Arial"/>
                <w:sz w:val="8"/>
                <w:szCs w:val="8"/>
                <w:color w:val="auto"/>
              </w:rPr>
              <w:t>$</w:t>
            </w:r>
          </w:p>
        </w:tc>
        <w:tc>
          <w:tcPr>
            <w:tcW w:w="480" w:type="dxa"/>
            <w:vAlign w:val="bottom"/>
            <w:gridSpan w:val="2"/>
          </w:tcPr>
          <w:p>
            <w:pPr>
              <w:jc w:val="right"/>
              <w:ind w:right="120"/>
              <w:spacing w:after="0" w:line="88" w:lineRule="exact"/>
              <w:rPr>
                <w:sz w:val="20"/>
                <w:szCs w:val="20"/>
                <w:color w:val="auto"/>
              </w:rPr>
            </w:pPr>
            <w:r>
              <w:rPr>
                <w:rFonts w:ascii="Arial" w:cs="Arial" w:eastAsia="Arial" w:hAnsi="Arial"/>
                <w:sz w:val="8"/>
                <w:szCs w:val="8"/>
                <w:color w:val="auto"/>
              </w:rPr>
              <w:t>—</w:t>
            </w:r>
          </w:p>
        </w:tc>
        <w:tc>
          <w:tcPr>
            <w:tcW w:w="140" w:type="dxa"/>
            <w:vAlign w:val="bottom"/>
          </w:tcPr>
          <w:p>
            <w:pPr>
              <w:ind w:left="100"/>
              <w:spacing w:after="0"/>
              <w:rPr>
                <w:sz w:val="20"/>
                <w:szCs w:val="20"/>
                <w:color w:val="auto"/>
              </w:rPr>
            </w:pPr>
            <w:r>
              <w:rPr>
                <w:rFonts w:ascii="Arial" w:cs="Arial" w:eastAsia="Arial" w:hAnsi="Arial"/>
                <w:sz w:val="1"/>
                <w:szCs w:val="1"/>
                <w:color w:val="auto"/>
                <w:w w:val="4294967288"/>
              </w:rPr>
              <w:t>$</w:t>
            </w:r>
          </w:p>
        </w:tc>
        <w:tc>
          <w:tcPr>
            <w:tcW w:w="660" w:type="dxa"/>
            <w:vAlign w:val="bottom"/>
            <w:gridSpan w:val="2"/>
          </w:tcPr>
          <w:p>
            <w:pPr>
              <w:jc w:val="right"/>
              <w:ind w:right="240"/>
              <w:spacing w:after="0" w:line="88" w:lineRule="exact"/>
              <w:rPr>
                <w:sz w:val="20"/>
                <w:szCs w:val="20"/>
                <w:color w:val="auto"/>
              </w:rPr>
            </w:pPr>
            <w:r>
              <w:rPr>
                <w:rFonts w:ascii="Arial" w:cs="Arial" w:eastAsia="Arial" w:hAnsi="Arial"/>
                <w:sz w:val="8"/>
                <w:szCs w:val="8"/>
                <w:color w:val="auto"/>
              </w:rPr>
              <w:t>—</w:t>
            </w:r>
          </w:p>
        </w:tc>
        <w:tc>
          <w:tcPr>
            <w:tcW w:w="60" w:type="dxa"/>
            <w:vAlign w:val="bottom"/>
          </w:tcPr>
          <w:p>
            <w:pPr>
              <w:spacing w:after="0" w:line="88" w:lineRule="exact"/>
              <w:rPr>
                <w:sz w:val="20"/>
                <w:szCs w:val="20"/>
                <w:color w:val="auto"/>
              </w:rPr>
            </w:pPr>
            <w:r>
              <w:rPr>
                <w:rFonts w:ascii="Arial" w:cs="Arial" w:eastAsia="Arial" w:hAnsi="Arial"/>
                <w:sz w:val="8"/>
                <w:szCs w:val="8"/>
                <w:color w:val="auto"/>
                <w:w w:val="88"/>
              </w:rPr>
              <w:t>$</w:t>
            </w:r>
          </w:p>
        </w:tc>
        <w:tc>
          <w:tcPr>
            <w:tcW w:w="360" w:type="dxa"/>
            <w:vAlign w:val="bottom"/>
          </w:tcPr>
          <w:p>
            <w:pPr>
              <w:jc w:val="right"/>
              <w:spacing w:after="0" w:line="88" w:lineRule="exact"/>
              <w:rPr>
                <w:sz w:val="20"/>
                <w:szCs w:val="20"/>
                <w:color w:val="auto"/>
              </w:rPr>
            </w:pPr>
            <w:r>
              <w:rPr>
                <w:rFonts w:ascii="Arial" w:cs="Arial" w:eastAsia="Arial" w:hAnsi="Arial"/>
                <w:sz w:val="8"/>
                <w:szCs w:val="8"/>
                <w:color w:val="auto"/>
              </w:rPr>
              <w:t>129,020</w:t>
            </w:r>
          </w:p>
        </w:tc>
        <w:tc>
          <w:tcPr>
            <w:tcW w:w="120" w:type="dxa"/>
            <w:vAlign w:val="bottom"/>
          </w:tcPr>
          <w:p>
            <w:pPr>
              <w:spacing w:after="0"/>
              <w:rPr>
                <w:sz w:val="7"/>
                <w:szCs w:val="7"/>
                <w:color w:val="auto"/>
              </w:rPr>
            </w:pPr>
          </w:p>
        </w:tc>
        <w:tc>
          <w:tcPr>
            <w:tcW w:w="160" w:type="dxa"/>
            <w:vAlign w:val="bottom"/>
          </w:tcPr>
          <w:p>
            <w:pPr>
              <w:ind w:left="100"/>
              <w:spacing w:after="0"/>
              <w:rPr>
                <w:sz w:val="20"/>
                <w:szCs w:val="20"/>
                <w:color w:val="auto"/>
              </w:rPr>
            </w:pPr>
            <w:r>
              <w:rPr>
                <w:rFonts w:ascii="Arial" w:cs="Arial" w:eastAsia="Arial" w:hAnsi="Arial"/>
                <w:sz w:val="5"/>
                <w:szCs w:val="5"/>
                <w:color w:val="auto"/>
                <w:w w:val="70"/>
              </w:rPr>
              <w:t>$</w:t>
            </w:r>
          </w:p>
        </w:tc>
        <w:tc>
          <w:tcPr>
            <w:tcW w:w="380" w:type="dxa"/>
            <w:vAlign w:val="bottom"/>
          </w:tcPr>
          <w:p>
            <w:pPr>
              <w:jc w:val="right"/>
              <w:spacing w:after="0" w:line="88" w:lineRule="exact"/>
              <w:rPr>
                <w:sz w:val="20"/>
                <w:szCs w:val="20"/>
                <w:color w:val="auto"/>
              </w:rPr>
            </w:pPr>
            <w:r>
              <w:rPr>
                <w:rFonts w:ascii="Arial" w:cs="Arial" w:eastAsia="Arial" w:hAnsi="Arial"/>
                <w:sz w:val="8"/>
                <w:szCs w:val="8"/>
                <w:color w:val="auto"/>
              </w:rPr>
              <w:t>18,238</w:t>
            </w:r>
          </w:p>
        </w:tc>
        <w:tc>
          <w:tcPr>
            <w:tcW w:w="220" w:type="dxa"/>
            <w:vAlign w:val="bottom"/>
          </w:tcPr>
          <w:p>
            <w:pPr>
              <w:spacing w:after="0"/>
              <w:rPr>
                <w:sz w:val="7"/>
                <w:szCs w:val="7"/>
                <w:color w:val="auto"/>
              </w:rPr>
            </w:pPr>
          </w:p>
        </w:tc>
        <w:tc>
          <w:tcPr>
            <w:tcW w:w="100" w:type="dxa"/>
            <w:vAlign w:val="bottom"/>
          </w:tcPr>
          <w:p>
            <w:pPr>
              <w:spacing w:after="0" w:line="88" w:lineRule="exact"/>
              <w:rPr>
                <w:sz w:val="20"/>
                <w:szCs w:val="20"/>
                <w:color w:val="auto"/>
              </w:rPr>
            </w:pPr>
            <w:r>
              <w:rPr>
                <w:rFonts w:ascii="Arial" w:cs="Arial" w:eastAsia="Arial" w:hAnsi="Arial"/>
                <w:sz w:val="8"/>
                <w:szCs w:val="8"/>
                <w:color w:val="auto"/>
              </w:rPr>
              <w:t>$</w:t>
            </w:r>
          </w:p>
        </w:tc>
        <w:tc>
          <w:tcPr>
            <w:tcW w:w="640" w:type="dxa"/>
            <w:vAlign w:val="bottom"/>
            <w:gridSpan w:val="2"/>
          </w:tcPr>
          <w:p>
            <w:pPr>
              <w:jc w:val="right"/>
              <w:ind w:right="220"/>
              <w:spacing w:after="0" w:line="88" w:lineRule="exact"/>
              <w:rPr>
                <w:sz w:val="20"/>
                <w:szCs w:val="20"/>
                <w:color w:val="auto"/>
              </w:rPr>
            </w:pPr>
            <w:r>
              <w:rPr>
                <w:rFonts w:ascii="Arial" w:cs="Arial" w:eastAsia="Arial" w:hAnsi="Arial"/>
                <w:sz w:val="8"/>
                <w:szCs w:val="8"/>
                <w:color w:val="auto"/>
              </w:rPr>
              <w:t>—</w:t>
            </w:r>
          </w:p>
        </w:tc>
        <w:tc>
          <w:tcPr>
            <w:tcW w:w="80" w:type="dxa"/>
            <w:vAlign w:val="bottom"/>
          </w:tcPr>
          <w:p>
            <w:pPr>
              <w:spacing w:after="0" w:line="88" w:lineRule="exact"/>
              <w:rPr>
                <w:sz w:val="20"/>
                <w:szCs w:val="20"/>
                <w:color w:val="auto"/>
              </w:rPr>
            </w:pPr>
            <w:r>
              <w:rPr>
                <w:rFonts w:ascii="Arial" w:cs="Arial" w:eastAsia="Arial" w:hAnsi="Arial"/>
                <w:sz w:val="8"/>
                <w:szCs w:val="8"/>
                <w:color w:val="auto"/>
              </w:rPr>
              <w:t>$</w:t>
            </w:r>
          </w:p>
        </w:tc>
        <w:tc>
          <w:tcPr>
            <w:tcW w:w="400" w:type="dxa"/>
            <w:vAlign w:val="bottom"/>
          </w:tcPr>
          <w:p>
            <w:pPr>
              <w:jc w:val="right"/>
              <w:spacing w:after="0" w:line="88" w:lineRule="exact"/>
              <w:rPr>
                <w:sz w:val="20"/>
                <w:szCs w:val="20"/>
                <w:color w:val="auto"/>
              </w:rPr>
            </w:pPr>
            <w:r>
              <w:rPr>
                <w:rFonts w:ascii="Arial" w:cs="Arial" w:eastAsia="Arial" w:hAnsi="Arial"/>
                <w:sz w:val="8"/>
                <w:szCs w:val="8"/>
                <w:color w:val="auto"/>
              </w:rPr>
              <w:t>147,264</w:t>
            </w: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220" w:type="dxa"/>
            <w:vAlign w:val="bottom"/>
            <w:gridSpan w:val="3"/>
            <w:vMerge w:val="restart"/>
            <w:shd w:val="clear" w:color="auto" w:fill="CFF0FC"/>
          </w:tcPr>
          <w:p>
            <w:pPr>
              <w:spacing w:after="0"/>
              <w:rPr>
                <w:sz w:val="20"/>
                <w:szCs w:val="20"/>
                <w:color w:val="auto"/>
              </w:rPr>
            </w:pPr>
            <w:r>
              <w:rPr>
                <w:rFonts w:ascii="Arial" w:cs="Arial" w:eastAsia="Arial" w:hAnsi="Arial"/>
                <w:sz w:val="8"/>
                <w:szCs w:val="8"/>
                <w:color w:val="auto"/>
              </w:rPr>
              <w:t>Net loss</w:t>
            </w:r>
          </w:p>
        </w:tc>
        <w:tc>
          <w:tcPr>
            <w:tcW w:w="400" w:type="dxa"/>
            <w:vAlign w:val="bottom"/>
            <w:shd w:val="clear" w:color="auto" w:fill="000000"/>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80" w:type="dxa"/>
            <w:vAlign w:val="bottom"/>
            <w:tcBorders>
              <w:right w:val="single" w:sz="8" w:color="auto"/>
            </w:tcBorders>
            <w:shd w:val="clear" w:color="auto" w:fill="CFF0FC"/>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40" w:type="dxa"/>
            <w:vAlign w:val="bottom"/>
            <w:tcBorders>
              <w:right w:val="single" w:sz="8" w:color="auto"/>
            </w:tcBorders>
            <w:shd w:val="clear" w:color="auto" w:fill="CFF0FC"/>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60" w:type="dxa"/>
            <w:vAlign w:val="bottom"/>
            <w:tcBorders>
              <w:right w:val="single" w:sz="8" w:color="auto"/>
            </w:tcBorders>
            <w:shd w:val="clear" w:color="auto" w:fill="CFF0FC"/>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99"/>
        </w:trPr>
        <w:tc>
          <w:tcPr>
            <w:tcW w:w="20" w:type="dxa"/>
            <w:vAlign w:val="bottom"/>
          </w:tcPr>
          <w:p>
            <w:pPr>
              <w:spacing w:after="0"/>
              <w:rPr>
                <w:sz w:val="8"/>
                <w:szCs w:val="8"/>
                <w:color w:val="auto"/>
              </w:rPr>
            </w:pPr>
          </w:p>
        </w:tc>
        <w:tc>
          <w:tcPr>
            <w:tcW w:w="2220" w:type="dxa"/>
            <w:vAlign w:val="bottom"/>
            <w:gridSpan w:val="3"/>
            <w:vMerge w:val="continue"/>
            <w:shd w:val="clear" w:color="auto" w:fill="CFF0FC"/>
          </w:tcPr>
          <w:p>
            <w:pPr>
              <w:spacing w:after="0"/>
              <w:rPr>
                <w:sz w:val="8"/>
                <w:szCs w:val="8"/>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8"/>
                <w:szCs w:val="8"/>
                <w:color w:val="auto"/>
              </w:rPr>
              <w:t>—</w:t>
            </w:r>
          </w:p>
        </w:tc>
        <w:tc>
          <w:tcPr>
            <w:tcW w:w="24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8"/>
                <w:szCs w:val="8"/>
                <w:color w:val="auto"/>
              </w:rPr>
              <w:t>—</w:t>
            </w:r>
          </w:p>
        </w:tc>
        <w:tc>
          <w:tcPr>
            <w:tcW w:w="240" w:type="dxa"/>
            <w:vAlign w:val="bottom"/>
            <w:shd w:val="clear" w:color="auto" w:fill="CFF0FC"/>
          </w:tcPr>
          <w:p>
            <w:pPr>
              <w:spacing w:after="0"/>
              <w:rPr>
                <w:sz w:val="8"/>
                <w:szCs w:val="8"/>
                <w:color w:val="auto"/>
              </w:rPr>
            </w:pPr>
          </w:p>
        </w:tc>
        <w:tc>
          <w:tcPr>
            <w:tcW w:w="240" w:type="dxa"/>
            <w:vAlign w:val="bottom"/>
            <w:shd w:val="clear" w:color="auto" w:fill="CFF0FC"/>
          </w:tcPr>
          <w:p>
            <w:pPr>
              <w:ind w:left="160"/>
              <w:spacing w:after="0"/>
              <w:rPr>
                <w:sz w:val="20"/>
                <w:szCs w:val="20"/>
                <w:color w:val="auto"/>
              </w:rPr>
            </w:pPr>
            <w:r>
              <w:rPr>
                <w:rFonts w:ascii="Arial" w:cs="Arial" w:eastAsia="Arial" w:hAnsi="Arial"/>
                <w:sz w:val="8"/>
                <w:szCs w:val="8"/>
                <w:color w:val="auto"/>
                <w:w w:val="74"/>
              </w:rPr>
              <w:t>—</w:t>
            </w:r>
          </w:p>
        </w:tc>
        <w:tc>
          <w:tcPr>
            <w:tcW w:w="24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60" w:type="dxa"/>
            <w:vAlign w:val="bottom"/>
            <w:shd w:val="clear" w:color="auto" w:fill="CFF0FC"/>
          </w:tcPr>
          <w:p>
            <w:pPr>
              <w:ind w:left="60"/>
              <w:spacing w:after="0"/>
              <w:rPr>
                <w:sz w:val="20"/>
                <w:szCs w:val="20"/>
                <w:color w:val="auto"/>
              </w:rPr>
            </w:pPr>
            <w:r>
              <w:rPr>
                <w:rFonts w:ascii="Arial" w:cs="Arial" w:eastAsia="Arial" w:hAnsi="Arial"/>
                <w:sz w:val="8"/>
                <w:szCs w:val="8"/>
                <w:color w:val="auto"/>
                <w:w w:val="99"/>
              </w:rPr>
              <w:t>—</w:t>
            </w:r>
          </w:p>
        </w:tc>
        <w:tc>
          <w:tcPr>
            <w:tcW w:w="220" w:type="dxa"/>
            <w:vAlign w:val="bottom"/>
            <w:shd w:val="clear" w:color="auto" w:fill="CFF0FC"/>
          </w:tcPr>
          <w:p>
            <w:pPr>
              <w:spacing w:after="0"/>
              <w:rPr>
                <w:sz w:val="8"/>
                <w:szCs w:val="8"/>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8"/>
                <w:szCs w:val="8"/>
                <w:color w:val="auto"/>
              </w:rPr>
              <w:t>—</w:t>
            </w:r>
          </w:p>
        </w:tc>
        <w:tc>
          <w:tcPr>
            <w:tcW w:w="280" w:type="dxa"/>
            <w:vAlign w:val="bottom"/>
            <w:tcBorders>
              <w:right w:val="single" w:sz="8" w:color="CFF0FC"/>
            </w:tcBorders>
            <w:shd w:val="clear" w:color="auto" w:fill="CFF0FC"/>
          </w:tcPr>
          <w:p>
            <w:pPr>
              <w:spacing w:after="0"/>
              <w:rPr>
                <w:sz w:val="8"/>
                <w:szCs w:val="8"/>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8"/>
                <w:szCs w:val="8"/>
                <w:color w:val="auto"/>
              </w:rPr>
              <w:t>—</w:t>
            </w:r>
          </w:p>
        </w:tc>
        <w:tc>
          <w:tcPr>
            <w:tcW w:w="220" w:type="dxa"/>
            <w:vAlign w:val="bottom"/>
            <w:shd w:val="clear" w:color="auto" w:fill="CFF0FC"/>
          </w:tcPr>
          <w:p>
            <w:pPr>
              <w:spacing w:after="0"/>
              <w:rPr>
                <w:sz w:val="8"/>
                <w:szCs w:val="8"/>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8"/>
                <w:szCs w:val="8"/>
                <w:color w:val="auto"/>
              </w:rPr>
              <w:t>—</w:t>
            </w:r>
          </w:p>
        </w:tc>
        <w:tc>
          <w:tcPr>
            <w:tcW w:w="22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560" w:type="dxa"/>
            <w:vAlign w:val="bottom"/>
            <w:gridSpan w:val="2"/>
            <w:shd w:val="clear" w:color="auto" w:fill="CFF0FC"/>
          </w:tcPr>
          <w:p>
            <w:pPr>
              <w:jc w:val="right"/>
              <w:ind w:right="220"/>
              <w:spacing w:after="0"/>
              <w:rPr>
                <w:sz w:val="20"/>
                <w:szCs w:val="20"/>
                <w:color w:val="auto"/>
              </w:rPr>
            </w:pPr>
            <w:r>
              <w:rPr>
                <w:rFonts w:ascii="Arial" w:cs="Arial" w:eastAsia="Arial" w:hAnsi="Arial"/>
                <w:sz w:val="8"/>
                <w:szCs w:val="8"/>
                <w:color w:val="auto"/>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8"/>
                <w:szCs w:val="8"/>
                <w:color w:val="auto"/>
              </w:rPr>
              <w:t>—</w:t>
            </w:r>
          </w:p>
        </w:tc>
        <w:tc>
          <w:tcPr>
            <w:tcW w:w="22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480" w:type="dxa"/>
            <w:vAlign w:val="bottom"/>
            <w:gridSpan w:val="2"/>
            <w:shd w:val="clear" w:color="auto" w:fill="CFF0FC"/>
          </w:tcPr>
          <w:p>
            <w:pPr>
              <w:jc w:val="right"/>
              <w:ind w:right="120"/>
              <w:spacing w:after="0"/>
              <w:rPr>
                <w:sz w:val="20"/>
                <w:szCs w:val="20"/>
                <w:color w:val="auto"/>
              </w:rPr>
            </w:pPr>
            <w:r>
              <w:rPr>
                <w:rFonts w:ascii="Arial" w:cs="Arial" w:eastAsia="Arial" w:hAnsi="Arial"/>
                <w:sz w:val="8"/>
                <w:szCs w:val="8"/>
                <w:color w:val="auto"/>
              </w:rPr>
              <w:t>—</w:t>
            </w:r>
          </w:p>
        </w:tc>
        <w:tc>
          <w:tcPr>
            <w:tcW w:w="140" w:type="dxa"/>
            <w:vAlign w:val="bottom"/>
            <w:tcBorders>
              <w:right w:val="single" w:sz="8" w:color="CFF0FC"/>
            </w:tcBorders>
            <w:shd w:val="clear" w:color="auto" w:fill="CFF0FC"/>
          </w:tcPr>
          <w:p>
            <w:pPr>
              <w:spacing w:after="0"/>
              <w:rPr>
                <w:sz w:val="8"/>
                <w:szCs w:val="8"/>
                <w:color w:val="auto"/>
              </w:rPr>
            </w:pPr>
          </w:p>
        </w:tc>
        <w:tc>
          <w:tcPr>
            <w:tcW w:w="660" w:type="dxa"/>
            <w:vAlign w:val="bottom"/>
            <w:gridSpan w:val="2"/>
            <w:shd w:val="clear" w:color="auto" w:fill="CFF0FC"/>
          </w:tcPr>
          <w:p>
            <w:pPr>
              <w:jc w:val="right"/>
              <w:ind w:right="240"/>
              <w:spacing w:after="0"/>
              <w:rPr>
                <w:sz w:val="20"/>
                <w:szCs w:val="20"/>
                <w:color w:val="auto"/>
              </w:rPr>
            </w:pPr>
            <w:r>
              <w:rPr>
                <w:rFonts w:ascii="Arial" w:cs="Arial" w:eastAsia="Arial" w:hAnsi="Arial"/>
                <w:sz w:val="8"/>
                <w:szCs w:val="8"/>
                <w:color w:val="auto"/>
              </w:rPr>
              <w:t>—</w:t>
            </w:r>
          </w:p>
        </w:tc>
        <w:tc>
          <w:tcPr>
            <w:tcW w:w="60" w:type="dxa"/>
            <w:vAlign w:val="bottom"/>
            <w:shd w:val="clear" w:color="auto" w:fill="CFF0FC"/>
          </w:tcPr>
          <w:p>
            <w:pPr>
              <w:spacing w:after="0"/>
              <w:rPr>
                <w:sz w:val="8"/>
                <w:szCs w:val="8"/>
                <w:color w:val="auto"/>
              </w:rPr>
            </w:pPr>
          </w:p>
        </w:tc>
        <w:tc>
          <w:tcPr>
            <w:tcW w:w="480" w:type="dxa"/>
            <w:vAlign w:val="bottom"/>
            <w:gridSpan w:val="2"/>
            <w:shd w:val="clear" w:color="auto" w:fill="CFF0FC"/>
          </w:tcPr>
          <w:p>
            <w:pPr>
              <w:jc w:val="right"/>
              <w:ind w:right="140"/>
              <w:spacing w:after="0"/>
              <w:rPr>
                <w:sz w:val="20"/>
                <w:szCs w:val="20"/>
                <w:color w:val="auto"/>
              </w:rPr>
            </w:pPr>
            <w:r>
              <w:rPr>
                <w:rFonts w:ascii="Arial" w:cs="Arial" w:eastAsia="Arial" w:hAnsi="Arial"/>
                <w:sz w:val="8"/>
                <w:szCs w:val="8"/>
                <w:color w:val="auto"/>
              </w:rPr>
              <w:t>—</w:t>
            </w:r>
          </w:p>
        </w:tc>
        <w:tc>
          <w:tcPr>
            <w:tcW w:w="160" w:type="dxa"/>
            <w:vAlign w:val="bottom"/>
            <w:tcBorders>
              <w:right w:val="single" w:sz="8" w:color="CFF0FC"/>
            </w:tcBorders>
            <w:shd w:val="clear" w:color="auto" w:fill="CFF0FC"/>
          </w:tcPr>
          <w:p>
            <w:pPr>
              <w:spacing w:after="0"/>
              <w:rPr>
                <w:sz w:val="8"/>
                <w:szCs w:val="8"/>
                <w:color w:val="auto"/>
              </w:rPr>
            </w:pPr>
          </w:p>
        </w:tc>
        <w:tc>
          <w:tcPr>
            <w:tcW w:w="600" w:type="dxa"/>
            <w:vAlign w:val="bottom"/>
            <w:gridSpan w:val="2"/>
            <w:shd w:val="clear" w:color="auto" w:fill="CFF0FC"/>
          </w:tcPr>
          <w:p>
            <w:pPr>
              <w:jc w:val="right"/>
              <w:ind w:right="200"/>
              <w:spacing w:after="0"/>
              <w:rPr>
                <w:sz w:val="20"/>
                <w:szCs w:val="20"/>
                <w:color w:val="auto"/>
              </w:rPr>
            </w:pPr>
            <w:r>
              <w:rPr>
                <w:rFonts w:ascii="Arial" w:cs="Arial" w:eastAsia="Arial" w:hAnsi="Arial"/>
                <w:sz w:val="8"/>
                <w:szCs w:val="8"/>
                <w:color w:val="auto"/>
              </w:rPr>
              <w:t>(58,394)</w:t>
            </w:r>
          </w:p>
        </w:tc>
        <w:tc>
          <w:tcPr>
            <w:tcW w:w="100" w:type="dxa"/>
            <w:vAlign w:val="bottom"/>
            <w:shd w:val="clear" w:color="auto" w:fill="CFF0FC"/>
          </w:tcPr>
          <w:p>
            <w:pPr>
              <w:spacing w:after="0"/>
              <w:rPr>
                <w:sz w:val="8"/>
                <w:szCs w:val="8"/>
                <w:color w:val="auto"/>
              </w:rPr>
            </w:pPr>
          </w:p>
        </w:tc>
        <w:tc>
          <w:tcPr>
            <w:tcW w:w="640" w:type="dxa"/>
            <w:vAlign w:val="bottom"/>
            <w:gridSpan w:val="2"/>
            <w:shd w:val="clear" w:color="auto" w:fill="CFF0FC"/>
          </w:tcPr>
          <w:p>
            <w:pPr>
              <w:jc w:val="right"/>
              <w:ind w:right="220"/>
              <w:spacing w:after="0"/>
              <w:rPr>
                <w:sz w:val="20"/>
                <w:szCs w:val="20"/>
                <w:color w:val="auto"/>
              </w:rPr>
            </w:pPr>
            <w:r>
              <w:rPr>
                <w:rFonts w:ascii="Arial" w:cs="Arial" w:eastAsia="Arial" w:hAnsi="Arial"/>
                <w:sz w:val="8"/>
                <w:szCs w:val="8"/>
                <w:color w:val="auto"/>
              </w:rPr>
              <w:t>—</w:t>
            </w:r>
          </w:p>
        </w:tc>
        <w:tc>
          <w:tcPr>
            <w:tcW w:w="80" w:type="dxa"/>
            <w:vAlign w:val="bottom"/>
            <w:shd w:val="clear" w:color="auto" w:fill="CFF0FC"/>
          </w:tcPr>
          <w:p>
            <w:pPr>
              <w:spacing w:after="0"/>
              <w:rPr>
                <w:sz w:val="8"/>
                <w:szCs w:val="8"/>
                <w:color w:val="auto"/>
              </w:rPr>
            </w:pPr>
          </w:p>
        </w:tc>
        <w:tc>
          <w:tcPr>
            <w:tcW w:w="460" w:type="dxa"/>
            <w:vAlign w:val="bottom"/>
            <w:gridSpan w:val="2"/>
            <w:shd w:val="clear" w:color="auto" w:fill="CFF0FC"/>
          </w:tcPr>
          <w:p>
            <w:pPr>
              <w:jc w:val="right"/>
              <w:ind w:right="40"/>
              <w:spacing w:after="0"/>
              <w:rPr>
                <w:sz w:val="20"/>
                <w:szCs w:val="20"/>
                <w:color w:val="auto"/>
              </w:rPr>
            </w:pPr>
            <w:r>
              <w:rPr>
                <w:rFonts w:ascii="Arial" w:cs="Arial" w:eastAsia="Arial" w:hAnsi="Arial"/>
                <w:sz w:val="8"/>
                <w:szCs w:val="8"/>
                <w:color w:val="auto"/>
              </w:rPr>
              <w:t>(58,394)</w:t>
            </w:r>
          </w:p>
        </w:tc>
        <w:tc>
          <w:tcPr>
            <w:tcW w:w="0" w:type="dxa"/>
            <w:vAlign w:val="bottom"/>
          </w:tcPr>
          <w:p>
            <w:pPr>
              <w:spacing w:after="0"/>
              <w:rPr>
                <w:sz w:val="1"/>
                <w:szCs w:val="1"/>
                <w:color w:val="auto"/>
              </w:rPr>
            </w:pPr>
          </w:p>
        </w:tc>
      </w:tr>
      <w:tr>
        <w:trPr>
          <w:trHeight w:val="99"/>
        </w:trPr>
        <w:tc>
          <w:tcPr>
            <w:tcW w:w="2240" w:type="dxa"/>
            <w:vAlign w:val="bottom"/>
            <w:gridSpan w:val="4"/>
          </w:tcPr>
          <w:p>
            <w:pPr>
              <w:spacing w:after="0"/>
              <w:rPr>
                <w:sz w:val="20"/>
                <w:szCs w:val="20"/>
                <w:color w:val="auto"/>
              </w:rPr>
            </w:pPr>
            <w:r>
              <w:rPr>
                <w:rFonts w:ascii="Arial" w:cs="Arial" w:eastAsia="Arial" w:hAnsi="Arial"/>
                <w:sz w:val="8"/>
                <w:szCs w:val="8"/>
                <w:color w:val="auto"/>
              </w:rPr>
              <w:t>Stock issued in exchange for business acquisitions</w:t>
            </w:r>
          </w:p>
        </w:tc>
        <w:tc>
          <w:tcPr>
            <w:tcW w:w="400" w:type="dxa"/>
            <w:vAlign w:val="bottom"/>
          </w:tcPr>
          <w:p>
            <w:pPr>
              <w:jc w:val="right"/>
              <w:spacing w:after="0"/>
              <w:rPr>
                <w:sz w:val="20"/>
                <w:szCs w:val="20"/>
                <w:color w:val="auto"/>
              </w:rPr>
            </w:pPr>
            <w:r>
              <w:rPr>
                <w:rFonts w:ascii="Arial" w:cs="Arial" w:eastAsia="Arial" w:hAnsi="Arial"/>
                <w:sz w:val="8"/>
                <w:szCs w:val="8"/>
                <w:color w:val="auto"/>
              </w:rPr>
              <w:t>12,420</w:t>
            </w: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jc w:val="right"/>
              <w:spacing w:after="0"/>
              <w:rPr>
                <w:sz w:val="20"/>
                <w:szCs w:val="20"/>
                <w:color w:val="auto"/>
              </w:rPr>
            </w:pPr>
            <w:r>
              <w:rPr>
                <w:rFonts w:ascii="Arial" w:cs="Arial" w:eastAsia="Arial" w:hAnsi="Arial"/>
                <w:sz w:val="8"/>
                <w:szCs w:val="8"/>
                <w:color w:val="auto"/>
              </w:rPr>
              <w:t>1</w:t>
            </w:r>
          </w:p>
        </w:tc>
        <w:tc>
          <w:tcPr>
            <w:tcW w:w="240" w:type="dxa"/>
            <w:vAlign w:val="bottom"/>
          </w:tcPr>
          <w:p>
            <w:pPr>
              <w:spacing w:after="0"/>
              <w:rPr>
                <w:sz w:val="8"/>
                <w:szCs w:val="8"/>
                <w:color w:val="auto"/>
              </w:rPr>
            </w:pPr>
          </w:p>
        </w:tc>
        <w:tc>
          <w:tcPr>
            <w:tcW w:w="240" w:type="dxa"/>
            <w:vAlign w:val="bottom"/>
          </w:tcPr>
          <w:p>
            <w:pPr>
              <w:ind w:left="160"/>
              <w:spacing w:after="0"/>
              <w:rPr>
                <w:sz w:val="20"/>
                <w:szCs w:val="20"/>
                <w:color w:val="auto"/>
              </w:rPr>
            </w:pPr>
            <w:r>
              <w:rPr>
                <w:rFonts w:ascii="Arial" w:cs="Arial" w:eastAsia="Arial" w:hAnsi="Arial"/>
                <w:sz w:val="8"/>
                <w:szCs w:val="8"/>
                <w:color w:val="auto"/>
                <w:w w:val="74"/>
              </w:rPr>
              <w:t>—</w:t>
            </w: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gridSpan w:val="2"/>
          </w:tcPr>
          <w:p>
            <w:pPr>
              <w:ind w:left="60"/>
              <w:spacing w:after="0"/>
              <w:rPr>
                <w:sz w:val="20"/>
                <w:szCs w:val="20"/>
                <w:color w:val="auto"/>
              </w:rPr>
            </w:pPr>
            <w:r>
              <w:rPr>
                <w:rFonts w:ascii="Arial" w:cs="Arial" w:eastAsia="Arial" w:hAnsi="Arial"/>
                <w:sz w:val="8"/>
                <w:szCs w:val="8"/>
                <w:color w:val="auto"/>
              </w:rPr>
              <w:t>—</w:t>
            </w:r>
          </w:p>
        </w:tc>
        <w:tc>
          <w:tcPr>
            <w:tcW w:w="380" w:type="dxa"/>
            <w:vAlign w:val="bottom"/>
          </w:tcPr>
          <w:p>
            <w:pPr>
              <w:jc w:val="right"/>
              <w:spacing w:after="0"/>
              <w:rPr>
                <w:sz w:val="20"/>
                <w:szCs w:val="20"/>
                <w:color w:val="auto"/>
              </w:rPr>
            </w:pPr>
            <w:r>
              <w:rPr>
                <w:rFonts w:ascii="Arial" w:cs="Arial" w:eastAsia="Arial" w:hAnsi="Arial"/>
                <w:sz w:val="8"/>
                <w:szCs w:val="8"/>
                <w:color w:val="auto"/>
              </w:rPr>
              <w:t>—</w:t>
            </w:r>
          </w:p>
        </w:tc>
        <w:tc>
          <w:tcPr>
            <w:tcW w:w="280" w:type="dxa"/>
            <w:vAlign w:val="bottom"/>
          </w:tcPr>
          <w:p>
            <w:pPr>
              <w:spacing w:after="0"/>
              <w:rPr>
                <w:sz w:val="8"/>
                <w:szCs w:val="8"/>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8"/>
                <w:szCs w:val="8"/>
                <w:color w:val="auto"/>
              </w:rPr>
              <w:t>—</w:t>
            </w:r>
          </w:p>
        </w:tc>
        <w:tc>
          <w:tcPr>
            <w:tcW w:w="600" w:type="dxa"/>
            <w:vAlign w:val="bottom"/>
            <w:gridSpan w:val="2"/>
          </w:tcPr>
          <w:p>
            <w:pPr>
              <w:jc w:val="right"/>
              <w:ind w:right="240"/>
              <w:spacing w:after="0"/>
              <w:rPr>
                <w:sz w:val="20"/>
                <w:szCs w:val="20"/>
                <w:color w:val="auto"/>
              </w:rPr>
            </w:pPr>
            <w:r>
              <w:rPr>
                <w:rFonts w:ascii="Arial" w:cs="Arial" w:eastAsia="Arial" w:hAnsi="Arial"/>
                <w:sz w:val="8"/>
                <w:szCs w:val="8"/>
                <w:color w:val="auto"/>
              </w:rPr>
              <w:t>—</w:t>
            </w:r>
          </w:p>
        </w:tc>
        <w:tc>
          <w:tcPr>
            <w:tcW w:w="60" w:type="dxa"/>
            <w:vAlign w:val="bottom"/>
          </w:tcPr>
          <w:p>
            <w:pPr>
              <w:spacing w:after="0"/>
              <w:rPr>
                <w:sz w:val="8"/>
                <w:szCs w:val="8"/>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8"/>
                <w:szCs w:val="8"/>
                <w:color w:val="auto"/>
              </w:rPr>
              <w:t>—</w:t>
            </w:r>
          </w:p>
        </w:tc>
        <w:tc>
          <w:tcPr>
            <w:tcW w:w="380" w:type="dxa"/>
            <w:vAlign w:val="bottom"/>
          </w:tcPr>
          <w:p>
            <w:pPr>
              <w:jc w:val="right"/>
              <w:spacing w:after="0"/>
              <w:rPr>
                <w:sz w:val="20"/>
                <w:szCs w:val="20"/>
                <w:color w:val="auto"/>
              </w:rPr>
            </w:pPr>
            <w:r>
              <w:rPr>
                <w:rFonts w:ascii="Arial" w:cs="Arial" w:eastAsia="Arial" w:hAnsi="Arial"/>
                <w:sz w:val="8"/>
                <w:szCs w:val="8"/>
                <w:color w:val="auto"/>
              </w:rPr>
              <w:t>—</w:t>
            </w: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8"/>
                <w:szCs w:val="8"/>
                <w:color w:val="auto"/>
              </w:rPr>
              <w:t>—</w:t>
            </w:r>
          </w:p>
        </w:tc>
        <w:tc>
          <w:tcPr>
            <w:tcW w:w="140" w:type="dxa"/>
            <w:vAlign w:val="bottom"/>
          </w:tcPr>
          <w:p>
            <w:pPr>
              <w:spacing w:after="0"/>
              <w:rPr>
                <w:sz w:val="8"/>
                <w:szCs w:val="8"/>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8"/>
                <w:szCs w:val="8"/>
                <w:color w:val="auto"/>
              </w:rPr>
              <w:t>—</w:t>
            </w:r>
          </w:p>
        </w:tc>
        <w:tc>
          <w:tcPr>
            <w:tcW w:w="60" w:type="dxa"/>
            <w:vAlign w:val="bottom"/>
          </w:tcPr>
          <w:p>
            <w:pPr>
              <w:spacing w:after="0"/>
              <w:rPr>
                <w:sz w:val="8"/>
                <w:szCs w:val="8"/>
                <w:color w:val="auto"/>
              </w:rPr>
            </w:pPr>
          </w:p>
        </w:tc>
        <w:tc>
          <w:tcPr>
            <w:tcW w:w="360" w:type="dxa"/>
            <w:vAlign w:val="bottom"/>
          </w:tcPr>
          <w:p>
            <w:pPr>
              <w:jc w:val="right"/>
              <w:spacing w:after="0"/>
              <w:rPr>
                <w:sz w:val="20"/>
                <w:szCs w:val="20"/>
                <w:color w:val="auto"/>
              </w:rPr>
            </w:pPr>
            <w:r>
              <w:rPr>
                <w:rFonts w:ascii="Arial" w:cs="Arial" w:eastAsia="Arial" w:hAnsi="Arial"/>
                <w:sz w:val="8"/>
                <w:szCs w:val="8"/>
                <w:color w:val="auto"/>
              </w:rPr>
              <w:t>117,554</w:t>
            </w: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8"/>
                <w:szCs w:val="8"/>
                <w:color w:val="auto"/>
              </w:rPr>
              <w:t>—</w:t>
            </w:r>
          </w:p>
        </w:tc>
        <w:tc>
          <w:tcPr>
            <w:tcW w:w="100" w:type="dxa"/>
            <w:vAlign w:val="bottom"/>
          </w:tcPr>
          <w:p>
            <w:pPr>
              <w:spacing w:after="0"/>
              <w:rPr>
                <w:sz w:val="8"/>
                <w:szCs w:val="8"/>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8"/>
                <w:szCs w:val="8"/>
                <w:color w:val="auto"/>
              </w:rPr>
            </w:pPr>
          </w:p>
        </w:tc>
        <w:tc>
          <w:tcPr>
            <w:tcW w:w="400" w:type="dxa"/>
            <w:vAlign w:val="bottom"/>
          </w:tcPr>
          <w:p>
            <w:pPr>
              <w:jc w:val="right"/>
              <w:spacing w:after="0"/>
              <w:rPr>
                <w:sz w:val="20"/>
                <w:szCs w:val="20"/>
                <w:color w:val="auto"/>
              </w:rPr>
            </w:pPr>
            <w:r>
              <w:rPr>
                <w:rFonts w:ascii="Arial" w:cs="Arial" w:eastAsia="Arial" w:hAnsi="Arial"/>
                <w:sz w:val="8"/>
                <w:szCs w:val="8"/>
                <w:color w:val="auto"/>
              </w:rPr>
              <w:t>117,555</w:t>
            </w: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240" w:type="dxa"/>
            <w:vAlign w:val="bottom"/>
            <w:gridSpan w:val="4"/>
            <w:shd w:val="clear" w:color="auto" w:fill="CFF0FC"/>
          </w:tcPr>
          <w:p>
            <w:pPr>
              <w:spacing w:after="0"/>
              <w:rPr>
                <w:sz w:val="20"/>
                <w:szCs w:val="20"/>
                <w:color w:val="auto"/>
              </w:rPr>
            </w:pPr>
            <w:r>
              <w:rPr>
                <w:rFonts w:ascii="Arial" w:cs="Arial" w:eastAsia="Arial" w:hAnsi="Arial"/>
                <w:sz w:val="8"/>
                <w:szCs w:val="8"/>
                <w:color w:val="auto"/>
              </w:rPr>
              <w:t>Equity infusion from Gores</w:t>
            </w:r>
          </w:p>
        </w:tc>
        <w:tc>
          <w:tcPr>
            <w:tcW w:w="400" w:type="dxa"/>
            <w:vAlign w:val="bottom"/>
            <w:shd w:val="clear" w:color="auto" w:fill="CFF0FC"/>
          </w:tcPr>
          <w:p>
            <w:pPr>
              <w:jc w:val="right"/>
              <w:spacing w:after="0"/>
              <w:rPr>
                <w:sz w:val="20"/>
                <w:szCs w:val="20"/>
                <w:color w:val="auto"/>
              </w:rPr>
            </w:pPr>
            <w:r>
              <w:rPr>
                <w:rFonts w:ascii="Arial" w:cs="Arial" w:eastAsia="Arial" w:hAnsi="Arial"/>
                <w:sz w:val="8"/>
                <w:szCs w:val="8"/>
                <w:color w:val="auto"/>
              </w:rPr>
              <w:t>39,675</w:t>
            </w:r>
          </w:p>
        </w:tc>
        <w:tc>
          <w:tcPr>
            <w:tcW w:w="24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8"/>
                <w:szCs w:val="8"/>
                <w:color w:val="auto"/>
              </w:rPr>
              <w:t>4</w:t>
            </w:r>
          </w:p>
        </w:tc>
        <w:tc>
          <w:tcPr>
            <w:tcW w:w="240" w:type="dxa"/>
            <w:vAlign w:val="bottom"/>
            <w:shd w:val="clear" w:color="auto" w:fill="CFF0FC"/>
          </w:tcPr>
          <w:p>
            <w:pPr>
              <w:spacing w:after="0"/>
              <w:rPr>
                <w:sz w:val="8"/>
                <w:szCs w:val="8"/>
                <w:color w:val="auto"/>
              </w:rPr>
            </w:pPr>
          </w:p>
        </w:tc>
        <w:tc>
          <w:tcPr>
            <w:tcW w:w="240" w:type="dxa"/>
            <w:vAlign w:val="bottom"/>
            <w:shd w:val="clear" w:color="auto" w:fill="CFF0FC"/>
          </w:tcPr>
          <w:p>
            <w:pPr>
              <w:ind w:left="160"/>
              <w:spacing w:after="0"/>
              <w:rPr>
                <w:sz w:val="20"/>
                <w:szCs w:val="20"/>
                <w:color w:val="auto"/>
              </w:rPr>
            </w:pPr>
            <w:r>
              <w:rPr>
                <w:rFonts w:ascii="Arial" w:cs="Arial" w:eastAsia="Arial" w:hAnsi="Arial"/>
                <w:sz w:val="8"/>
                <w:szCs w:val="8"/>
                <w:color w:val="auto"/>
                <w:w w:val="74"/>
              </w:rPr>
              <w:t>—</w:t>
            </w:r>
          </w:p>
        </w:tc>
        <w:tc>
          <w:tcPr>
            <w:tcW w:w="24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380" w:type="dxa"/>
            <w:vAlign w:val="bottom"/>
            <w:gridSpan w:val="2"/>
            <w:shd w:val="clear" w:color="auto" w:fill="CFF0FC"/>
          </w:tcPr>
          <w:p>
            <w:pPr>
              <w:ind w:left="60"/>
              <w:spacing w:after="0"/>
              <w:rPr>
                <w:sz w:val="20"/>
                <w:szCs w:val="20"/>
                <w:color w:val="auto"/>
              </w:rPr>
            </w:pPr>
            <w:r>
              <w:rPr>
                <w:rFonts w:ascii="Arial" w:cs="Arial" w:eastAsia="Arial" w:hAnsi="Arial"/>
                <w:sz w:val="8"/>
                <w:szCs w:val="8"/>
                <w:color w:val="auto"/>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8"/>
                <w:szCs w:val="8"/>
                <w:color w:val="auto"/>
              </w:rPr>
              <w:t>—</w:t>
            </w:r>
          </w:p>
        </w:tc>
        <w:tc>
          <w:tcPr>
            <w:tcW w:w="280" w:type="dxa"/>
            <w:vAlign w:val="bottom"/>
            <w:tcBorders>
              <w:right w:val="single" w:sz="8" w:color="CFF0FC"/>
            </w:tcBorders>
            <w:shd w:val="clear" w:color="auto" w:fill="CFF0FC"/>
          </w:tcPr>
          <w:p>
            <w:pPr>
              <w:spacing w:after="0"/>
              <w:rPr>
                <w:sz w:val="8"/>
                <w:szCs w:val="8"/>
                <w:color w:val="auto"/>
              </w:rPr>
            </w:pPr>
          </w:p>
        </w:tc>
        <w:tc>
          <w:tcPr>
            <w:tcW w:w="560" w:type="dxa"/>
            <w:vAlign w:val="bottom"/>
            <w:gridSpan w:val="2"/>
            <w:shd w:val="clear" w:color="auto" w:fill="CFF0FC"/>
          </w:tcPr>
          <w:p>
            <w:pPr>
              <w:jc w:val="right"/>
              <w:ind w:right="220"/>
              <w:spacing w:after="0"/>
              <w:rPr>
                <w:sz w:val="20"/>
                <w:szCs w:val="20"/>
                <w:color w:val="auto"/>
              </w:rPr>
            </w:pPr>
            <w:r>
              <w:rPr>
                <w:rFonts w:ascii="Arial" w:cs="Arial" w:eastAsia="Arial" w:hAnsi="Arial"/>
                <w:sz w:val="8"/>
                <w:szCs w:val="8"/>
                <w:color w:val="auto"/>
              </w:rPr>
              <w:t>—</w:t>
            </w:r>
          </w:p>
        </w:tc>
        <w:tc>
          <w:tcPr>
            <w:tcW w:w="600" w:type="dxa"/>
            <w:vAlign w:val="bottom"/>
            <w:gridSpan w:val="2"/>
            <w:shd w:val="clear" w:color="auto" w:fill="CFF0FC"/>
          </w:tcPr>
          <w:p>
            <w:pPr>
              <w:jc w:val="right"/>
              <w:ind w:right="240"/>
              <w:spacing w:after="0"/>
              <w:rPr>
                <w:sz w:val="20"/>
                <w:szCs w:val="20"/>
                <w:color w:val="auto"/>
              </w:rPr>
            </w:pPr>
            <w:r>
              <w:rPr>
                <w:rFonts w:ascii="Arial" w:cs="Arial" w:eastAsia="Arial" w:hAnsi="Arial"/>
                <w:sz w:val="8"/>
                <w:szCs w:val="8"/>
                <w:color w:val="auto"/>
              </w:rPr>
              <w:t>—</w:t>
            </w:r>
          </w:p>
        </w:tc>
        <w:tc>
          <w:tcPr>
            <w:tcW w:w="60" w:type="dxa"/>
            <w:vAlign w:val="bottom"/>
            <w:shd w:val="clear" w:color="auto" w:fill="CFF0FC"/>
          </w:tcPr>
          <w:p>
            <w:pPr>
              <w:spacing w:after="0"/>
              <w:rPr>
                <w:sz w:val="8"/>
                <w:szCs w:val="8"/>
                <w:color w:val="auto"/>
              </w:rPr>
            </w:pPr>
          </w:p>
        </w:tc>
        <w:tc>
          <w:tcPr>
            <w:tcW w:w="560" w:type="dxa"/>
            <w:vAlign w:val="bottom"/>
            <w:gridSpan w:val="2"/>
            <w:shd w:val="clear" w:color="auto" w:fill="CFF0FC"/>
          </w:tcPr>
          <w:p>
            <w:pPr>
              <w:jc w:val="right"/>
              <w:ind w:right="220"/>
              <w:spacing w:after="0"/>
              <w:rPr>
                <w:sz w:val="20"/>
                <w:szCs w:val="20"/>
                <w:color w:val="auto"/>
              </w:rPr>
            </w:pPr>
            <w:r>
              <w:rPr>
                <w:rFonts w:ascii="Arial" w:cs="Arial" w:eastAsia="Arial" w:hAnsi="Arial"/>
                <w:sz w:val="8"/>
                <w:szCs w:val="8"/>
                <w:color w:val="auto"/>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8"/>
                <w:szCs w:val="8"/>
                <w:color w:val="auto"/>
              </w:rPr>
              <w:t>—</w:t>
            </w:r>
          </w:p>
        </w:tc>
        <w:tc>
          <w:tcPr>
            <w:tcW w:w="22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480" w:type="dxa"/>
            <w:vAlign w:val="bottom"/>
            <w:gridSpan w:val="2"/>
            <w:shd w:val="clear" w:color="auto" w:fill="CFF0FC"/>
          </w:tcPr>
          <w:p>
            <w:pPr>
              <w:jc w:val="right"/>
              <w:ind w:right="120"/>
              <w:spacing w:after="0"/>
              <w:rPr>
                <w:sz w:val="20"/>
                <w:szCs w:val="20"/>
                <w:color w:val="auto"/>
              </w:rPr>
            </w:pPr>
            <w:r>
              <w:rPr>
                <w:rFonts w:ascii="Arial" w:cs="Arial" w:eastAsia="Arial" w:hAnsi="Arial"/>
                <w:sz w:val="8"/>
                <w:szCs w:val="8"/>
                <w:color w:val="auto"/>
              </w:rPr>
              <w:t>—</w:t>
            </w:r>
          </w:p>
        </w:tc>
        <w:tc>
          <w:tcPr>
            <w:tcW w:w="140" w:type="dxa"/>
            <w:vAlign w:val="bottom"/>
            <w:tcBorders>
              <w:right w:val="single" w:sz="8" w:color="CFF0FC"/>
            </w:tcBorders>
            <w:shd w:val="clear" w:color="auto" w:fill="CFF0FC"/>
          </w:tcPr>
          <w:p>
            <w:pPr>
              <w:spacing w:after="0"/>
              <w:rPr>
                <w:sz w:val="8"/>
                <w:szCs w:val="8"/>
                <w:color w:val="auto"/>
              </w:rPr>
            </w:pPr>
          </w:p>
        </w:tc>
        <w:tc>
          <w:tcPr>
            <w:tcW w:w="660" w:type="dxa"/>
            <w:vAlign w:val="bottom"/>
            <w:gridSpan w:val="2"/>
            <w:shd w:val="clear" w:color="auto" w:fill="CFF0FC"/>
          </w:tcPr>
          <w:p>
            <w:pPr>
              <w:jc w:val="right"/>
              <w:ind w:right="240"/>
              <w:spacing w:after="0"/>
              <w:rPr>
                <w:sz w:val="20"/>
                <w:szCs w:val="20"/>
                <w:color w:val="auto"/>
              </w:rPr>
            </w:pPr>
            <w:r>
              <w:rPr>
                <w:rFonts w:ascii="Arial" w:cs="Arial" w:eastAsia="Arial" w:hAnsi="Arial"/>
                <w:sz w:val="8"/>
                <w:szCs w:val="8"/>
                <w:color w:val="auto"/>
              </w:rPr>
              <w:t>—</w:t>
            </w:r>
          </w:p>
        </w:tc>
        <w:tc>
          <w:tcPr>
            <w:tcW w:w="60" w:type="dxa"/>
            <w:vAlign w:val="bottom"/>
            <w:shd w:val="clear" w:color="auto" w:fill="CFF0FC"/>
          </w:tcPr>
          <w:p>
            <w:pPr>
              <w:spacing w:after="0"/>
              <w:rPr>
                <w:sz w:val="8"/>
                <w:szCs w:val="8"/>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8"/>
                <w:szCs w:val="8"/>
                <w:color w:val="auto"/>
              </w:rPr>
              <w:t>403,290</w:t>
            </w:r>
          </w:p>
        </w:tc>
        <w:tc>
          <w:tcPr>
            <w:tcW w:w="120" w:type="dxa"/>
            <w:vAlign w:val="bottom"/>
            <w:shd w:val="clear" w:color="auto" w:fill="CFF0FC"/>
          </w:tcPr>
          <w:p>
            <w:pPr>
              <w:spacing w:after="0"/>
              <w:rPr>
                <w:sz w:val="8"/>
                <w:szCs w:val="8"/>
                <w:color w:val="auto"/>
              </w:rPr>
            </w:pPr>
          </w:p>
        </w:tc>
        <w:tc>
          <w:tcPr>
            <w:tcW w:w="160" w:type="dxa"/>
            <w:vAlign w:val="bottom"/>
            <w:tcBorders>
              <w:right w:val="single" w:sz="8" w:color="CFF0FC"/>
            </w:tcBorders>
            <w:shd w:val="clear" w:color="auto" w:fill="CFF0FC"/>
          </w:tcPr>
          <w:p>
            <w:pPr>
              <w:spacing w:after="0"/>
              <w:rPr>
                <w:sz w:val="8"/>
                <w:szCs w:val="8"/>
                <w:color w:val="auto"/>
              </w:rPr>
            </w:pPr>
          </w:p>
        </w:tc>
        <w:tc>
          <w:tcPr>
            <w:tcW w:w="600" w:type="dxa"/>
            <w:vAlign w:val="bottom"/>
            <w:gridSpan w:val="2"/>
            <w:shd w:val="clear" w:color="auto" w:fill="CFF0FC"/>
          </w:tcPr>
          <w:p>
            <w:pPr>
              <w:jc w:val="right"/>
              <w:ind w:right="220"/>
              <w:spacing w:after="0"/>
              <w:rPr>
                <w:sz w:val="20"/>
                <w:szCs w:val="20"/>
                <w:color w:val="auto"/>
              </w:rPr>
            </w:pPr>
            <w:r>
              <w:rPr>
                <w:rFonts w:ascii="Arial" w:cs="Arial" w:eastAsia="Arial" w:hAnsi="Arial"/>
                <w:sz w:val="8"/>
                <w:szCs w:val="8"/>
                <w:color w:val="auto"/>
              </w:rPr>
              <w:t>—</w:t>
            </w:r>
          </w:p>
        </w:tc>
        <w:tc>
          <w:tcPr>
            <w:tcW w:w="100" w:type="dxa"/>
            <w:vAlign w:val="bottom"/>
            <w:shd w:val="clear" w:color="auto" w:fill="CFF0FC"/>
          </w:tcPr>
          <w:p>
            <w:pPr>
              <w:spacing w:after="0"/>
              <w:rPr>
                <w:sz w:val="8"/>
                <w:szCs w:val="8"/>
                <w:color w:val="auto"/>
              </w:rPr>
            </w:pPr>
          </w:p>
        </w:tc>
        <w:tc>
          <w:tcPr>
            <w:tcW w:w="640" w:type="dxa"/>
            <w:vAlign w:val="bottom"/>
            <w:gridSpan w:val="2"/>
            <w:shd w:val="clear" w:color="auto" w:fill="CFF0FC"/>
          </w:tcPr>
          <w:p>
            <w:pPr>
              <w:jc w:val="right"/>
              <w:ind w:right="220"/>
              <w:spacing w:after="0"/>
              <w:rPr>
                <w:sz w:val="20"/>
                <w:szCs w:val="20"/>
                <w:color w:val="auto"/>
              </w:rPr>
            </w:pPr>
            <w:r>
              <w:rPr>
                <w:rFonts w:ascii="Arial" w:cs="Arial" w:eastAsia="Arial" w:hAnsi="Arial"/>
                <w:sz w:val="8"/>
                <w:szCs w:val="8"/>
                <w:color w:val="auto"/>
              </w:rPr>
              <w:t>—</w:t>
            </w:r>
          </w:p>
        </w:tc>
        <w:tc>
          <w:tcPr>
            <w:tcW w:w="80" w:type="dxa"/>
            <w:vAlign w:val="bottom"/>
            <w:shd w:val="clear" w:color="auto" w:fill="CFF0FC"/>
          </w:tcPr>
          <w:p>
            <w:pPr>
              <w:spacing w:after="0"/>
              <w:rPr>
                <w:sz w:val="8"/>
                <w:szCs w:val="8"/>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8"/>
                <w:szCs w:val="8"/>
                <w:color w:val="auto"/>
              </w:rPr>
              <w:t>403,294</w:t>
            </w:r>
          </w:p>
        </w:tc>
        <w:tc>
          <w:tcPr>
            <w:tcW w:w="6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240" w:type="dxa"/>
            <w:vAlign w:val="bottom"/>
            <w:gridSpan w:val="4"/>
          </w:tcPr>
          <w:p>
            <w:pPr>
              <w:spacing w:after="0"/>
              <w:rPr>
                <w:sz w:val="20"/>
                <w:szCs w:val="20"/>
                <w:color w:val="auto"/>
              </w:rPr>
            </w:pPr>
            <w:r>
              <w:rPr>
                <w:rFonts w:ascii="Arial" w:cs="Arial" w:eastAsia="Arial" w:hAnsi="Arial"/>
                <w:sz w:val="8"/>
                <w:szCs w:val="8"/>
                <w:color w:val="auto"/>
              </w:rPr>
              <w:t>Private placement</w:t>
            </w:r>
          </w:p>
        </w:tc>
        <w:tc>
          <w:tcPr>
            <w:tcW w:w="400" w:type="dxa"/>
            <w:vAlign w:val="bottom"/>
          </w:tcPr>
          <w:p>
            <w:pPr>
              <w:jc w:val="right"/>
              <w:spacing w:after="0"/>
              <w:rPr>
                <w:sz w:val="20"/>
                <w:szCs w:val="20"/>
                <w:color w:val="auto"/>
              </w:rPr>
            </w:pPr>
            <w:r>
              <w:rPr>
                <w:rFonts w:ascii="Arial" w:cs="Arial" w:eastAsia="Arial" w:hAnsi="Arial"/>
                <w:sz w:val="8"/>
                <w:szCs w:val="8"/>
                <w:color w:val="auto"/>
              </w:rPr>
              <w:t>43,478</w:t>
            </w: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jc w:val="right"/>
              <w:spacing w:after="0"/>
              <w:rPr>
                <w:sz w:val="20"/>
                <w:szCs w:val="20"/>
                <w:color w:val="auto"/>
              </w:rPr>
            </w:pPr>
            <w:r>
              <w:rPr>
                <w:rFonts w:ascii="Arial" w:cs="Arial" w:eastAsia="Arial" w:hAnsi="Arial"/>
                <w:sz w:val="8"/>
                <w:szCs w:val="8"/>
                <w:color w:val="auto"/>
              </w:rPr>
              <w:t>5</w:t>
            </w:r>
          </w:p>
        </w:tc>
        <w:tc>
          <w:tcPr>
            <w:tcW w:w="240" w:type="dxa"/>
            <w:vAlign w:val="bottom"/>
          </w:tcPr>
          <w:p>
            <w:pPr>
              <w:spacing w:after="0"/>
              <w:rPr>
                <w:sz w:val="8"/>
                <w:szCs w:val="8"/>
                <w:color w:val="auto"/>
              </w:rPr>
            </w:pPr>
          </w:p>
        </w:tc>
        <w:tc>
          <w:tcPr>
            <w:tcW w:w="240" w:type="dxa"/>
            <w:vAlign w:val="bottom"/>
          </w:tcPr>
          <w:p>
            <w:pPr>
              <w:ind w:left="160"/>
              <w:spacing w:after="0"/>
              <w:rPr>
                <w:sz w:val="20"/>
                <w:szCs w:val="20"/>
                <w:color w:val="auto"/>
              </w:rPr>
            </w:pPr>
            <w:r>
              <w:rPr>
                <w:rFonts w:ascii="Arial" w:cs="Arial" w:eastAsia="Arial" w:hAnsi="Arial"/>
                <w:sz w:val="8"/>
                <w:szCs w:val="8"/>
                <w:color w:val="auto"/>
                <w:w w:val="74"/>
              </w:rPr>
              <w:t>—</w:t>
            </w: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gridSpan w:val="2"/>
          </w:tcPr>
          <w:p>
            <w:pPr>
              <w:ind w:left="60"/>
              <w:spacing w:after="0"/>
              <w:rPr>
                <w:sz w:val="20"/>
                <w:szCs w:val="20"/>
                <w:color w:val="auto"/>
              </w:rPr>
            </w:pPr>
            <w:r>
              <w:rPr>
                <w:rFonts w:ascii="Arial" w:cs="Arial" w:eastAsia="Arial" w:hAnsi="Arial"/>
                <w:sz w:val="8"/>
                <w:szCs w:val="8"/>
                <w:color w:val="auto"/>
              </w:rPr>
              <w:t>—</w:t>
            </w:r>
          </w:p>
        </w:tc>
        <w:tc>
          <w:tcPr>
            <w:tcW w:w="380" w:type="dxa"/>
            <w:vAlign w:val="bottom"/>
          </w:tcPr>
          <w:p>
            <w:pPr>
              <w:jc w:val="right"/>
              <w:spacing w:after="0"/>
              <w:rPr>
                <w:sz w:val="20"/>
                <w:szCs w:val="20"/>
                <w:color w:val="auto"/>
              </w:rPr>
            </w:pPr>
            <w:r>
              <w:rPr>
                <w:rFonts w:ascii="Arial" w:cs="Arial" w:eastAsia="Arial" w:hAnsi="Arial"/>
                <w:sz w:val="8"/>
                <w:szCs w:val="8"/>
                <w:color w:val="auto"/>
              </w:rPr>
              <w:t>—</w:t>
            </w:r>
          </w:p>
        </w:tc>
        <w:tc>
          <w:tcPr>
            <w:tcW w:w="280" w:type="dxa"/>
            <w:vAlign w:val="bottom"/>
          </w:tcPr>
          <w:p>
            <w:pPr>
              <w:spacing w:after="0"/>
              <w:rPr>
                <w:sz w:val="8"/>
                <w:szCs w:val="8"/>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8"/>
                <w:szCs w:val="8"/>
                <w:color w:val="auto"/>
              </w:rPr>
              <w:t>—</w:t>
            </w:r>
          </w:p>
        </w:tc>
        <w:tc>
          <w:tcPr>
            <w:tcW w:w="600" w:type="dxa"/>
            <w:vAlign w:val="bottom"/>
            <w:gridSpan w:val="2"/>
          </w:tcPr>
          <w:p>
            <w:pPr>
              <w:jc w:val="right"/>
              <w:ind w:right="240"/>
              <w:spacing w:after="0"/>
              <w:rPr>
                <w:sz w:val="20"/>
                <w:szCs w:val="20"/>
                <w:color w:val="auto"/>
              </w:rPr>
            </w:pPr>
            <w:r>
              <w:rPr>
                <w:rFonts w:ascii="Arial" w:cs="Arial" w:eastAsia="Arial" w:hAnsi="Arial"/>
                <w:sz w:val="8"/>
                <w:szCs w:val="8"/>
                <w:color w:val="auto"/>
              </w:rPr>
              <w:t>—</w:t>
            </w:r>
          </w:p>
        </w:tc>
        <w:tc>
          <w:tcPr>
            <w:tcW w:w="60" w:type="dxa"/>
            <w:vAlign w:val="bottom"/>
          </w:tcPr>
          <w:p>
            <w:pPr>
              <w:spacing w:after="0"/>
              <w:rPr>
                <w:sz w:val="8"/>
                <w:szCs w:val="8"/>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8"/>
                <w:szCs w:val="8"/>
                <w:color w:val="auto"/>
              </w:rPr>
              <w:t>—</w:t>
            </w:r>
          </w:p>
        </w:tc>
        <w:tc>
          <w:tcPr>
            <w:tcW w:w="380" w:type="dxa"/>
            <w:vAlign w:val="bottom"/>
          </w:tcPr>
          <w:p>
            <w:pPr>
              <w:jc w:val="right"/>
              <w:spacing w:after="0"/>
              <w:rPr>
                <w:sz w:val="20"/>
                <w:szCs w:val="20"/>
                <w:color w:val="auto"/>
              </w:rPr>
            </w:pPr>
            <w:r>
              <w:rPr>
                <w:rFonts w:ascii="Arial" w:cs="Arial" w:eastAsia="Arial" w:hAnsi="Arial"/>
                <w:sz w:val="8"/>
                <w:szCs w:val="8"/>
                <w:color w:val="auto"/>
              </w:rPr>
              <w:t>—</w:t>
            </w: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8"/>
                <w:szCs w:val="8"/>
                <w:color w:val="auto"/>
              </w:rPr>
              <w:t>—</w:t>
            </w:r>
          </w:p>
        </w:tc>
        <w:tc>
          <w:tcPr>
            <w:tcW w:w="140" w:type="dxa"/>
            <w:vAlign w:val="bottom"/>
          </w:tcPr>
          <w:p>
            <w:pPr>
              <w:spacing w:after="0"/>
              <w:rPr>
                <w:sz w:val="8"/>
                <w:szCs w:val="8"/>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8"/>
                <w:szCs w:val="8"/>
                <w:color w:val="auto"/>
              </w:rPr>
              <w:t>—</w:t>
            </w:r>
          </w:p>
        </w:tc>
        <w:tc>
          <w:tcPr>
            <w:tcW w:w="60" w:type="dxa"/>
            <w:vAlign w:val="bottom"/>
          </w:tcPr>
          <w:p>
            <w:pPr>
              <w:spacing w:after="0"/>
              <w:rPr>
                <w:sz w:val="8"/>
                <w:szCs w:val="8"/>
                <w:color w:val="auto"/>
              </w:rPr>
            </w:pPr>
          </w:p>
        </w:tc>
        <w:tc>
          <w:tcPr>
            <w:tcW w:w="360" w:type="dxa"/>
            <w:vAlign w:val="bottom"/>
          </w:tcPr>
          <w:p>
            <w:pPr>
              <w:jc w:val="right"/>
              <w:spacing w:after="0"/>
              <w:rPr>
                <w:sz w:val="20"/>
                <w:szCs w:val="20"/>
                <w:color w:val="auto"/>
              </w:rPr>
            </w:pPr>
            <w:r>
              <w:rPr>
                <w:rFonts w:ascii="Arial" w:cs="Arial" w:eastAsia="Arial" w:hAnsi="Arial"/>
                <w:sz w:val="8"/>
                <w:szCs w:val="8"/>
                <w:color w:val="auto"/>
              </w:rPr>
              <w:t>399,995</w:t>
            </w: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8"/>
                <w:szCs w:val="8"/>
                <w:color w:val="auto"/>
              </w:rPr>
              <w:t>—</w:t>
            </w:r>
          </w:p>
        </w:tc>
        <w:tc>
          <w:tcPr>
            <w:tcW w:w="100" w:type="dxa"/>
            <w:vAlign w:val="bottom"/>
          </w:tcPr>
          <w:p>
            <w:pPr>
              <w:spacing w:after="0"/>
              <w:rPr>
                <w:sz w:val="8"/>
                <w:szCs w:val="8"/>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8"/>
                <w:szCs w:val="8"/>
                <w:color w:val="auto"/>
              </w:rPr>
            </w:pPr>
          </w:p>
        </w:tc>
        <w:tc>
          <w:tcPr>
            <w:tcW w:w="400" w:type="dxa"/>
            <w:vAlign w:val="bottom"/>
          </w:tcPr>
          <w:p>
            <w:pPr>
              <w:jc w:val="right"/>
              <w:spacing w:after="0"/>
              <w:rPr>
                <w:sz w:val="20"/>
                <w:szCs w:val="20"/>
                <w:color w:val="auto"/>
              </w:rPr>
            </w:pPr>
            <w:r>
              <w:rPr>
                <w:rFonts w:ascii="Arial" w:cs="Arial" w:eastAsia="Arial" w:hAnsi="Arial"/>
                <w:sz w:val="8"/>
                <w:szCs w:val="8"/>
                <w:color w:val="auto"/>
              </w:rPr>
              <w:t>400,000</w:t>
            </w: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240" w:type="dxa"/>
            <w:vAlign w:val="bottom"/>
            <w:gridSpan w:val="4"/>
            <w:shd w:val="clear" w:color="auto" w:fill="CFF0FC"/>
          </w:tcPr>
          <w:p>
            <w:pPr>
              <w:spacing w:after="0"/>
              <w:rPr>
                <w:sz w:val="20"/>
                <w:szCs w:val="20"/>
                <w:color w:val="auto"/>
              </w:rPr>
            </w:pPr>
            <w:r>
              <w:rPr>
                <w:rFonts w:ascii="Arial" w:cs="Arial" w:eastAsia="Arial" w:hAnsi="Arial"/>
                <w:sz w:val="8"/>
                <w:szCs w:val="8"/>
                <w:color w:val="auto"/>
              </w:rPr>
              <w:t>Gores Holdings rollover equity</w:t>
            </w:r>
          </w:p>
        </w:tc>
        <w:tc>
          <w:tcPr>
            <w:tcW w:w="400" w:type="dxa"/>
            <w:vAlign w:val="bottom"/>
            <w:shd w:val="clear" w:color="auto" w:fill="CFF0FC"/>
          </w:tcPr>
          <w:p>
            <w:pPr>
              <w:jc w:val="right"/>
              <w:spacing w:after="0"/>
              <w:rPr>
                <w:sz w:val="20"/>
                <w:szCs w:val="20"/>
                <w:color w:val="auto"/>
              </w:rPr>
            </w:pPr>
            <w:r>
              <w:rPr>
                <w:rFonts w:ascii="Arial" w:cs="Arial" w:eastAsia="Arial" w:hAnsi="Arial"/>
                <w:sz w:val="8"/>
                <w:szCs w:val="8"/>
                <w:color w:val="auto"/>
              </w:rPr>
              <w:t>—</w:t>
            </w:r>
          </w:p>
        </w:tc>
        <w:tc>
          <w:tcPr>
            <w:tcW w:w="24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580" w:type="dxa"/>
            <w:vAlign w:val="bottom"/>
            <w:gridSpan w:val="2"/>
            <w:shd w:val="clear" w:color="auto" w:fill="CFF0FC"/>
          </w:tcPr>
          <w:p>
            <w:pPr>
              <w:jc w:val="right"/>
              <w:ind w:right="240"/>
              <w:spacing w:after="0"/>
              <w:rPr>
                <w:sz w:val="20"/>
                <w:szCs w:val="20"/>
                <w:color w:val="auto"/>
              </w:rPr>
            </w:pPr>
            <w:r>
              <w:rPr>
                <w:rFonts w:ascii="Arial" w:cs="Arial" w:eastAsia="Arial" w:hAnsi="Arial"/>
                <w:sz w:val="8"/>
                <w:szCs w:val="8"/>
                <w:color w:val="auto"/>
              </w:rPr>
              <w:t>—</w:t>
            </w:r>
          </w:p>
        </w:tc>
        <w:tc>
          <w:tcPr>
            <w:tcW w:w="240" w:type="dxa"/>
            <w:vAlign w:val="bottom"/>
            <w:shd w:val="clear" w:color="auto" w:fill="CFF0FC"/>
          </w:tcPr>
          <w:p>
            <w:pPr>
              <w:ind w:left="160"/>
              <w:spacing w:after="0"/>
              <w:rPr>
                <w:sz w:val="20"/>
                <w:szCs w:val="20"/>
                <w:color w:val="auto"/>
              </w:rPr>
            </w:pPr>
            <w:r>
              <w:rPr>
                <w:rFonts w:ascii="Arial" w:cs="Arial" w:eastAsia="Arial" w:hAnsi="Arial"/>
                <w:sz w:val="8"/>
                <w:szCs w:val="8"/>
                <w:color w:val="auto"/>
                <w:w w:val="74"/>
              </w:rPr>
              <w:t>—</w:t>
            </w:r>
          </w:p>
        </w:tc>
        <w:tc>
          <w:tcPr>
            <w:tcW w:w="24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380" w:type="dxa"/>
            <w:vAlign w:val="bottom"/>
            <w:gridSpan w:val="2"/>
            <w:shd w:val="clear" w:color="auto" w:fill="CFF0FC"/>
          </w:tcPr>
          <w:p>
            <w:pPr>
              <w:ind w:left="60"/>
              <w:spacing w:after="0"/>
              <w:rPr>
                <w:sz w:val="20"/>
                <w:szCs w:val="20"/>
                <w:color w:val="auto"/>
              </w:rPr>
            </w:pPr>
            <w:r>
              <w:rPr>
                <w:rFonts w:ascii="Arial" w:cs="Arial" w:eastAsia="Arial" w:hAnsi="Arial"/>
                <w:sz w:val="8"/>
                <w:szCs w:val="8"/>
                <w:color w:val="auto"/>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8"/>
                <w:szCs w:val="8"/>
                <w:color w:val="auto"/>
              </w:rPr>
              <w:t>—</w:t>
            </w:r>
          </w:p>
        </w:tc>
        <w:tc>
          <w:tcPr>
            <w:tcW w:w="280" w:type="dxa"/>
            <w:vAlign w:val="bottom"/>
            <w:tcBorders>
              <w:right w:val="single" w:sz="8" w:color="CFF0FC"/>
            </w:tcBorders>
            <w:shd w:val="clear" w:color="auto" w:fill="CFF0FC"/>
          </w:tcPr>
          <w:p>
            <w:pPr>
              <w:spacing w:after="0"/>
              <w:rPr>
                <w:sz w:val="8"/>
                <w:szCs w:val="8"/>
                <w:color w:val="auto"/>
              </w:rPr>
            </w:pPr>
          </w:p>
        </w:tc>
        <w:tc>
          <w:tcPr>
            <w:tcW w:w="560" w:type="dxa"/>
            <w:vAlign w:val="bottom"/>
            <w:gridSpan w:val="2"/>
            <w:shd w:val="clear" w:color="auto" w:fill="CFF0FC"/>
          </w:tcPr>
          <w:p>
            <w:pPr>
              <w:jc w:val="right"/>
              <w:ind w:right="220"/>
              <w:spacing w:after="0"/>
              <w:rPr>
                <w:sz w:val="20"/>
                <w:szCs w:val="20"/>
                <w:color w:val="auto"/>
              </w:rPr>
            </w:pPr>
            <w:r>
              <w:rPr>
                <w:rFonts w:ascii="Arial" w:cs="Arial" w:eastAsia="Arial" w:hAnsi="Arial"/>
                <w:sz w:val="8"/>
                <w:szCs w:val="8"/>
                <w:color w:val="auto"/>
              </w:rPr>
              <w:t>—</w:t>
            </w:r>
          </w:p>
        </w:tc>
        <w:tc>
          <w:tcPr>
            <w:tcW w:w="600" w:type="dxa"/>
            <w:vAlign w:val="bottom"/>
            <w:gridSpan w:val="2"/>
            <w:shd w:val="clear" w:color="auto" w:fill="CFF0FC"/>
          </w:tcPr>
          <w:p>
            <w:pPr>
              <w:jc w:val="right"/>
              <w:ind w:right="240"/>
              <w:spacing w:after="0"/>
              <w:rPr>
                <w:sz w:val="20"/>
                <w:szCs w:val="20"/>
                <w:color w:val="auto"/>
              </w:rPr>
            </w:pPr>
            <w:r>
              <w:rPr>
                <w:rFonts w:ascii="Arial" w:cs="Arial" w:eastAsia="Arial" w:hAnsi="Arial"/>
                <w:sz w:val="8"/>
                <w:szCs w:val="8"/>
                <w:color w:val="auto"/>
              </w:rPr>
              <w:t>—</w:t>
            </w:r>
          </w:p>
        </w:tc>
        <w:tc>
          <w:tcPr>
            <w:tcW w:w="60" w:type="dxa"/>
            <w:vAlign w:val="bottom"/>
            <w:shd w:val="clear" w:color="auto" w:fill="CFF0FC"/>
          </w:tcPr>
          <w:p>
            <w:pPr>
              <w:spacing w:after="0"/>
              <w:rPr>
                <w:sz w:val="8"/>
                <w:szCs w:val="8"/>
                <w:color w:val="auto"/>
              </w:rPr>
            </w:pPr>
          </w:p>
        </w:tc>
        <w:tc>
          <w:tcPr>
            <w:tcW w:w="560" w:type="dxa"/>
            <w:vAlign w:val="bottom"/>
            <w:gridSpan w:val="2"/>
            <w:shd w:val="clear" w:color="auto" w:fill="CFF0FC"/>
          </w:tcPr>
          <w:p>
            <w:pPr>
              <w:jc w:val="right"/>
              <w:ind w:right="220"/>
              <w:spacing w:after="0"/>
              <w:rPr>
                <w:sz w:val="20"/>
                <w:szCs w:val="20"/>
                <w:color w:val="auto"/>
              </w:rPr>
            </w:pPr>
            <w:r>
              <w:rPr>
                <w:rFonts w:ascii="Arial" w:cs="Arial" w:eastAsia="Arial" w:hAnsi="Arial"/>
                <w:sz w:val="8"/>
                <w:szCs w:val="8"/>
                <w:color w:val="auto"/>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8"/>
                <w:szCs w:val="8"/>
                <w:color w:val="auto"/>
              </w:rPr>
              <w:t>—</w:t>
            </w:r>
          </w:p>
        </w:tc>
        <w:tc>
          <w:tcPr>
            <w:tcW w:w="22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480" w:type="dxa"/>
            <w:vAlign w:val="bottom"/>
            <w:gridSpan w:val="2"/>
            <w:shd w:val="clear" w:color="auto" w:fill="CFF0FC"/>
          </w:tcPr>
          <w:p>
            <w:pPr>
              <w:jc w:val="right"/>
              <w:ind w:right="120"/>
              <w:spacing w:after="0"/>
              <w:rPr>
                <w:sz w:val="20"/>
                <w:szCs w:val="20"/>
                <w:color w:val="auto"/>
              </w:rPr>
            </w:pPr>
            <w:r>
              <w:rPr>
                <w:rFonts w:ascii="Arial" w:cs="Arial" w:eastAsia="Arial" w:hAnsi="Arial"/>
                <w:sz w:val="8"/>
                <w:szCs w:val="8"/>
                <w:color w:val="auto"/>
              </w:rPr>
              <w:t>—</w:t>
            </w:r>
          </w:p>
        </w:tc>
        <w:tc>
          <w:tcPr>
            <w:tcW w:w="140" w:type="dxa"/>
            <w:vAlign w:val="bottom"/>
            <w:tcBorders>
              <w:right w:val="single" w:sz="8" w:color="CFF0FC"/>
            </w:tcBorders>
            <w:shd w:val="clear" w:color="auto" w:fill="CFF0FC"/>
          </w:tcPr>
          <w:p>
            <w:pPr>
              <w:spacing w:after="0"/>
              <w:rPr>
                <w:sz w:val="8"/>
                <w:szCs w:val="8"/>
                <w:color w:val="auto"/>
              </w:rPr>
            </w:pPr>
          </w:p>
        </w:tc>
        <w:tc>
          <w:tcPr>
            <w:tcW w:w="660" w:type="dxa"/>
            <w:vAlign w:val="bottom"/>
            <w:gridSpan w:val="2"/>
            <w:shd w:val="clear" w:color="auto" w:fill="CFF0FC"/>
          </w:tcPr>
          <w:p>
            <w:pPr>
              <w:jc w:val="right"/>
              <w:ind w:right="240"/>
              <w:spacing w:after="0"/>
              <w:rPr>
                <w:sz w:val="20"/>
                <w:szCs w:val="20"/>
                <w:color w:val="auto"/>
              </w:rPr>
            </w:pPr>
            <w:r>
              <w:rPr>
                <w:rFonts w:ascii="Arial" w:cs="Arial" w:eastAsia="Arial" w:hAnsi="Arial"/>
                <w:sz w:val="8"/>
                <w:szCs w:val="8"/>
                <w:color w:val="auto"/>
              </w:rPr>
              <w:t>—</w:t>
            </w:r>
          </w:p>
        </w:tc>
        <w:tc>
          <w:tcPr>
            <w:tcW w:w="60" w:type="dxa"/>
            <w:vAlign w:val="bottom"/>
            <w:shd w:val="clear" w:color="auto" w:fill="CFF0FC"/>
          </w:tcPr>
          <w:p>
            <w:pPr>
              <w:spacing w:after="0"/>
              <w:rPr>
                <w:sz w:val="8"/>
                <w:szCs w:val="8"/>
                <w:color w:val="auto"/>
              </w:rPr>
            </w:pPr>
          </w:p>
        </w:tc>
        <w:tc>
          <w:tcPr>
            <w:tcW w:w="480" w:type="dxa"/>
            <w:vAlign w:val="bottom"/>
            <w:gridSpan w:val="2"/>
            <w:shd w:val="clear" w:color="auto" w:fill="CFF0FC"/>
          </w:tcPr>
          <w:p>
            <w:pPr>
              <w:jc w:val="right"/>
              <w:ind w:right="100"/>
              <w:spacing w:after="0"/>
              <w:rPr>
                <w:sz w:val="20"/>
                <w:szCs w:val="20"/>
                <w:color w:val="auto"/>
              </w:rPr>
            </w:pPr>
            <w:r>
              <w:rPr>
                <w:rFonts w:ascii="Arial" w:cs="Arial" w:eastAsia="Arial" w:hAnsi="Arial"/>
                <w:sz w:val="8"/>
                <w:szCs w:val="8"/>
                <w:color w:val="auto"/>
              </w:rPr>
              <w:t>(34)</w:t>
            </w:r>
          </w:p>
        </w:tc>
        <w:tc>
          <w:tcPr>
            <w:tcW w:w="160" w:type="dxa"/>
            <w:vAlign w:val="bottom"/>
            <w:tcBorders>
              <w:right w:val="single" w:sz="8" w:color="CFF0FC"/>
            </w:tcBorders>
            <w:shd w:val="clear" w:color="auto" w:fill="CFF0FC"/>
          </w:tcPr>
          <w:p>
            <w:pPr>
              <w:spacing w:after="0"/>
              <w:rPr>
                <w:sz w:val="8"/>
                <w:szCs w:val="8"/>
                <w:color w:val="auto"/>
              </w:rPr>
            </w:pPr>
          </w:p>
        </w:tc>
        <w:tc>
          <w:tcPr>
            <w:tcW w:w="600" w:type="dxa"/>
            <w:vAlign w:val="bottom"/>
            <w:gridSpan w:val="2"/>
            <w:shd w:val="clear" w:color="auto" w:fill="CFF0FC"/>
          </w:tcPr>
          <w:p>
            <w:pPr>
              <w:jc w:val="right"/>
              <w:ind w:right="220"/>
              <w:spacing w:after="0"/>
              <w:rPr>
                <w:sz w:val="20"/>
                <w:szCs w:val="20"/>
                <w:color w:val="auto"/>
              </w:rPr>
            </w:pPr>
            <w:r>
              <w:rPr>
                <w:rFonts w:ascii="Arial" w:cs="Arial" w:eastAsia="Arial" w:hAnsi="Arial"/>
                <w:sz w:val="8"/>
                <w:szCs w:val="8"/>
                <w:color w:val="auto"/>
              </w:rPr>
              <w:t>—</w:t>
            </w:r>
          </w:p>
        </w:tc>
        <w:tc>
          <w:tcPr>
            <w:tcW w:w="100" w:type="dxa"/>
            <w:vAlign w:val="bottom"/>
            <w:shd w:val="clear" w:color="auto" w:fill="CFF0FC"/>
          </w:tcPr>
          <w:p>
            <w:pPr>
              <w:spacing w:after="0"/>
              <w:rPr>
                <w:sz w:val="8"/>
                <w:szCs w:val="8"/>
                <w:color w:val="auto"/>
              </w:rPr>
            </w:pPr>
          </w:p>
        </w:tc>
        <w:tc>
          <w:tcPr>
            <w:tcW w:w="640" w:type="dxa"/>
            <w:vAlign w:val="bottom"/>
            <w:gridSpan w:val="2"/>
            <w:shd w:val="clear" w:color="auto" w:fill="CFF0FC"/>
          </w:tcPr>
          <w:p>
            <w:pPr>
              <w:jc w:val="right"/>
              <w:ind w:right="220"/>
              <w:spacing w:after="0"/>
              <w:rPr>
                <w:sz w:val="20"/>
                <w:szCs w:val="20"/>
                <w:color w:val="auto"/>
              </w:rPr>
            </w:pPr>
            <w:r>
              <w:rPr>
                <w:rFonts w:ascii="Arial" w:cs="Arial" w:eastAsia="Arial" w:hAnsi="Arial"/>
                <w:sz w:val="8"/>
                <w:szCs w:val="8"/>
                <w:color w:val="auto"/>
              </w:rPr>
              <w:t>—</w:t>
            </w:r>
          </w:p>
        </w:tc>
        <w:tc>
          <w:tcPr>
            <w:tcW w:w="80" w:type="dxa"/>
            <w:vAlign w:val="bottom"/>
            <w:shd w:val="clear" w:color="auto" w:fill="CFF0FC"/>
          </w:tcPr>
          <w:p>
            <w:pPr>
              <w:spacing w:after="0"/>
              <w:rPr>
                <w:sz w:val="8"/>
                <w:szCs w:val="8"/>
                <w:color w:val="auto"/>
              </w:rPr>
            </w:pPr>
          </w:p>
        </w:tc>
        <w:tc>
          <w:tcPr>
            <w:tcW w:w="460" w:type="dxa"/>
            <w:vAlign w:val="bottom"/>
            <w:gridSpan w:val="2"/>
            <w:shd w:val="clear" w:color="auto" w:fill="CFF0FC"/>
          </w:tcPr>
          <w:p>
            <w:pPr>
              <w:jc w:val="right"/>
              <w:ind w:right="40"/>
              <w:spacing w:after="0"/>
              <w:rPr>
                <w:sz w:val="20"/>
                <w:szCs w:val="20"/>
                <w:color w:val="auto"/>
              </w:rPr>
            </w:pPr>
            <w:r>
              <w:rPr>
                <w:rFonts w:ascii="Arial" w:cs="Arial" w:eastAsia="Arial" w:hAnsi="Arial"/>
                <w:sz w:val="8"/>
                <w:szCs w:val="8"/>
                <w:color w:val="auto"/>
              </w:rPr>
              <w:t>(34)</w:t>
            </w:r>
          </w:p>
        </w:tc>
        <w:tc>
          <w:tcPr>
            <w:tcW w:w="0" w:type="dxa"/>
            <w:vAlign w:val="bottom"/>
          </w:tcPr>
          <w:p>
            <w:pPr>
              <w:spacing w:after="0"/>
              <w:rPr>
                <w:sz w:val="1"/>
                <w:szCs w:val="1"/>
                <w:color w:val="auto"/>
              </w:rPr>
            </w:pPr>
          </w:p>
        </w:tc>
      </w:tr>
      <w:tr>
        <w:trPr>
          <w:trHeight w:val="99"/>
        </w:trPr>
        <w:tc>
          <w:tcPr>
            <w:tcW w:w="2240" w:type="dxa"/>
            <w:vAlign w:val="bottom"/>
            <w:gridSpan w:val="4"/>
          </w:tcPr>
          <w:p>
            <w:pPr>
              <w:spacing w:after="0"/>
              <w:rPr>
                <w:sz w:val="20"/>
                <w:szCs w:val="20"/>
                <w:color w:val="auto"/>
              </w:rPr>
            </w:pPr>
            <w:r>
              <w:rPr>
                <w:rFonts w:ascii="Arial" w:cs="Arial" w:eastAsia="Arial" w:hAnsi="Arial"/>
                <w:sz w:val="8"/>
                <w:szCs w:val="8"/>
                <w:color w:val="auto"/>
              </w:rPr>
              <w:t>Capital contribution from Greenlight</w:t>
            </w:r>
          </w:p>
        </w:tc>
        <w:tc>
          <w:tcPr>
            <w:tcW w:w="400" w:type="dxa"/>
            <w:vAlign w:val="bottom"/>
          </w:tcPr>
          <w:p>
            <w:pPr>
              <w:jc w:val="right"/>
              <w:spacing w:after="0"/>
              <w:rPr>
                <w:sz w:val="20"/>
                <w:szCs w:val="20"/>
                <w:color w:val="auto"/>
              </w:rPr>
            </w:pPr>
            <w:r>
              <w:rPr>
                <w:rFonts w:ascii="Arial" w:cs="Arial" w:eastAsia="Arial" w:hAnsi="Arial"/>
                <w:sz w:val="8"/>
                <w:szCs w:val="8"/>
                <w:color w:val="auto"/>
              </w:rPr>
              <w:t>—</w:t>
            </w: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8"/>
                <w:szCs w:val="8"/>
                <w:color w:val="auto"/>
              </w:rPr>
              <w:t>—</w:t>
            </w:r>
          </w:p>
        </w:tc>
        <w:tc>
          <w:tcPr>
            <w:tcW w:w="240" w:type="dxa"/>
            <w:vAlign w:val="bottom"/>
          </w:tcPr>
          <w:p>
            <w:pPr>
              <w:ind w:left="160"/>
              <w:spacing w:after="0"/>
              <w:rPr>
                <w:sz w:val="20"/>
                <w:szCs w:val="20"/>
                <w:color w:val="auto"/>
              </w:rPr>
            </w:pPr>
            <w:r>
              <w:rPr>
                <w:rFonts w:ascii="Arial" w:cs="Arial" w:eastAsia="Arial" w:hAnsi="Arial"/>
                <w:sz w:val="8"/>
                <w:szCs w:val="8"/>
                <w:color w:val="auto"/>
                <w:w w:val="74"/>
              </w:rPr>
              <w:t>—</w:t>
            </w: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gridSpan w:val="2"/>
          </w:tcPr>
          <w:p>
            <w:pPr>
              <w:ind w:left="60"/>
              <w:spacing w:after="0"/>
              <w:rPr>
                <w:sz w:val="20"/>
                <w:szCs w:val="20"/>
                <w:color w:val="auto"/>
              </w:rPr>
            </w:pPr>
            <w:r>
              <w:rPr>
                <w:rFonts w:ascii="Arial" w:cs="Arial" w:eastAsia="Arial" w:hAnsi="Arial"/>
                <w:sz w:val="8"/>
                <w:szCs w:val="8"/>
                <w:color w:val="auto"/>
              </w:rPr>
              <w:t>—</w:t>
            </w:r>
          </w:p>
        </w:tc>
        <w:tc>
          <w:tcPr>
            <w:tcW w:w="380" w:type="dxa"/>
            <w:vAlign w:val="bottom"/>
          </w:tcPr>
          <w:p>
            <w:pPr>
              <w:jc w:val="right"/>
              <w:spacing w:after="0"/>
              <w:rPr>
                <w:sz w:val="20"/>
                <w:szCs w:val="20"/>
                <w:color w:val="auto"/>
              </w:rPr>
            </w:pPr>
            <w:r>
              <w:rPr>
                <w:rFonts w:ascii="Arial" w:cs="Arial" w:eastAsia="Arial" w:hAnsi="Arial"/>
                <w:sz w:val="8"/>
                <w:szCs w:val="8"/>
                <w:color w:val="auto"/>
              </w:rPr>
              <w:t>—</w:t>
            </w:r>
          </w:p>
        </w:tc>
        <w:tc>
          <w:tcPr>
            <w:tcW w:w="280" w:type="dxa"/>
            <w:vAlign w:val="bottom"/>
          </w:tcPr>
          <w:p>
            <w:pPr>
              <w:spacing w:after="0"/>
              <w:rPr>
                <w:sz w:val="8"/>
                <w:szCs w:val="8"/>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8"/>
                <w:szCs w:val="8"/>
                <w:color w:val="auto"/>
              </w:rPr>
              <w:t>—</w:t>
            </w:r>
          </w:p>
        </w:tc>
        <w:tc>
          <w:tcPr>
            <w:tcW w:w="600" w:type="dxa"/>
            <w:vAlign w:val="bottom"/>
            <w:gridSpan w:val="2"/>
          </w:tcPr>
          <w:p>
            <w:pPr>
              <w:jc w:val="right"/>
              <w:ind w:right="240"/>
              <w:spacing w:after="0"/>
              <w:rPr>
                <w:sz w:val="20"/>
                <w:szCs w:val="20"/>
                <w:color w:val="auto"/>
              </w:rPr>
            </w:pPr>
            <w:r>
              <w:rPr>
                <w:rFonts w:ascii="Arial" w:cs="Arial" w:eastAsia="Arial" w:hAnsi="Arial"/>
                <w:sz w:val="8"/>
                <w:szCs w:val="8"/>
                <w:color w:val="auto"/>
              </w:rPr>
              <w:t>—</w:t>
            </w:r>
          </w:p>
        </w:tc>
        <w:tc>
          <w:tcPr>
            <w:tcW w:w="60" w:type="dxa"/>
            <w:vAlign w:val="bottom"/>
          </w:tcPr>
          <w:p>
            <w:pPr>
              <w:spacing w:after="0"/>
              <w:rPr>
                <w:sz w:val="8"/>
                <w:szCs w:val="8"/>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8"/>
                <w:szCs w:val="8"/>
                <w:color w:val="auto"/>
              </w:rPr>
              <w:t>—</w:t>
            </w:r>
          </w:p>
        </w:tc>
        <w:tc>
          <w:tcPr>
            <w:tcW w:w="380" w:type="dxa"/>
            <w:vAlign w:val="bottom"/>
          </w:tcPr>
          <w:p>
            <w:pPr>
              <w:jc w:val="right"/>
              <w:spacing w:after="0"/>
              <w:rPr>
                <w:sz w:val="20"/>
                <w:szCs w:val="20"/>
                <w:color w:val="auto"/>
              </w:rPr>
            </w:pPr>
            <w:r>
              <w:rPr>
                <w:rFonts w:ascii="Arial" w:cs="Arial" w:eastAsia="Arial" w:hAnsi="Arial"/>
                <w:sz w:val="8"/>
                <w:szCs w:val="8"/>
                <w:color w:val="auto"/>
              </w:rPr>
              <w:t>—</w:t>
            </w: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8"/>
                <w:szCs w:val="8"/>
                <w:color w:val="auto"/>
              </w:rPr>
              <w:t>—</w:t>
            </w:r>
          </w:p>
        </w:tc>
        <w:tc>
          <w:tcPr>
            <w:tcW w:w="140" w:type="dxa"/>
            <w:vAlign w:val="bottom"/>
          </w:tcPr>
          <w:p>
            <w:pPr>
              <w:spacing w:after="0"/>
              <w:rPr>
                <w:sz w:val="8"/>
                <w:szCs w:val="8"/>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8"/>
                <w:szCs w:val="8"/>
                <w:color w:val="auto"/>
              </w:rPr>
              <w:t>—</w:t>
            </w:r>
          </w:p>
        </w:tc>
        <w:tc>
          <w:tcPr>
            <w:tcW w:w="60" w:type="dxa"/>
            <w:vAlign w:val="bottom"/>
          </w:tcPr>
          <w:p>
            <w:pPr>
              <w:spacing w:after="0"/>
              <w:rPr>
                <w:sz w:val="8"/>
                <w:szCs w:val="8"/>
                <w:color w:val="auto"/>
              </w:rPr>
            </w:pPr>
          </w:p>
        </w:tc>
        <w:tc>
          <w:tcPr>
            <w:tcW w:w="360" w:type="dxa"/>
            <w:vAlign w:val="bottom"/>
          </w:tcPr>
          <w:p>
            <w:pPr>
              <w:jc w:val="right"/>
              <w:spacing w:after="0"/>
              <w:rPr>
                <w:sz w:val="20"/>
                <w:szCs w:val="20"/>
                <w:color w:val="auto"/>
              </w:rPr>
            </w:pPr>
            <w:r>
              <w:rPr>
                <w:rFonts w:ascii="Arial" w:cs="Arial" w:eastAsia="Arial" w:hAnsi="Arial"/>
                <w:sz w:val="8"/>
                <w:szCs w:val="8"/>
                <w:color w:val="auto"/>
              </w:rPr>
              <w:t>169,259</w:t>
            </w: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8"/>
                <w:szCs w:val="8"/>
                <w:color w:val="auto"/>
              </w:rPr>
              <w:t>—</w:t>
            </w:r>
          </w:p>
        </w:tc>
        <w:tc>
          <w:tcPr>
            <w:tcW w:w="100" w:type="dxa"/>
            <w:vAlign w:val="bottom"/>
          </w:tcPr>
          <w:p>
            <w:pPr>
              <w:spacing w:after="0"/>
              <w:rPr>
                <w:sz w:val="8"/>
                <w:szCs w:val="8"/>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8"/>
                <w:szCs w:val="8"/>
                <w:color w:val="auto"/>
              </w:rPr>
            </w:pPr>
          </w:p>
        </w:tc>
        <w:tc>
          <w:tcPr>
            <w:tcW w:w="400" w:type="dxa"/>
            <w:vAlign w:val="bottom"/>
          </w:tcPr>
          <w:p>
            <w:pPr>
              <w:jc w:val="right"/>
              <w:spacing w:after="0"/>
              <w:rPr>
                <w:sz w:val="20"/>
                <w:szCs w:val="20"/>
                <w:color w:val="auto"/>
              </w:rPr>
            </w:pPr>
            <w:r>
              <w:rPr>
                <w:rFonts w:ascii="Arial" w:cs="Arial" w:eastAsia="Arial" w:hAnsi="Arial"/>
                <w:sz w:val="8"/>
                <w:szCs w:val="8"/>
                <w:color w:val="auto"/>
              </w:rPr>
              <w:t>169,259</w:t>
            </w: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240" w:type="dxa"/>
            <w:vAlign w:val="bottom"/>
            <w:gridSpan w:val="4"/>
            <w:shd w:val="clear" w:color="auto" w:fill="CFF0FC"/>
          </w:tcPr>
          <w:p>
            <w:pPr>
              <w:spacing w:after="0"/>
              <w:rPr>
                <w:sz w:val="20"/>
                <w:szCs w:val="20"/>
                <w:color w:val="auto"/>
              </w:rPr>
            </w:pPr>
            <w:r>
              <w:rPr>
                <w:rFonts w:ascii="Arial" w:cs="Arial" w:eastAsia="Arial" w:hAnsi="Arial"/>
                <w:sz w:val="8"/>
                <w:szCs w:val="8"/>
                <w:color w:val="auto"/>
              </w:rPr>
              <w:t>Return of capital to Greenlight stockholders</w:t>
            </w:r>
          </w:p>
        </w:tc>
        <w:tc>
          <w:tcPr>
            <w:tcW w:w="400" w:type="dxa"/>
            <w:vAlign w:val="bottom"/>
            <w:shd w:val="clear" w:color="auto" w:fill="CFF0FC"/>
          </w:tcPr>
          <w:p>
            <w:pPr>
              <w:jc w:val="right"/>
              <w:spacing w:after="0"/>
              <w:rPr>
                <w:sz w:val="20"/>
                <w:szCs w:val="20"/>
                <w:color w:val="auto"/>
              </w:rPr>
            </w:pPr>
            <w:r>
              <w:rPr>
                <w:rFonts w:ascii="Arial" w:cs="Arial" w:eastAsia="Arial" w:hAnsi="Arial"/>
                <w:sz w:val="8"/>
                <w:szCs w:val="8"/>
                <w:color w:val="auto"/>
              </w:rPr>
              <w:t>—</w:t>
            </w:r>
          </w:p>
        </w:tc>
        <w:tc>
          <w:tcPr>
            <w:tcW w:w="24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580" w:type="dxa"/>
            <w:vAlign w:val="bottom"/>
            <w:gridSpan w:val="2"/>
            <w:shd w:val="clear" w:color="auto" w:fill="CFF0FC"/>
          </w:tcPr>
          <w:p>
            <w:pPr>
              <w:jc w:val="right"/>
              <w:ind w:right="240"/>
              <w:spacing w:after="0"/>
              <w:rPr>
                <w:sz w:val="20"/>
                <w:szCs w:val="20"/>
                <w:color w:val="auto"/>
              </w:rPr>
            </w:pPr>
            <w:r>
              <w:rPr>
                <w:rFonts w:ascii="Arial" w:cs="Arial" w:eastAsia="Arial" w:hAnsi="Arial"/>
                <w:sz w:val="8"/>
                <w:szCs w:val="8"/>
                <w:color w:val="auto"/>
              </w:rPr>
              <w:t>—</w:t>
            </w:r>
          </w:p>
        </w:tc>
        <w:tc>
          <w:tcPr>
            <w:tcW w:w="240" w:type="dxa"/>
            <w:vAlign w:val="bottom"/>
            <w:shd w:val="clear" w:color="auto" w:fill="CFF0FC"/>
          </w:tcPr>
          <w:p>
            <w:pPr>
              <w:ind w:left="160"/>
              <w:spacing w:after="0"/>
              <w:rPr>
                <w:sz w:val="20"/>
                <w:szCs w:val="20"/>
                <w:color w:val="auto"/>
              </w:rPr>
            </w:pPr>
            <w:r>
              <w:rPr>
                <w:rFonts w:ascii="Arial" w:cs="Arial" w:eastAsia="Arial" w:hAnsi="Arial"/>
                <w:sz w:val="8"/>
                <w:szCs w:val="8"/>
                <w:color w:val="auto"/>
                <w:w w:val="74"/>
              </w:rPr>
              <w:t>—</w:t>
            </w:r>
          </w:p>
        </w:tc>
        <w:tc>
          <w:tcPr>
            <w:tcW w:w="24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380" w:type="dxa"/>
            <w:vAlign w:val="bottom"/>
            <w:gridSpan w:val="2"/>
            <w:shd w:val="clear" w:color="auto" w:fill="CFF0FC"/>
          </w:tcPr>
          <w:p>
            <w:pPr>
              <w:ind w:left="60"/>
              <w:spacing w:after="0"/>
              <w:rPr>
                <w:sz w:val="20"/>
                <w:szCs w:val="20"/>
                <w:color w:val="auto"/>
              </w:rPr>
            </w:pPr>
            <w:r>
              <w:rPr>
                <w:rFonts w:ascii="Arial" w:cs="Arial" w:eastAsia="Arial" w:hAnsi="Arial"/>
                <w:sz w:val="8"/>
                <w:szCs w:val="8"/>
                <w:color w:val="auto"/>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8"/>
                <w:szCs w:val="8"/>
                <w:color w:val="auto"/>
              </w:rPr>
              <w:t>—</w:t>
            </w:r>
          </w:p>
        </w:tc>
        <w:tc>
          <w:tcPr>
            <w:tcW w:w="280" w:type="dxa"/>
            <w:vAlign w:val="bottom"/>
            <w:tcBorders>
              <w:right w:val="single" w:sz="8" w:color="CFF0FC"/>
            </w:tcBorders>
            <w:shd w:val="clear" w:color="auto" w:fill="CFF0FC"/>
          </w:tcPr>
          <w:p>
            <w:pPr>
              <w:spacing w:after="0"/>
              <w:rPr>
                <w:sz w:val="8"/>
                <w:szCs w:val="8"/>
                <w:color w:val="auto"/>
              </w:rPr>
            </w:pPr>
          </w:p>
        </w:tc>
        <w:tc>
          <w:tcPr>
            <w:tcW w:w="560" w:type="dxa"/>
            <w:vAlign w:val="bottom"/>
            <w:gridSpan w:val="2"/>
            <w:shd w:val="clear" w:color="auto" w:fill="CFF0FC"/>
          </w:tcPr>
          <w:p>
            <w:pPr>
              <w:jc w:val="right"/>
              <w:ind w:right="220"/>
              <w:spacing w:after="0"/>
              <w:rPr>
                <w:sz w:val="20"/>
                <w:szCs w:val="20"/>
                <w:color w:val="auto"/>
              </w:rPr>
            </w:pPr>
            <w:r>
              <w:rPr>
                <w:rFonts w:ascii="Arial" w:cs="Arial" w:eastAsia="Arial" w:hAnsi="Arial"/>
                <w:sz w:val="8"/>
                <w:szCs w:val="8"/>
                <w:color w:val="auto"/>
              </w:rPr>
              <w:t>—</w:t>
            </w:r>
          </w:p>
        </w:tc>
        <w:tc>
          <w:tcPr>
            <w:tcW w:w="600" w:type="dxa"/>
            <w:vAlign w:val="bottom"/>
            <w:gridSpan w:val="2"/>
            <w:shd w:val="clear" w:color="auto" w:fill="CFF0FC"/>
          </w:tcPr>
          <w:p>
            <w:pPr>
              <w:jc w:val="right"/>
              <w:ind w:right="240"/>
              <w:spacing w:after="0"/>
              <w:rPr>
                <w:sz w:val="20"/>
                <w:szCs w:val="20"/>
                <w:color w:val="auto"/>
              </w:rPr>
            </w:pPr>
            <w:r>
              <w:rPr>
                <w:rFonts w:ascii="Arial" w:cs="Arial" w:eastAsia="Arial" w:hAnsi="Arial"/>
                <w:sz w:val="8"/>
                <w:szCs w:val="8"/>
                <w:color w:val="auto"/>
              </w:rPr>
              <w:t>—</w:t>
            </w:r>
          </w:p>
        </w:tc>
        <w:tc>
          <w:tcPr>
            <w:tcW w:w="60" w:type="dxa"/>
            <w:vAlign w:val="bottom"/>
            <w:shd w:val="clear" w:color="auto" w:fill="CFF0FC"/>
          </w:tcPr>
          <w:p>
            <w:pPr>
              <w:spacing w:after="0"/>
              <w:rPr>
                <w:sz w:val="8"/>
                <w:szCs w:val="8"/>
                <w:color w:val="auto"/>
              </w:rPr>
            </w:pPr>
          </w:p>
        </w:tc>
        <w:tc>
          <w:tcPr>
            <w:tcW w:w="560" w:type="dxa"/>
            <w:vAlign w:val="bottom"/>
            <w:gridSpan w:val="2"/>
            <w:shd w:val="clear" w:color="auto" w:fill="CFF0FC"/>
          </w:tcPr>
          <w:p>
            <w:pPr>
              <w:jc w:val="right"/>
              <w:ind w:right="220"/>
              <w:spacing w:after="0"/>
              <w:rPr>
                <w:sz w:val="20"/>
                <w:szCs w:val="20"/>
                <w:color w:val="auto"/>
              </w:rPr>
            </w:pPr>
            <w:r>
              <w:rPr>
                <w:rFonts w:ascii="Arial" w:cs="Arial" w:eastAsia="Arial" w:hAnsi="Arial"/>
                <w:sz w:val="8"/>
                <w:szCs w:val="8"/>
                <w:color w:val="auto"/>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8"/>
                <w:szCs w:val="8"/>
                <w:color w:val="auto"/>
              </w:rPr>
              <w:t>—</w:t>
            </w:r>
          </w:p>
        </w:tc>
        <w:tc>
          <w:tcPr>
            <w:tcW w:w="22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480" w:type="dxa"/>
            <w:vAlign w:val="bottom"/>
            <w:gridSpan w:val="2"/>
            <w:shd w:val="clear" w:color="auto" w:fill="CFF0FC"/>
          </w:tcPr>
          <w:p>
            <w:pPr>
              <w:jc w:val="right"/>
              <w:ind w:right="120"/>
              <w:spacing w:after="0"/>
              <w:rPr>
                <w:sz w:val="20"/>
                <w:szCs w:val="20"/>
                <w:color w:val="auto"/>
              </w:rPr>
            </w:pPr>
            <w:r>
              <w:rPr>
                <w:rFonts w:ascii="Arial" w:cs="Arial" w:eastAsia="Arial" w:hAnsi="Arial"/>
                <w:sz w:val="8"/>
                <w:szCs w:val="8"/>
                <w:color w:val="auto"/>
              </w:rPr>
              <w:t>—</w:t>
            </w:r>
          </w:p>
        </w:tc>
        <w:tc>
          <w:tcPr>
            <w:tcW w:w="140" w:type="dxa"/>
            <w:vAlign w:val="bottom"/>
            <w:tcBorders>
              <w:right w:val="single" w:sz="8" w:color="CFF0FC"/>
            </w:tcBorders>
            <w:shd w:val="clear" w:color="auto" w:fill="CFF0FC"/>
          </w:tcPr>
          <w:p>
            <w:pPr>
              <w:spacing w:after="0"/>
              <w:rPr>
                <w:sz w:val="8"/>
                <w:szCs w:val="8"/>
                <w:color w:val="auto"/>
              </w:rPr>
            </w:pPr>
          </w:p>
        </w:tc>
        <w:tc>
          <w:tcPr>
            <w:tcW w:w="660" w:type="dxa"/>
            <w:vAlign w:val="bottom"/>
            <w:gridSpan w:val="2"/>
            <w:shd w:val="clear" w:color="auto" w:fill="CFF0FC"/>
          </w:tcPr>
          <w:p>
            <w:pPr>
              <w:jc w:val="right"/>
              <w:ind w:right="240"/>
              <w:spacing w:after="0"/>
              <w:rPr>
                <w:sz w:val="20"/>
                <w:szCs w:val="20"/>
                <w:color w:val="auto"/>
              </w:rPr>
            </w:pPr>
            <w:r>
              <w:rPr>
                <w:rFonts w:ascii="Arial" w:cs="Arial" w:eastAsia="Arial" w:hAnsi="Arial"/>
                <w:sz w:val="8"/>
                <w:szCs w:val="8"/>
                <w:color w:val="auto"/>
              </w:rPr>
              <w:t>—</w:t>
            </w:r>
          </w:p>
        </w:tc>
        <w:tc>
          <w:tcPr>
            <w:tcW w:w="60" w:type="dxa"/>
            <w:vAlign w:val="bottom"/>
            <w:shd w:val="clear" w:color="auto" w:fill="CFF0FC"/>
          </w:tcPr>
          <w:p>
            <w:pPr>
              <w:spacing w:after="0"/>
              <w:rPr>
                <w:sz w:val="8"/>
                <w:szCs w:val="8"/>
                <w:color w:val="auto"/>
              </w:rPr>
            </w:pPr>
          </w:p>
        </w:tc>
        <w:tc>
          <w:tcPr>
            <w:tcW w:w="480" w:type="dxa"/>
            <w:vAlign w:val="bottom"/>
            <w:gridSpan w:val="2"/>
            <w:shd w:val="clear" w:color="auto" w:fill="CFF0FC"/>
          </w:tcPr>
          <w:p>
            <w:pPr>
              <w:jc w:val="right"/>
              <w:ind w:right="100"/>
              <w:spacing w:after="0"/>
              <w:rPr>
                <w:sz w:val="20"/>
                <w:szCs w:val="20"/>
                <w:color w:val="auto"/>
              </w:rPr>
            </w:pPr>
            <w:r>
              <w:rPr>
                <w:rFonts w:ascii="Arial" w:cs="Arial" w:eastAsia="Arial" w:hAnsi="Arial"/>
                <w:sz w:val="8"/>
                <w:szCs w:val="8"/>
                <w:color w:val="auto"/>
              </w:rPr>
              <w:t>(779,270)</w:t>
            </w:r>
          </w:p>
        </w:tc>
        <w:tc>
          <w:tcPr>
            <w:tcW w:w="160" w:type="dxa"/>
            <w:vAlign w:val="bottom"/>
            <w:tcBorders>
              <w:right w:val="single" w:sz="8" w:color="CFF0FC"/>
            </w:tcBorders>
            <w:shd w:val="clear" w:color="auto" w:fill="CFF0FC"/>
          </w:tcPr>
          <w:p>
            <w:pPr>
              <w:spacing w:after="0"/>
              <w:rPr>
                <w:sz w:val="8"/>
                <w:szCs w:val="8"/>
                <w:color w:val="auto"/>
              </w:rPr>
            </w:pPr>
          </w:p>
        </w:tc>
        <w:tc>
          <w:tcPr>
            <w:tcW w:w="600" w:type="dxa"/>
            <w:vAlign w:val="bottom"/>
            <w:gridSpan w:val="2"/>
            <w:shd w:val="clear" w:color="auto" w:fill="CFF0FC"/>
          </w:tcPr>
          <w:p>
            <w:pPr>
              <w:jc w:val="right"/>
              <w:ind w:right="220"/>
              <w:spacing w:after="0"/>
              <w:rPr>
                <w:sz w:val="20"/>
                <w:szCs w:val="20"/>
                <w:color w:val="auto"/>
              </w:rPr>
            </w:pPr>
            <w:r>
              <w:rPr>
                <w:rFonts w:ascii="Arial" w:cs="Arial" w:eastAsia="Arial" w:hAnsi="Arial"/>
                <w:sz w:val="8"/>
                <w:szCs w:val="8"/>
                <w:color w:val="auto"/>
              </w:rPr>
              <w:t>—</w:t>
            </w:r>
          </w:p>
        </w:tc>
        <w:tc>
          <w:tcPr>
            <w:tcW w:w="100" w:type="dxa"/>
            <w:vAlign w:val="bottom"/>
            <w:shd w:val="clear" w:color="auto" w:fill="CFF0FC"/>
          </w:tcPr>
          <w:p>
            <w:pPr>
              <w:spacing w:after="0"/>
              <w:rPr>
                <w:sz w:val="8"/>
                <w:szCs w:val="8"/>
                <w:color w:val="auto"/>
              </w:rPr>
            </w:pPr>
          </w:p>
        </w:tc>
        <w:tc>
          <w:tcPr>
            <w:tcW w:w="640" w:type="dxa"/>
            <w:vAlign w:val="bottom"/>
            <w:gridSpan w:val="2"/>
            <w:shd w:val="clear" w:color="auto" w:fill="CFF0FC"/>
          </w:tcPr>
          <w:p>
            <w:pPr>
              <w:jc w:val="right"/>
              <w:ind w:right="220"/>
              <w:spacing w:after="0"/>
              <w:rPr>
                <w:sz w:val="20"/>
                <w:szCs w:val="20"/>
                <w:color w:val="auto"/>
              </w:rPr>
            </w:pPr>
            <w:r>
              <w:rPr>
                <w:rFonts w:ascii="Arial" w:cs="Arial" w:eastAsia="Arial" w:hAnsi="Arial"/>
                <w:sz w:val="8"/>
                <w:szCs w:val="8"/>
                <w:color w:val="auto"/>
              </w:rPr>
              <w:t>—</w:t>
            </w:r>
          </w:p>
        </w:tc>
        <w:tc>
          <w:tcPr>
            <w:tcW w:w="80" w:type="dxa"/>
            <w:vAlign w:val="bottom"/>
            <w:shd w:val="clear" w:color="auto" w:fill="CFF0FC"/>
          </w:tcPr>
          <w:p>
            <w:pPr>
              <w:spacing w:after="0"/>
              <w:rPr>
                <w:sz w:val="8"/>
                <w:szCs w:val="8"/>
                <w:color w:val="auto"/>
              </w:rPr>
            </w:pPr>
          </w:p>
        </w:tc>
        <w:tc>
          <w:tcPr>
            <w:tcW w:w="460" w:type="dxa"/>
            <w:vAlign w:val="bottom"/>
            <w:gridSpan w:val="2"/>
            <w:shd w:val="clear" w:color="auto" w:fill="CFF0FC"/>
          </w:tcPr>
          <w:p>
            <w:pPr>
              <w:jc w:val="right"/>
              <w:ind w:right="40"/>
              <w:spacing w:after="0"/>
              <w:rPr>
                <w:sz w:val="20"/>
                <w:szCs w:val="20"/>
                <w:color w:val="auto"/>
              </w:rPr>
            </w:pPr>
            <w:r>
              <w:rPr>
                <w:rFonts w:ascii="Arial" w:cs="Arial" w:eastAsia="Arial" w:hAnsi="Arial"/>
                <w:sz w:val="8"/>
                <w:szCs w:val="8"/>
                <w:color w:val="auto"/>
              </w:rPr>
              <w:t>(779,270)</w:t>
            </w:r>
          </w:p>
        </w:tc>
        <w:tc>
          <w:tcPr>
            <w:tcW w:w="0" w:type="dxa"/>
            <w:vAlign w:val="bottom"/>
          </w:tcPr>
          <w:p>
            <w:pPr>
              <w:spacing w:after="0"/>
              <w:rPr>
                <w:sz w:val="1"/>
                <w:szCs w:val="1"/>
                <w:color w:val="auto"/>
              </w:rPr>
            </w:pPr>
          </w:p>
        </w:tc>
      </w:tr>
      <w:tr>
        <w:trPr>
          <w:trHeight w:val="99"/>
        </w:trPr>
        <w:tc>
          <w:tcPr>
            <w:tcW w:w="2240" w:type="dxa"/>
            <w:vAlign w:val="bottom"/>
            <w:gridSpan w:val="4"/>
          </w:tcPr>
          <w:p>
            <w:pPr>
              <w:spacing w:after="0"/>
              <w:rPr>
                <w:sz w:val="20"/>
                <w:szCs w:val="20"/>
                <w:color w:val="auto"/>
              </w:rPr>
            </w:pPr>
            <w:r>
              <w:rPr>
                <w:rFonts w:ascii="Arial" w:cs="Arial" w:eastAsia="Arial" w:hAnsi="Arial"/>
                <w:sz w:val="8"/>
                <w:szCs w:val="8"/>
                <w:color w:val="auto"/>
              </w:rPr>
              <w:t>Common stock contingent consideration</w:t>
            </w:r>
          </w:p>
        </w:tc>
        <w:tc>
          <w:tcPr>
            <w:tcW w:w="400" w:type="dxa"/>
            <w:vAlign w:val="bottom"/>
          </w:tcPr>
          <w:p>
            <w:pPr>
              <w:jc w:val="right"/>
              <w:spacing w:after="0"/>
              <w:rPr>
                <w:sz w:val="20"/>
                <w:szCs w:val="20"/>
                <w:color w:val="auto"/>
              </w:rPr>
            </w:pPr>
            <w:r>
              <w:rPr>
                <w:rFonts w:ascii="Arial" w:cs="Arial" w:eastAsia="Arial" w:hAnsi="Arial"/>
                <w:sz w:val="8"/>
                <w:szCs w:val="8"/>
                <w:color w:val="auto"/>
              </w:rPr>
              <w:t>—</w:t>
            </w: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8"/>
                <w:szCs w:val="8"/>
                <w:color w:val="auto"/>
              </w:rPr>
              <w:t>—</w:t>
            </w:r>
          </w:p>
        </w:tc>
        <w:tc>
          <w:tcPr>
            <w:tcW w:w="240" w:type="dxa"/>
            <w:vAlign w:val="bottom"/>
          </w:tcPr>
          <w:p>
            <w:pPr>
              <w:ind w:left="160"/>
              <w:spacing w:after="0"/>
              <w:rPr>
                <w:sz w:val="20"/>
                <w:szCs w:val="20"/>
                <w:color w:val="auto"/>
              </w:rPr>
            </w:pPr>
            <w:r>
              <w:rPr>
                <w:rFonts w:ascii="Arial" w:cs="Arial" w:eastAsia="Arial" w:hAnsi="Arial"/>
                <w:sz w:val="8"/>
                <w:szCs w:val="8"/>
                <w:color w:val="auto"/>
                <w:w w:val="74"/>
              </w:rPr>
              <w:t>—</w:t>
            </w: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gridSpan w:val="2"/>
          </w:tcPr>
          <w:p>
            <w:pPr>
              <w:ind w:left="60"/>
              <w:spacing w:after="0"/>
              <w:rPr>
                <w:sz w:val="20"/>
                <w:szCs w:val="20"/>
                <w:color w:val="auto"/>
              </w:rPr>
            </w:pPr>
            <w:r>
              <w:rPr>
                <w:rFonts w:ascii="Arial" w:cs="Arial" w:eastAsia="Arial" w:hAnsi="Arial"/>
                <w:sz w:val="8"/>
                <w:szCs w:val="8"/>
                <w:color w:val="auto"/>
              </w:rPr>
              <w:t>—</w:t>
            </w:r>
          </w:p>
        </w:tc>
        <w:tc>
          <w:tcPr>
            <w:tcW w:w="380" w:type="dxa"/>
            <w:vAlign w:val="bottom"/>
          </w:tcPr>
          <w:p>
            <w:pPr>
              <w:jc w:val="right"/>
              <w:spacing w:after="0"/>
              <w:rPr>
                <w:sz w:val="20"/>
                <w:szCs w:val="20"/>
                <w:color w:val="auto"/>
              </w:rPr>
            </w:pPr>
            <w:r>
              <w:rPr>
                <w:rFonts w:ascii="Arial" w:cs="Arial" w:eastAsia="Arial" w:hAnsi="Arial"/>
                <w:sz w:val="8"/>
                <w:szCs w:val="8"/>
                <w:color w:val="auto"/>
              </w:rPr>
              <w:t>—</w:t>
            </w:r>
          </w:p>
        </w:tc>
        <w:tc>
          <w:tcPr>
            <w:tcW w:w="280" w:type="dxa"/>
            <w:vAlign w:val="bottom"/>
          </w:tcPr>
          <w:p>
            <w:pPr>
              <w:spacing w:after="0"/>
              <w:rPr>
                <w:sz w:val="8"/>
                <w:szCs w:val="8"/>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8"/>
                <w:szCs w:val="8"/>
                <w:color w:val="auto"/>
              </w:rPr>
              <w:t>—</w:t>
            </w:r>
          </w:p>
        </w:tc>
        <w:tc>
          <w:tcPr>
            <w:tcW w:w="600" w:type="dxa"/>
            <w:vAlign w:val="bottom"/>
            <w:gridSpan w:val="2"/>
          </w:tcPr>
          <w:p>
            <w:pPr>
              <w:jc w:val="right"/>
              <w:ind w:right="240"/>
              <w:spacing w:after="0"/>
              <w:rPr>
                <w:sz w:val="20"/>
                <w:szCs w:val="20"/>
                <w:color w:val="auto"/>
              </w:rPr>
            </w:pPr>
            <w:r>
              <w:rPr>
                <w:rFonts w:ascii="Arial" w:cs="Arial" w:eastAsia="Arial" w:hAnsi="Arial"/>
                <w:sz w:val="8"/>
                <w:szCs w:val="8"/>
                <w:color w:val="auto"/>
              </w:rPr>
              <w:t>—</w:t>
            </w:r>
          </w:p>
        </w:tc>
        <w:tc>
          <w:tcPr>
            <w:tcW w:w="60" w:type="dxa"/>
            <w:vAlign w:val="bottom"/>
          </w:tcPr>
          <w:p>
            <w:pPr>
              <w:spacing w:after="0"/>
              <w:rPr>
                <w:sz w:val="8"/>
                <w:szCs w:val="8"/>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8"/>
                <w:szCs w:val="8"/>
                <w:color w:val="auto"/>
              </w:rPr>
              <w:t>—</w:t>
            </w:r>
          </w:p>
        </w:tc>
        <w:tc>
          <w:tcPr>
            <w:tcW w:w="380" w:type="dxa"/>
            <w:vAlign w:val="bottom"/>
          </w:tcPr>
          <w:p>
            <w:pPr>
              <w:jc w:val="right"/>
              <w:spacing w:after="0"/>
              <w:rPr>
                <w:sz w:val="20"/>
                <w:szCs w:val="20"/>
                <w:color w:val="auto"/>
              </w:rPr>
            </w:pPr>
            <w:r>
              <w:rPr>
                <w:rFonts w:ascii="Arial" w:cs="Arial" w:eastAsia="Arial" w:hAnsi="Arial"/>
                <w:sz w:val="8"/>
                <w:szCs w:val="8"/>
                <w:color w:val="auto"/>
              </w:rPr>
              <w:t>—</w:t>
            </w: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8"/>
                <w:szCs w:val="8"/>
                <w:color w:val="auto"/>
              </w:rPr>
              <w:t>—</w:t>
            </w:r>
          </w:p>
        </w:tc>
        <w:tc>
          <w:tcPr>
            <w:tcW w:w="140" w:type="dxa"/>
            <w:vAlign w:val="bottom"/>
          </w:tcPr>
          <w:p>
            <w:pPr>
              <w:spacing w:after="0"/>
              <w:rPr>
                <w:sz w:val="8"/>
                <w:szCs w:val="8"/>
                <w:color w:val="auto"/>
              </w:rPr>
            </w:pPr>
          </w:p>
        </w:tc>
        <w:tc>
          <w:tcPr>
            <w:tcW w:w="440" w:type="dxa"/>
            <w:vAlign w:val="bottom"/>
          </w:tcPr>
          <w:p>
            <w:pPr>
              <w:jc w:val="right"/>
              <w:spacing w:after="0"/>
              <w:rPr>
                <w:sz w:val="20"/>
                <w:szCs w:val="20"/>
                <w:color w:val="auto"/>
              </w:rPr>
            </w:pPr>
            <w:r>
              <w:rPr>
                <w:rFonts w:ascii="Arial" w:cs="Arial" w:eastAsia="Arial" w:hAnsi="Arial"/>
                <w:sz w:val="8"/>
                <w:szCs w:val="8"/>
                <w:color w:val="auto"/>
              </w:rPr>
              <w:t>73,150</w:t>
            </w: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8"/>
                <w:szCs w:val="8"/>
                <w:color w:val="auto"/>
              </w:rPr>
              <w:t>—</w:t>
            </w:r>
          </w:p>
        </w:tc>
        <w:tc>
          <w:tcPr>
            <w:tcW w:w="160" w:type="dxa"/>
            <w:vAlign w:val="bottom"/>
          </w:tcPr>
          <w:p>
            <w:pPr>
              <w:spacing w:after="0"/>
              <w:rPr>
                <w:sz w:val="8"/>
                <w:szCs w:val="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8"/>
                <w:szCs w:val="8"/>
                <w:color w:val="auto"/>
              </w:rPr>
              <w:t>(73,150)</w:t>
            </w:r>
          </w:p>
        </w:tc>
        <w:tc>
          <w:tcPr>
            <w:tcW w:w="100" w:type="dxa"/>
            <w:vAlign w:val="bottom"/>
          </w:tcPr>
          <w:p>
            <w:pPr>
              <w:spacing w:after="0"/>
              <w:rPr>
                <w:sz w:val="8"/>
                <w:szCs w:val="8"/>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8"/>
                <w:szCs w:val="8"/>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99"/>
        </w:trPr>
        <w:tc>
          <w:tcPr>
            <w:tcW w:w="2240" w:type="dxa"/>
            <w:vAlign w:val="bottom"/>
            <w:gridSpan w:val="4"/>
            <w:shd w:val="clear" w:color="auto" w:fill="CFF0FC"/>
          </w:tcPr>
          <w:p>
            <w:pPr>
              <w:spacing w:after="0"/>
              <w:rPr>
                <w:sz w:val="20"/>
                <w:szCs w:val="20"/>
                <w:color w:val="auto"/>
              </w:rPr>
            </w:pPr>
            <w:r>
              <w:rPr>
                <w:rFonts w:ascii="Arial" w:cs="Arial" w:eastAsia="Arial" w:hAnsi="Arial"/>
                <w:sz w:val="8"/>
                <w:szCs w:val="8"/>
                <w:color w:val="auto"/>
              </w:rPr>
              <w:t>Tax receivable payable to Greenlight stockholders</w:t>
            </w:r>
          </w:p>
        </w:tc>
        <w:tc>
          <w:tcPr>
            <w:tcW w:w="400" w:type="dxa"/>
            <w:vAlign w:val="bottom"/>
            <w:shd w:val="clear" w:color="auto" w:fill="CFF0FC"/>
          </w:tcPr>
          <w:p>
            <w:pPr>
              <w:jc w:val="right"/>
              <w:spacing w:after="0"/>
              <w:rPr>
                <w:sz w:val="20"/>
                <w:szCs w:val="20"/>
                <w:color w:val="auto"/>
              </w:rPr>
            </w:pPr>
            <w:r>
              <w:rPr>
                <w:rFonts w:ascii="Arial" w:cs="Arial" w:eastAsia="Arial" w:hAnsi="Arial"/>
                <w:sz w:val="8"/>
                <w:szCs w:val="8"/>
                <w:color w:val="auto"/>
              </w:rPr>
              <w:t>—</w:t>
            </w:r>
          </w:p>
        </w:tc>
        <w:tc>
          <w:tcPr>
            <w:tcW w:w="24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580" w:type="dxa"/>
            <w:vAlign w:val="bottom"/>
            <w:gridSpan w:val="2"/>
            <w:shd w:val="clear" w:color="auto" w:fill="CFF0FC"/>
          </w:tcPr>
          <w:p>
            <w:pPr>
              <w:jc w:val="right"/>
              <w:ind w:right="240"/>
              <w:spacing w:after="0"/>
              <w:rPr>
                <w:sz w:val="20"/>
                <w:szCs w:val="20"/>
                <w:color w:val="auto"/>
              </w:rPr>
            </w:pPr>
            <w:r>
              <w:rPr>
                <w:rFonts w:ascii="Arial" w:cs="Arial" w:eastAsia="Arial" w:hAnsi="Arial"/>
                <w:sz w:val="8"/>
                <w:szCs w:val="8"/>
                <w:color w:val="auto"/>
              </w:rPr>
              <w:t>—</w:t>
            </w:r>
          </w:p>
        </w:tc>
        <w:tc>
          <w:tcPr>
            <w:tcW w:w="240" w:type="dxa"/>
            <w:vAlign w:val="bottom"/>
            <w:shd w:val="clear" w:color="auto" w:fill="CFF0FC"/>
          </w:tcPr>
          <w:p>
            <w:pPr>
              <w:ind w:left="160"/>
              <w:spacing w:after="0"/>
              <w:rPr>
                <w:sz w:val="20"/>
                <w:szCs w:val="20"/>
                <w:color w:val="auto"/>
              </w:rPr>
            </w:pPr>
            <w:r>
              <w:rPr>
                <w:rFonts w:ascii="Arial" w:cs="Arial" w:eastAsia="Arial" w:hAnsi="Arial"/>
                <w:sz w:val="8"/>
                <w:szCs w:val="8"/>
                <w:color w:val="auto"/>
                <w:w w:val="74"/>
              </w:rPr>
              <w:t>—</w:t>
            </w:r>
          </w:p>
        </w:tc>
        <w:tc>
          <w:tcPr>
            <w:tcW w:w="24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380" w:type="dxa"/>
            <w:vAlign w:val="bottom"/>
            <w:gridSpan w:val="2"/>
            <w:shd w:val="clear" w:color="auto" w:fill="CFF0FC"/>
          </w:tcPr>
          <w:p>
            <w:pPr>
              <w:ind w:left="60"/>
              <w:spacing w:after="0"/>
              <w:rPr>
                <w:sz w:val="20"/>
                <w:szCs w:val="20"/>
                <w:color w:val="auto"/>
              </w:rPr>
            </w:pPr>
            <w:r>
              <w:rPr>
                <w:rFonts w:ascii="Arial" w:cs="Arial" w:eastAsia="Arial" w:hAnsi="Arial"/>
                <w:sz w:val="8"/>
                <w:szCs w:val="8"/>
                <w:color w:val="auto"/>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8"/>
                <w:szCs w:val="8"/>
                <w:color w:val="auto"/>
              </w:rPr>
              <w:t>—</w:t>
            </w:r>
          </w:p>
        </w:tc>
        <w:tc>
          <w:tcPr>
            <w:tcW w:w="280" w:type="dxa"/>
            <w:vAlign w:val="bottom"/>
            <w:tcBorders>
              <w:right w:val="single" w:sz="8" w:color="CFF0FC"/>
            </w:tcBorders>
            <w:shd w:val="clear" w:color="auto" w:fill="CFF0FC"/>
          </w:tcPr>
          <w:p>
            <w:pPr>
              <w:spacing w:after="0"/>
              <w:rPr>
                <w:sz w:val="8"/>
                <w:szCs w:val="8"/>
                <w:color w:val="auto"/>
              </w:rPr>
            </w:pPr>
          </w:p>
        </w:tc>
        <w:tc>
          <w:tcPr>
            <w:tcW w:w="560" w:type="dxa"/>
            <w:vAlign w:val="bottom"/>
            <w:gridSpan w:val="2"/>
            <w:shd w:val="clear" w:color="auto" w:fill="CFF0FC"/>
          </w:tcPr>
          <w:p>
            <w:pPr>
              <w:jc w:val="right"/>
              <w:ind w:right="220"/>
              <w:spacing w:after="0"/>
              <w:rPr>
                <w:sz w:val="20"/>
                <w:szCs w:val="20"/>
                <w:color w:val="auto"/>
              </w:rPr>
            </w:pPr>
            <w:r>
              <w:rPr>
                <w:rFonts w:ascii="Arial" w:cs="Arial" w:eastAsia="Arial" w:hAnsi="Arial"/>
                <w:sz w:val="8"/>
                <w:szCs w:val="8"/>
                <w:color w:val="auto"/>
              </w:rPr>
              <w:t>—</w:t>
            </w:r>
          </w:p>
        </w:tc>
        <w:tc>
          <w:tcPr>
            <w:tcW w:w="600" w:type="dxa"/>
            <w:vAlign w:val="bottom"/>
            <w:gridSpan w:val="2"/>
            <w:shd w:val="clear" w:color="auto" w:fill="CFF0FC"/>
          </w:tcPr>
          <w:p>
            <w:pPr>
              <w:jc w:val="right"/>
              <w:ind w:right="240"/>
              <w:spacing w:after="0"/>
              <w:rPr>
                <w:sz w:val="20"/>
                <w:szCs w:val="20"/>
                <w:color w:val="auto"/>
              </w:rPr>
            </w:pPr>
            <w:r>
              <w:rPr>
                <w:rFonts w:ascii="Arial" w:cs="Arial" w:eastAsia="Arial" w:hAnsi="Arial"/>
                <w:sz w:val="8"/>
                <w:szCs w:val="8"/>
                <w:color w:val="auto"/>
              </w:rPr>
              <w:t>—</w:t>
            </w:r>
          </w:p>
        </w:tc>
        <w:tc>
          <w:tcPr>
            <w:tcW w:w="60" w:type="dxa"/>
            <w:vAlign w:val="bottom"/>
            <w:shd w:val="clear" w:color="auto" w:fill="CFF0FC"/>
          </w:tcPr>
          <w:p>
            <w:pPr>
              <w:spacing w:after="0"/>
              <w:rPr>
                <w:sz w:val="8"/>
                <w:szCs w:val="8"/>
                <w:color w:val="auto"/>
              </w:rPr>
            </w:pPr>
          </w:p>
        </w:tc>
        <w:tc>
          <w:tcPr>
            <w:tcW w:w="560" w:type="dxa"/>
            <w:vAlign w:val="bottom"/>
            <w:gridSpan w:val="2"/>
            <w:shd w:val="clear" w:color="auto" w:fill="CFF0FC"/>
          </w:tcPr>
          <w:p>
            <w:pPr>
              <w:jc w:val="right"/>
              <w:ind w:right="220"/>
              <w:spacing w:after="0"/>
              <w:rPr>
                <w:sz w:val="20"/>
                <w:szCs w:val="20"/>
                <w:color w:val="auto"/>
              </w:rPr>
            </w:pPr>
            <w:r>
              <w:rPr>
                <w:rFonts w:ascii="Arial" w:cs="Arial" w:eastAsia="Arial" w:hAnsi="Arial"/>
                <w:sz w:val="8"/>
                <w:szCs w:val="8"/>
                <w:color w:val="auto"/>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8"/>
                <w:szCs w:val="8"/>
                <w:color w:val="auto"/>
              </w:rPr>
              <w:t>—</w:t>
            </w:r>
          </w:p>
        </w:tc>
        <w:tc>
          <w:tcPr>
            <w:tcW w:w="22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480" w:type="dxa"/>
            <w:vAlign w:val="bottom"/>
            <w:gridSpan w:val="2"/>
            <w:shd w:val="clear" w:color="auto" w:fill="CFF0FC"/>
          </w:tcPr>
          <w:p>
            <w:pPr>
              <w:jc w:val="right"/>
              <w:ind w:right="120"/>
              <w:spacing w:after="0"/>
              <w:rPr>
                <w:sz w:val="20"/>
                <w:szCs w:val="20"/>
                <w:color w:val="auto"/>
              </w:rPr>
            </w:pPr>
            <w:r>
              <w:rPr>
                <w:rFonts w:ascii="Arial" w:cs="Arial" w:eastAsia="Arial" w:hAnsi="Arial"/>
                <w:sz w:val="8"/>
                <w:szCs w:val="8"/>
                <w:color w:val="auto"/>
              </w:rPr>
              <w:t>—</w:t>
            </w:r>
          </w:p>
        </w:tc>
        <w:tc>
          <w:tcPr>
            <w:tcW w:w="140" w:type="dxa"/>
            <w:vAlign w:val="bottom"/>
            <w:tcBorders>
              <w:right w:val="single" w:sz="8" w:color="CFF0FC"/>
            </w:tcBorders>
            <w:shd w:val="clear" w:color="auto" w:fill="CFF0FC"/>
          </w:tcPr>
          <w:p>
            <w:pPr>
              <w:spacing w:after="0"/>
              <w:rPr>
                <w:sz w:val="8"/>
                <w:szCs w:val="8"/>
                <w:color w:val="auto"/>
              </w:rPr>
            </w:pPr>
          </w:p>
        </w:tc>
        <w:tc>
          <w:tcPr>
            <w:tcW w:w="660" w:type="dxa"/>
            <w:vAlign w:val="bottom"/>
            <w:gridSpan w:val="2"/>
            <w:shd w:val="clear" w:color="auto" w:fill="CFF0FC"/>
          </w:tcPr>
          <w:p>
            <w:pPr>
              <w:jc w:val="right"/>
              <w:ind w:right="240"/>
              <w:spacing w:after="0"/>
              <w:rPr>
                <w:sz w:val="20"/>
                <w:szCs w:val="20"/>
                <w:color w:val="auto"/>
              </w:rPr>
            </w:pPr>
            <w:r>
              <w:rPr>
                <w:rFonts w:ascii="Arial" w:cs="Arial" w:eastAsia="Arial" w:hAnsi="Arial"/>
                <w:sz w:val="8"/>
                <w:szCs w:val="8"/>
                <w:color w:val="auto"/>
              </w:rPr>
              <w:t>—</w:t>
            </w:r>
          </w:p>
        </w:tc>
        <w:tc>
          <w:tcPr>
            <w:tcW w:w="60" w:type="dxa"/>
            <w:vAlign w:val="bottom"/>
            <w:shd w:val="clear" w:color="auto" w:fill="CFF0FC"/>
          </w:tcPr>
          <w:p>
            <w:pPr>
              <w:spacing w:after="0"/>
              <w:rPr>
                <w:sz w:val="8"/>
                <w:szCs w:val="8"/>
                <w:color w:val="auto"/>
              </w:rPr>
            </w:pPr>
          </w:p>
        </w:tc>
        <w:tc>
          <w:tcPr>
            <w:tcW w:w="480" w:type="dxa"/>
            <w:vAlign w:val="bottom"/>
            <w:gridSpan w:val="2"/>
            <w:shd w:val="clear" w:color="auto" w:fill="CFF0FC"/>
          </w:tcPr>
          <w:p>
            <w:pPr>
              <w:jc w:val="right"/>
              <w:ind w:right="100"/>
              <w:spacing w:after="0"/>
              <w:rPr>
                <w:sz w:val="20"/>
                <w:szCs w:val="20"/>
                <w:color w:val="auto"/>
              </w:rPr>
            </w:pPr>
            <w:r>
              <w:rPr>
                <w:rFonts w:ascii="Arial" w:cs="Arial" w:eastAsia="Arial" w:hAnsi="Arial"/>
                <w:sz w:val="8"/>
                <w:szCs w:val="8"/>
                <w:color w:val="auto"/>
              </w:rPr>
              <w:t>(69,996)</w:t>
            </w:r>
          </w:p>
        </w:tc>
        <w:tc>
          <w:tcPr>
            <w:tcW w:w="160" w:type="dxa"/>
            <w:vAlign w:val="bottom"/>
            <w:tcBorders>
              <w:right w:val="single" w:sz="8" w:color="CFF0FC"/>
            </w:tcBorders>
            <w:shd w:val="clear" w:color="auto" w:fill="CFF0FC"/>
          </w:tcPr>
          <w:p>
            <w:pPr>
              <w:spacing w:after="0"/>
              <w:rPr>
                <w:sz w:val="8"/>
                <w:szCs w:val="8"/>
                <w:color w:val="auto"/>
              </w:rPr>
            </w:pPr>
          </w:p>
        </w:tc>
        <w:tc>
          <w:tcPr>
            <w:tcW w:w="600" w:type="dxa"/>
            <w:vAlign w:val="bottom"/>
            <w:gridSpan w:val="2"/>
            <w:shd w:val="clear" w:color="auto" w:fill="CFF0FC"/>
          </w:tcPr>
          <w:p>
            <w:pPr>
              <w:jc w:val="right"/>
              <w:ind w:right="220"/>
              <w:spacing w:after="0"/>
              <w:rPr>
                <w:sz w:val="20"/>
                <w:szCs w:val="20"/>
                <w:color w:val="auto"/>
              </w:rPr>
            </w:pPr>
            <w:r>
              <w:rPr>
                <w:rFonts w:ascii="Arial" w:cs="Arial" w:eastAsia="Arial" w:hAnsi="Arial"/>
                <w:sz w:val="8"/>
                <w:szCs w:val="8"/>
                <w:color w:val="auto"/>
              </w:rPr>
              <w:t>—</w:t>
            </w:r>
          </w:p>
        </w:tc>
        <w:tc>
          <w:tcPr>
            <w:tcW w:w="100" w:type="dxa"/>
            <w:vAlign w:val="bottom"/>
            <w:shd w:val="clear" w:color="auto" w:fill="CFF0FC"/>
          </w:tcPr>
          <w:p>
            <w:pPr>
              <w:spacing w:after="0"/>
              <w:rPr>
                <w:sz w:val="8"/>
                <w:szCs w:val="8"/>
                <w:color w:val="auto"/>
              </w:rPr>
            </w:pPr>
          </w:p>
        </w:tc>
        <w:tc>
          <w:tcPr>
            <w:tcW w:w="640" w:type="dxa"/>
            <w:vAlign w:val="bottom"/>
            <w:gridSpan w:val="2"/>
            <w:shd w:val="clear" w:color="auto" w:fill="CFF0FC"/>
          </w:tcPr>
          <w:p>
            <w:pPr>
              <w:jc w:val="right"/>
              <w:ind w:right="220"/>
              <w:spacing w:after="0"/>
              <w:rPr>
                <w:sz w:val="20"/>
                <w:szCs w:val="20"/>
                <w:color w:val="auto"/>
              </w:rPr>
            </w:pPr>
            <w:r>
              <w:rPr>
                <w:rFonts w:ascii="Arial" w:cs="Arial" w:eastAsia="Arial" w:hAnsi="Arial"/>
                <w:sz w:val="8"/>
                <w:szCs w:val="8"/>
                <w:color w:val="auto"/>
              </w:rPr>
              <w:t>—</w:t>
            </w:r>
          </w:p>
        </w:tc>
        <w:tc>
          <w:tcPr>
            <w:tcW w:w="80" w:type="dxa"/>
            <w:vAlign w:val="bottom"/>
            <w:shd w:val="clear" w:color="auto" w:fill="CFF0FC"/>
          </w:tcPr>
          <w:p>
            <w:pPr>
              <w:spacing w:after="0"/>
              <w:rPr>
                <w:sz w:val="8"/>
                <w:szCs w:val="8"/>
                <w:color w:val="auto"/>
              </w:rPr>
            </w:pPr>
          </w:p>
        </w:tc>
        <w:tc>
          <w:tcPr>
            <w:tcW w:w="460" w:type="dxa"/>
            <w:vAlign w:val="bottom"/>
            <w:gridSpan w:val="2"/>
            <w:shd w:val="clear" w:color="auto" w:fill="CFF0FC"/>
          </w:tcPr>
          <w:p>
            <w:pPr>
              <w:jc w:val="right"/>
              <w:ind w:right="40"/>
              <w:spacing w:after="0"/>
              <w:rPr>
                <w:sz w:val="20"/>
                <w:szCs w:val="20"/>
                <w:color w:val="auto"/>
              </w:rPr>
            </w:pPr>
            <w:r>
              <w:rPr>
                <w:rFonts w:ascii="Arial" w:cs="Arial" w:eastAsia="Arial" w:hAnsi="Arial"/>
                <w:sz w:val="8"/>
                <w:szCs w:val="8"/>
                <w:color w:val="auto"/>
              </w:rPr>
              <w:t>(69,996)</w:t>
            </w:r>
          </w:p>
        </w:tc>
        <w:tc>
          <w:tcPr>
            <w:tcW w:w="0" w:type="dxa"/>
            <w:vAlign w:val="bottom"/>
          </w:tcPr>
          <w:p>
            <w:pPr>
              <w:spacing w:after="0"/>
              <w:rPr>
                <w:sz w:val="1"/>
                <w:szCs w:val="1"/>
                <w:color w:val="auto"/>
              </w:rPr>
            </w:pPr>
          </w:p>
        </w:tc>
      </w:tr>
      <w:tr>
        <w:trPr>
          <w:trHeight w:val="99"/>
        </w:trPr>
        <w:tc>
          <w:tcPr>
            <w:tcW w:w="2240" w:type="dxa"/>
            <w:vAlign w:val="bottom"/>
            <w:gridSpan w:val="4"/>
          </w:tcPr>
          <w:p>
            <w:pPr>
              <w:spacing w:after="0"/>
              <w:rPr>
                <w:sz w:val="20"/>
                <w:szCs w:val="20"/>
                <w:color w:val="auto"/>
              </w:rPr>
            </w:pPr>
            <w:r>
              <w:rPr>
                <w:rFonts w:ascii="Arial" w:cs="Arial" w:eastAsia="Arial" w:hAnsi="Arial"/>
                <w:sz w:val="8"/>
                <w:szCs w:val="8"/>
                <w:color w:val="auto"/>
              </w:rPr>
              <w:t>Underwriting fees</w:t>
            </w:r>
          </w:p>
        </w:tc>
        <w:tc>
          <w:tcPr>
            <w:tcW w:w="400" w:type="dxa"/>
            <w:vAlign w:val="bottom"/>
          </w:tcPr>
          <w:p>
            <w:pPr>
              <w:jc w:val="right"/>
              <w:spacing w:after="0"/>
              <w:rPr>
                <w:sz w:val="20"/>
                <w:szCs w:val="20"/>
                <w:color w:val="auto"/>
              </w:rPr>
            </w:pPr>
            <w:r>
              <w:rPr>
                <w:rFonts w:ascii="Arial" w:cs="Arial" w:eastAsia="Arial" w:hAnsi="Arial"/>
                <w:sz w:val="8"/>
                <w:szCs w:val="8"/>
                <w:color w:val="auto"/>
              </w:rPr>
              <w:t>—</w:t>
            </w: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8"/>
                <w:szCs w:val="8"/>
                <w:color w:val="auto"/>
              </w:rPr>
              <w:t>—</w:t>
            </w:r>
          </w:p>
        </w:tc>
        <w:tc>
          <w:tcPr>
            <w:tcW w:w="240" w:type="dxa"/>
            <w:vAlign w:val="bottom"/>
          </w:tcPr>
          <w:p>
            <w:pPr>
              <w:ind w:left="160"/>
              <w:spacing w:after="0"/>
              <w:rPr>
                <w:sz w:val="20"/>
                <w:szCs w:val="20"/>
                <w:color w:val="auto"/>
              </w:rPr>
            </w:pPr>
            <w:r>
              <w:rPr>
                <w:rFonts w:ascii="Arial" w:cs="Arial" w:eastAsia="Arial" w:hAnsi="Arial"/>
                <w:sz w:val="8"/>
                <w:szCs w:val="8"/>
                <w:color w:val="auto"/>
                <w:w w:val="74"/>
              </w:rPr>
              <w:t>—</w:t>
            </w: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gridSpan w:val="2"/>
          </w:tcPr>
          <w:p>
            <w:pPr>
              <w:ind w:left="60"/>
              <w:spacing w:after="0"/>
              <w:rPr>
                <w:sz w:val="20"/>
                <w:szCs w:val="20"/>
                <w:color w:val="auto"/>
              </w:rPr>
            </w:pPr>
            <w:r>
              <w:rPr>
                <w:rFonts w:ascii="Arial" w:cs="Arial" w:eastAsia="Arial" w:hAnsi="Arial"/>
                <w:sz w:val="8"/>
                <w:szCs w:val="8"/>
                <w:color w:val="auto"/>
              </w:rPr>
              <w:t>—</w:t>
            </w:r>
          </w:p>
        </w:tc>
        <w:tc>
          <w:tcPr>
            <w:tcW w:w="380" w:type="dxa"/>
            <w:vAlign w:val="bottom"/>
          </w:tcPr>
          <w:p>
            <w:pPr>
              <w:jc w:val="right"/>
              <w:spacing w:after="0"/>
              <w:rPr>
                <w:sz w:val="20"/>
                <w:szCs w:val="20"/>
                <w:color w:val="auto"/>
              </w:rPr>
            </w:pPr>
            <w:r>
              <w:rPr>
                <w:rFonts w:ascii="Arial" w:cs="Arial" w:eastAsia="Arial" w:hAnsi="Arial"/>
                <w:sz w:val="8"/>
                <w:szCs w:val="8"/>
                <w:color w:val="auto"/>
              </w:rPr>
              <w:t>—</w:t>
            </w:r>
          </w:p>
        </w:tc>
        <w:tc>
          <w:tcPr>
            <w:tcW w:w="280" w:type="dxa"/>
            <w:vAlign w:val="bottom"/>
          </w:tcPr>
          <w:p>
            <w:pPr>
              <w:spacing w:after="0"/>
              <w:rPr>
                <w:sz w:val="8"/>
                <w:szCs w:val="8"/>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8"/>
                <w:szCs w:val="8"/>
                <w:color w:val="auto"/>
              </w:rPr>
              <w:t>—</w:t>
            </w:r>
          </w:p>
        </w:tc>
        <w:tc>
          <w:tcPr>
            <w:tcW w:w="600" w:type="dxa"/>
            <w:vAlign w:val="bottom"/>
            <w:gridSpan w:val="2"/>
          </w:tcPr>
          <w:p>
            <w:pPr>
              <w:jc w:val="right"/>
              <w:ind w:right="240"/>
              <w:spacing w:after="0"/>
              <w:rPr>
                <w:sz w:val="20"/>
                <w:szCs w:val="20"/>
                <w:color w:val="auto"/>
              </w:rPr>
            </w:pPr>
            <w:r>
              <w:rPr>
                <w:rFonts w:ascii="Arial" w:cs="Arial" w:eastAsia="Arial" w:hAnsi="Arial"/>
                <w:sz w:val="8"/>
                <w:szCs w:val="8"/>
                <w:color w:val="auto"/>
              </w:rPr>
              <w:t>—</w:t>
            </w:r>
          </w:p>
        </w:tc>
        <w:tc>
          <w:tcPr>
            <w:tcW w:w="60" w:type="dxa"/>
            <w:vAlign w:val="bottom"/>
          </w:tcPr>
          <w:p>
            <w:pPr>
              <w:spacing w:after="0"/>
              <w:rPr>
                <w:sz w:val="8"/>
                <w:szCs w:val="8"/>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8"/>
                <w:szCs w:val="8"/>
                <w:color w:val="auto"/>
              </w:rPr>
              <w:t>—</w:t>
            </w:r>
          </w:p>
        </w:tc>
        <w:tc>
          <w:tcPr>
            <w:tcW w:w="380" w:type="dxa"/>
            <w:vAlign w:val="bottom"/>
          </w:tcPr>
          <w:p>
            <w:pPr>
              <w:jc w:val="right"/>
              <w:spacing w:after="0"/>
              <w:rPr>
                <w:sz w:val="20"/>
                <w:szCs w:val="20"/>
                <w:color w:val="auto"/>
              </w:rPr>
            </w:pPr>
            <w:r>
              <w:rPr>
                <w:rFonts w:ascii="Arial" w:cs="Arial" w:eastAsia="Arial" w:hAnsi="Arial"/>
                <w:sz w:val="8"/>
                <w:szCs w:val="8"/>
                <w:color w:val="auto"/>
              </w:rPr>
              <w:t>—</w:t>
            </w: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8"/>
                <w:szCs w:val="8"/>
                <w:color w:val="auto"/>
              </w:rPr>
              <w:t>—</w:t>
            </w:r>
          </w:p>
        </w:tc>
        <w:tc>
          <w:tcPr>
            <w:tcW w:w="140" w:type="dxa"/>
            <w:vAlign w:val="bottom"/>
          </w:tcPr>
          <w:p>
            <w:pPr>
              <w:spacing w:after="0"/>
              <w:rPr>
                <w:sz w:val="8"/>
                <w:szCs w:val="8"/>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8"/>
                <w:szCs w:val="8"/>
                <w:color w:val="auto"/>
              </w:rPr>
              <w:t>—</w:t>
            </w:r>
          </w:p>
        </w:tc>
        <w:tc>
          <w:tcPr>
            <w:tcW w:w="60" w:type="dxa"/>
            <w:vAlign w:val="bottom"/>
          </w:tcPr>
          <w:p>
            <w:pPr>
              <w:spacing w:after="0"/>
              <w:rPr>
                <w:sz w:val="8"/>
                <w:szCs w:val="8"/>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8"/>
                <w:szCs w:val="8"/>
                <w:color w:val="auto"/>
              </w:rPr>
              <w:t>(15,345)</w:t>
            </w:r>
          </w:p>
        </w:tc>
        <w:tc>
          <w:tcPr>
            <w:tcW w:w="160" w:type="dxa"/>
            <w:vAlign w:val="bottom"/>
          </w:tcPr>
          <w:p>
            <w:pPr>
              <w:spacing w:after="0"/>
              <w:rPr>
                <w:sz w:val="8"/>
                <w:szCs w:val="8"/>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8"/>
                <w:szCs w:val="8"/>
                <w:color w:val="auto"/>
              </w:rPr>
              <w:t>—</w:t>
            </w:r>
          </w:p>
        </w:tc>
        <w:tc>
          <w:tcPr>
            <w:tcW w:w="100" w:type="dxa"/>
            <w:vAlign w:val="bottom"/>
          </w:tcPr>
          <w:p>
            <w:pPr>
              <w:spacing w:after="0"/>
              <w:rPr>
                <w:sz w:val="8"/>
                <w:szCs w:val="8"/>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8"/>
                <w:szCs w:val="8"/>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8"/>
                <w:szCs w:val="8"/>
                <w:color w:val="auto"/>
              </w:rPr>
              <w:t>(15,345)</w:t>
            </w:r>
          </w:p>
        </w:tc>
        <w:tc>
          <w:tcPr>
            <w:tcW w:w="0" w:type="dxa"/>
            <w:vAlign w:val="bottom"/>
          </w:tcPr>
          <w:p>
            <w:pPr>
              <w:spacing w:after="0"/>
              <w:rPr>
                <w:sz w:val="1"/>
                <w:szCs w:val="1"/>
                <w:color w:val="auto"/>
              </w:rPr>
            </w:pPr>
          </w:p>
        </w:tc>
      </w:tr>
      <w:tr>
        <w:trPr>
          <w:trHeight w:val="99"/>
        </w:trPr>
        <w:tc>
          <w:tcPr>
            <w:tcW w:w="2240" w:type="dxa"/>
            <w:vAlign w:val="bottom"/>
            <w:gridSpan w:val="4"/>
            <w:shd w:val="clear" w:color="auto" w:fill="CFF0FC"/>
          </w:tcPr>
          <w:p>
            <w:pPr>
              <w:spacing w:after="0"/>
              <w:rPr>
                <w:sz w:val="20"/>
                <w:szCs w:val="20"/>
                <w:color w:val="auto"/>
              </w:rPr>
            </w:pPr>
            <w:r>
              <w:rPr>
                <w:rFonts w:ascii="Arial" w:cs="Arial" w:eastAsia="Arial" w:hAnsi="Arial"/>
                <w:sz w:val="8"/>
                <w:szCs w:val="8"/>
                <w:color w:val="auto"/>
              </w:rPr>
              <w:t>Transaction costs incurred by Gores</w:t>
            </w:r>
          </w:p>
        </w:tc>
        <w:tc>
          <w:tcPr>
            <w:tcW w:w="400" w:type="dxa"/>
            <w:vAlign w:val="bottom"/>
            <w:shd w:val="clear" w:color="auto" w:fill="CFF0FC"/>
          </w:tcPr>
          <w:p>
            <w:pPr>
              <w:jc w:val="right"/>
              <w:spacing w:after="0"/>
              <w:rPr>
                <w:sz w:val="20"/>
                <w:szCs w:val="20"/>
                <w:color w:val="auto"/>
              </w:rPr>
            </w:pPr>
            <w:r>
              <w:rPr>
                <w:rFonts w:ascii="Arial" w:cs="Arial" w:eastAsia="Arial" w:hAnsi="Arial"/>
                <w:sz w:val="8"/>
                <w:szCs w:val="8"/>
                <w:color w:val="auto"/>
              </w:rPr>
              <w:t>—</w:t>
            </w:r>
          </w:p>
        </w:tc>
        <w:tc>
          <w:tcPr>
            <w:tcW w:w="24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580" w:type="dxa"/>
            <w:vAlign w:val="bottom"/>
            <w:gridSpan w:val="2"/>
            <w:shd w:val="clear" w:color="auto" w:fill="CFF0FC"/>
          </w:tcPr>
          <w:p>
            <w:pPr>
              <w:jc w:val="right"/>
              <w:ind w:right="240"/>
              <w:spacing w:after="0"/>
              <w:rPr>
                <w:sz w:val="20"/>
                <w:szCs w:val="20"/>
                <w:color w:val="auto"/>
              </w:rPr>
            </w:pPr>
            <w:r>
              <w:rPr>
                <w:rFonts w:ascii="Arial" w:cs="Arial" w:eastAsia="Arial" w:hAnsi="Arial"/>
                <w:sz w:val="8"/>
                <w:szCs w:val="8"/>
                <w:color w:val="auto"/>
              </w:rPr>
              <w:t>—</w:t>
            </w:r>
          </w:p>
        </w:tc>
        <w:tc>
          <w:tcPr>
            <w:tcW w:w="240" w:type="dxa"/>
            <w:vAlign w:val="bottom"/>
            <w:shd w:val="clear" w:color="auto" w:fill="CFF0FC"/>
          </w:tcPr>
          <w:p>
            <w:pPr>
              <w:ind w:left="160"/>
              <w:spacing w:after="0"/>
              <w:rPr>
                <w:sz w:val="20"/>
                <w:szCs w:val="20"/>
                <w:color w:val="auto"/>
              </w:rPr>
            </w:pPr>
            <w:r>
              <w:rPr>
                <w:rFonts w:ascii="Arial" w:cs="Arial" w:eastAsia="Arial" w:hAnsi="Arial"/>
                <w:sz w:val="8"/>
                <w:szCs w:val="8"/>
                <w:color w:val="auto"/>
                <w:w w:val="74"/>
              </w:rPr>
              <w:t>—</w:t>
            </w:r>
          </w:p>
        </w:tc>
        <w:tc>
          <w:tcPr>
            <w:tcW w:w="24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380" w:type="dxa"/>
            <w:vAlign w:val="bottom"/>
            <w:gridSpan w:val="2"/>
            <w:shd w:val="clear" w:color="auto" w:fill="CFF0FC"/>
          </w:tcPr>
          <w:p>
            <w:pPr>
              <w:ind w:left="60"/>
              <w:spacing w:after="0"/>
              <w:rPr>
                <w:sz w:val="20"/>
                <w:szCs w:val="20"/>
                <w:color w:val="auto"/>
              </w:rPr>
            </w:pPr>
            <w:r>
              <w:rPr>
                <w:rFonts w:ascii="Arial" w:cs="Arial" w:eastAsia="Arial" w:hAnsi="Arial"/>
                <w:sz w:val="8"/>
                <w:szCs w:val="8"/>
                <w:color w:val="auto"/>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8"/>
                <w:szCs w:val="8"/>
                <w:color w:val="auto"/>
              </w:rPr>
              <w:t>—</w:t>
            </w:r>
          </w:p>
        </w:tc>
        <w:tc>
          <w:tcPr>
            <w:tcW w:w="280" w:type="dxa"/>
            <w:vAlign w:val="bottom"/>
            <w:tcBorders>
              <w:right w:val="single" w:sz="8" w:color="CFF0FC"/>
            </w:tcBorders>
            <w:shd w:val="clear" w:color="auto" w:fill="CFF0FC"/>
          </w:tcPr>
          <w:p>
            <w:pPr>
              <w:spacing w:after="0"/>
              <w:rPr>
                <w:sz w:val="8"/>
                <w:szCs w:val="8"/>
                <w:color w:val="auto"/>
              </w:rPr>
            </w:pPr>
          </w:p>
        </w:tc>
        <w:tc>
          <w:tcPr>
            <w:tcW w:w="560" w:type="dxa"/>
            <w:vAlign w:val="bottom"/>
            <w:gridSpan w:val="2"/>
            <w:shd w:val="clear" w:color="auto" w:fill="CFF0FC"/>
          </w:tcPr>
          <w:p>
            <w:pPr>
              <w:jc w:val="right"/>
              <w:ind w:right="220"/>
              <w:spacing w:after="0"/>
              <w:rPr>
                <w:sz w:val="20"/>
                <w:szCs w:val="20"/>
                <w:color w:val="auto"/>
              </w:rPr>
            </w:pPr>
            <w:r>
              <w:rPr>
                <w:rFonts w:ascii="Arial" w:cs="Arial" w:eastAsia="Arial" w:hAnsi="Arial"/>
                <w:sz w:val="8"/>
                <w:szCs w:val="8"/>
                <w:color w:val="auto"/>
              </w:rPr>
              <w:t>—</w:t>
            </w:r>
          </w:p>
        </w:tc>
        <w:tc>
          <w:tcPr>
            <w:tcW w:w="600" w:type="dxa"/>
            <w:vAlign w:val="bottom"/>
            <w:gridSpan w:val="2"/>
            <w:shd w:val="clear" w:color="auto" w:fill="CFF0FC"/>
          </w:tcPr>
          <w:p>
            <w:pPr>
              <w:jc w:val="right"/>
              <w:ind w:right="240"/>
              <w:spacing w:after="0"/>
              <w:rPr>
                <w:sz w:val="20"/>
                <w:szCs w:val="20"/>
                <w:color w:val="auto"/>
              </w:rPr>
            </w:pPr>
            <w:r>
              <w:rPr>
                <w:rFonts w:ascii="Arial" w:cs="Arial" w:eastAsia="Arial" w:hAnsi="Arial"/>
                <w:sz w:val="8"/>
                <w:szCs w:val="8"/>
                <w:color w:val="auto"/>
              </w:rPr>
              <w:t>—</w:t>
            </w:r>
          </w:p>
        </w:tc>
        <w:tc>
          <w:tcPr>
            <w:tcW w:w="60" w:type="dxa"/>
            <w:vAlign w:val="bottom"/>
            <w:shd w:val="clear" w:color="auto" w:fill="CFF0FC"/>
          </w:tcPr>
          <w:p>
            <w:pPr>
              <w:spacing w:after="0"/>
              <w:rPr>
                <w:sz w:val="8"/>
                <w:szCs w:val="8"/>
                <w:color w:val="auto"/>
              </w:rPr>
            </w:pPr>
          </w:p>
        </w:tc>
        <w:tc>
          <w:tcPr>
            <w:tcW w:w="560" w:type="dxa"/>
            <w:vAlign w:val="bottom"/>
            <w:gridSpan w:val="2"/>
            <w:shd w:val="clear" w:color="auto" w:fill="CFF0FC"/>
          </w:tcPr>
          <w:p>
            <w:pPr>
              <w:jc w:val="right"/>
              <w:ind w:right="220"/>
              <w:spacing w:after="0"/>
              <w:rPr>
                <w:sz w:val="20"/>
                <w:szCs w:val="20"/>
                <w:color w:val="auto"/>
              </w:rPr>
            </w:pPr>
            <w:r>
              <w:rPr>
                <w:rFonts w:ascii="Arial" w:cs="Arial" w:eastAsia="Arial" w:hAnsi="Arial"/>
                <w:sz w:val="8"/>
                <w:szCs w:val="8"/>
                <w:color w:val="auto"/>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8"/>
                <w:szCs w:val="8"/>
                <w:color w:val="auto"/>
              </w:rPr>
              <w:t>—</w:t>
            </w:r>
          </w:p>
        </w:tc>
        <w:tc>
          <w:tcPr>
            <w:tcW w:w="22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480" w:type="dxa"/>
            <w:vAlign w:val="bottom"/>
            <w:gridSpan w:val="2"/>
            <w:shd w:val="clear" w:color="auto" w:fill="CFF0FC"/>
          </w:tcPr>
          <w:p>
            <w:pPr>
              <w:jc w:val="right"/>
              <w:ind w:right="120"/>
              <w:spacing w:after="0"/>
              <w:rPr>
                <w:sz w:val="20"/>
                <w:szCs w:val="20"/>
                <w:color w:val="auto"/>
              </w:rPr>
            </w:pPr>
            <w:r>
              <w:rPr>
                <w:rFonts w:ascii="Arial" w:cs="Arial" w:eastAsia="Arial" w:hAnsi="Arial"/>
                <w:sz w:val="8"/>
                <w:szCs w:val="8"/>
                <w:color w:val="auto"/>
              </w:rPr>
              <w:t>—</w:t>
            </w:r>
          </w:p>
        </w:tc>
        <w:tc>
          <w:tcPr>
            <w:tcW w:w="140" w:type="dxa"/>
            <w:vAlign w:val="bottom"/>
            <w:tcBorders>
              <w:right w:val="single" w:sz="8" w:color="CFF0FC"/>
            </w:tcBorders>
            <w:shd w:val="clear" w:color="auto" w:fill="CFF0FC"/>
          </w:tcPr>
          <w:p>
            <w:pPr>
              <w:spacing w:after="0"/>
              <w:rPr>
                <w:sz w:val="8"/>
                <w:szCs w:val="8"/>
                <w:color w:val="auto"/>
              </w:rPr>
            </w:pPr>
          </w:p>
        </w:tc>
        <w:tc>
          <w:tcPr>
            <w:tcW w:w="660" w:type="dxa"/>
            <w:vAlign w:val="bottom"/>
            <w:gridSpan w:val="2"/>
            <w:shd w:val="clear" w:color="auto" w:fill="CFF0FC"/>
          </w:tcPr>
          <w:p>
            <w:pPr>
              <w:jc w:val="right"/>
              <w:ind w:right="240"/>
              <w:spacing w:after="0"/>
              <w:rPr>
                <w:sz w:val="20"/>
                <w:szCs w:val="20"/>
                <w:color w:val="auto"/>
              </w:rPr>
            </w:pPr>
            <w:r>
              <w:rPr>
                <w:rFonts w:ascii="Arial" w:cs="Arial" w:eastAsia="Arial" w:hAnsi="Arial"/>
                <w:sz w:val="8"/>
                <w:szCs w:val="8"/>
                <w:color w:val="auto"/>
              </w:rPr>
              <w:t>—</w:t>
            </w:r>
          </w:p>
        </w:tc>
        <w:tc>
          <w:tcPr>
            <w:tcW w:w="60" w:type="dxa"/>
            <w:vAlign w:val="bottom"/>
            <w:shd w:val="clear" w:color="auto" w:fill="CFF0FC"/>
          </w:tcPr>
          <w:p>
            <w:pPr>
              <w:spacing w:after="0"/>
              <w:rPr>
                <w:sz w:val="8"/>
                <w:szCs w:val="8"/>
                <w:color w:val="auto"/>
              </w:rPr>
            </w:pPr>
          </w:p>
        </w:tc>
        <w:tc>
          <w:tcPr>
            <w:tcW w:w="480" w:type="dxa"/>
            <w:vAlign w:val="bottom"/>
            <w:gridSpan w:val="2"/>
            <w:shd w:val="clear" w:color="auto" w:fill="CFF0FC"/>
          </w:tcPr>
          <w:p>
            <w:pPr>
              <w:jc w:val="right"/>
              <w:ind w:right="100"/>
              <w:spacing w:after="0"/>
              <w:rPr>
                <w:sz w:val="20"/>
                <w:szCs w:val="20"/>
                <w:color w:val="auto"/>
              </w:rPr>
            </w:pPr>
            <w:r>
              <w:rPr>
                <w:rFonts w:ascii="Arial" w:cs="Arial" w:eastAsia="Arial" w:hAnsi="Arial"/>
                <w:sz w:val="8"/>
                <w:szCs w:val="8"/>
                <w:color w:val="auto"/>
              </w:rPr>
              <w:t>(8,728)</w:t>
            </w:r>
          </w:p>
        </w:tc>
        <w:tc>
          <w:tcPr>
            <w:tcW w:w="160" w:type="dxa"/>
            <w:vAlign w:val="bottom"/>
            <w:tcBorders>
              <w:right w:val="single" w:sz="8" w:color="CFF0FC"/>
            </w:tcBorders>
            <w:shd w:val="clear" w:color="auto" w:fill="CFF0FC"/>
          </w:tcPr>
          <w:p>
            <w:pPr>
              <w:spacing w:after="0"/>
              <w:rPr>
                <w:sz w:val="8"/>
                <w:szCs w:val="8"/>
                <w:color w:val="auto"/>
              </w:rPr>
            </w:pPr>
          </w:p>
        </w:tc>
        <w:tc>
          <w:tcPr>
            <w:tcW w:w="600" w:type="dxa"/>
            <w:vAlign w:val="bottom"/>
            <w:gridSpan w:val="2"/>
            <w:shd w:val="clear" w:color="auto" w:fill="CFF0FC"/>
          </w:tcPr>
          <w:p>
            <w:pPr>
              <w:jc w:val="right"/>
              <w:ind w:right="220"/>
              <w:spacing w:after="0"/>
              <w:rPr>
                <w:sz w:val="20"/>
                <w:szCs w:val="20"/>
                <w:color w:val="auto"/>
              </w:rPr>
            </w:pPr>
            <w:r>
              <w:rPr>
                <w:rFonts w:ascii="Arial" w:cs="Arial" w:eastAsia="Arial" w:hAnsi="Arial"/>
                <w:sz w:val="8"/>
                <w:szCs w:val="8"/>
                <w:color w:val="auto"/>
              </w:rPr>
              <w:t>—</w:t>
            </w:r>
          </w:p>
        </w:tc>
        <w:tc>
          <w:tcPr>
            <w:tcW w:w="100" w:type="dxa"/>
            <w:vAlign w:val="bottom"/>
            <w:shd w:val="clear" w:color="auto" w:fill="CFF0FC"/>
          </w:tcPr>
          <w:p>
            <w:pPr>
              <w:spacing w:after="0"/>
              <w:rPr>
                <w:sz w:val="8"/>
                <w:szCs w:val="8"/>
                <w:color w:val="auto"/>
              </w:rPr>
            </w:pPr>
          </w:p>
        </w:tc>
        <w:tc>
          <w:tcPr>
            <w:tcW w:w="640" w:type="dxa"/>
            <w:vAlign w:val="bottom"/>
            <w:gridSpan w:val="2"/>
            <w:shd w:val="clear" w:color="auto" w:fill="CFF0FC"/>
          </w:tcPr>
          <w:p>
            <w:pPr>
              <w:jc w:val="right"/>
              <w:ind w:right="220"/>
              <w:spacing w:after="0"/>
              <w:rPr>
                <w:sz w:val="20"/>
                <w:szCs w:val="20"/>
                <w:color w:val="auto"/>
              </w:rPr>
            </w:pPr>
            <w:r>
              <w:rPr>
                <w:rFonts w:ascii="Arial" w:cs="Arial" w:eastAsia="Arial" w:hAnsi="Arial"/>
                <w:sz w:val="8"/>
                <w:szCs w:val="8"/>
                <w:color w:val="auto"/>
              </w:rPr>
              <w:t>—</w:t>
            </w:r>
          </w:p>
        </w:tc>
        <w:tc>
          <w:tcPr>
            <w:tcW w:w="80" w:type="dxa"/>
            <w:vAlign w:val="bottom"/>
            <w:shd w:val="clear" w:color="auto" w:fill="CFF0FC"/>
          </w:tcPr>
          <w:p>
            <w:pPr>
              <w:spacing w:after="0"/>
              <w:rPr>
                <w:sz w:val="8"/>
                <w:szCs w:val="8"/>
                <w:color w:val="auto"/>
              </w:rPr>
            </w:pPr>
          </w:p>
        </w:tc>
        <w:tc>
          <w:tcPr>
            <w:tcW w:w="460" w:type="dxa"/>
            <w:vAlign w:val="bottom"/>
            <w:gridSpan w:val="2"/>
            <w:shd w:val="clear" w:color="auto" w:fill="CFF0FC"/>
          </w:tcPr>
          <w:p>
            <w:pPr>
              <w:jc w:val="right"/>
              <w:ind w:right="40"/>
              <w:spacing w:after="0"/>
              <w:rPr>
                <w:sz w:val="20"/>
                <w:szCs w:val="20"/>
                <w:color w:val="auto"/>
              </w:rPr>
            </w:pPr>
            <w:r>
              <w:rPr>
                <w:rFonts w:ascii="Arial" w:cs="Arial" w:eastAsia="Arial" w:hAnsi="Arial"/>
                <w:sz w:val="8"/>
                <w:szCs w:val="8"/>
                <w:color w:val="auto"/>
              </w:rPr>
              <w:t>(8,728)</w:t>
            </w:r>
          </w:p>
        </w:tc>
        <w:tc>
          <w:tcPr>
            <w:tcW w:w="0" w:type="dxa"/>
            <w:vAlign w:val="bottom"/>
          </w:tcPr>
          <w:p>
            <w:pPr>
              <w:spacing w:after="0"/>
              <w:rPr>
                <w:sz w:val="1"/>
                <w:szCs w:val="1"/>
                <w:color w:val="auto"/>
              </w:rPr>
            </w:pPr>
          </w:p>
        </w:tc>
      </w:tr>
      <w:tr>
        <w:trPr>
          <w:trHeight w:val="99"/>
        </w:trPr>
        <w:tc>
          <w:tcPr>
            <w:tcW w:w="2240" w:type="dxa"/>
            <w:vAlign w:val="bottom"/>
            <w:gridSpan w:val="4"/>
          </w:tcPr>
          <w:p>
            <w:pPr>
              <w:spacing w:after="0"/>
              <w:rPr>
                <w:sz w:val="20"/>
                <w:szCs w:val="20"/>
                <w:color w:val="auto"/>
              </w:rPr>
            </w:pPr>
            <w:r>
              <w:rPr>
                <w:rFonts w:ascii="Arial" w:cs="Arial" w:eastAsia="Arial" w:hAnsi="Arial"/>
                <w:sz w:val="8"/>
                <w:szCs w:val="8"/>
                <w:color w:val="auto"/>
              </w:rPr>
              <w:t>Stock-based compensation</w:t>
            </w:r>
          </w:p>
        </w:tc>
        <w:tc>
          <w:tcPr>
            <w:tcW w:w="400" w:type="dxa"/>
            <w:vAlign w:val="bottom"/>
          </w:tcPr>
          <w:p>
            <w:pPr>
              <w:jc w:val="right"/>
              <w:spacing w:after="0"/>
              <w:rPr>
                <w:sz w:val="20"/>
                <w:szCs w:val="20"/>
                <w:color w:val="auto"/>
              </w:rPr>
            </w:pPr>
            <w:r>
              <w:rPr>
                <w:rFonts w:ascii="Arial" w:cs="Arial" w:eastAsia="Arial" w:hAnsi="Arial"/>
                <w:sz w:val="8"/>
                <w:szCs w:val="8"/>
                <w:color w:val="auto"/>
              </w:rPr>
              <w:t>—</w:t>
            </w: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8"/>
                <w:szCs w:val="8"/>
                <w:color w:val="auto"/>
              </w:rPr>
              <w:t>—</w:t>
            </w:r>
          </w:p>
        </w:tc>
        <w:tc>
          <w:tcPr>
            <w:tcW w:w="240" w:type="dxa"/>
            <w:vAlign w:val="bottom"/>
          </w:tcPr>
          <w:p>
            <w:pPr>
              <w:ind w:left="160"/>
              <w:spacing w:after="0"/>
              <w:rPr>
                <w:sz w:val="20"/>
                <w:szCs w:val="20"/>
                <w:color w:val="auto"/>
              </w:rPr>
            </w:pPr>
            <w:r>
              <w:rPr>
                <w:rFonts w:ascii="Arial" w:cs="Arial" w:eastAsia="Arial" w:hAnsi="Arial"/>
                <w:sz w:val="8"/>
                <w:szCs w:val="8"/>
                <w:color w:val="auto"/>
                <w:w w:val="74"/>
              </w:rPr>
              <w:t>—</w:t>
            </w: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gridSpan w:val="2"/>
          </w:tcPr>
          <w:p>
            <w:pPr>
              <w:ind w:left="60"/>
              <w:spacing w:after="0"/>
              <w:rPr>
                <w:sz w:val="20"/>
                <w:szCs w:val="20"/>
                <w:color w:val="auto"/>
              </w:rPr>
            </w:pPr>
            <w:r>
              <w:rPr>
                <w:rFonts w:ascii="Arial" w:cs="Arial" w:eastAsia="Arial" w:hAnsi="Arial"/>
                <w:sz w:val="8"/>
                <w:szCs w:val="8"/>
                <w:color w:val="auto"/>
              </w:rPr>
              <w:t>—</w:t>
            </w:r>
          </w:p>
        </w:tc>
        <w:tc>
          <w:tcPr>
            <w:tcW w:w="380" w:type="dxa"/>
            <w:vAlign w:val="bottom"/>
          </w:tcPr>
          <w:p>
            <w:pPr>
              <w:jc w:val="right"/>
              <w:spacing w:after="0"/>
              <w:rPr>
                <w:sz w:val="20"/>
                <w:szCs w:val="20"/>
                <w:color w:val="auto"/>
              </w:rPr>
            </w:pPr>
            <w:r>
              <w:rPr>
                <w:rFonts w:ascii="Arial" w:cs="Arial" w:eastAsia="Arial" w:hAnsi="Arial"/>
                <w:sz w:val="8"/>
                <w:szCs w:val="8"/>
                <w:color w:val="auto"/>
              </w:rPr>
              <w:t>—</w:t>
            </w:r>
          </w:p>
        </w:tc>
        <w:tc>
          <w:tcPr>
            <w:tcW w:w="280" w:type="dxa"/>
            <w:vAlign w:val="bottom"/>
          </w:tcPr>
          <w:p>
            <w:pPr>
              <w:spacing w:after="0"/>
              <w:rPr>
                <w:sz w:val="8"/>
                <w:szCs w:val="8"/>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8"/>
                <w:szCs w:val="8"/>
                <w:color w:val="auto"/>
              </w:rPr>
              <w:t>—</w:t>
            </w:r>
          </w:p>
        </w:tc>
        <w:tc>
          <w:tcPr>
            <w:tcW w:w="600" w:type="dxa"/>
            <w:vAlign w:val="bottom"/>
            <w:gridSpan w:val="2"/>
          </w:tcPr>
          <w:p>
            <w:pPr>
              <w:jc w:val="right"/>
              <w:ind w:right="240"/>
              <w:spacing w:after="0"/>
              <w:rPr>
                <w:sz w:val="20"/>
                <w:szCs w:val="20"/>
                <w:color w:val="auto"/>
              </w:rPr>
            </w:pPr>
            <w:r>
              <w:rPr>
                <w:rFonts w:ascii="Arial" w:cs="Arial" w:eastAsia="Arial" w:hAnsi="Arial"/>
                <w:sz w:val="8"/>
                <w:szCs w:val="8"/>
                <w:color w:val="auto"/>
              </w:rPr>
              <w:t>—</w:t>
            </w:r>
          </w:p>
        </w:tc>
        <w:tc>
          <w:tcPr>
            <w:tcW w:w="60" w:type="dxa"/>
            <w:vAlign w:val="bottom"/>
          </w:tcPr>
          <w:p>
            <w:pPr>
              <w:spacing w:after="0"/>
              <w:rPr>
                <w:sz w:val="8"/>
                <w:szCs w:val="8"/>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8"/>
                <w:szCs w:val="8"/>
                <w:color w:val="auto"/>
              </w:rPr>
              <w:t>—</w:t>
            </w:r>
          </w:p>
        </w:tc>
        <w:tc>
          <w:tcPr>
            <w:tcW w:w="380" w:type="dxa"/>
            <w:vAlign w:val="bottom"/>
          </w:tcPr>
          <w:p>
            <w:pPr>
              <w:jc w:val="right"/>
              <w:spacing w:after="0"/>
              <w:rPr>
                <w:sz w:val="20"/>
                <w:szCs w:val="20"/>
                <w:color w:val="auto"/>
              </w:rPr>
            </w:pPr>
            <w:r>
              <w:rPr>
                <w:rFonts w:ascii="Arial" w:cs="Arial" w:eastAsia="Arial" w:hAnsi="Arial"/>
                <w:sz w:val="8"/>
                <w:szCs w:val="8"/>
                <w:color w:val="auto"/>
              </w:rPr>
              <w:t>—</w:t>
            </w: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8"/>
                <w:szCs w:val="8"/>
                <w:color w:val="auto"/>
              </w:rPr>
              <w:t>—</w:t>
            </w:r>
          </w:p>
        </w:tc>
        <w:tc>
          <w:tcPr>
            <w:tcW w:w="140" w:type="dxa"/>
            <w:vAlign w:val="bottom"/>
          </w:tcPr>
          <w:p>
            <w:pPr>
              <w:spacing w:after="0"/>
              <w:rPr>
                <w:sz w:val="8"/>
                <w:szCs w:val="8"/>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8"/>
                <w:szCs w:val="8"/>
                <w:color w:val="auto"/>
              </w:rPr>
              <w:t>—</w:t>
            </w:r>
          </w:p>
        </w:tc>
        <w:tc>
          <w:tcPr>
            <w:tcW w:w="60" w:type="dxa"/>
            <w:vAlign w:val="bottom"/>
          </w:tcPr>
          <w:p>
            <w:pPr>
              <w:spacing w:after="0"/>
              <w:rPr>
                <w:sz w:val="8"/>
                <w:szCs w:val="8"/>
                <w:color w:val="auto"/>
              </w:rPr>
            </w:pPr>
          </w:p>
        </w:tc>
        <w:tc>
          <w:tcPr>
            <w:tcW w:w="360" w:type="dxa"/>
            <w:vAlign w:val="bottom"/>
          </w:tcPr>
          <w:p>
            <w:pPr>
              <w:jc w:val="right"/>
              <w:spacing w:after="0"/>
              <w:rPr>
                <w:sz w:val="20"/>
                <w:szCs w:val="20"/>
                <w:color w:val="auto"/>
              </w:rPr>
            </w:pPr>
            <w:r>
              <w:rPr>
                <w:rFonts w:ascii="Arial" w:cs="Arial" w:eastAsia="Arial" w:hAnsi="Arial"/>
                <w:sz w:val="8"/>
                <w:szCs w:val="8"/>
                <w:color w:val="auto"/>
              </w:rPr>
              <w:t>2,272</w:t>
            </w: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8"/>
                <w:szCs w:val="8"/>
                <w:color w:val="auto"/>
              </w:rPr>
              <w:t>—</w:t>
            </w:r>
          </w:p>
        </w:tc>
        <w:tc>
          <w:tcPr>
            <w:tcW w:w="100" w:type="dxa"/>
            <w:vAlign w:val="bottom"/>
          </w:tcPr>
          <w:p>
            <w:pPr>
              <w:spacing w:after="0"/>
              <w:rPr>
                <w:sz w:val="8"/>
                <w:szCs w:val="8"/>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8"/>
                <w:szCs w:val="8"/>
                <w:color w:val="auto"/>
              </w:rPr>
            </w:pPr>
          </w:p>
        </w:tc>
        <w:tc>
          <w:tcPr>
            <w:tcW w:w="400" w:type="dxa"/>
            <w:vAlign w:val="bottom"/>
          </w:tcPr>
          <w:p>
            <w:pPr>
              <w:jc w:val="right"/>
              <w:spacing w:after="0"/>
              <w:rPr>
                <w:sz w:val="20"/>
                <w:szCs w:val="20"/>
                <w:color w:val="auto"/>
              </w:rPr>
            </w:pPr>
            <w:r>
              <w:rPr>
                <w:rFonts w:ascii="Arial" w:cs="Arial" w:eastAsia="Arial" w:hAnsi="Arial"/>
                <w:sz w:val="8"/>
                <w:szCs w:val="8"/>
                <w:color w:val="auto"/>
              </w:rPr>
              <w:t>2,272</w:t>
            </w: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240" w:type="dxa"/>
            <w:vAlign w:val="bottom"/>
            <w:gridSpan w:val="4"/>
            <w:shd w:val="clear" w:color="auto" w:fill="CFF0FC"/>
          </w:tcPr>
          <w:p>
            <w:pPr>
              <w:spacing w:after="0"/>
              <w:rPr>
                <w:sz w:val="20"/>
                <w:szCs w:val="20"/>
                <w:color w:val="auto"/>
              </w:rPr>
            </w:pPr>
            <w:r>
              <w:rPr>
                <w:rFonts w:ascii="Arial" w:cs="Arial" w:eastAsia="Arial" w:hAnsi="Arial"/>
                <w:sz w:val="8"/>
                <w:szCs w:val="8"/>
                <w:color w:val="auto"/>
              </w:rPr>
              <w:t>Other comprehensive loss</w:t>
            </w:r>
          </w:p>
        </w:tc>
        <w:tc>
          <w:tcPr>
            <w:tcW w:w="400" w:type="dxa"/>
            <w:vAlign w:val="bottom"/>
            <w:shd w:val="clear" w:color="auto" w:fill="CFF0FC"/>
          </w:tcPr>
          <w:p>
            <w:pPr>
              <w:jc w:val="right"/>
              <w:spacing w:after="0"/>
              <w:rPr>
                <w:sz w:val="20"/>
                <w:szCs w:val="20"/>
                <w:color w:val="auto"/>
              </w:rPr>
            </w:pPr>
            <w:r>
              <w:rPr>
                <w:rFonts w:ascii="Arial" w:cs="Arial" w:eastAsia="Arial" w:hAnsi="Arial"/>
                <w:sz w:val="8"/>
                <w:szCs w:val="8"/>
                <w:color w:val="auto"/>
              </w:rPr>
              <w:t>—</w:t>
            </w:r>
          </w:p>
        </w:tc>
        <w:tc>
          <w:tcPr>
            <w:tcW w:w="24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8"/>
                <w:szCs w:val="8"/>
                <w:color w:val="auto"/>
              </w:rPr>
              <w:t>—</w:t>
            </w:r>
          </w:p>
        </w:tc>
        <w:tc>
          <w:tcPr>
            <w:tcW w:w="240" w:type="dxa"/>
            <w:vAlign w:val="bottom"/>
            <w:shd w:val="clear" w:color="auto" w:fill="CFF0FC"/>
          </w:tcPr>
          <w:p>
            <w:pPr>
              <w:spacing w:after="0"/>
              <w:rPr>
                <w:sz w:val="8"/>
                <w:szCs w:val="8"/>
                <w:color w:val="auto"/>
              </w:rPr>
            </w:pPr>
          </w:p>
        </w:tc>
        <w:tc>
          <w:tcPr>
            <w:tcW w:w="240" w:type="dxa"/>
            <w:vAlign w:val="bottom"/>
            <w:shd w:val="clear" w:color="auto" w:fill="CFF0FC"/>
          </w:tcPr>
          <w:p>
            <w:pPr>
              <w:ind w:left="160"/>
              <w:spacing w:after="0"/>
              <w:rPr>
                <w:sz w:val="20"/>
                <w:szCs w:val="20"/>
                <w:color w:val="auto"/>
              </w:rPr>
            </w:pPr>
            <w:r>
              <w:rPr>
                <w:rFonts w:ascii="Arial" w:cs="Arial" w:eastAsia="Arial" w:hAnsi="Arial"/>
                <w:sz w:val="8"/>
                <w:szCs w:val="8"/>
                <w:color w:val="auto"/>
                <w:w w:val="74"/>
              </w:rPr>
              <w:t>—</w:t>
            </w:r>
          </w:p>
        </w:tc>
        <w:tc>
          <w:tcPr>
            <w:tcW w:w="24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60" w:type="dxa"/>
            <w:vAlign w:val="bottom"/>
            <w:shd w:val="clear" w:color="auto" w:fill="CFF0FC"/>
          </w:tcPr>
          <w:p>
            <w:pPr>
              <w:ind w:left="60"/>
              <w:spacing w:after="0"/>
              <w:rPr>
                <w:sz w:val="20"/>
                <w:szCs w:val="20"/>
                <w:color w:val="auto"/>
              </w:rPr>
            </w:pPr>
            <w:r>
              <w:rPr>
                <w:rFonts w:ascii="Arial" w:cs="Arial" w:eastAsia="Arial" w:hAnsi="Arial"/>
                <w:sz w:val="8"/>
                <w:szCs w:val="8"/>
                <w:color w:val="auto"/>
                <w:w w:val="99"/>
              </w:rPr>
              <w:t>—</w:t>
            </w:r>
          </w:p>
        </w:tc>
        <w:tc>
          <w:tcPr>
            <w:tcW w:w="220" w:type="dxa"/>
            <w:vAlign w:val="bottom"/>
            <w:shd w:val="clear" w:color="auto" w:fill="CFF0FC"/>
          </w:tcPr>
          <w:p>
            <w:pPr>
              <w:spacing w:after="0"/>
              <w:rPr>
                <w:sz w:val="8"/>
                <w:szCs w:val="8"/>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8"/>
                <w:szCs w:val="8"/>
                <w:color w:val="auto"/>
              </w:rPr>
              <w:t>—</w:t>
            </w:r>
          </w:p>
        </w:tc>
        <w:tc>
          <w:tcPr>
            <w:tcW w:w="280" w:type="dxa"/>
            <w:vAlign w:val="bottom"/>
            <w:tcBorders>
              <w:right w:val="single" w:sz="8" w:color="CFF0FC"/>
            </w:tcBorders>
            <w:shd w:val="clear" w:color="auto" w:fill="CFF0FC"/>
          </w:tcPr>
          <w:p>
            <w:pPr>
              <w:spacing w:after="0"/>
              <w:rPr>
                <w:sz w:val="8"/>
                <w:szCs w:val="8"/>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8"/>
                <w:szCs w:val="8"/>
                <w:color w:val="auto"/>
              </w:rPr>
              <w:t>—</w:t>
            </w:r>
          </w:p>
        </w:tc>
        <w:tc>
          <w:tcPr>
            <w:tcW w:w="220" w:type="dxa"/>
            <w:vAlign w:val="bottom"/>
            <w:shd w:val="clear" w:color="auto" w:fill="CFF0FC"/>
          </w:tcPr>
          <w:p>
            <w:pPr>
              <w:spacing w:after="0"/>
              <w:rPr>
                <w:sz w:val="8"/>
                <w:szCs w:val="8"/>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8"/>
                <w:szCs w:val="8"/>
                <w:color w:val="auto"/>
              </w:rPr>
              <w:t>—</w:t>
            </w:r>
          </w:p>
        </w:tc>
        <w:tc>
          <w:tcPr>
            <w:tcW w:w="22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560" w:type="dxa"/>
            <w:vAlign w:val="bottom"/>
            <w:gridSpan w:val="2"/>
            <w:shd w:val="clear" w:color="auto" w:fill="CFF0FC"/>
          </w:tcPr>
          <w:p>
            <w:pPr>
              <w:jc w:val="right"/>
              <w:ind w:right="220"/>
              <w:spacing w:after="0"/>
              <w:rPr>
                <w:sz w:val="20"/>
                <w:szCs w:val="20"/>
                <w:color w:val="auto"/>
              </w:rPr>
            </w:pPr>
            <w:r>
              <w:rPr>
                <w:rFonts w:ascii="Arial" w:cs="Arial" w:eastAsia="Arial" w:hAnsi="Arial"/>
                <w:sz w:val="8"/>
                <w:szCs w:val="8"/>
                <w:color w:val="auto"/>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8"/>
                <w:szCs w:val="8"/>
                <w:color w:val="auto"/>
              </w:rPr>
              <w:t>—</w:t>
            </w:r>
          </w:p>
        </w:tc>
        <w:tc>
          <w:tcPr>
            <w:tcW w:w="22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480" w:type="dxa"/>
            <w:vAlign w:val="bottom"/>
            <w:gridSpan w:val="2"/>
            <w:shd w:val="clear" w:color="auto" w:fill="CFF0FC"/>
          </w:tcPr>
          <w:p>
            <w:pPr>
              <w:jc w:val="right"/>
              <w:ind w:right="120"/>
              <w:spacing w:after="0"/>
              <w:rPr>
                <w:sz w:val="20"/>
                <w:szCs w:val="20"/>
                <w:color w:val="auto"/>
              </w:rPr>
            </w:pPr>
            <w:r>
              <w:rPr>
                <w:rFonts w:ascii="Arial" w:cs="Arial" w:eastAsia="Arial" w:hAnsi="Arial"/>
                <w:sz w:val="8"/>
                <w:szCs w:val="8"/>
                <w:color w:val="auto"/>
              </w:rPr>
              <w:t>—</w:t>
            </w:r>
          </w:p>
        </w:tc>
        <w:tc>
          <w:tcPr>
            <w:tcW w:w="140" w:type="dxa"/>
            <w:vAlign w:val="bottom"/>
            <w:tcBorders>
              <w:right w:val="single" w:sz="8" w:color="CFF0FC"/>
            </w:tcBorders>
            <w:shd w:val="clear" w:color="auto" w:fill="CFF0FC"/>
          </w:tcPr>
          <w:p>
            <w:pPr>
              <w:spacing w:after="0"/>
              <w:rPr>
                <w:sz w:val="8"/>
                <w:szCs w:val="8"/>
                <w:color w:val="auto"/>
              </w:rPr>
            </w:pPr>
          </w:p>
        </w:tc>
        <w:tc>
          <w:tcPr>
            <w:tcW w:w="660" w:type="dxa"/>
            <w:vAlign w:val="bottom"/>
            <w:gridSpan w:val="2"/>
            <w:shd w:val="clear" w:color="auto" w:fill="CFF0FC"/>
          </w:tcPr>
          <w:p>
            <w:pPr>
              <w:jc w:val="right"/>
              <w:ind w:right="240"/>
              <w:spacing w:after="0"/>
              <w:rPr>
                <w:sz w:val="20"/>
                <w:szCs w:val="20"/>
                <w:color w:val="auto"/>
              </w:rPr>
            </w:pPr>
            <w:r>
              <w:rPr>
                <w:rFonts w:ascii="Arial" w:cs="Arial" w:eastAsia="Arial" w:hAnsi="Arial"/>
                <w:sz w:val="8"/>
                <w:szCs w:val="8"/>
                <w:color w:val="auto"/>
              </w:rPr>
              <w:t>—</w:t>
            </w:r>
          </w:p>
        </w:tc>
        <w:tc>
          <w:tcPr>
            <w:tcW w:w="60" w:type="dxa"/>
            <w:vAlign w:val="bottom"/>
            <w:shd w:val="clear" w:color="auto" w:fill="CFF0FC"/>
          </w:tcPr>
          <w:p>
            <w:pPr>
              <w:spacing w:after="0"/>
              <w:rPr>
                <w:sz w:val="8"/>
                <w:szCs w:val="8"/>
                <w:color w:val="auto"/>
              </w:rPr>
            </w:pPr>
          </w:p>
        </w:tc>
        <w:tc>
          <w:tcPr>
            <w:tcW w:w="480" w:type="dxa"/>
            <w:vAlign w:val="bottom"/>
            <w:gridSpan w:val="2"/>
            <w:shd w:val="clear" w:color="auto" w:fill="CFF0FC"/>
          </w:tcPr>
          <w:p>
            <w:pPr>
              <w:jc w:val="right"/>
              <w:ind w:right="140"/>
              <w:spacing w:after="0"/>
              <w:rPr>
                <w:sz w:val="20"/>
                <w:szCs w:val="20"/>
                <w:color w:val="auto"/>
              </w:rPr>
            </w:pPr>
            <w:r>
              <w:rPr>
                <w:rFonts w:ascii="Arial" w:cs="Arial" w:eastAsia="Arial" w:hAnsi="Arial"/>
                <w:sz w:val="8"/>
                <w:szCs w:val="8"/>
                <w:color w:val="auto"/>
              </w:rPr>
              <w:t>—</w:t>
            </w:r>
          </w:p>
        </w:tc>
        <w:tc>
          <w:tcPr>
            <w:tcW w:w="160" w:type="dxa"/>
            <w:vAlign w:val="bottom"/>
            <w:tcBorders>
              <w:right w:val="single" w:sz="8" w:color="CFF0FC"/>
            </w:tcBorders>
            <w:shd w:val="clear" w:color="auto" w:fill="CFF0FC"/>
          </w:tcPr>
          <w:p>
            <w:pPr>
              <w:spacing w:after="0"/>
              <w:rPr>
                <w:sz w:val="8"/>
                <w:szCs w:val="8"/>
                <w:color w:val="auto"/>
              </w:rPr>
            </w:pPr>
          </w:p>
        </w:tc>
        <w:tc>
          <w:tcPr>
            <w:tcW w:w="600" w:type="dxa"/>
            <w:vAlign w:val="bottom"/>
            <w:gridSpan w:val="2"/>
            <w:shd w:val="clear" w:color="auto" w:fill="CFF0FC"/>
          </w:tcPr>
          <w:p>
            <w:pPr>
              <w:jc w:val="right"/>
              <w:ind w:right="220"/>
              <w:spacing w:after="0"/>
              <w:rPr>
                <w:sz w:val="20"/>
                <w:szCs w:val="20"/>
                <w:color w:val="auto"/>
              </w:rPr>
            </w:pPr>
            <w:r>
              <w:rPr>
                <w:rFonts w:ascii="Arial" w:cs="Arial" w:eastAsia="Arial" w:hAnsi="Arial"/>
                <w:sz w:val="8"/>
                <w:szCs w:val="8"/>
                <w:color w:val="auto"/>
              </w:rPr>
              <w:t>—</w:t>
            </w:r>
          </w:p>
        </w:tc>
        <w:tc>
          <w:tcPr>
            <w:tcW w:w="100" w:type="dxa"/>
            <w:vAlign w:val="bottom"/>
            <w:shd w:val="clear" w:color="auto" w:fill="CFF0FC"/>
          </w:tcPr>
          <w:p>
            <w:pPr>
              <w:spacing w:after="0"/>
              <w:rPr>
                <w:sz w:val="8"/>
                <w:szCs w:val="8"/>
                <w:color w:val="auto"/>
              </w:rPr>
            </w:pPr>
          </w:p>
        </w:tc>
        <w:tc>
          <w:tcPr>
            <w:tcW w:w="640" w:type="dxa"/>
            <w:vAlign w:val="bottom"/>
            <w:gridSpan w:val="2"/>
            <w:shd w:val="clear" w:color="auto" w:fill="CFF0FC"/>
          </w:tcPr>
          <w:p>
            <w:pPr>
              <w:jc w:val="right"/>
              <w:ind w:right="200"/>
              <w:spacing w:after="0"/>
              <w:rPr>
                <w:sz w:val="20"/>
                <w:szCs w:val="20"/>
                <w:color w:val="auto"/>
              </w:rPr>
            </w:pPr>
            <w:r>
              <w:rPr>
                <w:rFonts w:ascii="Arial" w:cs="Arial" w:eastAsia="Arial" w:hAnsi="Arial"/>
                <w:sz w:val="8"/>
                <w:szCs w:val="8"/>
                <w:color w:val="auto"/>
              </w:rPr>
              <w:t>(5,821)</w:t>
            </w:r>
          </w:p>
        </w:tc>
        <w:tc>
          <w:tcPr>
            <w:tcW w:w="80" w:type="dxa"/>
            <w:vAlign w:val="bottom"/>
            <w:shd w:val="clear" w:color="auto" w:fill="CFF0FC"/>
          </w:tcPr>
          <w:p>
            <w:pPr>
              <w:spacing w:after="0"/>
              <w:rPr>
                <w:sz w:val="8"/>
                <w:szCs w:val="8"/>
                <w:color w:val="auto"/>
              </w:rPr>
            </w:pPr>
          </w:p>
        </w:tc>
        <w:tc>
          <w:tcPr>
            <w:tcW w:w="460" w:type="dxa"/>
            <w:vAlign w:val="bottom"/>
            <w:gridSpan w:val="2"/>
            <w:shd w:val="clear" w:color="auto" w:fill="CFF0FC"/>
          </w:tcPr>
          <w:p>
            <w:pPr>
              <w:jc w:val="right"/>
              <w:ind w:right="40"/>
              <w:spacing w:after="0"/>
              <w:rPr>
                <w:sz w:val="20"/>
                <w:szCs w:val="20"/>
                <w:color w:val="auto"/>
              </w:rPr>
            </w:pPr>
            <w:r>
              <w:rPr>
                <w:rFonts w:ascii="Arial" w:cs="Arial" w:eastAsia="Arial" w:hAnsi="Arial"/>
                <w:sz w:val="8"/>
                <w:szCs w:val="8"/>
                <w:color w:val="auto"/>
              </w:rPr>
              <w:t>(5,821)</w:t>
            </w:r>
          </w:p>
        </w:tc>
        <w:tc>
          <w:tcPr>
            <w:tcW w:w="0" w:type="dxa"/>
            <w:vAlign w:val="bottom"/>
          </w:tcPr>
          <w:p>
            <w:pPr>
              <w:spacing w:after="0"/>
              <w:rPr>
                <w:sz w:val="1"/>
                <w:szCs w:val="1"/>
                <w:color w:val="auto"/>
              </w:rPr>
            </w:pPr>
          </w:p>
        </w:tc>
      </w:tr>
      <w:tr>
        <w:trPr>
          <w:trHeight w:val="20"/>
        </w:trPr>
        <w:tc>
          <w:tcPr>
            <w:tcW w:w="2240" w:type="dxa"/>
            <w:vAlign w:val="bottom"/>
            <w:gridSpan w:val="4"/>
            <w:vMerge w:val="restart"/>
          </w:tcPr>
          <w:p>
            <w:pPr>
              <w:spacing w:after="0"/>
              <w:rPr>
                <w:sz w:val="20"/>
                <w:szCs w:val="20"/>
                <w:color w:val="auto"/>
              </w:rPr>
            </w:pPr>
            <w:r>
              <w:rPr>
                <w:rFonts w:ascii="Arial" w:cs="Arial" w:eastAsia="Arial" w:hAnsi="Arial"/>
                <w:sz w:val="8"/>
                <w:szCs w:val="8"/>
                <w:b w:val="1"/>
                <w:bCs w:val="1"/>
                <w:color w:val="auto"/>
              </w:rPr>
              <w:t>Balance as of December 31, 2018</w:t>
            </w:r>
          </w:p>
        </w:tc>
        <w:tc>
          <w:tcPr>
            <w:tcW w:w="4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240" w:type="dxa"/>
            <w:vAlign w:val="bottom"/>
            <w:gridSpan w:val="4"/>
            <w:vMerge w:val="continue"/>
          </w:tcPr>
          <w:p>
            <w:pPr>
              <w:spacing w:after="0"/>
              <w:rPr>
                <w:sz w:val="7"/>
                <w:szCs w:val="7"/>
                <w:color w:val="auto"/>
              </w:rPr>
            </w:pPr>
          </w:p>
        </w:tc>
        <w:tc>
          <w:tcPr>
            <w:tcW w:w="400" w:type="dxa"/>
            <w:vAlign w:val="bottom"/>
          </w:tcPr>
          <w:p>
            <w:pPr>
              <w:jc w:val="right"/>
              <w:spacing w:after="0" w:line="88" w:lineRule="exact"/>
              <w:rPr>
                <w:sz w:val="20"/>
                <w:szCs w:val="20"/>
                <w:color w:val="auto"/>
              </w:rPr>
            </w:pPr>
            <w:r>
              <w:rPr>
                <w:rFonts w:ascii="Arial" w:cs="Arial" w:eastAsia="Arial" w:hAnsi="Arial"/>
                <w:sz w:val="8"/>
                <w:szCs w:val="8"/>
                <w:color w:val="auto"/>
              </w:rPr>
              <w:t>156,057</w:t>
            </w:r>
          </w:p>
        </w:tc>
        <w:tc>
          <w:tcPr>
            <w:tcW w:w="240" w:type="dxa"/>
            <w:vAlign w:val="bottom"/>
          </w:tcPr>
          <w:p>
            <w:pPr>
              <w:spacing w:after="0"/>
              <w:rPr>
                <w:sz w:val="7"/>
                <w:szCs w:val="7"/>
                <w:color w:val="auto"/>
              </w:rPr>
            </w:pPr>
          </w:p>
        </w:tc>
        <w:tc>
          <w:tcPr>
            <w:tcW w:w="60" w:type="dxa"/>
            <w:vAlign w:val="bottom"/>
          </w:tcPr>
          <w:p>
            <w:pPr>
              <w:jc w:val="right"/>
              <w:spacing w:after="0"/>
              <w:rPr>
                <w:sz w:val="20"/>
                <w:szCs w:val="20"/>
                <w:color w:val="auto"/>
              </w:rPr>
            </w:pPr>
            <w:r>
              <w:rPr>
                <w:rFonts w:ascii="Arial" w:cs="Arial" w:eastAsia="Arial" w:hAnsi="Arial"/>
                <w:sz w:val="5"/>
                <w:szCs w:val="5"/>
                <w:color w:val="auto"/>
                <w:w w:val="70"/>
              </w:rPr>
              <w:t>$</w:t>
            </w:r>
          </w:p>
        </w:tc>
        <w:tc>
          <w:tcPr>
            <w:tcW w:w="340" w:type="dxa"/>
            <w:vAlign w:val="bottom"/>
          </w:tcPr>
          <w:p>
            <w:pPr>
              <w:jc w:val="right"/>
              <w:spacing w:after="0" w:line="88" w:lineRule="exact"/>
              <w:rPr>
                <w:sz w:val="20"/>
                <w:szCs w:val="20"/>
                <w:color w:val="auto"/>
              </w:rPr>
            </w:pPr>
            <w:r>
              <w:rPr>
                <w:rFonts w:ascii="Arial" w:cs="Arial" w:eastAsia="Arial" w:hAnsi="Arial"/>
                <w:sz w:val="8"/>
                <w:szCs w:val="8"/>
                <w:color w:val="auto"/>
              </w:rPr>
              <w:t>16</w:t>
            </w:r>
          </w:p>
        </w:tc>
        <w:tc>
          <w:tcPr>
            <w:tcW w:w="240" w:type="dxa"/>
            <w:vAlign w:val="bottom"/>
          </w:tcPr>
          <w:p>
            <w:pPr>
              <w:spacing w:after="0"/>
              <w:rPr>
                <w:sz w:val="7"/>
                <w:szCs w:val="7"/>
                <w:color w:val="auto"/>
              </w:rPr>
            </w:pPr>
          </w:p>
        </w:tc>
        <w:tc>
          <w:tcPr>
            <w:tcW w:w="240" w:type="dxa"/>
            <w:vAlign w:val="bottom"/>
          </w:tcPr>
          <w:p>
            <w:pPr>
              <w:ind w:left="160"/>
              <w:spacing w:after="0" w:line="88" w:lineRule="exact"/>
              <w:rPr>
                <w:sz w:val="20"/>
                <w:szCs w:val="20"/>
                <w:color w:val="auto"/>
              </w:rPr>
            </w:pPr>
            <w:r>
              <w:rPr>
                <w:rFonts w:ascii="Arial" w:cs="Arial" w:eastAsia="Arial" w:hAnsi="Arial"/>
                <w:sz w:val="8"/>
                <w:szCs w:val="8"/>
                <w:color w:val="auto"/>
                <w:w w:val="74"/>
              </w:rPr>
              <w:t>—</w:t>
            </w:r>
          </w:p>
        </w:tc>
        <w:tc>
          <w:tcPr>
            <w:tcW w:w="360" w:type="dxa"/>
            <w:vAlign w:val="bottom"/>
            <w:gridSpan w:val="2"/>
          </w:tcPr>
          <w:p>
            <w:pPr>
              <w:ind w:left="240"/>
              <w:spacing w:after="0" w:line="88" w:lineRule="exact"/>
              <w:rPr>
                <w:sz w:val="20"/>
                <w:szCs w:val="20"/>
                <w:color w:val="auto"/>
              </w:rPr>
            </w:pPr>
            <w:r>
              <w:rPr>
                <w:rFonts w:ascii="Arial" w:cs="Arial" w:eastAsia="Arial" w:hAnsi="Arial"/>
                <w:sz w:val="8"/>
                <w:szCs w:val="8"/>
                <w:color w:val="auto"/>
              </w:rPr>
              <w:t>$</w:t>
            </w:r>
          </w:p>
        </w:tc>
        <w:tc>
          <w:tcPr>
            <w:tcW w:w="380" w:type="dxa"/>
            <w:vAlign w:val="bottom"/>
            <w:gridSpan w:val="2"/>
          </w:tcPr>
          <w:p>
            <w:pPr>
              <w:ind w:left="60"/>
              <w:spacing w:after="0" w:line="88" w:lineRule="exact"/>
              <w:rPr>
                <w:sz w:val="20"/>
                <w:szCs w:val="20"/>
                <w:color w:val="auto"/>
              </w:rPr>
            </w:pPr>
            <w:r>
              <w:rPr>
                <w:rFonts w:ascii="Arial" w:cs="Arial" w:eastAsia="Arial" w:hAnsi="Arial"/>
                <w:sz w:val="8"/>
                <w:szCs w:val="8"/>
                <w:color w:val="auto"/>
              </w:rPr>
              <w:t>—</w:t>
            </w:r>
          </w:p>
        </w:tc>
        <w:tc>
          <w:tcPr>
            <w:tcW w:w="380" w:type="dxa"/>
            <w:vAlign w:val="bottom"/>
          </w:tcPr>
          <w:p>
            <w:pPr>
              <w:jc w:val="right"/>
              <w:spacing w:after="0" w:line="88" w:lineRule="exact"/>
              <w:rPr>
                <w:sz w:val="20"/>
                <w:szCs w:val="20"/>
                <w:color w:val="auto"/>
              </w:rPr>
            </w:pPr>
            <w:r>
              <w:rPr>
                <w:rFonts w:ascii="Arial" w:cs="Arial" w:eastAsia="Arial" w:hAnsi="Arial"/>
                <w:sz w:val="8"/>
                <w:szCs w:val="8"/>
                <w:color w:val="auto"/>
              </w:rPr>
              <w:t>—</w:t>
            </w:r>
          </w:p>
        </w:tc>
        <w:tc>
          <w:tcPr>
            <w:tcW w:w="280" w:type="dxa"/>
            <w:vAlign w:val="bottom"/>
          </w:tcPr>
          <w:p>
            <w:pPr>
              <w:jc w:val="right"/>
              <w:spacing w:after="0" w:line="88" w:lineRule="exact"/>
              <w:rPr>
                <w:sz w:val="20"/>
                <w:szCs w:val="20"/>
                <w:color w:val="auto"/>
              </w:rPr>
            </w:pPr>
            <w:r>
              <w:rPr>
                <w:rFonts w:ascii="Arial" w:cs="Arial" w:eastAsia="Arial" w:hAnsi="Arial"/>
                <w:sz w:val="8"/>
                <w:szCs w:val="8"/>
                <w:color w:val="auto"/>
              </w:rPr>
              <w:t>$</w:t>
            </w:r>
          </w:p>
        </w:tc>
        <w:tc>
          <w:tcPr>
            <w:tcW w:w="560" w:type="dxa"/>
            <w:vAlign w:val="bottom"/>
            <w:gridSpan w:val="2"/>
          </w:tcPr>
          <w:p>
            <w:pPr>
              <w:jc w:val="right"/>
              <w:ind w:right="220"/>
              <w:spacing w:after="0" w:line="88" w:lineRule="exact"/>
              <w:rPr>
                <w:sz w:val="20"/>
                <w:szCs w:val="20"/>
                <w:color w:val="auto"/>
              </w:rPr>
            </w:pPr>
            <w:r>
              <w:rPr>
                <w:rFonts w:ascii="Arial" w:cs="Arial" w:eastAsia="Arial" w:hAnsi="Arial"/>
                <w:sz w:val="8"/>
                <w:szCs w:val="8"/>
                <w:color w:val="auto"/>
              </w:rPr>
              <w:t>—</w:t>
            </w:r>
          </w:p>
        </w:tc>
        <w:tc>
          <w:tcPr>
            <w:tcW w:w="600" w:type="dxa"/>
            <w:vAlign w:val="bottom"/>
            <w:gridSpan w:val="2"/>
          </w:tcPr>
          <w:p>
            <w:pPr>
              <w:jc w:val="right"/>
              <w:ind w:right="240"/>
              <w:spacing w:after="0" w:line="88" w:lineRule="exact"/>
              <w:rPr>
                <w:sz w:val="20"/>
                <w:szCs w:val="20"/>
                <w:color w:val="auto"/>
              </w:rPr>
            </w:pPr>
            <w:r>
              <w:rPr>
                <w:rFonts w:ascii="Arial" w:cs="Arial" w:eastAsia="Arial" w:hAnsi="Arial"/>
                <w:sz w:val="8"/>
                <w:szCs w:val="8"/>
                <w:color w:val="auto"/>
              </w:rPr>
              <w:t>—</w:t>
            </w:r>
          </w:p>
        </w:tc>
        <w:tc>
          <w:tcPr>
            <w:tcW w:w="60" w:type="dxa"/>
            <w:vAlign w:val="bottom"/>
          </w:tcPr>
          <w:p>
            <w:pPr>
              <w:jc w:val="right"/>
              <w:spacing w:after="0"/>
              <w:rPr>
                <w:sz w:val="20"/>
                <w:szCs w:val="20"/>
                <w:color w:val="auto"/>
              </w:rPr>
            </w:pPr>
            <w:r>
              <w:rPr>
                <w:rFonts w:ascii="Arial" w:cs="Arial" w:eastAsia="Arial" w:hAnsi="Arial"/>
                <w:sz w:val="5"/>
                <w:szCs w:val="5"/>
                <w:color w:val="auto"/>
                <w:w w:val="70"/>
              </w:rPr>
              <w:t>$</w:t>
            </w:r>
          </w:p>
        </w:tc>
        <w:tc>
          <w:tcPr>
            <w:tcW w:w="560" w:type="dxa"/>
            <w:vAlign w:val="bottom"/>
            <w:gridSpan w:val="2"/>
          </w:tcPr>
          <w:p>
            <w:pPr>
              <w:jc w:val="right"/>
              <w:ind w:right="220"/>
              <w:spacing w:after="0" w:line="88" w:lineRule="exact"/>
              <w:rPr>
                <w:sz w:val="20"/>
                <w:szCs w:val="20"/>
                <w:color w:val="auto"/>
              </w:rPr>
            </w:pPr>
            <w:r>
              <w:rPr>
                <w:rFonts w:ascii="Arial" w:cs="Arial" w:eastAsia="Arial" w:hAnsi="Arial"/>
                <w:sz w:val="8"/>
                <w:szCs w:val="8"/>
                <w:color w:val="auto"/>
              </w:rPr>
              <w:t>—</w:t>
            </w:r>
          </w:p>
        </w:tc>
        <w:tc>
          <w:tcPr>
            <w:tcW w:w="380" w:type="dxa"/>
            <w:vAlign w:val="bottom"/>
          </w:tcPr>
          <w:p>
            <w:pPr>
              <w:jc w:val="right"/>
              <w:spacing w:after="0" w:line="88" w:lineRule="exact"/>
              <w:rPr>
                <w:sz w:val="20"/>
                <w:szCs w:val="20"/>
                <w:color w:val="auto"/>
              </w:rPr>
            </w:pPr>
            <w:r>
              <w:rPr>
                <w:rFonts w:ascii="Arial" w:cs="Arial" w:eastAsia="Arial" w:hAnsi="Arial"/>
                <w:sz w:val="8"/>
                <w:szCs w:val="8"/>
                <w:color w:val="auto"/>
              </w:rPr>
              <w:t>—</w:t>
            </w:r>
          </w:p>
        </w:tc>
        <w:tc>
          <w:tcPr>
            <w:tcW w:w="300" w:type="dxa"/>
            <w:vAlign w:val="bottom"/>
            <w:gridSpan w:val="2"/>
          </w:tcPr>
          <w:p>
            <w:pPr>
              <w:jc w:val="right"/>
              <w:ind w:right="40"/>
              <w:spacing w:after="0" w:line="88" w:lineRule="exact"/>
              <w:rPr>
                <w:sz w:val="20"/>
                <w:szCs w:val="20"/>
                <w:color w:val="auto"/>
              </w:rPr>
            </w:pPr>
            <w:r>
              <w:rPr>
                <w:rFonts w:ascii="Arial" w:cs="Arial" w:eastAsia="Arial" w:hAnsi="Arial"/>
                <w:sz w:val="8"/>
                <w:szCs w:val="8"/>
                <w:color w:val="auto"/>
              </w:rPr>
              <w:t>$</w:t>
            </w:r>
          </w:p>
        </w:tc>
        <w:tc>
          <w:tcPr>
            <w:tcW w:w="480" w:type="dxa"/>
            <w:vAlign w:val="bottom"/>
            <w:gridSpan w:val="2"/>
          </w:tcPr>
          <w:p>
            <w:pPr>
              <w:jc w:val="right"/>
              <w:ind w:right="120"/>
              <w:spacing w:after="0" w:line="88" w:lineRule="exact"/>
              <w:rPr>
                <w:sz w:val="20"/>
                <w:szCs w:val="20"/>
                <w:color w:val="auto"/>
              </w:rPr>
            </w:pPr>
            <w:r>
              <w:rPr>
                <w:rFonts w:ascii="Arial" w:cs="Arial" w:eastAsia="Arial" w:hAnsi="Arial"/>
                <w:sz w:val="8"/>
                <w:szCs w:val="8"/>
                <w:color w:val="auto"/>
              </w:rPr>
              <w:t>—</w:t>
            </w:r>
          </w:p>
        </w:tc>
        <w:tc>
          <w:tcPr>
            <w:tcW w:w="140" w:type="dxa"/>
            <w:vAlign w:val="bottom"/>
          </w:tcPr>
          <w:p>
            <w:pPr>
              <w:ind w:left="100"/>
              <w:spacing w:after="0"/>
              <w:rPr>
                <w:sz w:val="20"/>
                <w:szCs w:val="20"/>
                <w:color w:val="auto"/>
              </w:rPr>
            </w:pPr>
            <w:r>
              <w:rPr>
                <w:rFonts w:ascii="Arial" w:cs="Arial" w:eastAsia="Arial" w:hAnsi="Arial"/>
                <w:sz w:val="1"/>
                <w:szCs w:val="1"/>
                <w:color w:val="auto"/>
                <w:w w:val="4294967288"/>
              </w:rPr>
              <w:t>$</w:t>
            </w:r>
          </w:p>
        </w:tc>
        <w:tc>
          <w:tcPr>
            <w:tcW w:w="440" w:type="dxa"/>
            <w:vAlign w:val="bottom"/>
          </w:tcPr>
          <w:p>
            <w:pPr>
              <w:jc w:val="right"/>
              <w:spacing w:after="0" w:line="88" w:lineRule="exact"/>
              <w:rPr>
                <w:sz w:val="20"/>
                <w:szCs w:val="20"/>
                <w:color w:val="auto"/>
              </w:rPr>
            </w:pPr>
            <w:r>
              <w:rPr>
                <w:rFonts w:ascii="Arial" w:cs="Arial" w:eastAsia="Arial" w:hAnsi="Arial"/>
                <w:sz w:val="8"/>
                <w:szCs w:val="8"/>
                <w:color w:val="auto"/>
              </w:rPr>
              <w:t>73,150</w:t>
            </w:r>
          </w:p>
        </w:tc>
        <w:tc>
          <w:tcPr>
            <w:tcW w:w="220" w:type="dxa"/>
            <w:vAlign w:val="bottom"/>
          </w:tcPr>
          <w:p>
            <w:pPr>
              <w:spacing w:after="0"/>
              <w:rPr>
                <w:sz w:val="7"/>
                <w:szCs w:val="7"/>
                <w:color w:val="auto"/>
              </w:rPr>
            </w:pPr>
          </w:p>
        </w:tc>
        <w:tc>
          <w:tcPr>
            <w:tcW w:w="60" w:type="dxa"/>
            <w:vAlign w:val="bottom"/>
          </w:tcPr>
          <w:p>
            <w:pPr>
              <w:spacing w:after="0" w:line="88" w:lineRule="exact"/>
              <w:rPr>
                <w:sz w:val="20"/>
                <w:szCs w:val="20"/>
                <w:color w:val="auto"/>
              </w:rPr>
            </w:pPr>
            <w:r>
              <w:rPr>
                <w:rFonts w:ascii="Arial" w:cs="Arial" w:eastAsia="Arial" w:hAnsi="Arial"/>
                <w:sz w:val="8"/>
                <w:szCs w:val="8"/>
                <w:color w:val="auto"/>
                <w:w w:val="88"/>
              </w:rPr>
              <w:t>$</w:t>
            </w:r>
          </w:p>
        </w:tc>
        <w:tc>
          <w:tcPr>
            <w:tcW w:w="360" w:type="dxa"/>
            <w:vAlign w:val="bottom"/>
          </w:tcPr>
          <w:p>
            <w:pPr>
              <w:jc w:val="right"/>
              <w:spacing w:after="0" w:line="88" w:lineRule="exact"/>
              <w:rPr>
                <w:sz w:val="20"/>
                <w:szCs w:val="20"/>
                <w:color w:val="auto"/>
              </w:rPr>
            </w:pPr>
            <w:r>
              <w:rPr>
                <w:rFonts w:ascii="Arial" w:cs="Arial" w:eastAsia="Arial" w:hAnsi="Arial"/>
                <w:sz w:val="8"/>
                <w:szCs w:val="8"/>
                <w:color w:val="auto"/>
              </w:rPr>
              <w:t>348,017</w:t>
            </w:r>
          </w:p>
        </w:tc>
        <w:tc>
          <w:tcPr>
            <w:tcW w:w="120" w:type="dxa"/>
            <w:vAlign w:val="bottom"/>
          </w:tcPr>
          <w:p>
            <w:pPr>
              <w:spacing w:after="0"/>
              <w:rPr>
                <w:sz w:val="7"/>
                <w:szCs w:val="7"/>
                <w:color w:val="auto"/>
              </w:rPr>
            </w:pPr>
          </w:p>
        </w:tc>
        <w:tc>
          <w:tcPr>
            <w:tcW w:w="160" w:type="dxa"/>
            <w:vAlign w:val="bottom"/>
          </w:tcPr>
          <w:p>
            <w:pPr>
              <w:ind w:left="100"/>
              <w:spacing w:after="0"/>
              <w:rPr>
                <w:sz w:val="20"/>
                <w:szCs w:val="20"/>
                <w:color w:val="auto"/>
              </w:rPr>
            </w:pPr>
            <w:r>
              <w:rPr>
                <w:rFonts w:ascii="Arial" w:cs="Arial" w:eastAsia="Arial" w:hAnsi="Arial"/>
                <w:sz w:val="5"/>
                <w:szCs w:val="5"/>
                <w:color w:val="auto"/>
                <w:w w:val="70"/>
              </w:rPr>
              <w:t>$</w:t>
            </w:r>
          </w:p>
        </w:tc>
        <w:tc>
          <w:tcPr>
            <w:tcW w:w="600" w:type="dxa"/>
            <w:vAlign w:val="bottom"/>
            <w:gridSpan w:val="2"/>
          </w:tcPr>
          <w:p>
            <w:pPr>
              <w:jc w:val="right"/>
              <w:ind w:right="200"/>
              <w:spacing w:after="0" w:line="88" w:lineRule="exact"/>
              <w:rPr>
                <w:sz w:val="20"/>
                <w:szCs w:val="20"/>
                <w:color w:val="auto"/>
              </w:rPr>
            </w:pPr>
            <w:r>
              <w:rPr>
                <w:rFonts w:ascii="Arial" w:cs="Arial" w:eastAsia="Arial" w:hAnsi="Arial"/>
                <w:sz w:val="8"/>
                <w:szCs w:val="8"/>
                <w:color w:val="auto"/>
              </w:rPr>
              <w:t>(113,306 )</w:t>
            </w:r>
          </w:p>
        </w:tc>
        <w:tc>
          <w:tcPr>
            <w:tcW w:w="100" w:type="dxa"/>
            <w:vAlign w:val="bottom"/>
          </w:tcPr>
          <w:p>
            <w:pPr>
              <w:spacing w:after="0" w:line="88" w:lineRule="exact"/>
              <w:rPr>
                <w:sz w:val="20"/>
                <w:szCs w:val="20"/>
                <w:color w:val="auto"/>
              </w:rPr>
            </w:pPr>
            <w:r>
              <w:rPr>
                <w:rFonts w:ascii="Arial" w:cs="Arial" w:eastAsia="Arial" w:hAnsi="Arial"/>
                <w:sz w:val="8"/>
                <w:szCs w:val="8"/>
                <w:color w:val="auto"/>
              </w:rPr>
              <w:t>$</w:t>
            </w:r>
          </w:p>
        </w:tc>
        <w:tc>
          <w:tcPr>
            <w:tcW w:w="640" w:type="dxa"/>
            <w:vAlign w:val="bottom"/>
            <w:gridSpan w:val="2"/>
          </w:tcPr>
          <w:p>
            <w:pPr>
              <w:jc w:val="right"/>
              <w:ind w:right="200"/>
              <w:spacing w:after="0" w:line="88" w:lineRule="exact"/>
              <w:rPr>
                <w:sz w:val="20"/>
                <w:szCs w:val="20"/>
                <w:color w:val="auto"/>
              </w:rPr>
            </w:pPr>
            <w:r>
              <w:rPr>
                <w:rFonts w:ascii="Arial" w:cs="Arial" w:eastAsia="Arial" w:hAnsi="Arial"/>
                <w:sz w:val="8"/>
                <w:szCs w:val="8"/>
                <w:color w:val="auto"/>
              </w:rPr>
              <w:t>(5,821)</w:t>
            </w:r>
          </w:p>
        </w:tc>
        <w:tc>
          <w:tcPr>
            <w:tcW w:w="80" w:type="dxa"/>
            <w:vAlign w:val="bottom"/>
          </w:tcPr>
          <w:p>
            <w:pPr>
              <w:spacing w:after="0" w:line="88" w:lineRule="exact"/>
              <w:rPr>
                <w:sz w:val="20"/>
                <w:szCs w:val="20"/>
                <w:color w:val="auto"/>
              </w:rPr>
            </w:pPr>
            <w:r>
              <w:rPr>
                <w:rFonts w:ascii="Arial" w:cs="Arial" w:eastAsia="Arial" w:hAnsi="Arial"/>
                <w:sz w:val="8"/>
                <w:szCs w:val="8"/>
                <w:color w:val="auto"/>
              </w:rPr>
              <w:t>$</w:t>
            </w:r>
          </w:p>
        </w:tc>
        <w:tc>
          <w:tcPr>
            <w:tcW w:w="400" w:type="dxa"/>
            <w:vAlign w:val="bottom"/>
          </w:tcPr>
          <w:p>
            <w:pPr>
              <w:jc w:val="right"/>
              <w:spacing w:after="0" w:line="88" w:lineRule="exact"/>
              <w:rPr>
                <w:sz w:val="20"/>
                <w:szCs w:val="20"/>
                <w:color w:val="auto"/>
              </w:rPr>
            </w:pPr>
            <w:r>
              <w:rPr>
                <w:rFonts w:ascii="Arial" w:cs="Arial" w:eastAsia="Arial" w:hAnsi="Arial"/>
                <w:sz w:val="8"/>
                <w:szCs w:val="8"/>
                <w:color w:val="auto"/>
              </w:rPr>
              <w:t>302,056</w:t>
            </w: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220" w:type="dxa"/>
            <w:vAlign w:val="bottom"/>
            <w:gridSpan w:val="3"/>
            <w:vMerge w:val="restart"/>
            <w:shd w:val="clear" w:color="auto" w:fill="CFF0FC"/>
          </w:tcPr>
          <w:p>
            <w:pPr>
              <w:spacing w:after="0"/>
              <w:rPr>
                <w:sz w:val="20"/>
                <w:szCs w:val="20"/>
                <w:color w:val="auto"/>
              </w:rPr>
            </w:pPr>
            <w:r>
              <w:rPr>
                <w:rFonts w:ascii="Arial" w:cs="Arial" w:eastAsia="Arial" w:hAnsi="Arial"/>
                <w:sz w:val="8"/>
                <w:szCs w:val="8"/>
                <w:color w:val="auto"/>
              </w:rPr>
              <w:t>Net income</w:t>
            </w:r>
          </w:p>
        </w:tc>
        <w:tc>
          <w:tcPr>
            <w:tcW w:w="400" w:type="dxa"/>
            <w:vAlign w:val="bottom"/>
            <w:shd w:val="clear" w:color="auto" w:fill="000000"/>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80" w:type="dxa"/>
            <w:vAlign w:val="bottom"/>
            <w:tcBorders>
              <w:right w:val="single" w:sz="8" w:color="auto"/>
            </w:tcBorders>
            <w:shd w:val="clear" w:color="auto" w:fill="CFF0FC"/>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40" w:type="dxa"/>
            <w:vAlign w:val="bottom"/>
            <w:tcBorders>
              <w:right w:val="single" w:sz="8" w:color="auto"/>
            </w:tcBorders>
            <w:shd w:val="clear" w:color="auto" w:fill="CFF0FC"/>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60" w:type="dxa"/>
            <w:vAlign w:val="bottom"/>
            <w:tcBorders>
              <w:right w:val="single" w:sz="8" w:color="auto"/>
            </w:tcBorders>
            <w:shd w:val="clear" w:color="auto" w:fill="CFF0FC"/>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99"/>
        </w:trPr>
        <w:tc>
          <w:tcPr>
            <w:tcW w:w="20" w:type="dxa"/>
            <w:vAlign w:val="bottom"/>
          </w:tcPr>
          <w:p>
            <w:pPr>
              <w:spacing w:after="0"/>
              <w:rPr>
                <w:sz w:val="8"/>
                <w:szCs w:val="8"/>
                <w:color w:val="auto"/>
              </w:rPr>
            </w:pPr>
          </w:p>
        </w:tc>
        <w:tc>
          <w:tcPr>
            <w:tcW w:w="2220" w:type="dxa"/>
            <w:vAlign w:val="bottom"/>
            <w:gridSpan w:val="3"/>
            <w:vMerge w:val="continue"/>
            <w:shd w:val="clear" w:color="auto" w:fill="CFF0FC"/>
          </w:tcPr>
          <w:p>
            <w:pPr>
              <w:spacing w:after="0"/>
              <w:rPr>
                <w:sz w:val="8"/>
                <w:szCs w:val="8"/>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8"/>
                <w:szCs w:val="8"/>
                <w:color w:val="auto"/>
              </w:rPr>
              <w:t>—</w:t>
            </w:r>
          </w:p>
        </w:tc>
        <w:tc>
          <w:tcPr>
            <w:tcW w:w="24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8"/>
                <w:szCs w:val="8"/>
                <w:color w:val="auto"/>
              </w:rPr>
              <w:t>—</w:t>
            </w:r>
          </w:p>
        </w:tc>
        <w:tc>
          <w:tcPr>
            <w:tcW w:w="240" w:type="dxa"/>
            <w:vAlign w:val="bottom"/>
            <w:shd w:val="clear" w:color="auto" w:fill="CFF0FC"/>
          </w:tcPr>
          <w:p>
            <w:pPr>
              <w:spacing w:after="0"/>
              <w:rPr>
                <w:sz w:val="8"/>
                <w:szCs w:val="8"/>
                <w:color w:val="auto"/>
              </w:rPr>
            </w:pPr>
          </w:p>
        </w:tc>
        <w:tc>
          <w:tcPr>
            <w:tcW w:w="240" w:type="dxa"/>
            <w:vAlign w:val="bottom"/>
            <w:shd w:val="clear" w:color="auto" w:fill="CFF0FC"/>
          </w:tcPr>
          <w:p>
            <w:pPr>
              <w:ind w:left="160"/>
              <w:spacing w:after="0"/>
              <w:rPr>
                <w:sz w:val="20"/>
                <w:szCs w:val="20"/>
                <w:color w:val="auto"/>
              </w:rPr>
            </w:pPr>
            <w:r>
              <w:rPr>
                <w:rFonts w:ascii="Arial" w:cs="Arial" w:eastAsia="Arial" w:hAnsi="Arial"/>
                <w:sz w:val="8"/>
                <w:szCs w:val="8"/>
                <w:color w:val="auto"/>
                <w:w w:val="74"/>
              </w:rPr>
              <w:t>—</w:t>
            </w:r>
          </w:p>
        </w:tc>
        <w:tc>
          <w:tcPr>
            <w:tcW w:w="24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60" w:type="dxa"/>
            <w:vAlign w:val="bottom"/>
            <w:shd w:val="clear" w:color="auto" w:fill="CFF0FC"/>
          </w:tcPr>
          <w:p>
            <w:pPr>
              <w:ind w:left="60"/>
              <w:spacing w:after="0"/>
              <w:rPr>
                <w:sz w:val="20"/>
                <w:szCs w:val="20"/>
                <w:color w:val="auto"/>
              </w:rPr>
            </w:pPr>
            <w:r>
              <w:rPr>
                <w:rFonts w:ascii="Arial" w:cs="Arial" w:eastAsia="Arial" w:hAnsi="Arial"/>
                <w:sz w:val="8"/>
                <w:szCs w:val="8"/>
                <w:color w:val="auto"/>
                <w:w w:val="99"/>
              </w:rPr>
              <w:t>—</w:t>
            </w:r>
          </w:p>
        </w:tc>
        <w:tc>
          <w:tcPr>
            <w:tcW w:w="220" w:type="dxa"/>
            <w:vAlign w:val="bottom"/>
            <w:shd w:val="clear" w:color="auto" w:fill="CFF0FC"/>
          </w:tcPr>
          <w:p>
            <w:pPr>
              <w:spacing w:after="0"/>
              <w:rPr>
                <w:sz w:val="8"/>
                <w:szCs w:val="8"/>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8"/>
                <w:szCs w:val="8"/>
                <w:color w:val="auto"/>
              </w:rPr>
              <w:t>—</w:t>
            </w:r>
          </w:p>
        </w:tc>
        <w:tc>
          <w:tcPr>
            <w:tcW w:w="280" w:type="dxa"/>
            <w:vAlign w:val="bottom"/>
            <w:tcBorders>
              <w:right w:val="single" w:sz="8" w:color="CFF0FC"/>
            </w:tcBorders>
            <w:shd w:val="clear" w:color="auto" w:fill="CFF0FC"/>
          </w:tcPr>
          <w:p>
            <w:pPr>
              <w:spacing w:after="0"/>
              <w:rPr>
                <w:sz w:val="8"/>
                <w:szCs w:val="8"/>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8"/>
                <w:szCs w:val="8"/>
                <w:color w:val="auto"/>
              </w:rPr>
              <w:t>—</w:t>
            </w:r>
          </w:p>
        </w:tc>
        <w:tc>
          <w:tcPr>
            <w:tcW w:w="220" w:type="dxa"/>
            <w:vAlign w:val="bottom"/>
            <w:shd w:val="clear" w:color="auto" w:fill="CFF0FC"/>
          </w:tcPr>
          <w:p>
            <w:pPr>
              <w:spacing w:after="0"/>
              <w:rPr>
                <w:sz w:val="8"/>
                <w:szCs w:val="8"/>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8"/>
                <w:szCs w:val="8"/>
                <w:color w:val="auto"/>
              </w:rPr>
              <w:t>—</w:t>
            </w:r>
          </w:p>
        </w:tc>
        <w:tc>
          <w:tcPr>
            <w:tcW w:w="22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560" w:type="dxa"/>
            <w:vAlign w:val="bottom"/>
            <w:gridSpan w:val="2"/>
            <w:shd w:val="clear" w:color="auto" w:fill="CFF0FC"/>
          </w:tcPr>
          <w:p>
            <w:pPr>
              <w:jc w:val="right"/>
              <w:ind w:right="220"/>
              <w:spacing w:after="0"/>
              <w:rPr>
                <w:sz w:val="20"/>
                <w:szCs w:val="20"/>
                <w:color w:val="auto"/>
              </w:rPr>
            </w:pPr>
            <w:r>
              <w:rPr>
                <w:rFonts w:ascii="Arial" w:cs="Arial" w:eastAsia="Arial" w:hAnsi="Arial"/>
                <w:sz w:val="8"/>
                <w:szCs w:val="8"/>
                <w:color w:val="auto"/>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8"/>
                <w:szCs w:val="8"/>
                <w:color w:val="auto"/>
              </w:rPr>
              <w:t>—</w:t>
            </w:r>
          </w:p>
        </w:tc>
        <w:tc>
          <w:tcPr>
            <w:tcW w:w="22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480" w:type="dxa"/>
            <w:vAlign w:val="bottom"/>
            <w:gridSpan w:val="2"/>
            <w:shd w:val="clear" w:color="auto" w:fill="CFF0FC"/>
          </w:tcPr>
          <w:p>
            <w:pPr>
              <w:jc w:val="right"/>
              <w:ind w:right="120"/>
              <w:spacing w:after="0"/>
              <w:rPr>
                <w:sz w:val="20"/>
                <w:szCs w:val="20"/>
                <w:color w:val="auto"/>
              </w:rPr>
            </w:pPr>
            <w:r>
              <w:rPr>
                <w:rFonts w:ascii="Arial" w:cs="Arial" w:eastAsia="Arial" w:hAnsi="Arial"/>
                <w:sz w:val="8"/>
                <w:szCs w:val="8"/>
                <w:color w:val="auto"/>
              </w:rPr>
              <w:t>—</w:t>
            </w:r>
          </w:p>
        </w:tc>
        <w:tc>
          <w:tcPr>
            <w:tcW w:w="140" w:type="dxa"/>
            <w:vAlign w:val="bottom"/>
            <w:tcBorders>
              <w:right w:val="single" w:sz="8" w:color="CFF0FC"/>
            </w:tcBorders>
            <w:shd w:val="clear" w:color="auto" w:fill="CFF0FC"/>
          </w:tcPr>
          <w:p>
            <w:pPr>
              <w:spacing w:after="0"/>
              <w:rPr>
                <w:sz w:val="8"/>
                <w:szCs w:val="8"/>
                <w:color w:val="auto"/>
              </w:rPr>
            </w:pPr>
          </w:p>
        </w:tc>
        <w:tc>
          <w:tcPr>
            <w:tcW w:w="660" w:type="dxa"/>
            <w:vAlign w:val="bottom"/>
            <w:gridSpan w:val="2"/>
            <w:shd w:val="clear" w:color="auto" w:fill="CFF0FC"/>
          </w:tcPr>
          <w:p>
            <w:pPr>
              <w:jc w:val="right"/>
              <w:ind w:right="240"/>
              <w:spacing w:after="0"/>
              <w:rPr>
                <w:sz w:val="20"/>
                <w:szCs w:val="20"/>
                <w:color w:val="auto"/>
              </w:rPr>
            </w:pPr>
            <w:r>
              <w:rPr>
                <w:rFonts w:ascii="Arial" w:cs="Arial" w:eastAsia="Arial" w:hAnsi="Arial"/>
                <w:sz w:val="8"/>
                <w:szCs w:val="8"/>
                <w:color w:val="auto"/>
              </w:rPr>
              <w:t>—</w:t>
            </w:r>
          </w:p>
        </w:tc>
        <w:tc>
          <w:tcPr>
            <w:tcW w:w="60" w:type="dxa"/>
            <w:vAlign w:val="bottom"/>
            <w:shd w:val="clear" w:color="auto" w:fill="CFF0FC"/>
          </w:tcPr>
          <w:p>
            <w:pPr>
              <w:spacing w:after="0"/>
              <w:rPr>
                <w:sz w:val="8"/>
                <w:szCs w:val="8"/>
                <w:color w:val="auto"/>
              </w:rPr>
            </w:pPr>
          </w:p>
        </w:tc>
        <w:tc>
          <w:tcPr>
            <w:tcW w:w="480" w:type="dxa"/>
            <w:vAlign w:val="bottom"/>
            <w:gridSpan w:val="2"/>
            <w:shd w:val="clear" w:color="auto" w:fill="CFF0FC"/>
          </w:tcPr>
          <w:p>
            <w:pPr>
              <w:jc w:val="right"/>
              <w:ind w:right="140"/>
              <w:spacing w:after="0"/>
              <w:rPr>
                <w:sz w:val="20"/>
                <w:szCs w:val="20"/>
                <w:color w:val="auto"/>
              </w:rPr>
            </w:pPr>
            <w:r>
              <w:rPr>
                <w:rFonts w:ascii="Arial" w:cs="Arial" w:eastAsia="Arial" w:hAnsi="Arial"/>
                <w:sz w:val="8"/>
                <w:szCs w:val="8"/>
                <w:color w:val="auto"/>
              </w:rPr>
              <w:t>—</w:t>
            </w:r>
          </w:p>
        </w:tc>
        <w:tc>
          <w:tcPr>
            <w:tcW w:w="160" w:type="dxa"/>
            <w:vAlign w:val="bottom"/>
            <w:tcBorders>
              <w:right w:val="single" w:sz="8" w:color="CFF0FC"/>
            </w:tcBorders>
            <w:shd w:val="clear" w:color="auto" w:fill="CFF0FC"/>
          </w:tcPr>
          <w:p>
            <w:pPr>
              <w:spacing w:after="0"/>
              <w:rPr>
                <w:sz w:val="8"/>
                <w:szCs w:val="8"/>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8"/>
                <w:szCs w:val="8"/>
                <w:color w:val="auto"/>
              </w:rPr>
              <w:t>33,343</w:t>
            </w:r>
          </w:p>
        </w:tc>
        <w:tc>
          <w:tcPr>
            <w:tcW w:w="2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640" w:type="dxa"/>
            <w:vAlign w:val="bottom"/>
            <w:gridSpan w:val="2"/>
            <w:shd w:val="clear" w:color="auto" w:fill="CFF0FC"/>
          </w:tcPr>
          <w:p>
            <w:pPr>
              <w:jc w:val="right"/>
              <w:ind w:right="220"/>
              <w:spacing w:after="0"/>
              <w:rPr>
                <w:sz w:val="20"/>
                <w:szCs w:val="20"/>
                <w:color w:val="auto"/>
              </w:rPr>
            </w:pPr>
            <w:r>
              <w:rPr>
                <w:rFonts w:ascii="Arial" w:cs="Arial" w:eastAsia="Arial" w:hAnsi="Arial"/>
                <w:sz w:val="8"/>
                <w:szCs w:val="8"/>
                <w:color w:val="auto"/>
              </w:rPr>
              <w:t>—</w:t>
            </w:r>
          </w:p>
        </w:tc>
        <w:tc>
          <w:tcPr>
            <w:tcW w:w="80" w:type="dxa"/>
            <w:vAlign w:val="bottom"/>
            <w:shd w:val="clear" w:color="auto" w:fill="CFF0FC"/>
          </w:tcPr>
          <w:p>
            <w:pPr>
              <w:spacing w:after="0"/>
              <w:rPr>
                <w:sz w:val="8"/>
                <w:szCs w:val="8"/>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8"/>
                <w:szCs w:val="8"/>
                <w:color w:val="auto"/>
              </w:rPr>
              <w:t>33,343</w:t>
            </w:r>
          </w:p>
        </w:tc>
        <w:tc>
          <w:tcPr>
            <w:tcW w:w="6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2240" w:type="dxa"/>
            <w:vAlign w:val="bottom"/>
            <w:gridSpan w:val="4"/>
          </w:tcPr>
          <w:p>
            <w:pPr>
              <w:spacing w:after="0" w:line="91" w:lineRule="exact"/>
              <w:rPr>
                <w:sz w:val="20"/>
                <w:szCs w:val="20"/>
                <w:color w:val="auto"/>
              </w:rPr>
            </w:pPr>
            <w:r>
              <w:rPr>
                <w:rFonts w:ascii="Arial" w:cs="Arial" w:eastAsia="Arial" w:hAnsi="Arial"/>
                <w:sz w:val="8"/>
                <w:szCs w:val="8"/>
                <w:color w:val="auto"/>
              </w:rPr>
              <w:t>Cumulative effect of adoption of the new revenue accounting</w:t>
            </w:r>
          </w:p>
        </w:tc>
        <w:tc>
          <w:tcPr>
            <w:tcW w:w="40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240" w:type="dxa"/>
            <w:vAlign w:val="bottom"/>
          </w:tcPr>
          <w:p>
            <w:pPr>
              <w:spacing w:after="0"/>
              <w:rPr>
                <w:sz w:val="7"/>
                <w:szCs w:val="7"/>
                <w:color w:val="auto"/>
              </w:rPr>
            </w:pPr>
          </w:p>
        </w:tc>
        <w:tc>
          <w:tcPr>
            <w:tcW w:w="2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20" w:type="dxa"/>
            <w:vAlign w:val="bottom"/>
          </w:tcPr>
          <w:p>
            <w:pPr>
              <w:spacing w:after="0"/>
              <w:rPr>
                <w:sz w:val="7"/>
                <w:szCs w:val="7"/>
                <w:color w:val="auto"/>
              </w:rPr>
            </w:pPr>
          </w:p>
        </w:tc>
        <w:tc>
          <w:tcPr>
            <w:tcW w:w="380" w:type="dxa"/>
            <w:vAlign w:val="bottom"/>
          </w:tcPr>
          <w:p>
            <w:pPr>
              <w:spacing w:after="0"/>
              <w:rPr>
                <w:sz w:val="7"/>
                <w:szCs w:val="7"/>
                <w:color w:val="auto"/>
              </w:rPr>
            </w:pPr>
          </w:p>
        </w:tc>
        <w:tc>
          <w:tcPr>
            <w:tcW w:w="280" w:type="dxa"/>
            <w:vAlign w:val="bottom"/>
          </w:tcPr>
          <w:p>
            <w:pPr>
              <w:spacing w:after="0"/>
              <w:rPr>
                <w:sz w:val="7"/>
                <w:szCs w:val="7"/>
                <w:color w:val="auto"/>
              </w:rPr>
            </w:pPr>
          </w:p>
        </w:tc>
        <w:tc>
          <w:tcPr>
            <w:tcW w:w="340" w:type="dxa"/>
            <w:vAlign w:val="bottom"/>
          </w:tcPr>
          <w:p>
            <w:pPr>
              <w:spacing w:after="0"/>
              <w:rPr>
                <w:sz w:val="7"/>
                <w:szCs w:val="7"/>
                <w:color w:val="auto"/>
              </w:rPr>
            </w:pPr>
          </w:p>
        </w:tc>
        <w:tc>
          <w:tcPr>
            <w:tcW w:w="220" w:type="dxa"/>
            <w:vAlign w:val="bottom"/>
          </w:tcPr>
          <w:p>
            <w:pPr>
              <w:spacing w:after="0"/>
              <w:rPr>
                <w:sz w:val="7"/>
                <w:szCs w:val="7"/>
                <w:color w:val="auto"/>
              </w:rPr>
            </w:pPr>
          </w:p>
        </w:tc>
        <w:tc>
          <w:tcPr>
            <w:tcW w:w="38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220" w:type="dxa"/>
            <w:vAlign w:val="bottom"/>
          </w:tcPr>
          <w:p>
            <w:pPr>
              <w:spacing w:after="0"/>
              <w:rPr>
                <w:sz w:val="7"/>
                <w:szCs w:val="7"/>
                <w:color w:val="auto"/>
              </w:rPr>
            </w:pPr>
          </w:p>
        </w:tc>
        <w:tc>
          <w:tcPr>
            <w:tcW w:w="38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44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3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2240" w:type="dxa"/>
            <w:vAlign w:val="bottom"/>
            <w:gridSpan w:val="4"/>
          </w:tcPr>
          <w:p>
            <w:pPr>
              <w:spacing w:after="0"/>
              <w:rPr>
                <w:sz w:val="20"/>
                <w:szCs w:val="20"/>
                <w:color w:val="auto"/>
              </w:rPr>
            </w:pPr>
            <w:r>
              <w:rPr>
                <w:rFonts w:ascii="Arial" w:cs="Arial" w:eastAsia="Arial" w:hAnsi="Arial"/>
                <w:sz w:val="8"/>
                <w:szCs w:val="8"/>
                <w:color w:val="auto"/>
              </w:rPr>
              <w:t>standard</w:t>
            </w:r>
          </w:p>
        </w:tc>
        <w:tc>
          <w:tcPr>
            <w:tcW w:w="400" w:type="dxa"/>
            <w:vAlign w:val="bottom"/>
          </w:tcPr>
          <w:p>
            <w:pPr>
              <w:jc w:val="right"/>
              <w:spacing w:after="0"/>
              <w:rPr>
                <w:sz w:val="20"/>
                <w:szCs w:val="20"/>
                <w:color w:val="auto"/>
              </w:rPr>
            </w:pPr>
            <w:r>
              <w:rPr>
                <w:rFonts w:ascii="Arial" w:cs="Arial" w:eastAsia="Arial" w:hAnsi="Arial"/>
                <w:sz w:val="8"/>
                <w:szCs w:val="8"/>
                <w:color w:val="auto"/>
              </w:rPr>
              <w:t>—</w:t>
            </w: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8"/>
                <w:szCs w:val="8"/>
                <w:color w:val="auto"/>
              </w:rPr>
              <w:t>—</w:t>
            </w:r>
          </w:p>
        </w:tc>
        <w:tc>
          <w:tcPr>
            <w:tcW w:w="240" w:type="dxa"/>
            <w:vAlign w:val="bottom"/>
          </w:tcPr>
          <w:p>
            <w:pPr>
              <w:ind w:left="160"/>
              <w:spacing w:after="0"/>
              <w:rPr>
                <w:sz w:val="20"/>
                <w:szCs w:val="20"/>
                <w:color w:val="auto"/>
              </w:rPr>
            </w:pPr>
            <w:r>
              <w:rPr>
                <w:rFonts w:ascii="Arial" w:cs="Arial" w:eastAsia="Arial" w:hAnsi="Arial"/>
                <w:sz w:val="8"/>
                <w:szCs w:val="8"/>
                <w:color w:val="auto"/>
                <w:w w:val="74"/>
              </w:rPr>
              <w:t>—</w:t>
            </w: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gridSpan w:val="2"/>
          </w:tcPr>
          <w:p>
            <w:pPr>
              <w:ind w:left="60"/>
              <w:spacing w:after="0"/>
              <w:rPr>
                <w:sz w:val="20"/>
                <w:szCs w:val="20"/>
                <w:color w:val="auto"/>
              </w:rPr>
            </w:pPr>
            <w:r>
              <w:rPr>
                <w:rFonts w:ascii="Arial" w:cs="Arial" w:eastAsia="Arial" w:hAnsi="Arial"/>
                <w:sz w:val="8"/>
                <w:szCs w:val="8"/>
                <w:color w:val="auto"/>
              </w:rPr>
              <w:t>—</w:t>
            </w:r>
          </w:p>
        </w:tc>
        <w:tc>
          <w:tcPr>
            <w:tcW w:w="380" w:type="dxa"/>
            <w:vAlign w:val="bottom"/>
          </w:tcPr>
          <w:p>
            <w:pPr>
              <w:jc w:val="right"/>
              <w:spacing w:after="0"/>
              <w:rPr>
                <w:sz w:val="20"/>
                <w:szCs w:val="20"/>
                <w:color w:val="auto"/>
              </w:rPr>
            </w:pPr>
            <w:r>
              <w:rPr>
                <w:rFonts w:ascii="Arial" w:cs="Arial" w:eastAsia="Arial" w:hAnsi="Arial"/>
                <w:sz w:val="8"/>
                <w:szCs w:val="8"/>
                <w:color w:val="auto"/>
              </w:rPr>
              <w:t>—</w:t>
            </w:r>
          </w:p>
        </w:tc>
        <w:tc>
          <w:tcPr>
            <w:tcW w:w="280" w:type="dxa"/>
            <w:vAlign w:val="bottom"/>
          </w:tcPr>
          <w:p>
            <w:pPr>
              <w:spacing w:after="0"/>
              <w:rPr>
                <w:sz w:val="8"/>
                <w:szCs w:val="8"/>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8"/>
                <w:szCs w:val="8"/>
                <w:color w:val="auto"/>
              </w:rPr>
              <w:t>—</w:t>
            </w:r>
          </w:p>
        </w:tc>
        <w:tc>
          <w:tcPr>
            <w:tcW w:w="600" w:type="dxa"/>
            <w:vAlign w:val="bottom"/>
            <w:gridSpan w:val="2"/>
          </w:tcPr>
          <w:p>
            <w:pPr>
              <w:jc w:val="right"/>
              <w:ind w:right="240"/>
              <w:spacing w:after="0"/>
              <w:rPr>
                <w:sz w:val="20"/>
                <w:szCs w:val="20"/>
                <w:color w:val="auto"/>
              </w:rPr>
            </w:pPr>
            <w:r>
              <w:rPr>
                <w:rFonts w:ascii="Arial" w:cs="Arial" w:eastAsia="Arial" w:hAnsi="Arial"/>
                <w:sz w:val="8"/>
                <w:szCs w:val="8"/>
                <w:color w:val="auto"/>
              </w:rPr>
              <w:t>—</w:t>
            </w:r>
          </w:p>
        </w:tc>
        <w:tc>
          <w:tcPr>
            <w:tcW w:w="60" w:type="dxa"/>
            <w:vAlign w:val="bottom"/>
          </w:tcPr>
          <w:p>
            <w:pPr>
              <w:spacing w:after="0"/>
              <w:rPr>
                <w:sz w:val="8"/>
                <w:szCs w:val="8"/>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8"/>
                <w:szCs w:val="8"/>
                <w:color w:val="auto"/>
              </w:rPr>
              <w:t>—</w:t>
            </w:r>
          </w:p>
        </w:tc>
        <w:tc>
          <w:tcPr>
            <w:tcW w:w="380" w:type="dxa"/>
            <w:vAlign w:val="bottom"/>
          </w:tcPr>
          <w:p>
            <w:pPr>
              <w:jc w:val="right"/>
              <w:spacing w:after="0"/>
              <w:rPr>
                <w:sz w:val="20"/>
                <w:szCs w:val="20"/>
                <w:color w:val="auto"/>
              </w:rPr>
            </w:pPr>
            <w:r>
              <w:rPr>
                <w:rFonts w:ascii="Arial" w:cs="Arial" w:eastAsia="Arial" w:hAnsi="Arial"/>
                <w:sz w:val="8"/>
                <w:szCs w:val="8"/>
                <w:color w:val="auto"/>
              </w:rPr>
              <w:t>—</w:t>
            </w: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8"/>
                <w:szCs w:val="8"/>
                <w:color w:val="auto"/>
              </w:rPr>
              <w:t>—</w:t>
            </w:r>
          </w:p>
        </w:tc>
        <w:tc>
          <w:tcPr>
            <w:tcW w:w="140" w:type="dxa"/>
            <w:vAlign w:val="bottom"/>
          </w:tcPr>
          <w:p>
            <w:pPr>
              <w:spacing w:after="0"/>
              <w:rPr>
                <w:sz w:val="8"/>
                <w:szCs w:val="8"/>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8"/>
                <w:szCs w:val="8"/>
                <w:color w:val="auto"/>
              </w:rPr>
              <w:t>—</w:t>
            </w:r>
          </w:p>
        </w:tc>
        <w:tc>
          <w:tcPr>
            <w:tcW w:w="60" w:type="dxa"/>
            <w:vAlign w:val="bottom"/>
          </w:tcPr>
          <w:p>
            <w:pPr>
              <w:spacing w:after="0"/>
              <w:rPr>
                <w:sz w:val="8"/>
                <w:szCs w:val="8"/>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8"/>
                <w:szCs w:val="8"/>
                <w:color w:val="auto"/>
              </w:rPr>
              <w:t>—</w:t>
            </w:r>
          </w:p>
        </w:tc>
        <w:tc>
          <w:tcPr>
            <w:tcW w:w="160" w:type="dxa"/>
            <w:vAlign w:val="bottom"/>
          </w:tcPr>
          <w:p>
            <w:pPr>
              <w:spacing w:after="0"/>
              <w:rPr>
                <w:sz w:val="8"/>
                <w:szCs w:val="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8"/>
                <w:szCs w:val="8"/>
                <w:color w:val="auto"/>
              </w:rPr>
              <w:t>(257)</w:t>
            </w:r>
          </w:p>
        </w:tc>
        <w:tc>
          <w:tcPr>
            <w:tcW w:w="100" w:type="dxa"/>
            <w:vAlign w:val="bottom"/>
          </w:tcPr>
          <w:p>
            <w:pPr>
              <w:spacing w:after="0"/>
              <w:rPr>
                <w:sz w:val="8"/>
                <w:szCs w:val="8"/>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8"/>
                <w:szCs w:val="8"/>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8"/>
                <w:szCs w:val="8"/>
                <w:color w:val="auto"/>
              </w:rPr>
              <w:t>(257)</w:t>
            </w:r>
          </w:p>
        </w:tc>
        <w:tc>
          <w:tcPr>
            <w:tcW w:w="0" w:type="dxa"/>
            <w:vAlign w:val="bottom"/>
          </w:tcPr>
          <w:p>
            <w:pPr>
              <w:spacing w:after="0"/>
              <w:rPr>
                <w:sz w:val="1"/>
                <w:szCs w:val="1"/>
                <w:color w:val="auto"/>
              </w:rPr>
            </w:pPr>
          </w:p>
        </w:tc>
      </w:tr>
      <w:tr>
        <w:trPr>
          <w:trHeight w:val="99"/>
        </w:trPr>
        <w:tc>
          <w:tcPr>
            <w:tcW w:w="2240" w:type="dxa"/>
            <w:vAlign w:val="bottom"/>
            <w:gridSpan w:val="4"/>
            <w:shd w:val="clear" w:color="auto" w:fill="CFF0FC"/>
          </w:tcPr>
          <w:p>
            <w:pPr>
              <w:spacing w:after="0"/>
              <w:rPr>
                <w:sz w:val="20"/>
                <w:szCs w:val="20"/>
                <w:color w:val="auto"/>
              </w:rPr>
            </w:pPr>
            <w:r>
              <w:rPr>
                <w:rFonts w:ascii="Arial" w:cs="Arial" w:eastAsia="Arial" w:hAnsi="Arial"/>
                <w:sz w:val="8"/>
                <w:szCs w:val="8"/>
                <w:color w:val="auto"/>
              </w:rPr>
              <w:t>Adjustment to equity infusion from Gores</w:t>
            </w:r>
          </w:p>
        </w:tc>
        <w:tc>
          <w:tcPr>
            <w:tcW w:w="400" w:type="dxa"/>
            <w:vAlign w:val="bottom"/>
            <w:shd w:val="clear" w:color="auto" w:fill="CFF0FC"/>
          </w:tcPr>
          <w:p>
            <w:pPr>
              <w:jc w:val="right"/>
              <w:spacing w:after="0"/>
              <w:rPr>
                <w:sz w:val="20"/>
                <w:szCs w:val="20"/>
                <w:color w:val="auto"/>
              </w:rPr>
            </w:pPr>
            <w:r>
              <w:rPr>
                <w:rFonts w:ascii="Arial" w:cs="Arial" w:eastAsia="Arial" w:hAnsi="Arial"/>
                <w:sz w:val="8"/>
                <w:szCs w:val="8"/>
                <w:color w:val="auto"/>
              </w:rPr>
              <w:t>—</w:t>
            </w:r>
          </w:p>
        </w:tc>
        <w:tc>
          <w:tcPr>
            <w:tcW w:w="24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580" w:type="dxa"/>
            <w:vAlign w:val="bottom"/>
            <w:gridSpan w:val="2"/>
            <w:shd w:val="clear" w:color="auto" w:fill="CFF0FC"/>
          </w:tcPr>
          <w:p>
            <w:pPr>
              <w:jc w:val="right"/>
              <w:ind w:right="240"/>
              <w:spacing w:after="0"/>
              <w:rPr>
                <w:sz w:val="20"/>
                <w:szCs w:val="20"/>
                <w:color w:val="auto"/>
              </w:rPr>
            </w:pPr>
            <w:r>
              <w:rPr>
                <w:rFonts w:ascii="Arial" w:cs="Arial" w:eastAsia="Arial" w:hAnsi="Arial"/>
                <w:sz w:val="8"/>
                <w:szCs w:val="8"/>
                <w:color w:val="auto"/>
              </w:rPr>
              <w:t>—</w:t>
            </w:r>
          </w:p>
        </w:tc>
        <w:tc>
          <w:tcPr>
            <w:tcW w:w="240" w:type="dxa"/>
            <w:vAlign w:val="bottom"/>
            <w:shd w:val="clear" w:color="auto" w:fill="CFF0FC"/>
          </w:tcPr>
          <w:p>
            <w:pPr>
              <w:ind w:left="160"/>
              <w:spacing w:after="0"/>
              <w:rPr>
                <w:sz w:val="20"/>
                <w:szCs w:val="20"/>
                <w:color w:val="auto"/>
              </w:rPr>
            </w:pPr>
            <w:r>
              <w:rPr>
                <w:rFonts w:ascii="Arial" w:cs="Arial" w:eastAsia="Arial" w:hAnsi="Arial"/>
                <w:sz w:val="8"/>
                <w:szCs w:val="8"/>
                <w:color w:val="auto"/>
                <w:w w:val="74"/>
              </w:rPr>
              <w:t>—</w:t>
            </w:r>
          </w:p>
        </w:tc>
        <w:tc>
          <w:tcPr>
            <w:tcW w:w="24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380" w:type="dxa"/>
            <w:vAlign w:val="bottom"/>
            <w:gridSpan w:val="2"/>
            <w:shd w:val="clear" w:color="auto" w:fill="CFF0FC"/>
          </w:tcPr>
          <w:p>
            <w:pPr>
              <w:ind w:left="60"/>
              <w:spacing w:after="0"/>
              <w:rPr>
                <w:sz w:val="20"/>
                <w:szCs w:val="20"/>
                <w:color w:val="auto"/>
              </w:rPr>
            </w:pPr>
            <w:r>
              <w:rPr>
                <w:rFonts w:ascii="Arial" w:cs="Arial" w:eastAsia="Arial" w:hAnsi="Arial"/>
                <w:sz w:val="8"/>
                <w:szCs w:val="8"/>
                <w:color w:val="auto"/>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8"/>
                <w:szCs w:val="8"/>
                <w:color w:val="auto"/>
              </w:rPr>
              <w:t>—</w:t>
            </w:r>
          </w:p>
        </w:tc>
        <w:tc>
          <w:tcPr>
            <w:tcW w:w="280" w:type="dxa"/>
            <w:vAlign w:val="bottom"/>
            <w:tcBorders>
              <w:right w:val="single" w:sz="8" w:color="CFF0FC"/>
            </w:tcBorders>
            <w:shd w:val="clear" w:color="auto" w:fill="CFF0FC"/>
          </w:tcPr>
          <w:p>
            <w:pPr>
              <w:spacing w:after="0"/>
              <w:rPr>
                <w:sz w:val="8"/>
                <w:szCs w:val="8"/>
                <w:color w:val="auto"/>
              </w:rPr>
            </w:pPr>
          </w:p>
        </w:tc>
        <w:tc>
          <w:tcPr>
            <w:tcW w:w="560" w:type="dxa"/>
            <w:vAlign w:val="bottom"/>
            <w:gridSpan w:val="2"/>
            <w:shd w:val="clear" w:color="auto" w:fill="CFF0FC"/>
          </w:tcPr>
          <w:p>
            <w:pPr>
              <w:jc w:val="right"/>
              <w:ind w:right="220"/>
              <w:spacing w:after="0"/>
              <w:rPr>
                <w:sz w:val="20"/>
                <w:szCs w:val="20"/>
                <w:color w:val="auto"/>
              </w:rPr>
            </w:pPr>
            <w:r>
              <w:rPr>
                <w:rFonts w:ascii="Arial" w:cs="Arial" w:eastAsia="Arial" w:hAnsi="Arial"/>
                <w:sz w:val="8"/>
                <w:szCs w:val="8"/>
                <w:color w:val="auto"/>
              </w:rPr>
              <w:t>—</w:t>
            </w:r>
          </w:p>
        </w:tc>
        <w:tc>
          <w:tcPr>
            <w:tcW w:w="600" w:type="dxa"/>
            <w:vAlign w:val="bottom"/>
            <w:gridSpan w:val="2"/>
            <w:shd w:val="clear" w:color="auto" w:fill="CFF0FC"/>
          </w:tcPr>
          <w:p>
            <w:pPr>
              <w:jc w:val="right"/>
              <w:ind w:right="240"/>
              <w:spacing w:after="0"/>
              <w:rPr>
                <w:sz w:val="20"/>
                <w:szCs w:val="20"/>
                <w:color w:val="auto"/>
              </w:rPr>
            </w:pPr>
            <w:r>
              <w:rPr>
                <w:rFonts w:ascii="Arial" w:cs="Arial" w:eastAsia="Arial" w:hAnsi="Arial"/>
                <w:sz w:val="8"/>
                <w:szCs w:val="8"/>
                <w:color w:val="auto"/>
              </w:rPr>
              <w:t>—</w:t>
            </w:r>
          </w:p>
        </w:tc>
        <w:tc>
          <w:tcPr>
            <w:tcW w:w="60" w:type="dxa"/>
            <w:vAlign w:val="bottom"/>
            <w:shd w:val="clear" w:color="auto" w:fill="CFF0FC"/>
          </w:tcPr>
          <w:p>
            <w:pPr>
              <w:spacing w:after="0"/>
              <w:rPr>
                <w:sz w:val="8"/>
                <w:szCs w:val="8"/>
                <w:color w:val="auto"/>
              </w:rPr>
            </w:pPr>
          </w:p>
        </w:tc>
        <w:tc>
          <w:tcPr>
            <w:tcW w:w="560" w:type="dxa"/>
            <w:vAlign w:val="bottom"/>
            <w:gridSpan w:val="2"/>
            <w:shd w:val="clear" w:color="auto" w:fill="CFF0FC"/>
          </w:tcPr>
          <w:p>
            <w:pPr>
              <w:jc w:val="right"/>
              <w:ind w:right="220"/>
              <w:spacing w:after="0"/>
              <w:rPr>
                <w:sz w:val="20"/>
                <w:szCs w:val="20"/>
                <w:color w:val="auto"/>
              </w:rPr>
            </w:pPr>
            <w:r>
              <w:rPr>
                <w:rFonts w:ascii="Arial" w:cs="Arial" w:eastAsia="Arial" w:hAnsi="Arial"/>
                <w:sz w:val="8"/>
                <w:szCs w:val="8"/>
                <w:color w:val="auto"/>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8"/>
                <w:szCs w:val="8"/>
                <w:color w:val="auto"/>
              </w:rPr>
              <w:t>—</w:t>
            </w:r>
          </w:p>
        </w:tc>
        <w:tc>
          <w:tcPr>
            <w:tcW w:w="22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480" w:type="dxa"/>
            <w:vAlign w:val="bottom"/>
            <w:gridSpan w:val="2"/>
            <w:shd w:val="clear" w:color="auto" w:fill="CFF0FC"/>
          </w:tcPr>
          <w:p>
            <w:pPr>
              <w:jc w:val="right"/>
              <w:ind w:right="120"/>
              <w:spacing w:after="0"/>
              <w:rPr>
                <w:sz w:val="20"/>
                <w:szCs w:val="20"/>
                <w:color w:val="auto"/>
              </w:rPr>
            </w:pPr>
            <w:r>
              <w:rPr>
                <w:rFonts w:ascii="Arial" w:cs="Arial" w:eastAsia="Arial" w:hAnsi="Arial"/>
                <w:sz w:val="8"/>
                <w:szCs w:val="8"/>
                <w:color w:val="auto"/>
              </w:rPr>
              <w:t>—</w:t>
            </w:r>
          </w:p>
        </w:tc>
        <w:tc>
          <w:tcPr>
            <w:tcW w:w="140" w:type="dxa"/>
            <w:vAlign w:val="bottom"/>
            <w:tcBorders>
              <w:right w:val="single" w:sz="8" w:color="CFF0FC"/>
            </w:tcBorders>
            <w:shd w:val="clear" w:color="auto" w:fill="CFF0FC"/>
          </w:tcPr>
          <w:p>
            <w:pPr>
              <w:spacing w:after="0"/>
              <w:rPr>
                <w:sz w:val="8"/>
                <w:szCs w:val="8"/>
                <w:color w:val="auto"/>
              </w:rPr>
            </w:pPr>
          </w:p>
        </w:tc>
        <w:tc>
          <w:tcPr>
            <w:tcW w:w="660" w:type="dxa"/>
            <w:vAlign w:val="bottom"/>
            <w:gridSpan w:val="2"/>
            <w:shd w:val="clear" w:color="auto" w:fill="CFF0FC"/>
          </w:tcPr>
          <w:p>
            <w:pPr>
              <w:jc w:val="right"/>
              <w:ind w:right="240"/>
              <w:spacing w:after="0"/>
              <w:rPr>
                <w:sz w:val="20"/>
                <w:szCs w:val="20"/>
                <w:color w:val="auto"/>
              </w:rPr>
            </w:pPr>
            <w:r>
              <w:rPr>
                <w:rFonts w:ascii="Arial" w:cs="Arial" w:eastAsia="Arial" w:hAnsi="Arial"/>
                <w:sz w:val="8"/>
                <w:szCs w:val="8"/>
                <w:color w:val="auto"/>
              </w:rPr>
              <w:t>—</w:t>
            </w:r>
          </w:p>
        </w:tc>
        <w:tc>
          <w:tcPr>
            <w:tcW w:w="60" w:type="dxa"/>
            <w:vAlign w:val="bottom"/>
            <w:shd w:val="clear" w:color="auto" w:fill="CFF0FC"/>
          </w:tcPr>
          <w:p>
            <w:pPr>
              <w:spacing w:after="0"/>
              <w:rPr>
                <w:sz w:val="8"/>
                <w:szCs w:val="8"/>
                <w:color w:val="auto"/>
              </w:rPr>
            </w:pPr>
          </w:p>
        </w:tc>
        <w:tc>
          <w:tcPr>
            <w:tcW w:w="480" w:type="dxa"/>
            <w:vAlign w:val="bottom"/>
            <w:gridSpan w:val="2"/>
            <w:shd w:val="clear" w:color="auto" w:fill="CFF0FC"/>
          </w:tcPr>
          <w:p>
            <w:pPr>
              <w:jc w:val="right"/>
              <w:ind w:right="100"/>
              <w:spacing w:after="0"/>
              <w:rPr>
                <w:sz w:val="20"/>
                <w:szCs w:val="20"/>
                <w:color w:val="auto"/>
              </w:rPr>
            </w:pPr>
            <w:r>
              <w:rPr>
                <w:rFonts w:ascii="Arial" w:cs="Arial" w:eastAsia="Arial" w:hAnsi="Arial"/>
                <w:sz w:val="8"/>
                <w:szCs w:val="8"/>
                <w:color w:val="auto"/>
              </w:rPr>
              <w:t>(7,001)</w:t>
            </w:r>
          </w:p>
        </w:tc>
        <w:tc>
          <w:tcPr>
            <w:tcW w:w="160" w:type="dxa"/>
            <w:vAlign w:val="bottom"/>
            <w:tcBorders>
              <w:right w:val="single" w:sz="8" w:color="CFF0FC"/>
            </w:tcBorders>
            <w:shd w:val="clear" w:color="auto" w:fill="CFF0FC"/>
          </w:tcPr>
          <w:p>
            <w:pPr>
              <w:spacing w:after="0"/>
              <w:rPr>
                <w:sz w:val="8"/>
                <w:szCs w:val="8"/>
                <w:color w:val="auto"/>
              </w:rPr>
            </w:pPr>
          </w:p>
        </w:tc>
        <w:tc>
          <w:tcPr>
            <w:tcW w:w="600" w:type="dxa"/>
            <w:vAlign w:val="bottom"/>
            <w:gridSpan w:val="2"/>
            <w:shd w:val="clear" w:color="auto" w:fill="CFF0FC"/>
          </w:tcPr>
          <w:p>
            <w:pPr>
              <w:jc w:val="right"/>
              <w:ind w:right="220"/>
              <w:spacing w:after="0"/>
              <w:rPr>
                <w:sz w:val="20"/>
                <w:szCs w:val="20"/>
                <w:color w:val="auto"/>
              </w:rPr>
            </w:pPr>
            <w:r>
              <w:rPr>
                <w:rFonts w:ascii="Arial" w:cs="Arial" w:eastAsia="Arial" w:hAnsi="Arial"/>
                <w:sz w:val="8"/>
                <w:szCs w:val="8"/>
                <w:color w:val="auto"/>
              </w:rPr>
              <w:t>—</w:t>
            </w:r>
          </w:p>
        </w:tc>
        <w:tc>
          <w:tcPr>
            <w:tcW w:w="100" w:type="dxa"/>
            <w:vAlign w:val="bottom"/>
            <w:shd w:val="clear" w:color="auto" w:fill="CFF0FC"/>
          </w:tcPr>
          <w:p>
            <w:pPr>
              <w:spacing w:after="0"/>
              <w:rPr>
                <w:sz w:val="8"/>
                <w:szCs w:val="8"/>
                <w:color w:val="auto"/>
              </w:rPr>
            </w:pPr>
          </w:p>
        </w:tc>
        <w:tc>
          <w:tcPr>
            <w:tcW w:w="640" w:type="dxa"/>
            <w:vAlign w:val="bottom"/>
            <w:gridSpan w:val="2"/>
            <w:shd w:val="clear" w:color="auto" w:fill="CFF0FC"/>
          </w:tcPr>
          <w:p>
            <w:pPr>
              <w:jc w:val="right"/>
              <w:ind w:right="220"/>
              <w:spacing w:after="0"/>
              <w:rPr>
                <w:sz w:val="20"/>
                <w:szCs w:val="20"/>
                <w:color w:val="auto"/>
              </w:rPr>
            </w:pPr>
            <w:r>
              <w:rPr>
                <w:rFonts w:ascii="Arial" w:cs="Arial" w:eastAsia="Arial" w:hAnsi="Arial"/>
                <w:sz w:val="8"/>
                <w:szCs w:val="8"/>
                <w:color w:val="auto"/>
              </w:rPr>
              <w:t>—</w:t>
            </w:r>
          </w:p>
        </w:tc>
        <w:tc>
          <w:tcPr>
            <w:tcW w:w="80" w:type="dxa"/>
            <w:vAlign w:val="bottom"/>
            <w:shd w:val="clear" w:color="auto" w:fill="CFF0FC"/>
          </w:tcPr>
          <w:p>
            <w:pPr>
              <w:spacing w:after="0"/>
              <w:rPr>
                <w:sz w:val="8"/>
                <w:szCs w:val="8"/>
                <w:color w:val="auto"/>
              </w:rPr>
            </w:pPr>
          </w:p>
        </w:tc>
        <w:tc>
          <w:tcPr>
            <w:tcW w:w="460" w:type="dxa"/>
            <w:vAlign w:val="bottom"/>
            <w:gridSpan w:val="2"/>
            <w:shd w:val="clear" w:color="auto" w:fill="CFF0FC"/>
          </w:tcPr>
          <w:p>
            <w:pPr>
              <w:jc w:val="right"/>
              <w:ind w:right="40"/>
              <w:spacing w:after="0"/>
              <w:rPr>
                <w:sz w:val="20"/>
                <w:szCs w:val="20"/>
                <w:color w:val="auto"/>
              </w:rPr>
            </w:pPr>
            <w:r>
              <w:rPr>
                <w:rFonts w:ascii="Arial" w:cs="Arial" w:eastAsia="Arial" w:hAnsi="Arial"/>
                <w:sz w:val="8"/>
                <w:szCs w:val="8"/>
                <w:color w:val="auto"/>
              </w:rPr>
              <w:t>(7,001)</w:t>
            </w:r>
          </w:p>
        </w:tc>
        <w:tc>
          <w:tcPr>
            <w:tcW w:w="0" w:type="dxa"/>
            <w:vAlign w:val="bottom"/>
          </w:tcPr>
          <w:p>
            <w:pPr>
              <w:spacing w:after="0"/>
              <w:rPr>
                <w:sz w:val="1"/>
                <w:szCs w:val="1"/>
                <w:color w:val="auto"/>
              </w:rPr>
            </w:pPr>
          </w:p>
        </w:tc>
      </w:tr>
      <w:tr>
        <w:trPr>
          <w:trHeight w:val="99"/>
        </w:trPr>
        <w:tc>
          <w:tcPr>
            <w:tcW w:w="2240" w:type="dxa"/>
            <w:vAlign w:val="bottom"/>
            <w:gridSpan w:val="4"/>
          </w:tcPr>
          <w:p>
            <w:pPr>
              <w:spacing w:after="0"/>
              <w:rPr>
                <w:sz w:val="20"/>
                <w:szCs w:val="20"/>
                <w:color w:val="auto"/>
              </w:rPr>
            </w:pPr>
            <w:r>
              <w:rPr>
                <w:rFonts w:ascii="Arial" w:cs="Arial" w:eastAsia="Arial" w:hAnsi="Arial"/>
                <w:sz w:val="8"/>
                <w:szCs w:val="8"/>
                <w:color w:val="auto"/>
              </w:rPr>
              <w:t>Adjustment to tax receivable agreement liability</w:t>
            </w:r>
          </w:p>
        </w:tc>
        <w:tc>
          <w:tcPr>
            <w:tcW w:w="400" w:type="dxa"/>
            <w:vAlign w:val="bottom"/>
          </w:tcPr>
          <w:p>
            <w:pPr>
              <w:jc w:val="right"/>
              <w:spacing w:after="0"/>
              <w:rPr>
                <w:sz w:val="20"/>
                <w:szCs w:val="20"/>
                <w:color w:val="auto"/>
              </w:rPr>
            </w:pPr>
            <w:r>
              <w:rPr>
                <w:rFonts w:ascii="Arial" w:cs="Arial" w:eastAsia="Arial" w:hAnsi="Arial"/>
                <w:sz w:val="8"/>
                <w:szCs w:val="8"/>
                <w:color w:val="auto"/>
              </w:rPr>
              <w:t>—</w:t>
            </w: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8"/>
                <w:szCs w:val="8"/>
                <w:color w:val="auto"/>
              </w:rPr>
              <w:t>—</w:t>
            </w:r>
          </w:p>
        </w:tc>
        <w:tc>
          <w:tcPr>
            <w:tcW w:w="240" w:type="dxa"/>
            <w:vAlign w:val="bottom"/>
          </w:tcPr>
          <w:p>
            <w:pPr>
              <w:ind w:left="160"/>
              <w:spacing w:after="0"/>
              <w:rPr>
                <w:sz w:val="20"/>
                <w:szCs w:val="20"/>
                <w:color w:val="auto"/>
              </w:rPr>
            </w:pPr>
            <w:r>
              <w:rPr>
                <w:rFonts w:ascii="Arial" w:cs="Arial" w:eastAsia="Arial" w:hAnsi="Arial"/>
                <w:sz w:val="8"/>
                <w:szCs w:val="8"/>
                <w:color w:val="auto"/>
                <w:w w:val="74"/>
              </w:rPr>
              <w:t>—</w:t>
            </w: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gridSpan w:val="2"/>
          </w:tcPr>
          <w:p>
            <w:pPr>
              <w:ind w:left="60"/>
              <w:spacing w:after="0"/>
              <w:rPr>
                <w:sz w:val="20"/>
                <w:szCs w:val="20"/>
                <w:color w:val="auto"/>
              </w:rPr>
            </w:pPr>
            <w:r>
              <w:rPr>
                <w:rFonts w:ascii="Arial" w:cs="Arial" w:eastAsia="Arial" w:hAnsi="Arial"/>
                <w:sz w:val="8"/>
                <w:szCs w:val="8"/>
                <w:color w:val="auto"/>
              </w:rPr>
              <w:t>—</w:t>
            </w:r>
          </w:p>
        </w:tc>
        <w:tc>
          <w:tcPr>
            <w:tcW w:w="380" w:type="dxa"/>
            <w:vAlign w:val="bottom"/>
          </w:tcPr>
          <w:p>
            <w:pPr>
              <w:jc w:val="right"/>
              <w:spacing w:after="0"/>
              <w:rPr>
                <w:sz w:val="20"/>
                <w:szCs w:val="20"/>
                <w:color w:val="auto"/>
              </w:rPr>
            </w:pPr>
            <w:r>
              <w:rPr>
                <w:rFonts w:ascii="Arial" w:cs="Arial" w:eastAsia="Arial" w:hAnsi="Arial"/>
                <w:sz w:val="8"/>
                <w:szCs w:val="8"/>
                <w:color w:val="auto"/>
              </w:rPr>
              <w:t>—</w:t>
            </w:r>
          </w:p>
        </w:tc>
        <w:tc>
          <w:tcPr>
            <w:tcW w:w="280" w:type="dxa"/>
            <w:vAlign w:val="bottom"/>
          </w:tcPr>
          <w:p>
            <w:pPr>
              <w:spacing w:after="0"/>
              <w:rPr>
                <w:sz w:val="8"/>
                <w:szCs w:val="8"/>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8"/>
                <w:szCs w:val="8"/>
                <w:color w:val="auto"/>
              </w:rPr>
              <w:t>—</w:t>
            </w:r>
          </w:p>
        </w:tc>
        <w:tc>
          <w:tcPr>
            <w:tcW w:w="600" w:type="dxa"/>
            <w:vAlign w:val="bottom"/>
            <w:gridSpan w:val="2"/>
          </w:tcPr>
          <w:p>
            <w:pPr>
              <w:jc w:val="right"/>
              <w:ind w:right="240"/>
              <w:spacing w:after="0"/>
              <w:rPr>
                <w:sz w:val="20"/>
                <w:szCs w:val="20"/>
                <w:color w:val="auto"/>
              </w:rPr>
            </w:pPr>
            <w:r>
              <w:rPr>
                <w:rFonts w:ascii="Arial" w:cs="Arial" w:eastAsia="Arial" w:hAnsi="Arial"/>
                <w:sz w:val="8"/>
                <w:szCs w:val="8"/>
                <w:color w:val="auto"/>
              </w:rPr>
              <w:t>—</w:t>
            </w:r>
          </w:p>
        </w:tc>
        <w:tc>
          <w:tcPr>
            <w:tcW w:w="60" w:type="dxa"/>
            <w:vAlign w:val="bottom"/>
          </w:tcPr>
          <w:p>
            <w:pPr>
              <w:spacing w:after="0"/>
              <w:rPr>
                <w:sz w:val="8"/>
                <w:szCs w:val="8"/>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8"/>
                <w:szCs w:val="8"/>
                <w:color w:val="auto"/>
              </w:rPr>
              <w:t>—</w:t>
            </w:r>
          </w:p>
        </w:tc>
        <w:tc>
          <w:tcPr>
            <w:tcW w:w="380" w:type="dxa"/>
            <w:vAlign w:val="bottom"/>
          </w:tcPr>
          <w:p>
            <w:pPr>
              <w:jc w:val="right"/>
              <w:spacing w:after="0"/>
              <w:rPr>
                <w:sz w:val="20"/>
                <w:szCs w:val="20"/>
                <w:color w:val="auto"/>
              </w:rPr>
            </w:pPr>
            <w:r>
              <w:rPr>
                <w:rFonts w:ascii="Arial" w:cs="Arial" w:eastAsia="Arial" w:hAnsi="Arial"/>
                <w:sz w:val="8"/>
                <w:szCs w:val="8"/>
                <w:color w:val="auto"/>
              </w:rPr>
              <w:t>—</w:t>
            </w: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8"/>
                <w:szCs w:val="8"/>
                <w:color w:val="auto"/>
              </w:rPr>
              <w:t>—</w:t>
            </w:r>
          </w:p>
        </w:tc>
        <w:tc>
          <w:tcPr>
            <w:tcW w:w="140" w:type="dxa"/>
            <w:vAlign w:val="bottom"/>
          </w:tcPr>
          <w:p>
            <w:pPr>
              <w:spacing w:after="0"/>
              <w:rPr>
                <w:sz w:val="8"/>
                <w:szCs w:val="8"/>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8"/>
                <w:szCs w:val="8"/>
                <w:color w:val="auto"/>
              </w:rPr>
              <w:t>—</w:t>
            </w:r>
          </w:p>
        </w:tc>
        <w:tc>
          <w:tcPr>
            <w:tcW w:w="60" w:type="dxa"/>
            <w:vAlign w:val="bottom"/>
          </w:tcPr>
          <w:p>
            <w:pPr>
              <w:spacing w:after="0"/>
              <w:rPr>
                <w:sz w:val="8"/>
                <w:szCs w:val="8"/>
                <w:color w:val="auto"/>
              </w:rPr>
            </w:pPr>
          </w:p>
        </w:tc>
        <w:tc>
          <w:tcPr>
            <w:tcW w:w="360" w:type="dxa"/>
            <w:vAlign w:val="bottom"/>
          </w:tcPr>
          <w:p>
            <w:pPr>
              <w:jc w:val="right"/>
              <w:spacing w:after="0"/>
              <w:rPr>
                <w:sz w:val="20"/>
                <w:szCs w:val="20"/>
                <w:color w:val="auto"/>
              </w:rPr>
            </w:pPr>
            <w:r>
              <w:rPr>
                <w:rFonts w:ascii="Arial" w:cs="Arial" w:eastAsia="Arial" w:hAnsi="Arial"/>
                <w:sz w:val="8"/>
                <w:szCs w:val="8"/>
                <w:color w:val="auto"/>
              </w:rPr>
              <w:t>2,940</w:t>
            </w: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8"/>
                <w:szCs w:val="8"/>
                <w:color w:val="auto"/>
              </w:rPr>
              <w:t>—</w:t>
            </w:r>
          </w:p>
        </w:tc>
        <w:tc>
          <w:tcPr>
            <w:tcW w:w="100" w:type="dxa"/>
            <w:vAlign w:val="bottom"/>
          </w:tcPr>
          <w:p>
            <w:pPr>
              <w:spacing w:after="0"/>
              <w:rPr>
                <w:sz w:val="8"/>
                <w:szCs w:val="8"/>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8"/>
                <w:szCs w:val="8"/>
                <w:color w:val="auto"/>
              </w:rPr>
            </w:pPr>
          </w:p>
        </w:tc>
        <w:tc>
          <w:tcPr>
            <w:tcW w:w="400" w:type="dxa"/>
            <w:vAlign w:val="bottom"/>
          </w:tcPr>
          <w:p>
            <w:pPr>
              <w:jc w:val="right"/>
              <w:spacing w:after="0"/>
              <w:rPr>
                <w:sz w:val="20"/>
                <w:szCs w:val="20"/>
                <w:color w:val="auto"/>
              </w:rPr>
            </w:pPr>
            <w:r>
              <w:rPr>
                <w:rFonts w:ascii="Arial" w:cs="Arial" w:eastAsia="Arial" w:hAnsi="Arial"/>
                <w:sz w:val="8"/>
                <w:szCs w:val="8"/>
                <w:color w:val="auto"/>
              </w:rPr>
              <w:t>2,940</w:t>
            </w: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240" w:type="dxa"/>
            <w:vAlign w:val="bottom"/>
            <w:gridSpan w:val="4"/>
            <w:shd w:val="clear" w:color="auto" w:fill="CFF0FC"/>
          </w:tcPr>
          <w:p>
            <w:pPr>
              <w:spacing w:after="0"/>
              <w:rPr>
                <w:sz w:val="20"/>
                <w:szCs w:val="20"/>
                <w:color w:val="auto"/>
              </w:rPr>
            </w:pPr>
            <w:r>
              <w:rPr>
                <w:rFonts w:ascii="Arial" w:cs="Arial" w:eastAsia="Arial" w:hAnsi="Arial"/>
                <w:sz w:val="8"/>
                <w:szCs w:val="8"/>
                <w:color w:val="auto"/>
              </w:rPr>
              <w:t>Earn-out shares issued to Platinum Stockholder</w:t>
            </w:r>
          </w:p>
        </w:tc>
        <w:tc>
          <w:tcPr>
            <w:tcW w:w="400" w:type="dxa"/>
            <w:vAlign w:val="bottom"/>
            <w:shd w:val="clear" w:color="auto" w:fill="CFF0FC"/>
          </w:tcPr>
          <w:p>
            <w:pPr>
              <w:jc w:val="right"/>
              <w:spacing w:after="0"/>
              <w:rPr>
                <w:sz w:val="20"/>
                <w:szCs w:val="20"/>
                <w:color w:val="auto"/>
              </w:rPr>
            </w:pPr>
            <w:r>
              <w:rPr>
                <w:rFonts w:ascii="Arial" w:cs="Arial" w:eastAsia="Arial" w:hAnsi="Arial"/>
                <w:sz w:val="8"/>
                <w:szCs w:val="8"/>
                <w:color w:val="auto"/>
              </w:rPr>
              <w:t>2,500</w:t>
            </w:r>
          </w:p>
        </w:tc>
        <w:tc>
          <w:tcPr>
            <w:tcW w:w="24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580" w:type="dxa"/>
            <w:vAlign w:val="bottom"/>
            <w:gridSpan w:val="2"/>
            <w:shd w:val="clear" w:color="auto" w:fill="CFF0FC"/>
          </w:tcPr>
          <w:p>
            <w:pPr>
              <w:jc w:val="right"/>
              <w:ind w:right="240"/>
              <w:spacing w:after="0"/>
              <w:rPr>
                <w:sz w:val="20"/>
                <w:szCs w:val="20"/>
                <w:color w:val="auto"/>
              </w:rPr>
            </w:pPr>
            <w:r>
              <w:rPr>
                <w:rFonts w:ascii="Arial" w:cs="Arial" w:eastAsia="Arial" w:hAnsi="Arial"/>
                <w:sz w:val="8"/>
                <w:szCs w:val="8"/>
                <w:color w:val="auto"/>
              </w:rPr>
              <w:t>—</w:t>
            </w:r>
          </w:p>
        </w:tc>
        <w:tc>
          <w:tcPr>
            <w:tcW w:w="240" w:type="dxa"/>
            <w:vAlign w:val="bottom"/>
            <w:shd w:val="clear" w:color="auto" w:fill="CFF0FC"/>
          </w:tcPr>
          <w:p>
            <w:pPr>
              <w:ind w:left="160"/>
              <w:spacing w:after="0"/>
              <w:rPr>
                <w:sz w:val="20"/>
                <w:szCs w:val="20"/>
                <w:color w:val="auto"/>
              </w:rPr>
            </w:pPr>
            <w:r>
              <w:rPr>
                <w:rFonts w:ascii="Arial" w:cs="Arial" w:eastAsia="Arial" w:hAnsi="Arial"/>
                <w:sz w:val="8"/>
                <w:szCs w:val="8"/>
                <w:color w:val="auto"/>
                <w:w w:val="74"/>
              </w:rPr>
              <w:t>—</w:t>
            </w:r>
          </w:p>
        </w:tc>
        <w:tc>
          <w:tcPr>
            <w:tcW w:w="24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380" w:type="dxa"/>
            <w:vAlign w:val="bottom"/>
            <w:gridSpan w:val="2"/>
            <w:shd w:val="clear" w:color="auto" w:fill="CFF0FC"/>
          </w:tcPr>
          <w:p>
            <w:pPr>
              <w:ind w:left="60"/>
              <w:spacing w:after="0"/>
              <w:rPr>
                <w:sz w:val="20"/>
                <w:szCs w:val="20"/>
                <w:color w:val="auto"/>
              </w:rPr>
            </w:pPr>
            <w:r>
              <w:rPr>
                <w:rFonts w:ascii="Arial" w:cs="Arial" w:eastAsia="Arial" w:hAnsi="Arial"/>
                <w:sz w:val="8"/>
                <w:szCs w:val="8"/>
                <w:color w:val="auto"/>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8"/>
                <w:szCs w:val="8"/>
                <w:color w:val="auto"/>
              </w:rPr>
              <w:t>—</w:t>
            </w:r>
          </w:p>
        </w:tc>
        <w:tc>
          <w:tcPr>
            <w:tcW w:w="280" w:type="dxa"/>
            <w:vAlign w:val="bottom"/>
            <w:tcBorders>
              <w:right w:val="single" w:sz="8" w:color="CFF0FC"/>
            </w:tcBorders>
            <w:shd w:val="clear" w:color="auto" w:fill="CFF0FC"/>
          </w:tcPr>
          <w:p>
            <w:pPr>
              <w:spacing w:after="0"/>
              <w:rPr>
                <w:sz w:val="8"/>
                <w:szCs w:val="8"/>
                <w:color w:val="auto"/>
              </w:rPr>
            </w:pPr>
          </w:p>
        </w:tc>
        <w:tc>
          <w:tcPr>
            <w:tcW w:w="560" w:type="dxa"/>
            <w:vAlign w:val="bottom"/>
            <w:gridSpan w:val="2"/>
            <w:shd w:val="clear" w:color="auto" w:fill="CFF0FC"/>
          </w:tcPr>
          <w:p>
            <w:pPr>
              <w:jc w:val="right"/>
              <w:ind w:right="220"/>
              <w:spacing w:after="0"/>
              <w:rPr>
                <w:sz w:val="20"/>
                <w:szCs w:val="20"/>
                <w:color w:val="auto"/>
              </w:rPr>
            </w:pPr>
            <w:r>
              <w:rPr>
                <w:rFonts w:ascii="Arial" w:cs="Arial" w:eastAsia="Arial" w:hAnsi="Arial"/>
                <w:sz w:val="8"/>
                <w:szCs w:val="8"/>
                <w:color w:val="auto"/>
              </w:rPr>
              <w:t>—</w:t>
            </w:r>
          </w:p>
        </w:tc>
        <w:tc>
          <w:tcPr>
            <w:tcW w:w="600" w:type="dxa"/>
            <w:vAlign w:val="bottom"/>
            <w:gridSpan w:val="2"/>
            <w:shd w:val="clear" w:color="auto" w:fill="CFF0FC"/>
          </w:tcPr>
          <w:p>
            <w:pPr>
              <w:jc w:val="right"/>
              <w:ind w:right="240"/>
              <w:spacing w:after="0"/>
              <w:rPr>
                <w:sz w:val="20"/>
                <w:szCs w:val="20"/>
                <w:color w:val="auto"/>
              </w:rPr>
            </w:pPr>
            <w:r>
              <w:rPr>
                <w:rFonts w:ascii="Arial" w:cs="Arial" w:eastAsia="Arial" w:hAnsi="Arial"/>
                <w:sz w:val="8"/>
                <w:szCs w:val="8"/>
                <w:color w:val="auto"/>
              </w:rPr>
              <w:t>—</w:t>
            </w:r>
          </w:p>
        </w:tc>
        <w:tc>
          <w:tcPr>
            <w:tcW w:w="60" w:type="dxa"/>
            <w:vAlign w:val="bottom"/>
            <w:shd w:val="clear" w:color="auto" w:fill="CFF0FC"/>
          </w:tcPr>
          <w:p>
            <w:pPr>
              <w:spacing w:after="0"/>
              <w:rPr>
                <w:sz w:val="8"/>
                <w:szCs w:val="8"/>
                <w:color w:val="auto"/>
              </w:rPr>
            </w:pPr>
          </w:p>
        </w:tc>
        <w:tc>
          <w:tcPr>
            <w:tcW w:w="560" w:type="dxa"/>
            <w:vAlign w:val="bottom"/>
            <w:gridSpan w:val="2"/>
            <w:shd w:val="clear" w:color="auto" w:fill="CFF0FC"/>
          </w:tcPr>
          <w:p>
            <w:pPr>
              <w:jc w:val="right"/>
              <w:ind w:right="220"/>
              <w:spacing w:after="0"/>
              <w:rPr>
                <w:sz w:val="20"/>
                <w:szCs w:val="20"/>
                <w:color w:val="auto"/>
              </w:rPr>
            </w:pPr>
            <w:r>
              <w:rPr>
                <w:rFonts w:ascii="Arial" w:cs="Arial" w:eastAsia="Arial" w:hAnsi="Arial"/>
                <w:sz w:val="8"/>
                <w:szCs w:val="8"/>
                <w:color w:val="auto"/>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8"/>
                <w:szCs w:val="8"/>
                <w:color w:val="auto"/>
              </w:rPr>
              <w:t>—</w:t>
            </w:r>
          </w:p>
        </w:tc>
        <w:tc>
          <w:tcPr>
            <w:tcW w:w="22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480" w:type="dxa"/>
            <w:vAlign w:val="bottom"/>
            <w:gridSpan w:val="2"/>
            <w:shd w:val="clear" w:color="auto" w:fill="CFF0FC"/>
          </w:tcPr>
          <w:p>
            <w:pPr>
              <w:jc w:val="right"/>
              <w:ind w:right="120"/>
              <w:spacing w:after="0"/>
              <w:rPr>
                <w:sz w:val="20"/>
                <w:szCs w:val="20"/>
                <w:color w:val="auto"/>
              </w:rPr>
            </w:pPr>
            <w:r>
              <w:rPr>
                <w:rFonts w:ascii="Arial" w:cs="Arial" w:eastAsia="Arial" w:hAnsi="Arial"/>
                <w:sz w:val="8"/>
                <w:szCs w:val="8"/>
                <w:color w:val="auto"/>
              </w:rPr>
              <w:t>—</w:t>
            </w:r>
          </w:p>
        </w:tc>
        <w:tc>
          <w:tcPr>
            <w:tcW w:w="140" w:type="dxa"/>
            <w:vAlign w:val="bottom"/>
            <w:tcBorders>
              <w:right w:val="single" w:sz="8" w:color="CFF0FC"/>
            </w:tcBorders>
            <w:shd w:val="clear" w:color="auto" w:fill="CFF0FC"/>
          </w:tcPr>
          <w:p>
            <w:pPr>
              <w:spacing w:after="0"/>
              <w:rPr>
                <w:sz w:val="8"/>
                <w:szCs w:val="8"/>
                <w:color w:val="auto"/>
              </w:rPr>
            </w:pPr>
          </w:p>
        </w:tc>
        <w:tc>
          <w:tcPr>
            <w:tcW w:w="660" w:type="dxa"/>
            <w:vAlign w:val="bottom"/>
            <w:gridSpan w:val="2"/>
            <w:shd w:val="clear" w:color="auto" w:fill="CFF0FC"/>
          </w:tcPr>
          <w:p>
            <w:pPr>
              <w:jc w:val="right"/>
              <w:ind w:right="200"/>
              <w:spacing w:after="0"/>
              <w:rPr>
                <w:sz w:val="20"/>
                <w:szCs w:val="20"/>
                <w:color w:val="auto"/>
              </w:rPr>
            </w:pPr>
            <w:r>
              <w:rPr>
                <w:rFonts w:ascii="Arial" w:cs="Arial" w:eastAsia="Arial" w:hAnsi="Arial"/>
                <w:sz w:val="8"/>
                <w:szCs w:val="8"/>
                <w:color w:val="auto"/>
              </w:rPr>
              <w:t>(18,288)</w:t>
            </w:r>
          </w:p>
        </w:tc>
        <w:tc>
          <w:tcPr>
            <w:tcW w:w="60" w:type="dxa"/>
            <w:vAlign w:val="bottom"/>
            <w:shd w:val="clear" w:color="auto" w:fill="CFF0FC"/>
          </w:tcPr>
          <w:p>
            <w:pPr>
              <w:spacing w:after="0"/>
              <w:rPr>
                <w:sz w:val="8"/>
                <w:szCs w:val="8"/>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8"/>
                <w:szCs w:val="8"/>
                <w:color w:val="auto"/>
              </w:rPr>
              <w:t>18,288</w:t>
            </w:r>
          </w:p>
        </w:tc>
        <w:tc>
          <w:tcPr>
            <w:tcW w:w="120" w:type="dxa"/>
            <w:vAlign w:val="bottom"/>
            <w:shd w:val="clear" w:color="auto" w:fill="CFF0FC"/>
          </w:tcPr>
          <w:p>
            <w:pPr>
              <w:spacing w:after="0"/>
              <w:rPr>
                <w:sz w:val="8"/>
                <w:szCs w:val="8"/>
                <w:color w:val="auto"/>
              </w:rPr>
            </w:pPr>
          </w:p>
        </w:tc>
        <w:tc>
          <w:tcPr>
            <w:tcW w:w="160" w:type="dxa"/>
            <w:vAlign w:val="bottom"/>
            <w:tcBorders>
              <w:right w:val="single" w:sz="8" w:color="CFF0FC"/>
            </w:tcBorders>
            <w:shd w:val="clear" w:color="auto" w:fill="CFF0FC"/>
          </w:tcPr>
          <w:p>
            <w:pPr>
              <w:spacing w:after="0"/>
              <w:rPr>
                <w:sz w:val="8"/>
                <w:szCs w:val="8"/>
                <w:color w:val="auto"/>
              </w:rPr>
            </w:pPr>
          </w:p>
        </w:tc>
        <w:tc>
          <w:tcPr>
            <w:tcW w:w="600" w:type="dxa"/>
            <w:vAlign w:val="bottom"/>
            <w:gridSpan w:val="2"/>
            <w:shd w:val="clear" w:color="auto" w:fill="CFF0FC"/>
          </w:tcPr>
          <w:p>
            <w:pPr>
              <w:jc w:val="right"/>
              <w:ind w:right="220"/>
              <w:spacing w:after="0"/>
              <w:rPr>
                <w:sz w:val="20"/>
                <w:szCs w:val="20"/>
                <w:color w:val="auto"/>
              </w:rPr>
            </w:pPr>
            <w:r>
              <w:rPr>
                <w:rFonts w:ascii="Arial" w:cs="Arial" w:eastAsia="Arial" w:hAnsi="Arial"/>
                <w:sz w:val="8"/>
                <w:szCs w:val="8"/>
                <w:color w:val="auto"/>
              </w:rPr>
              <w:t>—</w:t>
            </w:r>
          </w:p>
        </w:tc>
        <w:tc>
          <w:tcPr>
            <w:tcW w:w="100" w:type="dxa"/>
            <w:vAlign w:val="bottom"/>
            <w:shd w:val="clear" w:color="auto" w:fill="CFF0FC"/>
          </w:tcPr>
          <w:p>
            <w:pPr>
              <w:spacing w:after="0"/>
              <w:rPr>
                <w:sz w:val="8"/>
                <w:szCs w:val="8"/>
                <w:color w:val="auto"/>
              </w:rPr>
            </w:pPr>
          </w:p>
        </w:tc>
        <w:tc>
          <w:tcPr>
            <w:tcW w:w="640" w:type="dxa"/>
            <w:vAlign w:val="bottom"/>
            <w:gridSpan w:val="2"/>
            <w:shd w:val="clear" w:color="auto" w:fill="CFF0FC"/>
          </w:tcPr>
          <w:p>
            <w:pPr>
              <w:jc w:val="right"/>
              <w:ind w:right="220"/>
              <w:spacing w:after="0"/>
              <w:rPr>
                <w:sz w:val="20"/>
                <w:szCs w:val="20"/>
                <w:color w:val="auto"/>
              </w:rPr>
            </w:pPr>
            <w:r>
              <w:rPr>
                <w:rFonts w:ascii="Arial" w:cs="Arial" w:eastAsia="Arial" w:hAnsi="Arial"/>
                <w:sz w:val="8"/>
                <w:szCs w:val="8"/>
                <w:color w:val="auto"/>
              </w:rPr>
              <w:t>—</w:t>
            </w:r>
          </w:p>
        </w:tc>
        <w:tc>
          <w:tcPr>
            <w:tcW w:w="80" w:type="dxa"/>
            <w:vAlign w:val="bottom"/>
            <w:shd w:val="clear" w:color="auto" w:fill="CFF0FC"/>
          </w:tcPr>
          <w:p>
            <w:pPr>
              <w:spacing w:after="0"/>
              <w:rPr>
                <w:sz w:val="8"/>
                <w:szCs w:val="8"/>
                <w:color w:val="auto"/>
              </w:rPr>
            </w:pPr>
          </w:p>
        </w:tc>
        <w:tc>
          <w:tcPr>
            <w:tcW w:w="460" w:type="dxa"/>
            <w:vAlign w:val="bottom"/>
            <w:gridSpan w:val="2"/>
            <w:shd w:val="clear" w:color="auto" w:fill="CFF0FC"/>
          </w:tcPr>
          <w:p>
            <w:pPr>
              <w:jc w:val="right"/>
              <w:ind w:right="60"/>
              <w:spacing w:after="0"/>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99"/>
        </w:trPr>
        <w:tc>
          <w:tcPr>
            <w:tcW w:w="2240" w:type="dxa"/>
            <w:vAlign w:val="bottom"/>
            <w:gridSpan w:val="4"/>
          </w:tcPr>
          <w:p>
            <w:pPr>
              <w:spacing w:after="0"/>
              <w:rPr>
                <w:sz w:val="20"/>
                <w:szCs w:val="20"/>
                <w:color w:val="auto"/>
              </w:rPr>
            </w:pPr>
            <w:r>
              <w:rPr>
                <w:rFonts w:ascii="Arial" w:cs="Arial" w:eastAsia="Arial" w:hAnsi="Arial"/>
                <w:sz w:val="8"/>
                <w:szCs w:val="8"/>
                <w:color w:val="auto"/>
              </w:rPr>
              <w:t>Vesting of restricted stock units ("</w:t>
            </w:r>
            <w:r>
              <w:rPr>
                <w:rFonts w:ascii="Arial" w:cs="Arial" w:eastAsia="Arial" w:hAnsi="Arial"/>
                <w:sz w:val="8"/>
                <w:szCs w:val="8"/>
                <w:b w:val="1"/>
                <w:bCs w:val="1"/>
                <w:i w:val="1"/>
                <w:iCs w:val="1"/>
                <w:color w:val="auto"/>
              </w:rPr>
              <w:t>RSUs</w:t>
            </w:r>
            <w:r>
              <w:rPr>
                <w:rFonts w:ascii="Arial" w:cs="Arial" w:eastAsia="Arial" w:hAnsi="Arial"/>
                <w:sz w:val="8"/>
                <w:szCs w:val="8"/>
                <w:color w:val="auto"/>
              </w:rPr>
              <w:t>")</w:t>
            </w:r>
          </w:p>
        </w:tc>
        <w:tc>
          <w:tcPr>
            <w:tcW w:w="400" w:type="dxa"/>
            <w:vAlign w:val="bottom"/>
          </w:tcPr>
          <w:p>
            <w:pPr>
              <w:jc w:val="right"/>
              <w:spacing w:after="0"/>
              <w:rPr>
                <w:sz w:val="20"/>
                <w:szCs w:val="20"/>
                <w:color w:val="auto"/>
              </w:rPr>
            </w:pPr>
            <w:r>
              <w:rPr>
                <w:rFonts w:ascii="Arial" w:cs="Arial" w:eastAsia="Arial" w:hAnsi="Arial"/>
                <w:sz w:val="8"/>
                <w:szCs w:val="8"/>
                <w:color w:val="auto"/>
              </w:rPr>
              <w:t>593</w:t>
            </w: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8"/>
                <w:szCs w:val="8"/>
                <w:color w:val="auto"/>
              </w:rPr>
              <w:t>—</w:t>
            </w:r>
          </w:p>
        </w:tc>
        <w:tc>
          <w:tcPr>
            <w:tcW w:w="240" w:type="dxa"/>
            <w:vAlign w:val="bottom"/>
          </w:tcPr>
          <w:p>
            <w:pPr>
              <w:ind w:left="160"/>
              <w:spacing w:after="0"/>
              <w:rPr>
                <w:sz w:val="20"/>
                <w:szCs w:val="20"/>
                <w:color w:val="auto"/>
              </w:rPr>
            </w:pPr>
            <w:r>
              <w:rPr>
                <w:rFonts w:ascii="Arial" w:cs="Arial" w:eastAsia="Arial" w:hAnsi="Arial"/>
                <w:sz w:val="8"/>
                <w:szCs w:val="8"/>
                <w:color w:val="auto"/>
                <w:w w:val="74"/>
              </w:rPr>
              <w:t>—</w:t>
            </w: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gridSpan w:val="2"/>
          </w:tcPr>
          <w:p>
            <w:pPr>
              <w:ind w:left="60"/>
              <w:spacing w:after="0"/>
              <w:rPr>
                <w:sz w:val="20"/>
                <w:szCs w:val="20"/>
                <w:color w:val="auto"/>
              </w:rPr>
            </w:pPr>
            <w:r>
              <w:rPr>
                <w:rFonts w:ascii="Arial" w:cs="Arial" w:eastAsia="Arial" w:hAnsi="Arial"/>
                <w:sz w:val="8"/>
                <w:szCs w:val="8"/>
                <w:color w:val="auto"/>
              </w:rPr>
              <w:t>—</w:t>
            </w:r>
          </w:p>
        </w:tc>
        <w:tc>
          <w:tcPr>
            <w:tcW w:w="380" w:type="dxa"/>
            <w:vAlign w:val="bottom"/>
          </w:tcPr>
          <w:p>
            <w:pPr>
              <w:jc w:val="right"/>
              <w:spacing w:after="0"/>
              <w:rPr>
                <w:sz w:val="20"/>
                <w:szCs w:val="20"/>
                <w:color w:val="auto"/>
              </w:rPr>
            </w:pPr>
            <w:r>
              <w:rPr>
                <w:rFonts w:ascii="Arial" w:cs="Arial" w:eastAsia="Arial" w:hAnsi="Arial"/>
                <w:sz w:val="8"/>
                <w:szCs w:val="8"/>
                <w:color w:val="auto"/>
              </w:rPr>
              <w:t>—</w:t>
            </w:r>
          </w:p>
        </w:tc>
        <w:tc>
          <w:tcPr>
            <w:tcW w:w="280" w:type="dxa"/>
            <w:vAlign w:val="bottom"/>
          </w:tcPr>
          <w:p>
            <w:pPr>
              <w:spacing w:after="0"/>
              <w:rPr>
                <w:sz w:val="8"/>
                <w:szCs w:val="8"/>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8"/>
                <w:szCs w:val="8"/>
                <w:color w:val="auto"/>
              </w:rPr>
              <w:t>—</w:t>
            </w:r>
          </w:p>
        </w:tc>
        <w:tc>
          <w:tcPr>
            <w:tcW w:w="600" w:type="dxa"/>
            <w:vAlign w:val="bottom"/>
            <w:gridSpan w:val="2"/>
          </w:tcPr>
          <w:p>
            <w:pPr>
              <w:jc w:val="right"/>
              <w:ind w:right="240"/>
              <w:spacing w:after="0"/>
              <w:rPr>
                <w:sz w:val="20"/>
                <w:szCs w:val="20"/>
                <w:color w:val="auto"/>
              </w:rPr>
            </w:pPr>
            <w:r>
              <w:rPr>
                <w:rFonts w:ascii="Arial" w:cs="Arial" w:eastAsia="Arial" w:hAnsi="Arial"/>
                <w:sz w:val="8"/>
                <w:szCs w:val="8"/>
                <w:color w:val="auto"/>
              </w:rPr>
              <w:t>—</w:t>
            </w:r>
          </w:p>
        </w:tc>
        <w:tc>
          <w:tcPr>
            <w:tcW w:w="60" w:type="dxa"/>
            <w:vAlign w:val="bottom"/>
          </w:tcPr>
          <w:p>
            <w:pPr>
              <w:spacing w:after="0"/>
              <w:rPr>
                <w:sz w:val="8"/>
                <w:szCs w:val="8"/>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8"/>
                <w:szCs w:val="8"/>
                <w:color w:val="auto"/>
              </w:rPr>
              <w:t>—</w:t>
            </w:r>
          </w:p>
        </w:tc>
        <w:tc>
          <w:tcPr>
            <w:tcW w:w="380" w:type="dxa"/>
            <w:vAlign w:val="bottom"/>
          </w:tcPr>
          <w:p>
            <w:pPr>
              <w:jc w:val="right"/>
              <w:spacing w:after="0"/>
              <w:rPr>
                <w:sz w:val="20"/>
                <w:szCs w:val="20"/>
                <w:color w:val="auto"/>
              </w:rPr>
            </w:pPr>
            <w:r>
              <w:rPr>
                <w:rFonts w:ascii="Arial" w:cs="Arial" w:eastAsia="Arial" w:hAnsi="Arial"/>
                <w:sz w:val="8"/>
                <w:szCs w:val="8"/>
                <w:color w:val="auto"/>
              </w:rPr>
              <w:t>—</w:t>
            </w: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8"/>
                <w:szCs w:val="8"/>
                <w:color w:val="auto"/>
              </w:rPr>
              <w:t>—</w:t>
            </w:r>
          </w:p>
        </w:tc>
        <w:tc>
          <w:tcPr>
            <w:tcW w:w="140" w:type="dxa"/>
            <w:vAlign w:val="bottom"/>
          </w:tcPr>
          <w:p>
            <w:pPr>
              <w:spacing w:after="0"/>
              <w:rPr>
                <w:sz w:val="8"/>
                <w:szCs w:val="8"/>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8"/>
                <w:szCs w:val="8"/>
                <w:color w:val="auto"/>
              </w:rPr>
              <w:t>—</w:t>
            </w:r>
          </w:p>
        </w:tc>
        <w:tc>
          <w:tcPr>
            <w:tcW w:w="60" w:type="dxa"/>
            <w:vAlign w:val="bottom"/>
          </w:tcPr>
          <w:p>
            <w:pPr>
              <w:spacing w:after="0"/>
              <w:rPr>
                <w:sz w:val="8"/>
                <w:szCs w:val="8"/>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8"/>
                <w:szCs w:val="8"/>
                <w:color w:val="auto"/>
              </w:rPr>
              <w:t>—</w:t>
            </w:r>
          </w:p>
        </w:tc>
        <w:tc>
          <w:tcPr>
            <w:tcW w:w="160" w:type="dxa"/>
            <w:vAlign w:val="bottom"/>
          </w:tcPr>
          <w:p>
            <w:pPr>
              <w:spacing w:after="0"/>
              <w:rPr>
                <w:sz w:val="8"/>
                <w:szCs w:val="8"/>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8"/>
                <w:szCs w:val="8"/>
                <w:color w:val="auto"/>
              </w:rPr>
              <w:t>—</w:t>
            </w:r>
          </w:p>
        </w:tc>
        <w:tc>
          <w:tcPr>
            <w:tcW w:w="100" w:type="dxa"/>
            <w:vAlign w:val="bottom"/>
          </w:tcPr>
          <w:p>
            <w:pPr>
              <w:spacing w:after="0"/>
              <w:rPr>
                <w:sz w:val="8"/>
                <w:szCs w:val="8"/>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8"/>
                <w:szCs w:val="8"/>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99"/>
        </w:trPr>
        <w:tc>
          <w:tcPr>
            <w:tcW w:w="2240" w:type="dxa"/>
            <w:vAlign w:val="bottom"/>
            <w:gridSpan w:val="4"/>
            <w:shd w:val="clear" w:color="auto" w:fill="CFF0FC"/>
          </w:tcPr>
          <w:p>
            <w:pPr>
              <w:spacing w:after="0"/>
              <w:rPr>
                <w:sz w:val="20"/>
                <w:szCs w:val="20"/>
                <w:color w:val="auto"/>
              </w:rPr>
            </w:pPr>
            <w:r>
              <w:rPr>
                <w:rFonts w:ascii="Arial" w:cs="Arial" w:eastAsia="Arial" w:hAnsi="Arial"/>
                <w:sz w:val="8"/>
                <w:szCs w:val="8"/>
                <w:color w:val="auto"/>
              </w:rPr>
              <w:t>Payment of employee tax withholding related to RSU vesting</w:t>
            </w:r>
          </w:p>
        </w:tc>
        <w:tc>
          <w:tcPr>
            <w:tcW w:w="400" w:type="dxa"/>
            <w:vAlign w:val="bottom"/>
            <w:shd w:val="clear" w:color="auto" w:fill="CFF0FC"/>
          </w:tcPr>
          <w:p>
            <w:pPr>
              <w:jc w:val="right"/>
              <w:spacing w:after="0"/>
              <w:rPr>
                <w:sz w:val="20"/>
                <w:szCs w:val="20"/>
                <w:color w:val="auto"/>
              </w:rPr>
            </w:pPr>
            <w:r>
              <w:rPr>
                <w:rFonts w:ascii="Arial" w:cs="Arial" w:eastAsia="Arial" w:hAnsi="Arial"/>
                <w:sz w:val="8"/>
                <w:szCs w:val="8"/>
                <w:color w:val="auto"/>
              </w:rPr>
              <w:t>—</w:t>
            </w:r>
          </w:p>
        </w:tc>
        <w:tc>
          <w:tcPr>
            <w:tcW w:w="24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580" w:type="dxa"/>
            <w:vAlign w:val="bottom"/>
            <w:gridSpan w:val="2"/>
            <w:shd w:val="clear" w:color="auto" w:fill="CFF0FC"/>
          </w:tcPr>
          <w:p>
            <w:pPr>
              <w:jc w:val="right"/>
              <w:ind w:right="240"/>
              <w:spacing w:after="0"/>
              <w:rPr>
                <w:sz w:val="20"/>
                <w:szCs w:val="20"/>
                <w:color w:val="auto"/>
              </w:rPr>
            </w:pPr>
            <w:r>
              <w:rPr>
                <w:rFonts w:ascii="Arial" w:cs="Arial" w:eastAsia="Arial" w:hAnsi="Arial"/>
                <w:sz w:val="8"/>
                <w:szCs w:val="8"/>
                <w:color w:val="auto"/>
              </w:rPr>
              <w:t>—</w:t>
            </w:r>
          </w:p>
        </w:tc>
        <w:tc>
          <w:tcPr>
            <w:tcW w:w="240" w:type="dxa"/>
            <w:vAlign w:val="bottom"/>
            <w:shd w:val="clear" w:color="auto" w:fill="CFF0FC"/>
          </w:tcPr>
          <w:p>
            <w:pPr>
              <w:ind w:left="160"/>
              <w:spacing w:after="0"/>
              <w:rPr>
                <w:sz w:val="20"/>
                <w:szCs w:val="20"/>
                <w:color w:val="auto"/>
              </w:rPr>
            </w:pPr>
            <w:r>
              <w:rPr>
                <w:rFonts w:ascii="Arial" w:cs="Arial" w:eastAsia="Arial" w:hAnsi="Arial"/>
                <w:sz w:val="8"/>
                <w:szCs w:val="8"/>
                <w:color w:val="auto"/>
                <w:w w:val="74"/>
              </w:rPr>
              <w:t>—</w:t>
            </w:r>
          </w:p>
        </w:tc>
        <w:tc>
          <w:tcPr>
            <w:tcW w:w="24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380" w:type="dxa"/>
            <w:vAlign w:val="bottom"/>
            <w:gridSpan w:val="2"/>
            <w:shd w:val="clear" w:color="auto" w:fill="CFF0FC"/>
          </w:tcPr>
          <w:p>
            <w:pPr>
              <w:ind w:left="60"/>
              <w:spacing w:after="0"/>
              <w:rPr>
                <w:sz w:val="20"/>
                <w:szCs w:val="20"/>
                <w:color w:val="auto"/>
              </w:rPr>
            </w:pPr>
            <w:r>
              <w:rPr>
                <w:rFonts w:ascii="Arial" w:cs="Arial" w:eastAsia="Arial" w:hAnsi="Arial"/>
                <w:sz w:val="8"/>
                <w:szCs w:val="8"/>
                <w:color w:val="auto"/>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8"/>
                <w:szCs w:val="8"/>
                <w:color w:val="auto"/>
              </w:rPr>
              <w:t>—</w:t>
            </w:r>
          </w:p>
        </w:tc>
        <w:tc>
          <w:tcPr>
            <w:tcW w:w="280" w:type="dxa"/>
            <w:vAlign w:val="bottom"/>
            <w:tcBorders>
              <w:right w:val="single" w:sz="8" w:color="CFF0FC"/>
            </w:tcBorders>
            <w:shd w:val="clear" w:color="auto" w:fill="CFF0FC"/>
          </w:tcPr>
          <w:p>
            <w:pPr>
              <w:spacing w:after="0"/>
              <w:rPr>
                <w:sz w:val="8"/>
                <w:szCs w:val="8"/>
                <w:color w:val="auto"/>
              </w:rPr>
            </w:pPr>
          </w:p>
        </w:tc>
        <w:tc>
          <w:tcPr>
            <w:tcW w:w="560" w:type="dxa"/>
            <w:vAlign w:val="bottom"/>
            <w:gridSpan w:val="2"/>
            <w:shd w:val="clear" w:color="auto" w:fill="CFF0FC"/>
          </w:tcPr>
          <w:p>
            <w:pPr>
              <w:jc w:val="right"/>
              <w:ind w:right="220"/>
              <w:spacing w:after="0"/>
              <w:rPr>
                <w:sz w:val="20"/>
                <w:szCs w:val="20"/>
                <w:color w:val="auto"/>
              </w:rPr>
            </w:pPr>
            <w:r>
              <w:rPr>
                <w:rFonts w:ascii="Arial" w:cs="Arial" w:eastAsia="Arial" w:hAnsi="Arial"/>
                <w:sz w:val="8"/>
                <w:szCs w:val="8"/>
                <w:color w:val="auto"/>
              </w:rPr>
              <w:t>—</w:t>
            </w:r>
          </w:p>
        </w:tc>
        <w:tc>
          <w:tcPr>
            <w:tcW w:w="600" w:type="dxa"/>
            <w:vAlign w:val="bottom"/>
            <w:gridSpan w:val="2"/>
            <w:shd w:val="clear" w:color="auto" w:fill="CFF0FC"/>
          </w:tcPr>
          <w:p>
            <w:pPr>
              <w:jc w:val="right"/>
              <w:ind w:right="240"/>
              <w:spacing w:after="0"/>
              <w:rPr>
                <w:sz w:val="20"/>
                <w:szCs w:val="20"/>
                <w:color w:val="auto"/>
              </w:rPr>
            </w:pPr>
            <w:r>
              <w:rPr>
                <w:rFonts w:ascii="Arial" w:cs="Arial" w:eastAsia="Arial" w:hAnsi="Arial"/>
                <w:sz w:val="8"/>
                <w:szCs w:val="8"/>
                <w:color w:val="auto"/>
              </w:rPr>
              <w:t>—</w:t>
            </w:r>
          </w:p>
        </w:tc>
        <w:tc>
          <w:tcPr>
            <w:tcW w:w="60" w:type="dxa"/>
            <w:vAlign w:val="bottom"/>
            <w:shd w:val="clear" w:color="auto" w:fill="CFF0FC"/>
          </w:tcPr>
          <w:p>
            <w:pPr>
              <w:spacing w:after="0"/>
              <w:rPr>
                <w:sz w:val="8"/>
                <w:szCs w:val="8"/>
                <w:color w:val="auto"/>
              </w:rPr>
            </w:pPr>
          </w:p>
        </w:tc>
        <w:tc>
          <w:tcPr>
            <w:tcW w:w="560" w:type="dxa"/>
            <w:vAlign w:val="bottom"/>
            <w:gridSpan w:val="2"/>
            <w:shd w:val="clear" w:color="auto" w:fill="CFF0FC"/>
          </w:tcPr>
          <w:p>
            <w:pPr>
              <w:jc w:val="right"/>
              <w:ind w:right="220"/>
              <w:spacing w:after="0"/>
              <w:rPr>
                <w:sz w:val="20"/>
                <w:szCs w:val="20"/>
                <w:color w:val="auto"/>
              </w:rPr>
            </w:pPr>
            <w:r>
              <w:rPr>
                <w:rFonts w:ascii="Arial" w:cs="Arial" w:eastAsia="Arial" w:hAnsi="Arial"/>
                <w:sz w:val="8"/>
                <w:szCs w:val="8"/>
                <w:color w:val="auto"/>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8"/>
                <w:szCs w:val="8"/>
                <w:color w:val="auto"/>
              </w:rPr>
              <w:t>—</w:t>
            </w:r>
          </w:p>
        </w:tc>
        <w:tc>
          <w:tcPr>
            <w:tcW w:w="22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480" w:type="dxa"/>
            <w:vAlign w:val="bottom"/>
            <w:gridSpan w:val="2"/>
            <w:shd w:val="clear" w:color="auto" w:fill="CFF0FC"/>
          </w:tcPr>
          <w:p>
            <w:pPr>
              <w:jc w:val="right"/>
              <w:ind w:right="120"/>
              <w:spacing w:after="0"/>
              <w:rPr>
                <w:sz w:val="20"/>
                <w:szCs w:val="20"/>
                <w:color w:val="auto"/>
              </w:rPr>
            </w:pPr>
            <w:r>
              <w:rPr>
                <w:rFonts w:ascii="Arial" w:cs="Arial" w:eastAsia="Arial" w:hAnsi="Arial"/>
                <w:sz w:val="8"/>
                <w:szCs w:val="8"/>
                <w:color w:val="auto"/>
              </w:rPr>
              <w:t>—</w:t>
            </w:r>
          </w:p>
        </w:tc>
        <w:tc>
          <w:tcPr>
            <w:tcW w:w="140" w:type="dxa"/>
            <w:vAlign w:val="bottom"/>
            <w:tcBorders>
              <w:right w:val="single" w:sz="8" w:color="CFF0FC"/>
            </w:tcBorders>
            <w:shd w:val="clear" w:color="auto" w:fill="CFF0FC"/>
          </w:tcPr>
          <w:p>
            <w:pPr>
              <w:spacing w:after="0"/>
              <w:rPr>
                <w:sz w:val="8"/>
                <w:szCs w:val="8"/>
                <w:color w:val="auto"/>
              </w:rPr>
            </w:pPr>
          </w:p>
        </w:tc>
        <w:tc>
          <w:tcPr>
            <w:tcW w:w="660" w:type="dxa"/>
            <w:vAlign w:val="bottom"/>
            <w:gridSpan w:val="2"/>
            <w:shd w:val="clear" w:color="auto" w:fill="CFF0FC"/>
          </w:tcPr>
          <w:p>
            <w:pPr>
              <w:jc w:val="right"/>
              <w:ind w:right="240"/>
              <w:spacing w:after="0"/>
              <w:rPr>
                <w:sz w:val="20"/>
                <w:szCs w:val="20"/>
                <w:color w:val="auto"/>
              </w:rPr>
            </w:pPr>
            <w:r>
              <w:rPr>
                <w:rFonts w:ascii="Arial" w:cs="Arial" w:eastAsia="Arial" w:hAnsi="Arial"/>
                <w:sz w:val="8"/>
                <w:szCs w:val="8"/>
                <w:color w:val="auto"/>
              </w:rPr>
              <w:t>—</w:t>
            </w:r>
          </w:p>
        </w:tc>
        <w:tc>
          <w:tcPr>
            <w:tcW w:w="60" w:type="dxa"/>
            <w:vAlign w:val="bottom"/>
            <w:shd w:val="clear" w:color="auto" w:fill="CFF0FC"/>
          </w:tcPr>
          <w:p>
            <w:pPr>
              <w:spacing w:after="0"/>
              <w:rPr>
                <w:sz w:val="8"/>
                <w:szCs w:val="8"/>
                <w:color w:val="auto"/>
              </w:rPr>
            </w:pPr>
          </w:p>
        </w:tc>
        <w:tc>
          <w:tcPr>
            <w:tcW w:w="480" w:type="dxa"/>
            <w:vAlign w:val="bottom"/>
            <w:gridSpan w:val="2"/>
            <w:shd w:val="clear" w:color="auto" w:fill="CFF0FC"/>
          </w:tcPr>
          <w:p>
            <w:pPr>
              <w:jc w:val="right"/>
              <w:ind w:right="100"/>
              <w:spacing w:after="0"/>
              <w:rPr>
                <w:sz w:val="20"/>
                <w:szCs w:val="20"/>
                <w:color w:val="auto"/>
              </w:rPr>
            </w:pPr>
            <w:r>
              <w:rPr>
                <w:rFonts w:ascii="Arial" w:cs="Arial" w:eastAsia="Arial" w:hAnsi="Arial"/>
                <w:sz w:val="8"/>
                <w:szCs w:val="8"/>
                <w:color w:val="auto"/>
              </w:rPr>
              <w:t>(4,990)</w:t>
            </w:r>
          </w:p>
        </w:tc>
        <w:tc>
          <w:tcPr>
            <w:tcW w:w="160" w:type="dxa"/>
            <w:vAlign w:val="bottom"/>
            <w:tcBorders>
              <w:right w:val="single" w:sz="8" w:color="CFF0FC"/>
            </w:tcBorders>
            <w:shd w:val="clear" w:color="auto" w:fill="CFF0FC"/>
          </w:tcPr>
          <w:p>
            <w:pPr>
              <w:spacing w:after="0"/>
              <w:rPr>
                <w:sz w:val="8"/>
                <w:szCs w:val="8"/>
                <w:color w:val="auto"/>
              </w:rPr>
            </w:pPr>
          </w:p>
        </w:tc>
        <w:tc>
          <w:tcPr>
            <w:tcW w:w="600" w:type="dxa"/>
            <w:vAlign w:val="bottom"/>
            <w:gridSpan w:val="2"/>
            <w:shd w:val="clear" w:color="auto" w:fill="CFF0FC"/>
          </w:tcPr>
          <w:p>
            <w:pPr>
              <w:jc w:val="right"/>
              <w:ind w:right="220"/>
              <w:spacing w:after="0"/>
              <w:rPr>
                <w:sz w:val="20"/>
                <w:szCs w:val="20"/>
                <w:color w:val="auto"/>
              </w:rPr>
            </w:pPr>
            <w:r>
              <w:rPr>
                <w:rFonts w:ascii="Arial" w:cs="Arial" w:eastAsia="Arial" w:hAnsi="Arial"/>
                <w:sz w:val="8"/>
                <w:szCs w:val="8"/>
                <w:color w:val="auto"/>
              </w:rPr>
              <w:t>—</w:t>
            </w:r>
          </w:p>
        </w:tc>
        <w:tc>
          <w:tcPr>
            <w:tcW w:w="100" w:type="dxa"/>
            <w:vAlign w:val="bottom"/>
            <w:shd w:val="clear" w:color="auto" w:fill="CFF0FC"/>
          </w:tcPr>
          <w:p>
            <w:pPr>
              <w:spacing w:after="0"/>
              <w:rPr>
                <w:sz w:val="8"/>
                <w:szCs w:val="8"/>
                <w:color w:val="auto"/>
              </w:rPr>
            </w:pPr>
          </w:p>
        </w:tc>
        <w:tc>
          <w:tcPr>
            <w:tcW w:w="640" w:type="dxa"/>
            <w:vAlign w:val="bottom"/>
            <w:gridSpan w:val="2"/>
            <w:shd w:val="clear" w:color="auto" w:fill="CFF0FC"/>
          </w:tcPr>
          <w:p>
            <w:pPr>
              <w:jc w:val="right"/>
              <w:ind w:right="220"/>
              <w:spacing w:after="0"/>
              <w:rPr>
                <w:sz w:val="20"/>
                <w:szCs w:val="20"/>
                <w:color w:val="auto"/>
              </w:rPr>
            </w:pPr>
            <w:r>
              <w:rPr>
                <w:rFonts w:ascii="Arial" w:cs="Arial" w:eastAsia="Arial" w:hAnsi="Arial"/>
                <w:sz w:val="8"/>
                <w:szCs w:val="8"/>
                <w:color w:val="auto"/>
              </w:rPr>
              <w:t>—</w:t>
            </w:r>
          </w:p>
        </w:tc>
        <w:tc>
          <w:tcPr>
            <w:tcW w:w="80" w:type="dxa"/>
            <w:vAlign w:val="bottom"/>
            <w:shd w:val="clear" w:color="auto" w:fill="CFF0FC"/>
          </w:tcPr>
          <w:p>
            <w:pPr>
              <w:spacing w:after="0"/>
              <w:rPr>
                <w:sz w:val="8"/>
                <w:szCs w:val="8"/>
                <w:color w:val="auto"/>
              </w:rPr>
            </w:pPr>
          </w:p>
        </w:tc>
        <w:tc>
          <w:tcPr>
            <w:tcW w:w="460" w:type="dxa"/>
            <w:vAlign w:val="bottom"/>
            <w:gridSpan w:val="2"/>
            <w:shd w:val="clear" w:color="auto" w:fill="CFF0FC"/>
          </w:tcPr>
          <w:p>
            <w:pPr>
              <w:jc w:val="right"/>
              <w:ind w:right="40"/>
              <w:spacing w:after="0"/>
              <w:rPr>
                <w:sz w:val="20"/>
                <w:szCs w:val="20"/>
                <w:color w:val="auto"/>
              </w:rPr>
            </w:pPr>
            <w:r>
              <w:rPr>
                <w:rFonts w:ascii="Arial" w:cs="Arial" w:eastAsia="Arial" w:hAnsi="Arial"/>
                <w:sz w:val="8"/>
                <w:szCs w:val="8"/>
                <w:color w:val="auto"/>
              </w:rPr>
              <w:t>(4,990)</w:t>
            </w:r>
          </w:p>
        </w:tc>
        <w:tc>
          <w:tcPr>
            <w:tcW w:w="0" w:type="dxa"/>
            <w:vAlign w:val="bottom"/>
          </w:tcPr>
          <w:p>
            <w:pPr>
              <w:spacing w:after="0"/>
              <w:rPr>
                <w:sz w:val="1"/>
                <w:szCs w:val="1"/>
                <w:color w:val="auto"/>
              </w:rPr>
            </w:pPr>
          </w:p>
        </w:tc>
      </w:tr>
      <w:tr>
        <w:trPr>
          <w:trHeight w:val="99"/>
        </w:trPr>
        <w:tc>
          <w:tcPr>
            <w:tcW w:w="2240" w:type="dxa"/>
            <w:vAlign w:val="bottom"/>
            <w:gridSpan w:val="4"/>
          </w:tcPr>
          <w:p>
            <w:pPr>
              <w:spacing w:after="0"/>
              <w:rPr>
                <w:sz w:val="20"/>
                <w:szCs w:val="20"/>
                <w:color w:val="auto"/>
              </w:rPr>
            </w:pPr>
            <w:r>
              <w:rPr>
                <w:rFonts w:ascii="Arial" w:cs="Arial" w:eastAsia="Arial" w:hAnsi="Arial"/>
                <w:sz w:val="8"/>
                <w:szCs w:val="8"/>
                <w:color w:val="auto"/>
              </w:rPr>
              <w:t>Stock-based compensation</w:t>
            </w:r>
          </w:p>
        </w:tc>
        <w:tc>
          <w:tcPr>
            <w:tcW w:w="400" w:type="dxa"/>
            <w:vAlign w:val="bottom"/>
          </w:tcPr>
          <w:p>
            <w:pPr>
              <w:jc w:val="right"/>
              <w:spacing w:after="0"/>
              <w:rPr>
                <w:sz w:val="20"/>
                <w:szCs w:val="20"/>
                <w:color w:val="auto"/>
              </w:rPr>
            </w:pPr>
            <w:r>
              <w:rPr>
                <w:rFonts w:ascii="Arial" w:cs="Arial" w:eastAsia="Arial" w:hAnsi="Arial"/>
                <w:sz w:val="8"/>
                <w:szCs w:val="8"/>
                <w:color w:val="auto"/>
              </w:rPr>
              <w:t>—</w:t>
            </w: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8"/>
                <w:szCs w:val="8"/>
                <w:color w:val="auto"/>
              </w:rPr>
              <w:t>—</w:t>
            </w:r>
          </w:p>
        </w:tc>
        <w:tc>
          <w:tcPr>
            <w:tcW w:w="240" w:type="dxa"/>
            <w:vAlign w:val="bottom"/>
          </w:tcPr>
          <w:p>
            <w:pPr>
              <w:ind w:left="160"/>
              <w:spacing w:after="0"/>
              <w:rPr>
                <w:sz w:val="20"/>
                <w:szCs w:val="20"/>
                <w:color w:val="auto"/>
              </w:rPr>
            </w:pPr>
            <w:r>
              <w:rPr>
                <w:rFonts w:ascii="Arial" w:cs="Arial" w:eastAsia="Arial" w:hAnsi="Arial"/>
                <w:sz w:val="8"/>
                <w:szCs w:val="8"/>
                <w:color w:val="auto"/>
                <w:w w:val="74"/>
              </w:rPr>
              <w:t>—</w:t>
            </w: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gridSpan w:val="2"/>
          </w:tcPr>
          <w:p>
            <w:pPr>
              <w:ind w:left="60"/>
              <w:spacing w:after="0"/>
              <w:rPr>
                <w:sz w:val="20"/>
                <w:szCs w:val="20"/>
                <w:color w:val="auto"/>
              </w:rPr>
            </w:pPr>
            <w:r>
              <w:rPr>
                <w:rFonts w:ascii="Arial" w:cs="Arial" w:eastAsia="Arial" w:hAnsi="Arial"/>
                <w:sz w:val="8"/>
                <w:szCs w:val="8"/>
                <w:color w:val="auto"/>
              </w:rPr>
              <w:t>—</w:t>
            </w:r>
          </w:p>
        </w:tc>
        <w:tc>
          <w:tcPr>
            <w:tcW w:w="380" w:type="dxa"/>
            <w:vAlign w:val="bottom"/>
          </w:tcPr>
          <w:p>
            <w:pPr>
              <w:jc w:val="right"/>
              <w:spacing w:after="0"/>
              <w:rPr>
                <w:sz w:val="20"/>
                <w:szCs w:val="20"/>
                <w:color w:val="auto"/>
              </w:rPr>
            </w:pPr>
            <w:r>
              <w:rPr>
                <w:rFonts w:ascii="Arial" w:cs="Arial" w:eastAsia="Arial" w:hAnsi="Arial"/>
                <w:sz w:val="8"/>
                <w:szCs w:val="8"/>
                <w:color w:val="auto"/>
              </w:rPr>
              <w:t>—</w:t>
            </w:r>
          </w:p>
        </w:tc>
        <w:tc>
          <w:tcPr>
            <w:tcW w:w="280" w:type="dxa"/>
            <w:vAlign w:val="bottom"/>
          </w:tcPr>
          <w:p>
            <w:pPr>
              <w:spacing w:after="0"/>
              <w:rPr>
                <w:sz w:val="8"/>
                <w:szCs w:val="8"/>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8"/>
                <w:szCs w:val="8"/>
                <w:color w:val="auto"/>
              </w:rPr>
              <w:t>—</w:t>
            </w:r>
          </w:p>
        </w:tc>
        <w:tc>
          <w:tcPr>
            <w:tcW w:w="600" w:type="dxa"/>
            <w:vAlign w:val="bottom"/>
            <w:gridSpan w:val="2"/>
          </w:tcPr>
          <w:p>
            <w:pPr>
              <w:jc w:val="right"/>
              <w:ind w:right="240"/>
              <w:spacing w:after="0"/>
              <w:rPr>
                <w:sz w:val="20"/>
                <w:szCs w:val="20"/>
                <w:color w:val="auto"/>
              </w:rPr>
            </w:pPr>
            <w:r>
              <w:rPr>
                <w:rFonts w:ascii="Arial" w:cs="Arial" w:eastAsia="Arial" w:hAnsi="Arial"/>
                <w:sz w:val="8"/>
                <w:szCs w:val="8"/>
                <w:color w:val="auto"/>
              </w:rPr>
              <w:t>—</w:t>
            </w:r>
          </w:p>
        </w:tc>
        <w:tc>
          <w:tcPr>
            <w:tcW w:w="60" w:type="dxa"/>
            <w:vAlign w:val="bottom"/>
          </w:tcPr>
          <w:p>
            <w:pPr>
              <w:spacing w:after="0"/>
              <w:rPr>
                <w:sz w:val="8"/>
                <w:szCs w:val="8"/>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8"/>
                <w:szCs w:val="8"/>
                <w:color w:val="auto"/>
              </w:rPr>
              <w:t>—</w:t>
            </w:r>
          </w:p>
        </w:tc>
        <w:tc>
          <w:tcPr>
            <w:tcW w:w="380" w:type="dxa"/>
            <w:vAlign w:val="bottom"/>
          </w:tcPr>
          <w:p>
            <w:pPr>
              <w:jc w:val="right"/>
              <w:spacing w:after="0"/>
              <w:rPr>
                <w:sz w:val="20"/>
                <w:szCs w:val="20"/>
                <w:color w:val="auto"/>
              </w:rPr>
            </w:pPr>
            <w:r>
              <w:rPr>
                <w:rFonts w:ascii="Arial" w:cs="Arial" w:eastAsia="Arial" w:hAnsi="Arial"/>
                <w:sz w:val="8"/>
                <w:szCs w:val="8"/>
                <w:color w:val="auto"/>
              </w:rPr>
              <w:t>—</w:t>
            </w: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8"/>
                <w:szCs w:val="8"/>
                <w:color w:val="auto"/>
              </w:rPr>
              <w:t>—</w:t>
            </w:r>
          </w:p>
        </w:tc>
        <w:tc>
          <w:tcPr>
            <w:tcW w:w="140" w:type="dxa"/>
            <w:vAlign w:val="bottom"/>
          </w:tcPr>
          <w:p>
            <w:pPr>
              <w:spacing w:after="0"/>
              <w:rPr>
                <w:sz w:val="8"/>
                <w:szCs w:val="8"/>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8"/>
                <w:szCs w:val="8"/>
                <w:color w:val="auto"/>
              </w:rPr>
              <w:t>—</w:t>
            </w:r>
          </w:p>
        </w:tc>
        <w:tc>
          <w:tcPr>
            <w:tcW w:w="60" w:type="dxa"/>
            <w:vAlign w:val="bottom"/>
          </w:tcPr>
          <w:p>
            <w:pPr>
              <w:spacing w:after="0"/>
              <w:rPr>
                <w:sz w:val="8"/>
                <w:szCs w:val="8"/>
                <w:color w:val="auto"/>
              </w:rPr>
            </w:pPr>
          </w:p>
        </w:tc>
        <w:tc>
          <w:tcPr>
            <w:tcW w:w="360" w:type="dxa"/>
            <w:vAlign w:val="bottom"/>
          </w:tcPr>
          <w:p>
            <w:pPr>
              <w:jc w:val="right"/>
              <w:spacing w:after="0"/>
              <w:rPr>
                <w:sz w:val="20"/>
                <w:szCs w:val="20"/>
                <w:color w:val="auto"/>
              </w:rPr>
            </w:pPr>
            <w:r>
              <w:rPr>
                <w:rFonts w:ascii="Arial" w:cs="Arial" w:eastAsia="Arial" w:hAnsi="Arial"/>
                <w:sz w:val="8"/>
                <w:szCs w:val="8"/>
                <w:color w:val="auto"/>
              </w:rPr>
              <w:t>10,012</w:t>
            </w: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8"/>
                <w:szCs w:val="8"/>
                <w:color w:val="auto"/>
              </w:rPr>
              <w:t>—</w:t>
            </w:r>
          </w:p>
        </w:tc>
        <w:tc>
          <w:tcPr>
            <w:tcW w:w="100" w:type="dxa"/>
            <w:vAlign w:val="bottom"/>
          </w:tcPr>
          <w:p>
            <w:pPr>
              <w:spacing w:after="0"/>
              <w:rPr>
                <w:sz w:val="8"/>
                <w:szCs w:val="8"/>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8"/>
                <w:szCs w:val="8"/>
                <w:color w:val="auto"/>
              </w:rPr>
            </w:pPr>
          </w:p>
        </w:tc>
        <w:tc>
          <w:tcPr>
            <w:tcW w:w="400" w:type="dxa"/>
            <w:vAlign w:val="bottom"/>
          </w:tcPr>
          <w:p>
            <w:pPr>
              <w:jc w:val="right"/>
              <w:spacing w:after="0"/>
              <w:rPr>
                <w:sz w:val="20"/>
                <w:szCs w:val="20"/>
                <w:color w:val="auto"/>
              </w:rPr>
            </w:pPr>
            <w:r>
              <w:rPr>
                <w:rFonts w:ascii="Arial" w:cs="Arial" w:eastAsia="Arial" w:hAnsi="Arial"/>
                <w:sz w:val="8"/>
                <w:szCs w:val="8"/>
                <w:color w:val="auto"/>
              </w:rPr>
              <w:t>10,012</w:t>
            </w: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240" w:type="dxa"/>
            <w:vAlign w:val="bottom"/>
            <w:gridSpan w:val="4"/>
            <w:shd w:val="clear" w:color="auto" w:fill="CFF0FC"/>
          </w:tcPr>
          <w:p>
            <w:pPr>
              <w:spacing w:after="0"/>
              <w:rPr>
                <w:sz w:val="20"/>
                <w:szCs w:val="20"/>
                <w:color w:val="auto"/>
              </w:rPr>
            </w:pPr>
            <w:r>
              <w:rPr>
                <w:rFonts w:ascii="Arial" w:cs="Arial" w:eastAsia="Arial" w:hAnsi="Arial"/>
                <w:sz w:val="8"/>
                <w:szCs w:val="8"/>
                <w:color w:val="auto"/>
              </w:rPr>
              <w:t>Other comprehensive gain</w:t>
            </w:r>
          </w:p>
        </w:tc>
        <w:tc>
          <w:tcPr>
            <w:tcW w:w="400" w:type="dxa"/>
            <w:vAlign w:val="bottom"/>
            <w:shd w:val="clear" w:color="auto" w:fill="CFF0FC"/>
          </w:tcPr>
          <w:p>
            <w:pPr>
              <w:jc w:val="right"/>
              <w:spacing w:after="0"/>
              <w:rPr>
                <w:sz w:val="20"/>
                <w:szCs w:val="20"/>
                <w:color w:val="auto"/>
              </w:rPr>
            </w:pPr>
            <w:r>
              <w:rPr>
                <w:rFonts w:ascii="Arial" w:cs="Arial" w:eastAsia="Arial" w:hAnsi="Arial"/>
                <w:sz w:val="8"/>
                <w:szCs w:val="8"/>
                <w:color w:val="auto"/>
              </w:rPr>
              <w:t>—</w:t>
            </w:r>
          </w:p>
        </w:tc>
        <w:tc>
          <w:tcPr>
            <w:tcW w:w="24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8"/>
                <w:szCs w:val="8"/>
                <w:color w:val="auto"/>
              </w:rPr>
              <w:t>—</w:t>
            </w:r>
          </w:p>
        </w:tc>
        <w:tc>
          <w:tcPr>
            <w:tcW w:w="240" w:type="dxa"/>
            <w:vAlign w:val="bottom"/>
            <w:shd w:val="clear" w:color="auto" w:fill="CFF0FC"/>
          </w:tcPr>
          <w:p>
            <w:pPr>
              <w:spacing w:after="0"/>
              <w:rPr>
                <w:sz w:val="8"/>
                <w:szCs w:val="8"/>
                <w:color w:val="auto"/>
              </w:rPr>
            </w:pPr>
          </w:p>
        </w:tc>
        <w:tc>
          <w:tcPr>
            <w:tcW w:w="240" w:type="dxa"/>
            <w:vAlign w:val="bottom"/>
            <w:shd w:val="clear" w:color="auto" w:fill="CFF0FC"/>
          </w:tcPr>
          <w:p>
            <w:pPr>
              <w:ind w:left="160"/>
              <w:spacing w:after="0"/>
              <w:rPr>
                <w:sz w:val="20"/>
                <w:szCs w:val="20"/>
                <w:color w:val="auto"/>
              </w:rPr>
            </w:pPr>
            <w:r>
              <w:rPr>
                <w:rFonts w:ascii="Arial" w:cs="Arial" w:eastAsia="Arial" w:hAnsi="Arial"/>
                <w:sz w:val="8"/>
                <w:szCs w:val="8"/>
                <w:color w:val="auto"/>
                <w:w w:val="74"/>
              </w:rPr>
              <w:t>—</w:t>
            </w:r>
          </w:p>
        </w:tc>
        <w:tc>
          <w:tcPr>
            <w:tcW w:w="24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60" w:type="dxa"/>
            <w:vAlign w:val="bottom"/>
            <w:shd w:val="clear" w:color="auto" w:fill="CFF0FC"/>
          </w:tcPr>
          <w:p>
            <w:pPr>
              <w:ind w:left="60"/>
              <w:spacing w:after="0"/>
              <w:rPr>
                <w:sz w:val="20"/>
                <w:szCs w:val="20"/>
                <w:color w:val="auto"/>
              </w:rPr>
            </w:pPr>
            <w:r>
              <w:rPr>
                <w:rFonts w:ascii="Arial" w:cs="Arial" w:eastAsia="Arial" w:hAnsi="Arial"/>
                <w:sz w:val="8"/>
                <w:szCs w:val="8"/>
                <w:color w:val="auto"/>
                <w:w w:val="99"/>
              </w:rPr>
              <w:t>—</w:t>
            </w:r>
          </w:p>
        </w:tc>
        <w:tc>
          <w:tcPr>
            <w:tcW w:w="220" w:type="dxa"/>
            <w:vAlign w:val="bottom"/>
            <w:shd w:val="clear" w:color="auto" w:fill="CFF0FC"/>
          </w:tcPr>
          <w:p>
            <w:pPr>
              <w:spacing w:after="0"/>
              <w:rPr>
                <w:sz w:val="8"/>
                <w:szCs w:val="8"/>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8"/>
                <w:szCs w:val="8"/>
                <w:color w:val="auto"/>
              </w:rPr>
              <w:t>—</w:t>
            </w:r>
          </w:p>
        </w:tc>
        <w:tc>
          <w:tcPr>
            <w:tcW w:w="280" w:type="dxa"/>
            <w:vAlign w:val="bottom"/>
            <w:tcBorders>
              <w:right w:val="single" w:sz="8" w:color="CFF0FC"/>
            </w:tcBorders>
            <w:shd w:val="clear" w:color="auto" w:fill="CFF0FC"/>
          </w:tcPr>
          <w:p>
            <w:pPr>
              <w:spacing w:after="0"/>
              <w:rPr>
                <w:sz w:val="8"/>
                <w:szCs w:val="8"/>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8"/>
                <w:szCs w:val="8"/>
                <w:color w:val="auto"/>
              </w:rPr>
              <w:t>—</w:t>
            </w:r>
          </w:p>
        </w:tc>
        <w:tc>
          <w:tcPr>
            <w:tcW w:w="220" w:type="dxa"/>
            <w:vAlign w:val="bottom"/>
            <w:shd w:val="clear" w:color="auto" w:fill="CFF0FC"/>
          </w:tcPr>
          <w:p>
            <w:pPr>
              <w:spacing w:after="0"/>
              <w:rPr>
                <w:sz w:val="8"/>
                <w:szCs w:val="8"/>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8"/>
                <w:szCs w:val="8"/>
                <w:color w:val="auto"/>
              </w:rPr>
              <w:t>—</w:t>
            </w:r>
          </w:p>
        </w:tc>
        <w:tc>
          <w:tcPr>
            <w:tcW w:w="22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560" w:type="dxa"/>
            <w:vAlign w:val="bottom"/>
            <w:gridSpan w:val="2"/>
            <w:shd w:val="clear" w:color="auto" w:fill="CFF0FC"/>
          </w:tcPr>
          <w:p>
            <w:pPr>
              <w:jc w:val="right"/>
              <w:ind w:right="220"/>
              <w:spacing w:after="0"/>
              <w:rPr>
                <w:sz w:val="20"/>
                <w:szCs w:val="20"/>
                <w:color w:val="auto"/>
              </w:rPr>
            </w:pPr>
            <w:r>
              <w:rPr>
                <w:rFonts w:ascii="Arial" w:cs="Arial" w:eastAsia="Arial" w:hAnsi="Arial"/>
                <w:sz w:val="8"/>
                <w:szCs w:val="8"/>
                <w:color w:val="auto"/>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8"/>
                <w:szCs w:val="8"/>
                <w:color w:val="auto"/>
              </w:rPr>
              <w:t>—</w:t>
            </w:r>
          </w:p>
        </w:tc>
        <w:tc>
          <w:tcPr>
            <w:tcW w:w="22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480" w:type="dxa"/>
            <w:vAlign w:val="bottom"/>
            <w:gridSpan w:val="2"/>
            <w:shd w:val="clear" w:color="auto" w:fill="CFF0FC"/>
          </w:tcPr>
          <w:p>
            <w:pPr>
              <w:jc w:val="right"/>
              <w:ind w:right="120"/>
              <w:spacing w:after="0"/>
              <w:rPr>
                <w:sz w:val="20"/>
                <w:szCs w:val="20"/>
                <w:color w:val="auto"/>
              </w:rPr>
            </w:pPr>
            <w:r>
              <w:rPr>
                <w:rFonts w:ascii="Arial" w:cs="Arial" w:eastAsia="Arial" w:hAnsi="Arial"/>
                <w:sz w:val="8"/>
                <w:szCs w:val="8"/>
                <w:color w:val="auto"/>
              </w:rPr>
              <w:t>—</w:t>
            </w:r>
          </w:p>
        </w:tc>
        <w:tc>
          <w:tcPr>
            <w:tcW w:w="140" w:type="dxa"/>
            <w:vAlign w:val="bottom"/>
            <w:tcBorders>
              <w:right w:val="single" w:sz="8" w:color="CFF0FC"/>
            </w:tcBorders>
            <w:shd w:val="clear" w:color="auto" w:fill="CFF0FC"/>
          </w:tcPr>
          <w:p>
            <w:pPr>
              <w:spacing w:after="0"/>
              <w:rPr>
                <w:sz w:val="8"/>
                <w:szCs w:val="8"/>
                <w:color w:val="auto"/>
              </w:rPr>
            </w:pPr>
          </w:p>
        </w:tc>
        <w:tc>
          <w:tcPr>
            <w:tcW w:w="660" w:type="dxa"/>
            <w:vAlign w:val="bottom"/>
            <w:gridSpan w:val="2"/>
            <w:shd w:val="clear" w:color="auto" w:fill="CFF0FC"/>
          </w:tcPr>
          <w:p>
            <w:pPr>
              <w:jc w:val="right"/>
              <w:ind w:right="240"/>
              <w:spacing w:after="0"/>
              <w:rPr>
                <w:sz w:val="20"/>
                <w:szCs w:val="20"/>
                <w:color w:val="auto"/>
              </w:rPr>
            </w:pPr>
            <w:r>
              <w:rPr>
                <w:rFonts w:ascii="Arial" w:cs="Arial" w:eastAsia="Arial" w:hAnsi="Arial"/>
                <w:sz w:val="8"/>
                <w:szCs w:val="8"/>
                <w:color w:val="auto"/>
              </w:rPr>
              <w:t>—</w:t>
            </w:r>
          </w:p>
        </w:tc>
        <w:tc>
          <w:tcPr>
            <w:tcW w:w="60" w:type="dxa"/>
            <w:vAlign w:val="bottom"/>
            <w:shd w:val="clear" w:color="auto" w:fill="CFF0FC"/>
          </w:tcPr>
          <w:p>
            <w:pPr>
              <w:spacing w:after="0"/>
              <w:rPr>
                <w:sz w:val="8"/>
                <w:szCs w:val="8"/>
                <w:color w:val="auto"/>
              </w:rPr>
            </w:pPr>
          </w:p>
        </w:tc>
        <w:tc>
          <w:tcPr>
            <w:tcW w:w="480" w:type="dxa"/>
            <w:vAlign w:val="bottom"/>
            <w:gridSpan w:val="2"/>
            <w:shd w:val="clear" w:color="auto" w:fill="CFF0FC"/>
          </w:tcPr>
          <w:p>
            <w:pPr>
              <w:jc w:val="right"/>
              <w:ind w:right="140"/>
              <w:spacing w:after="0"/>
              <w:rPr>
                <w:sz w:val="20"/>
                <w:szCs w:val="20"/>
                <w:color w:val="auto"/>
              </w:rPr>
            </w:pPr>
            <w:r>
              <w:rPr>
                <w:rFonts w:ascii="Arial" w:cs="Arial" w:eastAsia="Arial" w:hAnsi="Arial"/>
                <w:sz w:val="8"/>
                <w:szCs w:val="8"/>
                <w:color w:val="auto"/>
              </w:rPr>
              <w:t>—</w:t>
            </w:r>
          </w:p>
        </w:tc>
        <w:tc>
          <w:tcPr>
            <w:tcW w:w="160" w:type="dxa"/>
            <w:vAlign w:val="bottom"/>
            <w:tcBorders>
              <w:right w:val="single" w:sz="8" w:color="CFF0FC"/>
            </w:tcBorders>
            <w:shd w:val="clear" w:color="auto" w:fill="CFF0FC"/>
          </w:tcPr>
          <w:p>
            <w:pPr>
              <w:spacing w:after="0"/>
              <w:rPr>
                <w:sz w:val="8"/>
                <w:szCs w:val="8"/>
                <w:color w:val="auto"/>
              </w:rPr>
            </w:pPr>
          </w:p>
        </w:tc>
        <w:tc>
          <w:tcPr>
            <w:tcW w:w="600" w:type="dxa"/>
            <w:vAlign w:val="bottom"/>
            <w:gridSpan w:val="2"/>
            <w:shd w:val="clear" w:color="auto" w:fill="CFF0FC"/>
          </w:tcPr>
          <w:p>
            <w:pPr>
              <w:jc w:val="right"/>
              <w:ind w:right="220"/>
              <w:spacing w:after="0"/>
              <w:rPr>
                <w:sz w:val="20"/>
                <w:szCs w:val="20"/>
                <w:color w:val="auto"/>
              </w:rPr>
            </w:pPr>
            <w:r>
              <w:rPr>
                <w:rFonts w:ascii="Arial" w:cs="Arial" w:eastAsia="Arial" w:hAnsi="Arial"/>
                <w:sz w:val="8"/>
                <w:szCs w:val="8"/>
                <w:color w:val="auto"/>
              </w:rPr>
              <w:t>—</w:t>
            </w:r>
          </w:p>
        </w:tc>
        <w:tc>
          <w:tcPr>
            <w:tcW w:w="100" w:type="dxa"/>
            <w:vAlign w:val="bottom"/>
            <w:shd w:val="clear" w:color="auto" w:fill="CFF0FC"/>
          </w:tcPr>
          <w:p>
            <w:pPr>
              <w:spacing w:after="0"/>
              <w:rPr>
                <w:sz w:val="8"/>
                <w:szCs w:val="8"/>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8"/>
                <w:szCs w:val="8"/>
                <w:color w:val="auto"/>
              </w:rPr>
              <w:t>3,244</w:t>
            </w:r>
          </w:p>
        </w:tc>
        <w:tc>
          <w:tcPr>
            <w:tcW w:w="22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8"/>
                <w:szCs w:val="8"/>
                <w:color w:val="auto"/>
              </w:rPr>
              <w:t>3,244</w:t>
            </w:r>
          </w:p>
        </w:tc>
        <w:tc>
          <w:tcPr>
            <w:tcW w:w="6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240" w:type="dxa"/>
            <w:vAlign w:val="bottom"/>
            <w:gridSpan w:val="4"/>
            <w:vMerge w:val="restart"/>
          </w:tcPr>
          <w:p>
            <w:pPr>
              <w:spacing w:after="0"/>
              <w:rPr>
                <w:sz w:val="20"/>
                <w:szCs w:val="20"/>
                <w:color w:val="auto"/>
              </w:rPr>
            </w:pPr>
            <w:r>
              <w:rPr>
                <w:rFonts w:ascii="Arial" w:cs="Arial" w:eastAsia="Arial" w:hAnsi="Arial"/>
                <w:sz w:val="8"/>
                <w:szCs w:val="8"/>
                <w:b w:val="1"/>
                <w:bCs w:val="1"/>
                <w:color w:val="auto"/>
              </w:rPr>
              <w:t>Balance as of December 31, 2019</w:t>
            </w:r>
          </w:p>
        </w:tc>
        <w:tc>
          <w:tcPr>
            <w:tcW w:w="4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240" w:type="dxa"/>
            <w:vAlign w:val="bottom"/>
            <w:gridSpan w:val="4"/>
            <w:vMerge w:val="continue"/>
          </w:tcPr>
          <w:p>
            <w:pPr>
              <w:spacing w:after="0"/>
              <w:rPr>
                <w:sz w:val="7"/>
                <w:szCs w:val="7"/>
                <w:color w:val="auto"/>
              </w:rPr>
            </w:pPr>
          </w:p>
        </w:tc>
        <w:tc>
          <w:tcPr>
            <w:tcW w:w="400" w:type="dxa"/>
            <w:vAlign w:val="bottom"/>
          </w:tcPr>
          <w:p>
            <w:pPr>
              <w:jc w:val="right"/>
              <w:spacing w:after="0" w:line="88" w:lineRule="exact"/>
              <w:rPr>
                <w:sz w:val="20"/>
                <w:szCs w:val="20"/>
                <w:color w:val="auto"/>
              </w:rPr>
            </w:pPr>
            <w:r>
              <w:rPr>
                <w:rFonts w:ascii="Arial" w:cs="Arial" w:eastAsia="Arial" w:hAnsi="Arial"/>
                <w:sz w:val="8"/>
                <w:szCs w:val="8"/>
                <w:color w:val="auto"/>
              </w:rPr>
              <w:t>159,150</w:t>
            </w:r>
          </w:p>
        </w:tc>
        <w:tc>
          <w:tcPr>
            <w:tcW w:w="240" w:type="dxa"/>
            <w:vAlign w:val="bottom"/>
          </w:tcPr>
          <w:p>
            <w:pPr>
              <w:spacing w:after="0"/>
              <w:rPr>
                <w:sz w:val="7"/>
                <w:szCs w:val="7"/>
                <w:color w:val="auto"/>
              </w:rPr>
            </w:pPr>
          </w:p>
        </w:tc>
        <w:tc>
          <w:tcPr>
            <w:tcW w:w="60" w:type="dxa"/>
            <w:vAlign w:val="bottom"/>
          </w:tcPr>
          <w:p>
            <w:pPr>
              <w:jc w:val="right"/>
              <w:spacing w:after="0"/>
              <w:rPr>
                <w:sz w:val="20"/>
                <w:szCs w:val="20"/>
                <w:color w:val="auto"/>
              </w:rPr>
            </w:pPr>
            <w:r>
              <w:rPr>
                <w:rFonts w:ascii="Arial" w:cs="Arial" w:eastAsia="Arial" w:hAnsi="Arial"/>
                <w:sz w:val="5"/>
                <w:szCs w:val="5"/>
                <w:color w:val="auto"/>
                <w:w w:val="70"/>
              </w:rPr>
              <w:t>$</w:t>
            </w:r>
          </w:p>
        </w:tc>
        <w:tc>
          <w:tcPr>
            <w:tcW w:w="340" w:type="dxa"/>
            <w:vAlign w:val="bottom"/>
          </w:tcPr>
          <w:p>
            <w:pPr>
              <w:jc w:val="right"/>
              <w:spacing w:after="0" w:line="88" w:lineRule="exact"/>
              <w:rPr>
                <w:sz w:val="20"/>
                <w:szCs w:val="20"/>
                <w:color w:val="auto"/>
              </w:rPr>
            </w:pPr>
            <w:r>
              <w:rPr>
                <w:rFonts w:ascii="Arial" w:cs="Arial" w:eastAsia="Arial" w:hAnsi="Arial"/>
                <w:sz w:val="8"/>
                <w:szCs w:val="8"/>
                <w:color w:val="auto"/>
              </w:rPr>
              <w:t>16</w:t>
            </w:r>
          </w:p>
        </w:tc>
        <w:tc>
          <w:tcPr>
            <w:tcW w:w="240" w:type="dxa"/>
            <w:vAlign w:val="bottom"/>
          </w:tcPr>
          <w:p>
            <w:pPr>
              <w:spacing w:after="0"/>
              <w:rPr>
                <w:sz w:val="7"/>
                <w:szCs w:val="7"/>
                <w:color w:val="auto"/>
              </w:rPr>
            </w:pPr>
          </w:p>
        </w:tc>
        <w:tc>
          <w:tcPr>
            <w:tcW w:w="240" w:type="dxa"/>
            <w:vAlign w:val="bottom"/>
          </w:tcPr>
          <w:p>
            <w:pPr>
              <w:ind w:left="160"/>
              <w:spacing w:after="0" w:line="88" w:lineRule="exact"/>
              <w:rPr>
                <w:sz w:val="20"/>
                <w:szCs w:val="20"/>
                <w:color w:val="auto"/>
              </w:rPr>
            </w:pPr>
            <w:r>
              <w:rPr>
                <w:rFonts w:ascii="Arial" w:cs="Arial" w:eastAsia="Arial" w:hAnsi="Arial"/>
                <w:sz w:val="8"/>
                <w:szCs w:val="8"/>
                <w:color w:val="auto"/>
                <w:w w:val="74"/>
              </w:rPr>
              <w:t>—</w:t>
            </w:r>
          </w:p>
        </w:tc>
        <w:tc>
          <w:tcPr>
            <w:tcW w:w="360" w:type="dxa"/>
            <w:vAlign w:val="bottom"/>
            <w:gridSpan w:val="2"/>
          </w:tcPr>
          <w:p>
            <w:pPr>
              <w:ind w:left="240"/>
              <w:spacing w:after="0" w:line="88" w:lineRule="exact"/>
              <w:rPr>
                <w:sz w:val="20"/>
                <w:szCs w:val="20"/>
                <w:color w:val="auto"/>
              </w:rPr>
            </w:pPr>
            <w:r>
              <w:rPr>
                <w:rFonts w:ascii="Arial" w:cs="Arial" w:eastAsia="Arial" w:hAnsi="Arial"/>
                <w:sz w:val="8"/>
                <w:szCs w:val="8"/>
                <w:color w:val="auto"/>
              </w:rPr>
              <w:t>$</w:t>
            </w:r>
          </w:p>
        </w:tc>
        <w:tc>
          <w:tcPr>
            <w:tcW w:w="380" w:type="dxa"/>
            <w:vAlign w:val="bottom"/>
            <w:gridSpan w:val="2"/>
          </w:tcPr>
          <w:p>
            <w:pPr>
              <w:ind w:left="60"/>
              <w:spacing w:after="0" w:line="88" w:lineRule="exact"/>
              <w:rPr>
                <w:sz w:val="20"/>
                <w:szCs w:val="20"/>
                <w:color w:val="auto"/>
              </w:rPr>
            </w:pPr>
            <w:r>
              <w:rPr>
                <w:rFonts w:ascii="Arial" w:cs="Arial" w:eastAsia="Arial" w:hAnsi="Arial"/>
                <w:sz w:val="8"/>
                <w:szCs w:val="8"/>
                <w:color w:val="auto"/>
              </w:rPr>
              <w:t>—</w:t>
            </w:r>
          </w:p>
        </w:tc>
        <w:tc>
          <w:tcPr>
            <w:tcW w:w="380" w:type="dxa"/>
            <w:vAlign w:val="bottom"/>
          </w:tcPr>
          <w:p>
            <w:pPr>
              <w:jc w:val="right"/>
              <w:spacing w:after="0" w:line="88" w:lineRule="exact"/>
              <w:rPr>
                <w:sz w:val="20"/>
                <w:szCs w:val="20"/>
                <w:color w:val="auto"/>
              </w:rPr>
            </w:pPr>
            <w:r>
              <w:rPr>
                <w:rFonts w:ascii="Arial" w:cs="Arial" w:eastAsia="Arial" w:hAnsi="Arial"/>
                <w:sz w:val="8"/>
                <w:szCs w:val="8"/>
                <w:color w:val="auto"/>
              </w:rPr>
              <w:t>—</w:t>
            </w:r>
          </w:p>
        </w:tc>
        <w:tc>
          <w:tcPr>
            <w:tcW w:w="280" w:type="dxa"/>
            <w:vAlign w:val="bottom"/>
          </w:tcPr>
          <w:p>
            <w:pPr>
              <w:jc w:val="right"/>
              <w:spacing w:after="0" w:line="88" w:lineRule="exact"/>
              <w:rPr>
                <w:sz w:val="20"/>
                <w:szCs w:val="20"/>
                <w:color w:val="auto"/>
              </w:rPr>
            </w:pPr>
            <w:r>
              <w:rPr>
                <w:rFonts w:ascii="Arial" w:cs="Arial" w:eastAsia="Arial" w:hAnsi="Arial"/>
                <w:sz w:val="8"/>
                <w:szCs w:val="8"/>
                <w:color w:val="auto"/>
              </w:rPr>
              <w:t>$</w:t>
            </w:r>
          </w:p>
        </w:tc>
        <w:tc>
          <w:tcPr>
            <w:tcW w:w="560" w:type="dxa"/>
            <w:vAlign w:val="bottom"/>
            <w:gridSpan w:val="2"/>
          </w:tcPr>
          <w:p>
            <w:pPr>
              <w:jc w:val="right"/>
              <w:ind w:right="220"/>
              <w:spacing w:after="0" w:line="88" w:lineRule="exact"/>
              <w:rPr>
                <w:sz w:val="20"/>
                <w:szCs w:val="20"/>
                <w:color w:val="auto"/>
              </w:rPr>
            </w:pPr>
            <w:r>
              <w:rPr>
                <w:rFonts w:ascii="Arial" w:cs="Arial" w:eastAsia="Arial" w:hAnsi="Arial"/>
                <w:sz w:val="8"/>
                <w:szCs w:val="8"/>
                <w:color w:val="auto"/>
              </w:rPr>
              <w:t>—</w:t>
            </w:r>
          </w:p>
        </w:tc>
        <w:tc>
          <w:tcPr>
            <w:tcW w:w="600" w:type="dxa"/>
            <w:vAlign w:val="bottom"/>
            <w:gridSpan w:val="2"/>
          </w:tcPr>
          <w:p>
            <w:pPr>
              <w:jc w:val="right"/>
              <w:ind w:right="240"/>
              <w:spacing w:after="0" w:line="88" w:lineRule="exact"/>
              <w:rPr>
                <w:sz w:val="20"/>
                <w:szCs w:val="20"/>
                <w:color w:val="auto"/>
              </w:rPr>
            </w:pPr>
            <w:r>
              <w:rPr>
                <w:rFonts w:ascii="Arial" w:cs="Arial" w:eastAsia="Arial" w:hAnsi="Arial"/>
                <w:sz w:val="8"/>
                <w:szCs w:val="8"/>
                <w:color w:val="auto"/>
              </w:rPr>
              <w:t>—</w:t>
            </w:r>
          </w:p>
        </w:tc>
        <w:tc>
          <w:tcPr>
            <w:tcW w:w="60" w:type="dxa"/>
            <w:vAlign w:val="bottom"/>
          </w:tcPr>
          <w:p>
            <w:pPr>
              <w:jc w:val="right"/>
              <w:spacing w:after="0"/>
              <w:rPr>
                <w:sz w:val="20"/>
                <w:szCs w:val="20"/>
                <w:color w:val="auto"/>
              </w:rPr>
            </w:pPr>
            <w:r>
              <w:rPr>
                <w:rFonts w:ascii="Arial" w:cs="Arial" w:eastAsia="Arial" w:hAnsi="Arial"/>
                <w:sz w:val="5"/>
                <w:szCs w:val="5"/>
                <w:color w:val="auto"/>
                <w:w w:val="70"/>
              </w:rPr>
              <w:t>$</w:t>
            </w:r>
          </w:p>
        </w:tc>
        <w:tc>
          <w:tcPr>
            <w:tcW w:w="560" w:type="dxa"/>
            <w:vAlign w:val="bottom"/>
            <w:gridSpan w:val="2"/>
          </w:tcPr>
          <w:p>
            <w:pPr>
              <w:jc w:val="right"/>
              <w:ind w:right="220"/>
              <w:spacing w:after="0" w:line="88" w:lineRule="exact"/>
              <w:rPr>
                <w:sz w:val="20"/>
                <w:szCs w:val="20"/>
                <w:color w:val="auto"/>
              </w:rPr>
            </w:pPr>
            <w:r>
              <w:rPr>
                <w:rFonts w:ascii="Arial" w:cs="Arial" w:eastAsia="Arial" w:hAnsi="Arial"/>
                <w:sz w:val="8"/>
                <w:szCs w:val="8"/>
                <w:color w:val="auto"/>
              </w:rPr>
              <w:t>—</w:t>
            </w:r>
          </w:p>
        </w:tc>
        <w:tc>
          <w:tcPr>
            <w:tcW w:w="380" w:type="dxa"/>
            <w:vAlign w:val="bottom"/>
          </w:tcPr>
          <w:p>
            <w:pPr>
              <w:jc w:val="right"/>
              <w:spacing w:after="0" w:line="88" w:lineRule="exact"/>
              <w:rPr>
                <w:sz w:val="20"/>
                <w:szCs w:val="20"/>
                <w:color w:val="auto"/>
              </w:rPr>
            </w:pPr>
            <w:r>
              <w:rPr>
                <w:rFonts w:ascii="Arial" w:cs="Arial" w:eastAsia="Arial" w:hAnsi="Arial"/>
                <w:sz w:val="8"/>
                <w:szCs w:val="8"/>
                <w:color w:val="auto"/>
              </w:rPr>
              <w:t>—</w:t>
            </w:r>
          </w:p>
        </w:tc>
        <w:tc>
          <w:tcPr>
            <w:tcW w:w="300" w:type="dxa"/>
            <w:vAlign w:val="bottom"/>
            <w:gridSpan w:val="2"/>
          </w:tcPr>
          <w:p>
            <w:pPr>
              <w:jc w:val="right"/>
              <w:ind w:right="40"/>
              <w:spacing w:after="0" w:line="88" w:lineRule="exact"/>
              <w:rPr>
                <w:sz w:val="20"/>
                <w:szCs w:val="20"/>
                <w:color w:val="auto"/>
              </w:rPr>
            </w:pPr>
            <w:r>
              <w:rPr>
                <w:rFonts w:ascii="Arial" w:cs="Arial" w:eastAsia="Arial" w:hAnsi="Arial"/>
                <w:sz w:val="8"/>
                <w:szCs w:val="8"/>
                <w:color w:val="auto"/>
              </w:rPr>
              <w:t>$</w:t>
            </w:r>
          </w:p>
        </w:tc>
        <w:tc>
          <w:tcPr>
            <w:tcW w:w="480" w:type="dxa"/>
            <w:vAlign w:val="bottom"/>
            <w:gridSpan w:val="2"/>
          </w:tcPr>
          <w:p>
            <w:pPr>
              <w:jc w:val="right"/>
              <w:ind w:right="120"/>
              <w:spacing w:after="0" w:line="88" w:lineRule="exact"/>
              <w:rPr>
                <w:sz w:val="20"/>
                <w:szCs w:val="20"/>
                <w:color w:val="auto"/>
              </w:rPr>
            </w:pPr>
            <w:r>
              <w:rPr>
                <w:rFonts w:ascii="Arial" w:cs="Arial" w:eastAsia="Arial" w:hAnsi="Arial"/>
                <w:sz w:val="8"/>
                <w:szCs w:val="8"/>
                <w:color w:val="auto"/>
              </w:rPr>
              <w:t>—</w:t>
            </w:r>
          </w:p>
        </w:tc>
        <w:tc>
          <w:tcPr>
            <w:tcW w:w="140" w:type="dxa"/>
            <w:vAlign w:val="bottom"/>
          </w:tcPr>
          <w:p>
            <w:pPr>
              <w:ind w:left="100"/>
              <w:spacing w:after="0"/>
              <w:rPr>
                <w:sz w:val="20"/>
                <w:szCs w:val="20"/>
                <w:color w:val="auto"/>
              </w:rPr>
            </w:pPr>
            <w:r>
              <w:rPr>
                <w:rFonts w:ascii="Arial" w:cs="Arial" w:eastAsia="Arial" w:hAnsi="Arial"/>
                <w:sz w:val="1"/>
                <w:szCs w:val="1"/>
                <w:color w:val="auto"/>
                <w:w w:val="4294967288"/>
              </w:rPr>
              <w:t>$</w:t>
            </w:r>
          </w:p>
        </w:tc>
        <w:tc>
          <w:tcPr>
            <w:tcW w:w="440" w:type="dxa"/>
            <w:vAlign w:val="bottom"/>
          </w:tcPr>
          <w:p>
            <w:pPr>
              <w:jc w:val="right"/>
              <w:spacing w:after="0" w:line="88" w:lineRule="exact"/>
              <w:rPr>
                <w:sz w:val="20"/>
                <w:szCs w:val="20"/>
                <w:color w:val="auto"/>
              </w:rPr>
            </w:pPr>
            <w:r>
              <w:rPr>
                <w:rFonts w:ascii="Arial" w:cs="Arial" w:eastAsia="Arial" w:hAnsi="Arial"/>
                <w:sz w:val="8"/>
                <w:szCs w:val="8"/>
                <w:color w:val="auto"/>
              </w:rPr>
              <w:t>54,862</w:t>
            </w:r>
          </w:p>
        </w:tc>
        <w:tc>
          <w:tcPr>
            <w:tcW w:w="220" w:type="dxa"/>
            <w:vAlign w:val="bottom"/>
          </w:tcPr>
          <w:p>
            <w:pPr>
              <w:spacing w:after="0"/>
              <w:rPr>
                <w:sz w:val="7"/>
                <w:szCs w:val="7"/>
                <w:color w:val="auto"/>
              </w:rPr>
            </w:pPr>
          </w:p>
        </w:tc>
        <w:tc>
          <w:tcPr>
            <w:tcW w:w="60" w:type="dxa"/>
            <w:vAlign w:val="bottom"/>
          </w:tcPr>
          <w:p>
            <w:pPr>
              <w:spacing w:after="0" w:line="88" w:lineRule="exact"/>
              <w:rPr>
                <w:sz w:val="20"/>
                <w:szCs w:val="20"/>
                <w:color w:val="auto"/>
              </w:rPr>
            </w:pPr>
            <w:r>
              <w:rPr>
                <w:rFonts w:ascii="Arial" w:cs="Arial" w:eastAsia="Arial" w:hAnsi="Arial"/>
                <w:sz w:val="8"/>
                <w:szCs w:val="8"/>
                <w:color w:val="auto"/>
                <w:w w:val="88"/>
              </w:rPr>
              <w:t>$</w:t>
            </w:r>
          </w:p>
        </w:tc>
        <w:tc>
          <w:tcPr>
            <w:tcW w:w="360" w:type="dxa"/>
            <w:vAlign w:val="bottom"/>
          </w:tcPr>
          <w:p>
            <w:pPr>
              <w:jc w:val="right"/>
              <w:spacing w:after="0" w:line="88" w:lineRule="exact"/>
              <w:rPr>
                <w:sz w:val="20"/>
                <w:szCs w:val="20"/>
                <w:color w:val="auto"/>
              </w:rPr>
            </w:pPr>
            <w:r>
              <w:rPr>
                <w:rFonts w:ascii="Arial" w:cs="Arial" w:eastAsia="Arial" w:hAnsi="Arial"/>
                <w:sz w:val="8"/>
                <w:szCs w:val="8"/>
                <w:color w:val="auto"/>
              </w:rPr>
              <w:t>367,266</w:t>
            </w:r>
          </w:p>
        </w:tc>
        <w:tc>
          <w:tcPr>
            <w:tcW w:w="120" w:type="dxa"/>
            <w:vAlign w:val="bottom"/>
          </w:tcPr>
          <w:p>
            <w:pPr>
              <w:spacing w:after="0"/>
              <w:rPr>
                <w:sz w:val="7"/>
                <w:szCs w:val="7"/>
                <w:color w:val="auto"/>
              </w:rPr>
            </w:pPr>
          </w:p>
        </w:tc>
        <w:tc>
          <w:tcPr>
            <w:tcW w:w="160" w:type="dxa"/>
            <w:vAlign w:val="bottom"/>
          </w:tcPr>
          <w:p>
            <w:pPr>
              <w:ind w:left="100"/>
              <w:spacing w:after="0"/>
              <w:rPr>
                <w:sz w:val="20"/>
                <w:szCs w:val="20"/>
                <w:color w:val="auto"/>
              </w:rPr>
            </w:pPr>
            <w:r>
              <w:rPr>
                <w:rFonts w:ascii="Arial" w:cs="Arial" w:eastAsia="Arial" w:hAnsi="Arial"/>
                <w:sz w:val="5"/>
                <w:szCs w:val="5"/>
                <w:color w:val="auto"/>
                <w:w w:val="70"/>
              </w:rPr>
              <w:t>$</w:t>
            </w:r>
          </w:p>
        </w:tc>
        <w:tc>
          <w:tcPr>
            <w:tcW w:w="600" w:type="dxa"/>
            <w:vAlign w:val="bottom"/>
            <w:gridSpan w:val="2"/>
          </w:tcPr>
          <w:p>
            <w:pPr>
              <w:jc w:val="right"/>
              <w:ind w:right="200"/>
              <w:spacing w:after="0" w:line="88" w:lineRule="exact"/>
              <w:rPr>
                <w:sz w:val="20"/>
                <w:szCs w:val="20"/>
                <w:color w:val="auto"/>
              </w:rPr>
            </w:pPr>
            <w:r>
              <w:rPr>
                <w:rFonts w:ascii="Arial" w:cs="Arial" w:eastAsia="Arial" w:hAnsi="Arial"/>
                <w:sz w:val="8"/>
                <w:szCs w:val="8"/>
                <w:color w:val="auto"/>
              </w:rPr>
              <w:t>(80,220 )</w:t>
            </w:r>
          </w:p>
        </w:tc>
        <w:tc>
          <w:tcPr>
            <w:tcW w:w="100" w:type="dxa"/>
            <w:vAlign w:val="bottom"/>
          </w:tcPr>
          <w:p>
            <w:pPr>
              <w:spacing w:after="0" w:line="88" w:lineRule="exact"/>
              <w:rPr>
                <w:sz w:val="20"/>
                <w:szCs w:val="20"/>
                <w:color w:val="auto"/>
              </w:rPr>
            </w:pPr>
            <w:r>
              <w:rPr>
                <w:rFonts w:ascii="Arial" w:cs="Arial" w:eastAsia="Arial" w:hAnsi="Arial"/>
                <w:sz w:val="8"/>
                <w:szCs w:val="8"/>
                <w:color w:val="auto"/>
              </w:rPr>
              <w:t>$</w:t>
            </w:r>
          </w:p>
        </w:tc>
        <w:tc>
          <w:tcPr>
            <w:tcW w:w="640" w:type="dxa"/>
            <w:vAlign w:val="bottom"/>
            <w:gridSpan w:val="2"/>
          </w:tcPr>
          <w:p>
            <w:pPr>
              <w:jc w:val="right"/>
              <w:ind w:right="200"/>
              <w:spacing w:after="0" w:line="88" w:lineRule="exact"/>
              <w:rPr>
                <w:sz w:val="20"/>
                <w:szCs w:val="20"/>
                <w:color w:val="auto"/>
              </w:rPr>
            </w:pPr>
            <w:r>
              <w:rPr>
                <w:rFonts w:ascii="Arial" w:cs="Arial" w:eastAsia="Arial" w:hAnsi="Arial"/>
                <w:sz w:val="8"/>
                <w:szCs w:val="8"/>
                <w:color w:val="auto"/>
              </w:rPr>
              <w:t>(2,577)</w:t>
            </w:r>
          </w:p>
        </w:tc>
        <w:tc>
          <w:tcPr>
            <w:tcW w:w="80" w:type="dxa"/>
            <w:vAlign w:val="bottom"/>
          </w:tcPr>
          <w:p>
            <w:pPr>
              <w:spacing w:after="0" w:line="88" w:lineRule="exact"/>
              <w:rPr>
                <w:sz w:val="20"/>
                <w:szCs w:val="20"/>
                <w:color w:val="auto"/>
              </w:rPr>
            </w:pPr>
            <w:r>
              <w:rPr>
                <w:rFonts w:ascii="Arial" w:cs="Arial" w:eastAsia="Arial" w:hAnsi="Arial"/>
                <w:sz w:val="8"/>
                <w:szCs w:val="8"/>
                <w:color w:val="auto"/>
              </w:rPr>
              <w:t>$</w:t>
            </w:r>
          </w:p>
        </w:tc>
        <w:tc>
          <w:tcPr>
            <w:tcW w:w="400" w:type="dxa"/>
            <w:vAlign w:val="bottom"/>
          </w:tcPr>
          <w:p>
            <w:pPr>
              <w:jc w:val="right"/>
              <w:spacing w:after="0" w:line="88" w:lineRule="exact"/>
              <w:rPr>
                <w:sz w:val="20"/>
                <w:szCs w:val="20"/>
                <w:color w:val="auto"/>
              </w:rPr>
            </w:pPr>
            <w:r>
              <w:rPr>
                <w:rFonts w:ascii="Arial" w:cs="Arial" w:eastAsia="Arial" w:hAnsi="Arial"/>
                <w:sz w:val="8"/>
                <w:szCs w:val="8"/>
                <w:color w:val="auto"/>
              </w:rPr>
              <w:t>339,347</w:t>
            </w: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80" w:type="dxa"/>
            <w:vAlign w:val="bottom"/>
            <w:tcBorders>
              <w:right w:val="single" w:sz="8" w:color="auto"/>
            </w:tcBorders>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32" w:lineRule="exact"/>
        <w:rPr>
          <w:sz w:val="20"/>
          <w:szCs w:val="20"/>
          <w:color w:val="auto"/>
        </w:rPr>
      </w:pPr>
    </w:p>
    <w:p>
      <w:pPr>
        <w:jc w:val="center"/>
        <w:ind w:right="20"/>
        <w:spacing w:after="0"/>
        <w:rPr>
          <w:sz w:val="20"/>
          <w:szCs w:val="20"/>
          <w:color w:val="auto"/>
        </w:rPr>
      </w:pPr>
      <w:r>
        <w:rPr>
          <w:rFonts w:ascii="Arial" w:cs="Arial" w:eastAsia="Arial" w:hAnsi="Arial"/>
          <w:sz w:val="10"/>
          <w:szCs w:val="10"/>
          <w:color w:val="auto"/>
        </w:rPr>
        <w:t>See accompanying Notes to Consolidated Financial Statements</w:t>
      </w:r>
    </w:p>
    <w:p>
      <w:pPr>
        <w:spacing w:after="0" w:line="276"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17740" cy="3683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ectPr>
          <w:pgSz w:w="11900" w:h="16838" w:orient="portrait"/>
          <w:cols w:equalWidth="0" w:num="1">
            <w:col w:w="11480"/>
          </w:cols>
          <w:pgMar w:left="220" w:top="127" w:right="199" w:bottom="1440" w:gutter="0" w:footer="0" w:header="0"/>
        </w:sectPr>
      </w:pPr>
    </w:p>
    <w:bookmarkStart w:id="71" w:name="page72"/>
    <w:bookmarkEnd w:id="71"/>
    <w:p>
      <w:pPr>
        <w:jc w:val="center"/>
        <w:ind w:right="20"/>
        <w:spacing w:after="0"/>
        <w:rPr>
          <w:sz w:val="20"/>
          <w:szCs w:val="20"/>
          <w:color w:val="auto"/>
        </w:rPr>
      </w:pPr>
      <w:r>
        <w:rPr>
          <w:rFonts w:ascii="Arial" w:cs="Arial" w:eastAsia="Arial" w:hAnsi="Arial"/>
          <w:sz w:val="12"/>
          <w:szCs w:val="12"/>
          <w:b w:val="1"/>
          <w:bCs w:val="1"/>
          <w:color w:val="auto"/>
        </w:rPr>
        <w:t>VERRA MOBILITY CORPORATION</w:t>
      </w:r>
    </w:p>
    <w:p>
      <w:pPr>
        <w:spacing w:after="0" w:line="19"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CONSOLIDATED STATEMENTS OF CASH FLOWS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560" w:type="dxa"/>
            <w:vAlign w:val="bottom"/>
          </w:tcPr>
          <w:p>
            <w:pPr>
              <w:spacing w:after="0"/>
              <w:rPr>
                <w:sz w:val="13"/>
                <w:szCs w:val="13"/>
                <w:color w:val="auto"/>
              </w:rPr>
            </w:pPr>
          </w:p>
        </w:tc>
        <w:tc>
          <w:tcPr>
            <w:tcW w:w="39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80" w:type="dxa"/>
            <w:vAlign w:val="bottom"/>
            <w:gridSpan w:val="2"/>
          </w:tcPr>
          <w:p>
            <w:pPr>
              <w:jc w:val="right"/>
              <w:ind w:right="720"/>
              <w:spacing w:after="0"/>
              <w:rPr>
                <w:sz w:val="20"/>
                <w:szCs w:val="20"/>
                <w:color w:val="auto"/>
              </w:rPr>
            </w:pPr>
            <w:r>
              <w:rPr>
                <w:rFonts w:ascii="Arial" w:cs="Arial" w:eastAsia="Arial" w:hAnsi="Arial"/>
                <w:sz w:val="8"/>
                <w:szCs w:val="8"/>
                <w:b w:val="1"/>
                <w:bCs w:val="1"/>
                <w:color w:val="auto"/>
              </w:rPr>
              <w:t>Successor</w:t>
            </w:r>
          </w:p>
        </w:tc>
        <w:tc>
          <w:tcPr>
            <w:tcW w:w="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8"/>
                <w:szCs w:val="8"/>
                <w:b w:val="1"/>
                <w:bCs w:val="1"/>
                <w:color w:val="auto"/>
                <w:w w:val="91"/>
              </w:rPr>
              <w:t>Predecessor</w:t>
            </w:r>
          </w:p>
        </w:tc>
      </w:tr>
      <w:tr>
        <w:trPr>
          <w:trHeight w:val="77"/>
        </w:trPr>
        <w:tc>
          <w:tcPr>
            <w:tcW w:w="560" w:type="dxa"/>
            <w:vAlign w:val="bottom"/>
          </w:tcPr>
          <w:p>
            <w:pPr>
              <w:spacing w:after="0"/>
              <w:rPr>
                <w:sz w:val="6"/>
                <w:szCs w:val="6"/>
                <w:color w:val="auto"/>
              </w:rPr>
            </w:pPr>
          </w:p>
        </w:tc>
        <w:tc>
          <w:tcPr>
            <w:tcW w:w="39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280" w:type="dxa"/>
            <w:vAlign w:val="bottom"/>
            <w:tcBorders>
              <w:top w:val="single" w:sz="8" w:color="auto"/>
            </w:tcBorders>
          </w:tcPr>
          <w:p>
            <w:pPr>
              <w:spacing w:after="0"/>
              <w:rPr>
                <w:sz w:val="6"/>
                <w:szCs w:val="6"/>
                <w:color w:val="auto"/>
              </w:rPr>
            </w:pPr>
          </w:p>
        </w:tc>
        <w:tc>
          <w:tcPr>
            <w:tcW w:w="920" w:type="dxa"/>
            <w:vAlign w:val="bottom"/>
            <w:tcBorders>
              <w:top w:val="single" w:sz="8" w:color="auto"/>
            </w:tcBorders>
          </w:tcPr>
          <w:p>
            <w:pPr>
              <w:spacing w:after="0"/>
              <w:rPr>
                <w:sz w:val="6"/>
                <w:szCs w:val="6"/>
                <w:color w:val="auto"/>
              </w:rPr>
            </w:pPr>
          </w:p>
        </w:tc>
        <w:tc>
          <w:tcPr>
            <w:tcW w:w="300" w:type="dxa"/>
            <w:vAlign w:val="bottom"/>
            <w:tcBorders>
              <w:top w:val="single" w:sz="8" w:color="auto"/>
            </w:tcBorders>
          </w:tcPr>
          <w:p>
            <w:pPr>
              <w:spacing w:after="0"/>
              <w:rPr>
                <w:sz w:val="6"/>
                <w:szCs w:val="6"/>
                <w:color w:val="auto"/>
              </w:rPr>
            </w:pPr>
          </w:p>
        </w:tc>
        <w:tc>
          <w:tcPr>
            <w:tcW w:w="320" w:type="dxa"/>
            <w:vAlign w:val="bottom"/>
            <w:tcBorders>
              <w:top w:val="single" w:sz="8" w:color="auto"/>
            </w:tcBorders>
          </w:tcPr>
          <w:p>
            <w:pPr>
              <w:spacing w:after="0"/>
              <w:rPr>
                <w:sz w:val="6"/>
                <w:szCs w:val="6"/>
                <w:color w:val="auto"/>
              </w:rPr>
            </w:pPr>
          </w:p>
        </w:tc>
        <w:tc>
          <w:tcPr>
            <w:tcW w:w="900" w:type="dxa"/>
            <w:vAlign w:val="bottom"/>
            <w:tcBorders>
              <w:top w:val="single" w:sz="8" w:color="auto"/>
            </w:tcBorders>
          </w:tcPr>
          <w:p>
            <w:pPr>
              <w:spacing w:after="0"/>
              <w:rPr>
                <w:sz w:val="6"/>
                <w:szCs w:val="6"/>
                <w:color w:val="auto"/>
              </w:rPr>
            </w:pPr>
          </w:p>
        </w:tc>
        <w:tc>
          <w:tcPr>
            <w:tcW w:w="280" w:type="dxa"/>
            <w:vAlign w:val="bottom"/>
            <w:tcBorders>
              <w:top w:val="single" w:sz="8" w:color="auto"/>
            </w:tcBorders>
          </w:tcPr>
          <w:p>
            <w:pPr>
              <w:spacing w:after="0"/>
              <w:rPr>
                <w:sz w:val="6"/>
                <w:szCs w:val="6"/>
                <w:color w:val="auto"/>
              </w:rPr>
            </w:pPr>
          </w:p>
        </w:tc>
        <w:tc>
          <w:tcPr>
            <w:tcW w:w="200" w:type="dxa"/>
            <w:vAlign w:val="bottom"/>
            <w:tcBorders>
              <w:top w:val="single" w:sz="8" w:color="auto"/>
            </w:tcBorders>
          </w:tcPr>
          <w:p>
            <w:pPr>
              <w:spacing w:after="0"/>
              <w:rPr>
                <w:sz w:val="6"/>
                <w:szCs w:val="6"/>
                <w:color w:val="auto"/>
              </w:rPr>
            </w:pPr>
          </w:p>
        </w:tc>
        <w:tc>
          <w:tcPr>
            <w:tcW w:w="1020" w:type="dxa"/>
            <w:vAlign w:val="bottom"/>
            <w:tcBorders>
              <w:top w:val="single" w:sz="8" w:color="auto"/>
            </w:tcBorders>
          </w:tcPr>
          <w:p>
            <w:pPr>
              <w:jc w:val="center"/>
              <w:ind w:right="153"/>
              <w:spacing w:after="0" w:line="78" w:lineRule="exact"/>
              <w:rPr>
                <w:sz w:val="20"/>
                <w:szCs w:val="20"/>
                <w:color w:val="auto"/>
              </w:rPr>
            </w:pPr>
            <w:r>
              <w:rPr>
                <w:rFonts w:ascii="Arial" w:cs="Arial" w:eastAsia="Arial" w:hAnsi="Arial"/>
                <w:sz w:val="8"/>
                <w:szCs w:val="8"/>
                <w:b w:val="1"/>
                <w:bCs w:val="1"/>
                <w:color w:val="auto"/>
                <w:w w:val="93"/>
              </w:rPr>
              <w:t>Period from</w:t>
            </w:r>
          </w:p>
        </w:tc>
        <w:tc>
          <w:tcPr>
            <w:tcW w:w="220" w:type="dxa"/>
            <w:vAlign w:val="bottom"/>
            <w:tcBorders>
              <w:right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180" w:type="dxa"/>
            <w:vAlign w:val="bottom"/>
            <w:tcBorders>
              <w:top w:val="single" w:sz="8" w:color="auto"/>
            </w:tcBorders>
          </w:tcPr>
          <w:p>
            <w:pPr>
              <w:spacing w:after="0"/>
              <w:rPr>
                <w:sz w:val="6"/>
                <w:szCs w:val="6"/>
                <w:color w:val="auto"/>
              </w:rPr>
            </w:pPr>
          </w:p>
        </w:tc>
        <w:tc>
          <w:tcPr>
            <w:tcW w:w="1040" w:type="dxa"/>
            <w:vAlign w:val="bottom"/>
            <w:tcBorders>
              <w:top w:val="single" w:sz="8" w:color="auto"/>
            </w:tcBorders>
          </w:tcPr>
          <w:p>
            <w:pPr>
              <w:jc w:val="center"/>
              <w:ind w:right="153"/>
              <w:spacing w:after="0" w:line="78" w:lineRule="exact"/>
              <w:rPr>
                <w:sz w:val="20"/>
                <w:szCs w:val="20"/>
                <w:color w:val="auto"/>
              </w:rPr>
            </w:pPr>
            <w:r>
              <w:rPr>
                <w:rFonts w:ascii="Arial" w:cs="Arial" w:eastAsia="Arial" w:hAnsi="Arial"/>
                <w:sz w:val="8"/>
                <w:szCs w:val="8"/>
                <w:b w:val="1"/>
                <w:bCs w:val="1"/>
                <w:color w:val="auto"/>
                <w:w w:val="97"/>
              </w:rPr>
              <w:t>Period from</w:t>
            </w:r>
          </w:p>
        </w:tc>
        <w:tc>
          <w:tcPr>
            <w:tcW w:w="120" w:type="dxa"/>
            <w:vAlign w:val="bottom"/>
          </w:tcPr>
          <w:p>
            <w:pPr>
              <w:spacing w:after="0"/>
              <w:rPr>
                <w:sz w:val="6"/>
                <w:szCs w:val="6"/>
                <w:color w:val="auto"/>
              </w:rPr>
            </w:pPr>
          </w:p>
        </w:tc>
      </w:tr>
      <w:tr>
        <w:trPr>
          <w:trHeight w:val="90"/>
        </w:trPr>
        <w:tc>
          <w:tcPr>
            <w:tcW w:w="560" w:type="dxa"/>
            <w:vAlign w:val="bottom"/>
          </w:tcPr>
          <w:p>
            <w:pPr>
              <w:spacing w:after="0"/>
              <w:rPr>
                <w:sz w:val="7"/>
                <w:szCs w:val="7"/>
                <w:color w:val="auto"/>
              </w:rPr>
            </w:pPr>
          </w:p>
        </w:tc>
        <w:tc>
          <w:tcPr>
            <w:tcW w:w="3920" w:type="dxa"/>
            <w:vAlign w:val="bottom"/>
          </w:tcPr>
          <w:p>
            <w:pPr>
              <w:spacing w:after="0"/>
              <w:rPr>
                <w:sz w:val="7"/>
                <w:szCs w:val="7"/>
                <w:color w:val="auto"/>
              </w:rPr>
            </w:pPr>
          </w:p>
        </w:tc>
        <w:tc>
          <w:tcPr>
            <w:tcW w:w="11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540" w:type="dxa"/>
            <w:vAlign w:val="bottom"/>
            <w:gridSpan w:val="3"/>
          </w:tcPr>
          <w:p>
            <w:pPr>
              <w:jc w:val="right"/>
              <w:ind w:right="72"/>
              <w:spacing w:after="0" w:line="90" w:lineRule="exact"/>
              <w:rPr>
                <w:sz w:val="20"/>
                <w:szCs w:val="20"/>
                <w:color w:val="auto"/>
              </w:rPr>
            </w:pPr>
            <w:r>
              <w:rPr>
                <w:rFonts w:ascii="Arial" w:cs="Arial" w:eastAsia="Arial" w:hAnsi="Arial"/>
                <w:sz w:val="8"/>
                <w:szCs w:val="8"/>
                <w:b w:val="1"/>
                <w:bCs w:val="1"/>
                <w:color w:val="auto"/>
              </w:rPr>
              <w:t>For the Year Ended</w:t>
            </w:r>
          </w:p>
        </w:tc>
        <w:tc>
          <w:tcPr>
            <w:tcW w:w="90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40" w:type="dxa"/>
            <w:vAlign w:val="bottom"/>
            <w:tcBorders>
              <w:right w:val="single" w:sz="8" w:color="auto"/>
            </w:tcBorders>
            <w:gridSpan w:val="2"/>
          </w:tcPr>
          <w:p>
            <w:pPr>
              <w:jc w:val="center"/>
              <w:ind w:right="420"/>
              <w:spacing w:after="0" w:line="90" w:lineRule="exact"/>
              <w:rPr>
                <w:sz w:val="20"/>
                <w:szCs w:val="20"/>
                <w:color w:val="auto"/>
              </w:rPr>
            </w:pPr>
            <w:r>
              <w:rPr>
                <w:rFonts w:ascii="Arial" w:cs="Arial" w:eastAsia="Arial" w:hAnsi="Arial"/>
                <w:sz w:val="8"/>
                <w:szCs w:val="8"/>
                <w:b w:val="1"/>
                <w:bCs w:val="1"/>
                <w:color w:val="auto"/>
                <w:w w:val="94"/>
              </w:rPr>
              <w:t>June 1, 2017 to</w:t>
            </w:r>
          </w:p>
        </w:tc>
        <w:tc>
          <w:tcPr>
            <w:tcW w:w="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160" w:type="dxa"/>
            <w:vAlign w:val="bottom"/>
            <w:gridSpan w:val="2"/>
          </w:tcPr>
          <w:p>
            <w:pPr>
              <w:jc w:val="center"/>
              <w:ind w:right="320"/>
              <w:spacing w:after="0" w:line="90" w:lineRule="exact"/>
              <w:rPr>
                <w:sz w:val="20"/>
                <w:szCs w:val="20"/>
                <w:color w:val="auto"/>
              </w:rPr>
            </w:pPr>
            <w:r>
              <w:rPr>
                <w:rFonts w:ascii="Arial" w:cs="Arial" w:eastAsia="Arial" w:hAnsi="Arial"/>
                <w:sz w:val="8"/>
                <w:szCs w:val="8"/>
                <w:b w:val="1"/>
                <w:bCs w:val="1"/>
                <w:color w:val="auto"/>
                <w:w w:val="93"/>
              </w:rPr>
              <w:t>January 1, 2017</w:t>
            </w:r>
          </w:p>
        </w:tc>
      </w:tr>
      <w:tr>
        <w:trPr>
          <w:trHeight w:val="101"/>
        </w:trPr>
        <w:tc>
          <w:tcPr>
            <w:tcW w:w="560" w:type="dxa"/>
            <w:vAlign w:val="bottom"/>
          </w:tcPr>
          <w:p>
            <w:pPr>
              <w:spacing w:after="0"/>
              <w:rPr>
                <w:sz w:val="8"/>
                <w:szCs w:val="8"/>
                <w:color w:val="auto"/>
              </w:rPr>
            </w:pPr>
          </w:p>
        </w:tc>
        <w:tc>
          <w:tcPr>
            <w:tcW w:w="39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540" w:type="dxa"/>
            <w:vAlign w:val="bottom"/>
            <w:tcBorders>
              <w:bottom w:val="single" w:sz="8" w:color="auto"/>
            </w:tcBorders>
            <w:gridSpan w:val="3"/>
          </w:tcPr>
          <w:p>
            <w:pPr>
              <w:jc w:val="right"/>
              <w:ind w:right="172"/>
              <w:spacing w:after="0"/>
              <w:rPr>
                <w:sz w:val="20"/>
                <w:szCs w:val="20"/>
                <w:color w:val="auto"/>
              </w:rPr>
            </w:pPr>
            <w:r>
              <w:rPr>
                <w:rFonts w:ascii="Arial" w:cs="Arial" w:eastAsia="Arial" w:hAnsi="Arial"/>
                <w:sz w:val="8"/>
                <w:szCs w:val="8"/>
                <w:b w:val="1"/>
                <w:bCs w:val="1"/>
                <w:color w:val="auto"/>
              </w:rPr>
              <w:t>December 31,</w:t>
            </w:r>
          </w:p>
        </w:tc>
        <w:tc>
          <w:tcPr>
            <w:tcW w:w="9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40" w:type="dxa"/>
            <w:vAlign w:val="bottom"/>
            <w:tcBorders>
              <w:right w:val="single" w:sz="8" w:color="auto"/>
            </w:tcBorders>
            <w:gridSpan w:val="2"/>
          </w:tcPr>
          <w:p>
            <w:pPr>
              <w:jc w:val="center"/>
              <w:ind w:right="420"/>
              <w:spacing w:after="0"/>
              <w:rPr>
                <w:sz w:val="20"/>
                <w:szCs w:val="20"/>
                <w:color w:val="auto"/>
              </w:rPr>
            </w:pPr>
            <w:r>
              <w:rPr>
                <w:rFonts w:ascii="Arial" w:cs="Arial" w:eastAsia="Arial" w:hAnsi="Arial"/>
                <w:sz w:val="8"/>
                <w:szCs w:val="8"/>
                <w:b w:val="1"/>
                <w:bCs w:val="1"/>
                <w:color w:val="auto"/>
                <w:w w:val="96"/>
              </w:rPr>
              <w:t>December 31,</w:t>
            </w: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8"/>
                <w:szCs w:val="8"/>
                <w:b w:val="1"/>
                <w:bCs w:val="1"/>
                <w:color w:val="auto"/>
                <w:w w:val="98"/>
              </w:rPr>
              <w:t>to May 31,</w:t>
            </w:r>
          </w:p>
        </w:tc>
      </w:tr>
      <w:tr>
        <w:trPr>
          <w:trHeight w:val="79"/>
        </w:trPr>
        <w:tc>
          <w:tcPr>
            <w:tcW w:w="4480" w:type="dxa"/>
            <w:vAlign w:val="bottom"/>
            <w:gridSpan w:val="2"/>
          </w:tcPr>
          <w:p>
            <w:pPr>
              <w:spacing w:after="0" w:line="79" w:lineRule="exact"/>
              <w:rPr>
                <w:sz w:val="20"/>
                <w:szCs w:val="20"/>
                <w:color w:val="auto"/>
              </w:rPr>
            </w:pPr>
            <w:r>
              <w:rPr>
                <w:rFonts w:ascii="Arial" w:cs="Arial" w:eastAsia="Arial" w:hAnsi="Arial"/>
                <w:sz w:val="8"/>
                <w:szCs w:val="8"/>
                <w:b w:val="1"/>
                <w:bCs w:val="1"/>
                <w:u w:val="single" w:color="auto"/>
                <w:color w:val="auto"/>
              </w:rPr>
              <w:t>(</w:t>
            </w:r>
            <w:r>
              <w:rPr>
                <w:rFonts w:ascii="Arial" w:cs="Arial" w:eastAsia="Arial" w:hAnsi="Arial"/>
                <w:sz w:val="8"/>
                <w:szCs w:val="8"/>
                <w:b w:val="1"/>
                <w:bCs w:val="1"/>
                <w:color w:val="auto"/>
              </w:rPr>
              <w:t>$ in thousands)</w:t>
            </w:r>
          </w:p>
        </w:tc>
        <w:tc>
          <w:tcPr>
            <w:tcW w:w="1160" w:type="dxa"/>
            <w:vAlign w:val="bottom"/>
          </w:tcPr>
          <w:p>
            <w:pPr>
              <w:spacing w:after="0"/>
              <w:rPr>
                <w:sz w:val="6"/>
                <w:szCs w:val="6"/>
                <w:color w:val="auto"/>
              </w:rPr>
            </w:pPr>
          </w:p>
        </w:tc>
        <w:tc>
          <w:tcPr>
            <w:tcW w:w="280" w:type="dxa"/>
            <w:vAlign w:val="bottom"/>
          </w:tcPr>
          <w:p>
            <w:pPr>
              <w:spacing w:after="0"/>
              <w:rPr>
                <w:sz w:val="6"/>
                <w:szCs w:val="6"/>
                <w:color w:val="auto"/>
              </w:rPr>
            </w:pPr>
          </w:p>
        </w:tc>
        <w:tc>
          <w:tcPr>
            <w:tcW w:w="920" w:type="dxa"/>
            <w:vAlign w:val="bottom"/>
          </w:tcPr>
          <w:p>
            <w:pPr>
              <w:jc w:val="right"/>
              <w:ind w:right="472"/>
              <w:spacing w:after="0" w:line="79" w:lineRule="exact"/>
              <w:rPr>
                <w:sz w:val="20"/>
                <w:szCs w:val="20"/>
                <w:color w:val="auto"/>
              </w:rPr>
            </w:pPr>
            <w:r>
              <w:rPr>
                <w:rFonts w:ascii="Arial" w:cs="Arial" w:eastAsia="Arial" w:hAnsi="Arial"/>
                <w:sz w:val="8"/>
                <w:szCs w:val="8"/>
                <w:b w:val="1"/>
                <w:bCs w:val="1"/>
                <w:color w:val="auto"/>
              </w:rPr>
              <w:t>2019</w:t>
            </w:r>
          </w:p>
        </w:tc>
        <w:tc>
          <w:tcPr>
            <w:tcW w:w="300" w:type="dxa"/>
            <w:vAlign w:val="bottom"/>
          </w:tcPr>
          <w:p>
            <w:pPr>
              <w:spacing w:after="0"/>
              <w:rPr>
                <w:sz w:val="6"/>
                <w:szCs w:val="6"/>
                <w:color w:val="auto"/>
              </w:rPr>
            </w:pPr>
          </w:p>
        </w:tc>
        <w:tc>
          <w:tcPr>
            <w:tcW w:w="320" w:type="dxa"/>
            <w:vAlign w:val="bottom"/>
          </w:tcPr>
          <w:p>
            <w:pPr>
              <w:spacing w:after="0"/>
              <w:rPr>
                <w:sz w:val="6"/>
                <w:szCs w:val="6"/>
                <w:color w:val="auto"/>
              </w:rPr>
            </w:pPr>
          </w:p>
        </w:tc>
        <w:tc>
          <w:tcPr>
            <w:tcW w:w="900" w:type="dxa"/>
            <w:vAlign w:val="bottom"/>
          </w:tcPr>
          <w:p>
            <w:pPr>
              <w:jc w:val="right"/>
              <w:ind w:right="492"/>
              <w:spacing w:after="0" w:line="79" w:lineRule="exact"/>
              <w:rPr>
                <w:sz w:val="20"/>
                <w:szCs w:val="20"/>
                <w:color w:val="auto"/>
              </w:rPr>
            </w:pPr>
            <w:r>
              <w:rPr>
                <w:rFonts w:ascii="Arial" w:cs="Arial" w:eastAsia="Arial" w:hAnsi="Arial"/>
                <w:sz w:val="8"/>
                <w:szCs w:val="8"/>
                <w:b w:val="1"/>
                <w:bCs w:val="1"/>
                <w:color w:val="auto"/>
              </w:rPr>
              <w:t>2018</w:t>
            </w:r>
          </w:p>
        </w:tc>
        <w:tc>
          <w:tcPr>
            <w:tcW w:w="2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20" w:type="dxa"/>
            <w:vAlign w:val="bottom"/>
          </w:tcPr>
          <w:p>
            <w:pPr>
              <w:jc w:val="center"/>
              <w:ind w:right="153"/>
              <w:spacing w:after="0" w:line="79" w:lineRule="exact"/>
              <w:rPr>
                <w:sz w:val="20"/>
                <w:szCs w:val="20"/>
                <w:color w:val="auto"/>
              </w:rPr>
            </w:pPr>
            <w:r>
              <w:rPr>
                <w:rFonts w:ascii="Arial" w:cs="Arial" w:eastAsia="Arial" w:hAnsi="Arial"/>
                <w:sz w:val="8"/>
                <w:szCs w:val="8"/>
                <w:b w:val="1"/>
                <w:bCs w:val="1"/>
                <w:color w:val="auto"/>
              </w:rPr>
              <w:t>2017</w:t>
            </w:r>
          </w:p>
        </w:tc>
        <w:tc>
          <w:tcPr>
            <w:tcW w:w="220" w:type="dxa"/>
            <w:vAlign w:val="bottom"/>
            <w:tcBorders>
              <w:right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40" w:type="dxa"/>
            <w:vAlign w:val="bottom"/>
          </w:tcPr>
          <w:p>
            <w:pPr>
              <w:jc w:val="center"/>
              <w:ind w:right="153"/>
              <w:spacing w:after="0" w:line="79" w:lineRule="exact"/>
              <w:rPr>
                <w:sz w:val="20"/>
                <w:szCs w:val="20"/>
                <w:color w:val="auto"/>
              </w:rPr>
            </w:pPr>
            <w:r>
              <w:rPr>
                <w:rFonts w:ascii="Arial" w:cs="Arial" w:eastAsia="Arial" w:hAnsi="Arial"/>
                <w:sz w:val="8"/>
                <w:szCs w:val="8"/>
                <w:b w:val="1"/>
                <w:bCs w:val="1"/>
                <w:color w:val="auto"/>
                <w:w w:val="89"/>
              </w:rPr>
              <w:t>2017</w:t>
            </w:r>
          </w:p>
        </w:tc>
        <w:tc>
          <w:tcPr>
            <w:tcW w:w="120" w:type="dxa"/>
            <w:vAlign w:val="bottom"/>
          </w:tcPr>
          <w:p>
            <w:pPr>
              <w:spacing w:after="0"/>
              <w:rPr>
                <w:sz w:val="6"/>
                <w:szCs w:val="6"/>
                <w:color w:val="auto"/>
              </w:rPr>
            </w:pPr>
          </w:p>
        </w:tc>
      </w:tr>
      <w:tr>
        <w:trPr>
          <w:trHeight w:val="20"/>
        </w:trPr>
        <w:tc>
          <w:tcPr>
            <w:tcW w:w="560" w:type="dxa"/>
            <w:vAlign w:val="bottom"/>
            <w:tcBorders>
              <w:bottom w:val="single" w:sz="8" w:color="CFF0FC"/>
            </w:tcBorders>
            <w:shd w:val="clear" w:color="auto" w:fill="000000"/>
          </w:tcPr>
          <w:p>
            <w:pPr>
              <w:spacing w:after="0" w:line="20" w:lineRule="exact"/>
              <w:rPr>
                <w:sz w:val="1"/>
                <w:szCs w:val="1"/>
                <w:color w:val="auto"/>
              </w:rPr>
            </w:pPr>
          </w:p>
        </w:tc>
        <w:tc>
          <w:tcPr>
            <w:tcW w:w="3920" w:type="dxa"/>
            <w:vAlign w:val="bottom"/>
            <w:tcBorders>
              <w:bottom w:val="single" w:sz="8" w:color="CFF0FC"/>
            </w:tcBorders>
          </w:tcPr>
          <w:p>
            <w:pPr>
              <w:spacing w:after="0" w:line="20" w:lineRule="exact"/>
              <w:rPr>
                <w:sz w:val="1"/>
                <w:szCs w:val="1"/>
                <w:color w:val="auto"/>
              </w:rPr>
            </w:pPr>
          </w:p>
        </w:tc>
        <w:tc>
          <w:tcPr>
            <w:tcW w:w="1160" w:type="dxa"/>
            <w:vAlign w:val="bottom"/>
            <w:tcBorders>
              <w:bottom w:val="single" w:sz="8" w:color="CFF0FC"/>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FF0FC"/>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FF0FC"/>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FF0FC"/>
              <w:right w:val="single" w:sz="8" w:color="auto"/>
            </w:tcBorders>
          </w:tcPr>
          <w:p>
            <w:pPr>
              <w:spacing w:after="0" w:line="20" w:lineRule="exact"/>
              <w:rPr>
                <w:sz w:val="1"/>
                <w:szCs w:val="1"/>
                <w:color w:val="auto"/>
              </w:rPr>
            </w:pPr>
          </w:p>
        </w:tc>
        <w:tc>
          <w:tcPr>
            <w:tcW w:w="60" w:type="dxa"/>
            <w:vAlign w:val="bottom"/>
            <w:tcBorders>
              <w:bottom w:val="single" w:sz="8" w:color="CFF0FC"/>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r>
      <w:tr>
        <w:trPr>
          <w:trHeight w:val="86"/>
        </w:trPr>
        <w:tc>
          <w:tcPr>
            <w:tcW w:w="4480" w:type="dxa"/>
            <w:vAlign w:val="bottom"/>
            <w:gridSpan w:val="2"/>
            <w:shd w:val="clear" w:color="auto" w:fill="CFF0FC"/>
          </w:tcPr>
          <w:p>
            <w:pPr>
              <w:spacing w:after="0" w:line="86" w:lineRule="exact"/>
              <w:rPr>
                <w:sz w:val="20"/>
                <w:szCs w:val="20"/>
                <w:color w:val="auto"/>
              </w:rPr>
            </w:pPr>
            <w:r>
              <w:rPr>
                <w:rFonts w:ascii="Arial" w:cs="Arial" w:eastAsia="Arial" w:hAnsi="Arial"/>
                <w:sz w:val="8"/>
                <w:szCs w:val="8"/>
                <w:b w:val="1"/>
                <w:bCs w:val="1"/>
                <w:color w:val="auto"/>
              </w:rPr>
              <w:t>Cash Flows from Operating Activities:</w:t>
            </w:r>
          </w:p>
        </w:tc>
        <w:tc>
          <w:tcPr>
            <w:tcW w:w="1160" w:type="dxa"/>
            <w:vAlign w:val="bottom"/>
            <w:shd w:val="clear" w:color="auto" w:fill="CFF0FC"/>
          </w:tcPr>
          <w:p>
            <w:pPr>
              <w:spacing w:after="0"/>
              <w:rPr>
                <w:sz w:val="7"/>
                <w:szCs w:val="7"/>
                <w:color w:val="auto"/>
              </w:rPr>
            </w:pPr>
          </w:p>
        </w:tc>
        <w:tc>
          <w:tcPr>
            <w:tcW w:w="280" w:type="dxa"/>
            <w:vAlign w:val="bottom"/>
            <w:shd w:val="clear" w:color="auto" w:fill="CFF0FC"/>
          </w:tcPr>
          <w:p>
            <w:pPr>
              <w:spacing w:after="0"/>
              <w:rPr>
                <w:sz w:val="7"/>
                <w:szCs w:val="7"/>
                <w:color w:val="auto"/>
              </w:rPr>
            </w:pPr>
          </w:p>
        </w:tc>
        <w:tc>
          <w:tcPr>
            <w:tcW w:w="920" w:type="dxa"/>
            <w:vAlign w:val="bottom"/>
            <w:shd w:val="clear" w:color="auto" w:fill="CFF0FC"/>
          </w:tcPr>
          <w:p>
            <w:pPr>
              <w:spacing w:after="0"/>
              <w:rPr>
                <w:sz w:val="7"/>
                <w:szCs w:val="7"/>
                <w:color w:val="auto"/>
              </w:rPr>
            </w:pPr>
          </w:p>
        </w:tc>
        <w:tc>
          <w:tcPr>
            <w:tcW w:w="300" w:type="dxa"/>
            <w:vAlign w:val="bottom"/>
            <w:shd w:val="clear" w:color="auto" w:fill="CFF0FC"/>
          </w:tcPr>
          <w:p>
            <w:pPr>
              <w:spacing w:after="0"/>
              <w:rPr>
                <w:sz w:val="7"/>
                <w:szCs w:val="7"/>
                <w:color w:val="auto"/>
              </w:rPr>
            </w:pPr>
          </w:p>
        </w:tc>
        <w:tc>
          <w:tcPr>
            <w:tcW w:w="320" w:type="dxa"/>
            <w:vAlign w:val="bottom"/>
            <w:shd w:val="clear" w:color="auto" w:fill="CFF0FC"/>
          </w:tcPr>
          <w:p>
            <w:pPr>
              <w:spacing w:after="0"/>
              <w:rPr>
                <w:sz w:val="7"/>
                <w:szCs w:val="7"/>
                <w:color w:val="auto"/>
              </w:rPr>
            </w:pPr>
          </w:p>
        </w:tc>
        <w:tc>
          <w:tcPr>
            <w:tcW w:w="900" w:type="dxa"/>
            <w:vAlign w:val="bottom"/>
            <w:shd w:val="clear" w:color="auto" w:fill="CFF0FC"/>
          </w:tcPr>
          <w:p>
            <w:pPr>
              <w:spacing w:after="0"/>
              <w:rPr>
                <w:sz w:val="7"/>
                <w:szCs w:val="7"/>
                <w:color w:val="auto"/>
              </w:rPr>
            </w:pPr>
          </w:p>
        </w:tc>
        <w:tc>
          <w:tcPr>
            <w:tcW w:w="280" w:type="dxa"/>
            <w:vAlign w:val="bottom"/>
            <w:shd w:val="clear" w:color="auto" w:fill="CFF0FC"/>
          </w:tcPr>
          <w:p>
            <w:pPr>
              <w:spacing w:after="0"/>
              <w:rPr>
                <w:sz w:val="7"/>
                <w:szCs w:val="7"/>
                <w:color w:val="auto"/>
              </w:rPr>
            </w:pPr>
          </w:p>
        </w:tc>
        <w:tc>
          <w:tcPr>
            <w:tcW w:w="200" w:type="dxa"/>
            <w:vAlign w:val="bottom"/>
            <w:shd w:val="clear" w:color="auto" w:fill="CFF0FC"/>
          </w:tcPr>
          <w:p>
            <w:pPr>
              <w:spacing w:after="0"/>
              <w:rPr>
                <w:sz w:val="7"/>
                <w:szCs w:val="7"/>
                <w:color w:val="auto"/>
              </w:rPr>
            </w:pPr>
          </w:p>
        </w:tc>
        <w:tc>
          <w:tcPr>
            <w:tcW w:w="1020" w:type="dxa"/>
            <w:vAlign w:val="bottom"/>
            <w:shd w:val="clear" w:color="auto" w:fill="CFF0FC"/>
          </w:tcPr>
          <w:p>
            <w:pPr>
              <w:spacing w:after="0"/>
              <w:rPr>
                <w:sz w:val="7"/>
                <w:szCs w:val="7"/>
                <w:color w:val="auto"/>
              </w:rPr>
            </w:pPr>
          </w:p>
        </w:tc>
        <w:tc>
          <w:tcPr>
            <w:tcW w:w="220" w:type="dxa"/>
            <w:vAlign w:val="bottom"/>
            <w:tcBorders>
              <w:right w:val="single" w:sz="8" w:color="auto"/>
            </w:tcBorders>
            <w:shd w:val="clear" w:color="auto" w:fill="CFF0FC"/>
          </w:tcPr>
          <w:p>
            <w:pPr>
              <w:spacing w:after="0"/>
              <w:rPr>
                <w:sz w:val="7"/>
                <w:szCs w:val="7"/>
                <w:color w:val="auto"/>
              </w:rPr>
            </w:pPr>
          </w:p>
        </w:tc>
        <w:tc>
          <w:tcPr>
            <w:tcW w:w="60" w:type="dxa"/>
            <w:vAlign w:val="bottom"/>
            <w:shd w:val="clear" w:color="auto" w:fill="CFF0FC"/>
          </w:tcPr>
          <w:p>
            <w:pPr>
              <w:spacing w:after="0"/>
              <w:rPr>
                <w:sz w:val="7"/>
                <w:szCs w:val="7"/>
                <w:color w:val="auto"/>
              </w:rPr>
            </w:pPr>
          </w:p>
        </w:tc>
        <w:tc>
          <w:tcPr>
            <w:tcW w:w="180" w:type="dxa"/>
            <w:vAlign w:val="bottom"/>
            <w:shd w:val="clear" w:color="auto" w:fill="CFF0FC"/>
          </w:tcPr>
          <w:p>
            <w:pPr>
              <w:spacing w:after="0"/>
              <w:rPr>
                <w:sz w:val="7"/>
                <w:szCs w:val="7"/>
                <w:color w:val="auto"/>
              </w:rPr>
            </w:pPr>
          </w:p>
        </w:tc>
        <w:tc>
          <w:tcPr>
            <w:tcW w:w="1040" w:type="dxa"/>
            <w:vAlign w:val="bottom"/>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r>
      <w:tr>
        <w:trPr>
          <w:trHeight w:val="108"/>
        </w:trPr>
        <w:tc>
          <w:tcPr>
            <w:tcW w:w="4480" w:type="dxa"/>
            <w:vAlign w:val="bottom"/>
            <w:gridSpan w:val="2"/>
          </w:tcPr>
          <w:p>
            <w:pPr>
              <w:spacing w:after="0" w:line="108" w:lineRule="exact"/>
              <w:rPr>
                <w:sz w:val="20"/>
                <w:szCs w:val="20"/>
                <w:color w:val="auto"/>
              </w:rPr>
            </w:pPr>
            <w:r>
              <w:rPr>
                <w:rFonts w:ascii="Arial" w:cs="Arial" w:eastAsia="Arial" w:hAnsi="Arial"/>
                <w:sz w:val="10"/>
                <w:szCs w:val="10"/>
                <w:color w:val="auto"/>
              </w:rPr>
              <w:t>Net income (loss)</w:t>
            </w:r>
          </w:p>
        </w:tc>
        <w:tc>
          <w:tcPr>
            <w:tcW w:w="1440" w:type="dxa"/>
            <w:vAlign w:val="bottom"/>
            <w:gridSpan w:val="2"/>
          </w:tcPr>
          <w:p>
            <w:pPr>
              <w:jc w:val="right"/>
              <w:ind w:right="216"/>
              <w:spacing w:after="0" w:line="108" w:lineRule="exact"/>
              <w:rPr>
                <w:sz w:val="20"/>
                <w:szCs w:val="20"/>
                <w:color w:val="auto"/>
              </w:rPr>
            </w:pPr>
            <w:r>
              <w:rPr>
                <w:rFonts w:ascii="Arial" w:cs="Arial" w:eastAsia="Arial" w:hAnsi="Arial"/>
                <w:sz w:val="10"/>
                <w:szCs w:val="10"/>
                <w:color w:val="auto"/>
              </w:rPr>
              <w:t>$</w:t>
            </w:r>
          </w:p>
        </w:tc>
        <w:tc>
          <w:tcPr>
            <w:tcW w:w="920" w:type="dxa"/>
            <w:vAlign w:val="bottom"/>
          </w:tcPr>
          <w:p>
            <w:pPr>
              <w:jc w:val="right"/>
              <w:spacing w:after="0" w:line="108" w:lineRule="exact"/>
              <w:rPr>
                <w:sz w:val="20"/>
                <w:szCs w:val="20"/>
                <w:color w:val="auto"/>
              </w:rPr>
            </w:pPr>
            <w:r>
              <w:rPr>
                <w:rFonts w:ascii="Arial" w:cs="Arial" w:eastAsia="Arial" w:hAnsi="Arial"/>
                <w:sz w:val="10"/>
                <w:szCs w:val="10"/>
                <w:color w:val="auto"/>
              </w:rPr>
              <w:t>33,343</w:t>
            </w:r>
          </w:p>
        </w:tc>
        <w:tc>
          <w:tcPr>
            <w:tcW w:w="300" w:type="dxa"/>
            <w:vAlign w:val="bottom"/>
          </w:tcPr>
          <w:p>
            <w:pPr>
              <w:spacing w:after="0"/>
              <w:rPr>
                <w:sz w:val="9"/>
                <w:szCs w:val="9"/>
                <w:color w:val="auto"/>
              </w:rPr>
            </w:pPr>
          </w:p>
        </w:tc>
        <w:tc>
          <w:tcPr>
            <w:tcW w:w="320" w:type="dxa"/>
            <w:vAlign w:val="bottom"/>
          </w:tcPr>
          <w:p>
            <w:pPr>
              <w:jc w:val="right"/>
              <w:ind w:right="212"/>
              <w:spacing w:after="0" w:line="108" w:lineRule="exact"/>
              <w:rPr>
                <w:sz w:val="20"/>
                <w:szCs w:val="20"/>
                <w:color w:val="auto"/>
              </w:rPr>
            </w:pPr>
            <w:r>
              <w:rPr>
                <w:rFonts w:ascii="Arial" w:cs="Arial" w:eastAsia="Arial" w:hAnsi="Arial"/>
                <w:sz w:val="10"/>
                <w:szCs w:val="10"/>
                <w:color w:val="auto"/>
                <w:w w:val="71"/>
              </w:rPr>
              <w:t>$</w:t>
            </w:r>
          </w:p>
        </w:tc>
        <w:tc>
          <w:tcPr>
            <w:tcW w:w="1180" w:type="dxa"/>
            <w:vAlign w:val="bottom"/>
            <w:gridSpan w:val="2"/>
          </w:tcPr>
          <w:p>
            <w:pPr>
              <w:jc w:val="right"/>
              <w:ind w:right="260"/>
              <w:spacing w:after="0" w:line="108" w:lineRule="exact"/>
              <w:rPr>
                <w:sz w:val="20"/>
                <w:szCs w:val="20"/>
                <w:color w:val="auto"/>
              </w:rPr>
            </w:pPr>
            <w:r>
              <w:rPr>
                <w:rFonts w:ascii="Arial" w:cs="Arial" w:eastAsia="Arial" w:hAnsi="Arial"/>
                <w:sz w:val="10"/>
                <w:szCs w:val="10"/>
                <w:color w:val="auto"/>
              </w:rPr>
              <w:t>(58,394)</w:t>
            </w:r>
          </w:p>
        </w:tc>
        <w:tc>
          <w:tcPr>
            <w:tcW w:w="200" w:type="dxa"/>
            <w:vAlign w:val="bottom"/>
          </w:tcPr>
          <w:p>
            <w:pPr>
              <w:jc w:val="right"/>
              <w:ind w:right="92"/>
              <w:spacing w:after="0" w:line="108" w:lineRule="exact"/>
              <w:rPr>
                <w:sz w:val="20"/>
                <w:szCs w:val="20"/>
                <w:color w:val="auto"/>
              </w:rPr>
            </w:pPr>
            <w:r>
              <w:rPr>
                <w:rFonts w:ascii="Arial" w:cs="Arial" w:eastAsia="Arial" w:hAnsi="Arial"/>
                <w:sz w:val="10"/>
                <w:szCs w:val="10"/>
                <w:color w:val="auto"/>
                <w:w w:val="71"/>
              </w:rPr>
              <w:t>$</w:t>
            </w:r>
          </w:p>
        </w:tc>
        <w:tc>
          <w:tcPr>
            <w:tcW w:w="1020" w:type="dxa"/>
            <w:vAlign w:val="bottom"/>
          </w:tcPr>
          <w:p>
            <w:pPr>
              <w:jc w:val="right"/>
              <w:spacing w:after="0" w:line="108" w:lineRule="exact"/>
              <w:rPr>
                <w:sz w:val="20"/>
                <w:szCs w:val="20"/>
                <w:color w:val="auto"/>
              </w:rPr>
            </w:pPr>
            <w:r>
              <w:rPr>
                <w:rFonts w:ascii="Arial" w:cs="Arial" w:eastAsia="Arial" w:hAnsi="Arial"/>
                <w:sz w:val="10"/>
                <w:szCs w:val="10"/>
                <w:color w:val="auto"/>
              </w:rPr>
              <w:t>18,238</w:t>
            </w:r>
          </w:p>
        </w:tc>
        <w:tc>
          <w:tcPr>
            <w:tcW w:w="22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jc w:val="right"/>
              <w:ind w:right="116"/>
              <w:spacing w:after="0"/>
              <w:rPr>
                <w:sz w:val="20"/>
                <w:szCs w:val="20"/>
                <w:color w:val="auto"/>
              </w:rPr>
            </w:pPr>
            <w:r>
              <w:rPr>
                <w:rFonts w:ascii="Arial" w:cs="Arial" w:eastAsia="Arial" w:hAnsi="Arial"/>
                <w:sz w:val="5"/>
                <w:szCs w:val="5"/>
                <w:color w:val="auto"/>
                <w:w w:val="70"/>
              </w:rPr>
              <w:t>$</w:t>
            </w:r>
          </w:p>
        </w:tc>
        <w:tc>
          <w:tcPr>
            <w:tcW w:w="1040" w:type="dxa"/>
            <w:vAlign w:val="bottom"/>
          </w:tcPr>
          <w:p>
            <w:pPr>
              <w:jc w:val="right"/>
              <w:spacing w:after="0" w:line="108" w:lineRule="exact"/>
              <w:rPr>
                <w:sz w:val="20"/>
                <w:szCs w:val="20"/>
                <w:color w:val="auto"/>
              </w:rPr>
            </w:pPr>
            <w:r>
              <w:rPr>
                <w:rFonts w:ascii="Arial" w:cs="Arial" w:eastAsia="Arial" w:hAnsi="Arial"/>
                <w:sz w:val="10"/>
                <w:szCs w:val="10"/>
                <w:color w:val="auto"/>
              </w:rPr>
              <w:t>1,240</w:t>
            </w:r>
          </w:p>
        </w:tc>
        <w:tc>
          <w:tcPr>
            <w:tcW w:w="120" w:type="dxa"/>
            <w:vAlign w:val="bottom"/>
          </w:tcPr>
          <w:p>
            <w:pPr>
              <w:spacing w:after="0"/>
              <w:rPr>
                <w:sz w:val="9"/>
                <w:szCs w:val="9"/>
                <w:color w:val="auto"/>
              </w:rPr>
            </w:pPr>
          </w:p>
        </w:tc>
      </w:tr>
      <w:tr>
        <w:trPr>
          <w:trHeight w:val="108"/>
        </w:trPr>
        <w:tc>
          <w:tcPr>
            <w:tcW w:w="4480" w:type="dxa"/>
            <w:vAlign w:val="bottom"/>
            <w:gridSpan w:val="2"/>
            <w:shd w:val="clear" w:color="auto" w:fill="CFF0FC"/>
          </w:tcPr>
          <w:p>
            <w:pPr>
              <w:spacing w:after="0" w:line="108" w:lineRule="exact"/>
              <w:rPr>
                <w:sz w:val="20"/>
                <w:szCs w:val="20"/>
                <w:color w:val="auto"/>
              </w:rPr>
            </w:pPr>
            <w:r>
              <w:rPr>
                <w:rFonts w:ascii="Arial" w:cs="Arial" w:eastAsia="Arial" w:hAnsi="Arial"/>
                <w:sz w:val="10"/>
                <w:szCs w:val="10"/>
                <w:color w:val="auto"/>
              </w:rPr>
              <w:t>Adjustments to reconcile net income (loss) to net cash provided by operating activities:</w:t>
            </w:r>
          </w:p>
        </w:tc>
        <w:tc>
          <w:tcPr>
            <w:tcW w:w="116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920" w:type="dxa"/>
            <w:vAlign w:val="bottom"/>
            <w:shd w:val="clear" w:color="auto" w:fill="CFF0FC"/>
          </w:tcPr>
          <w:p>
            <w:pPr>
              <w:spacing w:after="0"/>
              <w:rPr>
                <w:sz w:val="9"/>
                <w:szCs w:val="9"/>
                <w:color w:val="auto"/>
              </w:rPr>
            </w:pPr>
          </w:p>
        </w:tc>
        <w:tc>
          <w:tcPr>
            <w:tcW w:w="30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90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020" w:type="dxa"/>
            <w:vAlign w:val="bottom"/>
            <w:shd w:val="clear" w:color="auto" w:fill="CFF0FC"/>
          </w:tcPr>
          <w:p>
            <w:pPr>
              <w:spacing w:after="0"/>
              <w:rPr>
                <w:sz w:val="9"/>
                <w:szCs w:val="9"/>
                <w:color w:val="auto"/>
              </w:rPr>
            </w:pPr>
          </w:p>
        </w:tc>
        <w:tc>
          <w:tcPr>
            <w:tcW w:w="220" w:type="dxa"/>
            <w:vAlign w:val="bottom"/>
            <w:tcBorders>
              <w:right w:val="single" w:sz="8" w:color="auto"/>
            </w:tcBorders>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10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r>
      <w:tr>
        <w:trPr>
          <w:trHeight w:val="108"/>
        </w:trPr>
        <w:tc>
          <w:tcPr>
            <w:tcW w:w="4480" w:type="dxa"/>
            <w:vAlign w:val="bottom"/>
            <w:gridSpan w:val="2"/>
          </w:tcPr>
          <w:p>
            <w:pPr>
              <w:ind w:left="80"/>
              <w:spacing w:after="0" w:line="108" w:lineRule="exact"/>
              <w:rPr>
                <w:sz w:val="20"/>
                <w:szCs w:val="20"/>
                <w:color w:val="auto"/>
              </w:rPr>
            </w:pPr>
            <w:r>
              <w:rPr>
                <w:rFonts w:ascii="Arial" w:cs="Arial" w:eastAsia="Arial" w:hAnsi="Arial"/>
                <w:sz w:val="10"/>
                <w:szCs w:val="10"/>
                <w:color w:val="auto"/>
              </w:rPr>
              <w:t>Depreciation and amortization</w:t>
            </w:r>
          </w:p>
        </w:tc>
        <w:tc>
          <w:tcPr>
            <w:tcW w:w="1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920" w:type="dxa"/>
            <w:vAlign w:val="bottom"/>
          </w:tcPr>
          <w:p>
            <w:pPr>
              <w:jc w:val="right"/>
              <w:spacing w:after="0" w:line="108" w:lineRule="exact"/>
              <w:rPr>
                <w:sz w:val="20"/>
                <w:szCs w:val="20"/>
                <w:color w:val="auto"/>
              </w:rPr>
            </w:pPr>
            <w:r>
              <w:rPr>
                <w:rFonts w:ascii="Arial" w:cs="Arial" w:eastAsia="Arial" w:hAnsi="Arial"/>
                <w:sz w:val="10"/>
                <w:szCs w:val="10"/>
                <w:color w:val="auto"/>
              </w:rPr>
              <w:t>115,566</w:t>
            </w:r>
          </w:p>
        </w:tc>
        <w:tc>
          <w:tcPr>
            <w:tcW w:w="300" w:type="dxa"/>
            <w:vAlign w:val="bottom"/>
          </w:tcPr>
          <w:p>
            <w:pPr>
              <w:spacing w:after="0"/>
              <w:rPr>
                <w:sz w:val="9"/>
                <w:szCs w:val="9"/>
                <w:color w:val="auto"/>
              </w:rPr>
            </w:pPr>
          </w:p>
        </w:tc>
        <w:tc>
          <w:tcPr>
            <w:tcW w:w="320" w:type="dxa"/>
            <w:vAlign w:val="bottom"/>
          </w:tcPr>
          <w:p>
            <w:pPr>
              <w:spacing w:after="0"/>
              <w:rPr>
                <w:sz w:val="9"/>
                <w:szCs w:val="9"/>
                <w:color w:val="auto"/>
              </w:rPr>
            </w:pPr>
          </w:p>
        </w:tc>
        <w:tc>
          <w:tcPr>
            <w:tcW w:w="900" w:type="dxa"/>
            <w:vAlign w:val="bottom"/>
          </w:tcPr>
          <w:p>
            <w:pPr>
              <w:jc w:val="right"/>
              <w:spacing w:after="0" w:line="108" w:lineRule="exact"/>
              <w:rPr>
                <w:sz w:val="20"/>
                <w:szCs w:val="20"/>
                <w:color w:val="auto"/>
              </w:rPr>
            </w:pPr>
            <w:r>
              <w:rPr>
                <w:rFonts w:ascii="Arial" w:cs="Arial" w:eastAsia="Arial" w:hAnsi="Arial"/>
                <w:sz w:val="10"/>
                <w:szCs w:val="10"/>
                <w:color w:val="auto"/>
              </w:rPr>
              <w:t>103,346</w:t>
            </w: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20" w:type="dxa"/>
            <w:vAlign w:val="bottom"/>
          </w:tcPr>
          <w:p>
            <w:pPr>
              <w:jc w:val="right"/>
              <w:spacing w:after="0" w:line="108" w:lineRule="exact"/>
              <w:rPr>
                <w:sz w:val="20"/>
                <w:szCs w:val="20"/>
                <w:color w:val="auto"/>
              </w:rPr>
            </w:pPr>
            <w:r>
              <w:rPr>
                <w:rFonts w:ascii="Arial" w:cs="Arial" w:eastAsia="Arial" w:hAnsi="Arial"/>
                <w:sz w:val="10"/>
                <w:szCs w:val="10"/>
                <w:color w:val="auto"/>
              </w:rPr>
              <w:t>33,151</w:t>
            </w:r>
          </w:p>
        </w:tc>
        <w:tc>
          <w:tcPr>
            <w:tcW w:w="22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40" w:type="dxa"/>
            <w:vAlign w:val="bottom"/>
          </w:tcPr>
          <w:p>
            <w:pPr>
              <w:jc w:val="right"/>
              <w:spacing w:after="0" w:line="108" w:lineRule="exact"/>
              <w:rPr>
                <w:sz w:val="20"/>
                <w:szCs w:val="20"/>
                <w:color w:val="auto"/>
              </w:rPr>
            </w:pPr>
            <w:r>
              <w:rPr>
                <w:rFonts w:ascii="Arial" w:cs="Arial" w:eastAsia="Arial" w:hAnsi="Arial"/>
                <w:sz w:val="10"/>
                <w:szCs w:val="10"/>
                <w:color w:val="auto"/>
              </w:rPr>
              <w:t>12,574</w:t>
            </w:r>
          </w:p>
        </w:tc>
        <w:tc>
          <w:tcPr>
            <w:tcW w:w="120" w:type="dxa"/>
            <w:vAlign w:val="bottom"/>
          </w:tcPr>
          <w:p>
            <w:pPr>
              <w:spacing w:after="0"/>
              <w:rPr>
                <w:sz w:val="9"/>
                <w:szCs w:val="9"/>
                <w:color w:val="auto"/>
              </w:rPr>
            </w:pPr>
          </w:p>
        </w:tc>
      </w:tr>
      <w:tr>
        <w:trPr>
          <w:trHeight w:val="108"/>
        </w:trPr>
        <w:tc>
          <w:tcPr>
            <w:tcW w:w="4480" w:type="dxa"/>
            <w:vAlign w:val="bottom"/>
            <w:gridSpan w:val="2"/>
            <w:shd w:val="clear" w:color="auto" w:fill="CFF0FC"/>
          </w:tcPr>
          <w:p>
            <w:pPr>
              <w:ind w:left="80"/>
              <w:spacing w:after="0" w:line="108" w:lineRule="exact"/>
              <w:rPr>
                <w:sz w:val="20"/>
                <w:szCs w:val="20"/>
                <w:color w:val="auto"/>
              </w:rPr>
            </w:pPr>
            <w:r>
              <w:rPr>
                <w:rFonts w:ascii="Arial" w:cs="Arial" w:eastAsia="Arial" w:hAnsi="Arial"/>
                <w:sz w:val="10"/>
                <w:szCs w:val="10"/>
                <w:color w:val="auto"/>
              </w:rPr>
              <w:t>Amortization of deferred financing costs and discounts</w:t>
            </w:r>
          </w:p>
        </w:tc>
        <w:tc>
          <w:tcPr>
            <w:tcW w:w="116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920" w:type="dxa"/>
            <w:vAlign w:val="bottom"/>
            <w:shd w:val="clear" w:color="auto" w:fill="CFF0FC"/>
          </w:tcPr>
          <w:p>
            <w:pPr>
              <w:jc w:val="right"/>
              <w:spacing w:after="0" w:line="108" w:lineRule="exact"/>
              <w:rPr>
                <w:sz w:val="20"/>
                <w:szCs w:val="20"/>
                <w:color w:val="auto"/>
              </w:rPr>
            </w:pPr>
            <w:r>
              <w:rPr>
                <w:rFonts w:ascii="Arial" w:cs="Arial" w:eastAsia="Arial" w:hAnsi="Arial"/>
                <w:sz w:val="10"/>
                <w:szCs w:val="10"/>
                <w:color w:val="auto"/>
              </w:rPr>
              <w:t>6,641</w:t>
            </w:r>
          </w:p>
        </w:tc>
        <w:tc>
          <w:tcPr>
            <w:tcW w:w="30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900" w:type="dxa"/>
            <w:vAlign w:val="bottom"/>
            <w:shd w:val="clear" w:color="auto" w:fill="CFF0FC"/>
          </w:tcPr>
          <w:p>
            <w:pPr>
              <w:jc w:val="right"/>
              <w:spacing w:after="0" w:line="108" w:lineRule="exact"/>
              <w:rPr>
                <w:sz w:val="20"/>
                <w:szCs w:val="20"/>
                <w:color w:val="auto"/>
              </w:rPr>
            </w:pPr>
            <w:r>
              <w:rPr>
                <w:rFonts w:ascii="Arial" w:cs="Arial" w:eastAsia="Arial" w:hAnsi="Arial"/>
                <w:sz w:val="10"/>
                <w:szCs w:val="10"/>
                <w:color w:val="auto"/>
              </w:rPr>
              <w:t>9,168</w:t>
            </w:r>
          </w:p>
        </w:tc>
        <w:tc>
          <w:tcPr>
            <w:tcW w:w="28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020" w:type="dxa"/>
            <w:vAlign w:val="bottom"/>
            <w:shd w:val="clear" w:color="auto" w:fill="CFF0FC"/>
          </w:tcPr>
          <w:p>
            <w:pPr>
              <w:jc w:val="right"/>
              <w:spacing w:after="0" w:line="108" w:lineRule="exact"/>
              <w:rPr>
                <w:sz w:val="20"/>
                <w:szCs w:val="20"/>
                <w:color w:val="auto"/>
              </w:rPr>
            </w:pPr>
            <w:r>
              <w:rPr>
                <w:rFonts w:ascii="Arial" w:cs="Arial" w:eastAsia="Arial" w:hAnsi="Arial"/>
                <w:sz w:val="10"/>
                <w:szCs w:val="10"/>
                <w:color w:val="auto"/>
              </w:rPr>
              <w:t>1,981</w:t>
            </w:r>
          </w:p>
        </w:tc>
        <w:tc>
          <w:tcPr>
            <w:tcW w:w="220" w:type="dxa"/>
            <w:vAlign w:val="bottom"/>
            <w:tcBorders>
              <w:right w:val="single" w:sz="8" w:color="auto"/>
            </w:tcBorders>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1040" w:type="dxa"/>
            <w:vAlign w:val="bottom"/>
            <w:shd w:val="clear" w:color="auto" w:fill="CFF0FC"/>
          </w:tcPr>
          <w:p>
            <w:pPr>
              <w:jc w:val="right"/>
              <w:spacing w:after="0" w:line="108" w:lineRule="exact"/>
              <w:rPr>
                <w:sz w:val="20"/>
                <w:szCs w:val="20"/>
                <w:color w:val="auto"/>
              </w:rPr>
            </w:pPr>
            <w:r>
              <w:rPr>
                <w:rFonts w:ascii="Arial" w:cs="Arial" w:eastAsia="Arial" w:hAnsi="Arial"/>
                <w:sz w:val="10"/>
                <w:szCs w:val="10"/>
                <w:color w:val="auto"/>
              </w:rPr>
              <w:t>143</w:t>
            </w:r>
          </w:p>
        </w:tc>
        <w:tc>
          <w:tcPr>
            <w:tcW w:w="120" w:type="dxa"/>
            <w:vAlign w:val="bottom"/>
            <w:shd w:val="clear" w:color="auto" w:fill="CFF0FC"/>
          </w:tcPr>
          <w:p>
            <w:pPr>
              <w:spacing w:after="0"/>
              <w:rPr>
                <w:sz w:val="9"/>
                <w:szCs w:val="9"/>
                <w:color w:val="auto"/>
              </w:rPr>
            </w:pPr>
          </w:p>
        </w:tc>
      </w:tr>
      <w:tr>
        <w:trPr>
          <w:trHeight w:val="108"/>
        </w:trPr>
        <w:tc>
          <w:tcPr>
            <w:tcW w:w="4480" w:type="dxa"/>
            <w:vAlign w:val="bottom"/>
            <w:gridSpan w:val="2"/>
          </w:tcPr>
          <w:p>
            <w:pPr>
              <w:ind w:left="80"/>
              <w:spacing w:after="0" w:line="108" w:lineRule="exact"/>
              <w:rPr>
                <w:sz w:val="20"/>
                <w:szCs w:val="20"/>
                <w:color w:val="auto"/>
              </w:rPr>
            </w:pPr>
            <w:r>
              <w:rPr>
                <w:rFonts w:ascii="Arial" w:cs="Arial" w:eastAsia="Arial" w:hAnsi="Arial"/>
                <w:sz w:val="10"/>
                <w:szCs w:val="10"/>
                <w:color w:val="auto"/>
              </w:rPr>
              <w:t>Impairment of property and equipment</w:t>
            </w:r>
          </w:p>
        </w:tc>
        <w:tc>
          <w:tcPr>
            <w:tcW w:w="1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920" w:type="dxa"/>
            <w:vAlign w:val="bottom"/>
          </w:tcPr>
          <w:p>
            <w:pPr>
              <w:jc w:val="right"/>
              <w:spacing w:after="0" w:line="108" w:lineRule="exact"/>
              <w:rPr>
                <w:sz w:val="20"/>
                <w:szCs w:val="20"/>
                <w:color w:val="auto"/>
              </w:rPr>
            </w:pPr>
            <w:r>
              <w:rPr>
                <w:rFonts w:ascii="Arial" w:cs="Arial" w:eastAsia="Arial" w:hAnsi="Arial"/>
                <w:sz w:val="10"/>
                <w:szCs w:val="10"/>
                <w:color w:val="auto"/>
              </w:rPr>
              <w:t>5,898</w:t>
            </w:r>
          </w:p>
        </w:tc>
        <w:tc>
          <w:tcPr>
            <w:tcW w:w="3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8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w:t>
            </w:r>
          </w:p>
        </w:tc>
        <w:tc>
          <w:tcPr>
            <w:tcW w:w="200" w:type="dxa"/>
            <w:vAlign w:val="bottom"/>
          </w:tcPr>
          <w:p>
            <w:pPr>
              <w:spacing w:after="0"/>
              <w:rPr>
                <w:sz w:val="9"/>
                <w:szCs w:val="9"/>
                <w:color w:val="auto"/>
              </w:rPr>
            </w:pPr>
          </w:p>
        </w:tc>
        <w:tc>
          <w:tcPr>
            <w:tcW w:w="1240" w:type="dxa"/>
            <w:vAlign w:val="bottom"/>
            <w:tcBorders>
              <w:right w:val="single" w:sz="8" w:color="auto"/>
            </w:tcBorders>
            <w:gridSpan w:val="2"/>
          </w:tcPr>
          <w:p>
            <w:pPr>
              <w:jc w:val="right"/>
              <w:ind w:right="220"/>
              <w:spacing w:after="0" w:line="108"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60" w:type="dxa"/>
            <w:vAlign w:val="bottom"/>
            <w:gridSpan w:val="2"/>
          </w:tcPr>
          <w:p>
            <w:pPr>
              <w:jc w:val="right"/>
              <w:ind w:right="140"/>
              <w:spacing w:after="0" w:line="108" w:lineRule="exact"/>
              <w:rPr>
                <w:sz w:val="20"/>
                <w:szCs w:val="20"/>
                <w:color w:val="auto"/>
              </w:rPr>
            </w:pPr>
            <w:r>
              <w:rPr>
                <w:rFonts w:ascii="Arial" w:cs="Arial" w:eastAsia="Arial" w:hAnsi="Arial"/>
                <w:sz w:val="10"/>
                <w:szCs w:val="10"/>
                <w:color w:val="auto"/>
              </w:rPr>
              <w:t>—</w:t>
            </w:r>
          </w:p>
        </w:tc>
      </w:tr>
      <w:tr>
        <w:trPr>
          <w:trHeight w:val="108"/>
        </w:trPr>
        <w:tc>
          <w:tcPr>
            <w:tcW w:w="4480" w:type="dxa"/>
            <w:vAlign w:val="bottom"/>
            <w:gridSpan w:val="2"/>
            <w:shd w:val="clear" w:color="auto" w:fill="CFF0FC"/>
          </w:tcPr>
          <w:p>
            <w:pPr>
              <w:ind w:left="80"/>
              <w:spacing w:after="0" w:line="108" w:lineRule="exact"/>
              <w:rPr>
                <w:sz w:val="20"/>
                <w:szCs w:val="20"/>
                <w:color w:val="auto"/>
              </w:rPr>
            </w:pPr>
            <w:r>
              <w:rPr>
                <w:rFonts w:ascii="Arial" w:cs="Arial" w:eastAsia="Arial" w:hAnsi="Arial"/>
                <w:sz w:val="10"/>
                <w:szCs w:val="10"/>
                <w:color w:val="auto"/>
              </w:rPr>
              <w:t>Bad debt expense</w:t>
            </w:r>
          </w:p>
        </w:tc>
        <w:tc>
          <w:tcPr>
            <w:tcW w:w="116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920" w:type="dxa"/>
            <w:vAlign w:val="bottom"/>
            <w:shd w:val="clear" w:color="auto" w:fill="CFF0FC"/>
          </w:tcPr>
          <w:p>
            <w:pPr>
              <w:jc w:val="right"/>
              <w:spacing w:after="0" w:line="108" w:lineRule="exact"/>
              <w:rPr>
                <w:sz w:val="20"/>
                <w:szCs w:val="20"/>
                <w:color w:val="auto"/>
              </w:rPr>
            </w:pPr>
            <w:r>
              <w:rPr>
                <w:rFonts w:ascii="Arial" w:cs="Arial" w:eastAsia="Arial" w:hAnsi="Arial"/>
                <w:sz w:val="10"/>
                <w:szCs w:val="10"/>
                <w:color w:val="auto"/>
              </w:rPr>
              <w:t>8,100</w:t>
            </w:r>
          </w:p>
        </w:tc>
        <w:tc>
          <w:tcPr>
            <w:tcW w:w="30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900" w:type="dxa"/>
            <w:vAlign w:val="bottom"/>
            <w:shd w:val="clear" w:color="auto" w:fill="CFF0FC"/>
          </w:tcPr>
          <w:p>
            <w:pPr>
              <w:jc w:val="right"/>
              <w:spacing w:after="0" w:line="108" w:lineRule="exact"/>
              <w:rPr>
                <w:sz w:val="20"/>
                <w:szCs w:val="20"/>
                <w:color w:val="auto"/>
              </w:rPr>
            </w:pPr>
            <w:r>
              <w:rPr>
                <w:rFonts w:ascii="Arial" w:cs="Arial" w:eastAsia="Arial" w:hAnsi="Arial"/>
                <w:sz w:val="10"/>
                <w:szCs w:val="10"/>
                <w:color w:val="auto"/>
              </w:rPr>
              <w:t>6,025</w:t>
            </w:r>
          </w:p>
        </w:tc>
        <w:tc>
          <w:tcPr>
            <w:tcW w:w="28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020" w:type="dxa"/>
            <w:vAlign w:val="bottom"/>
            <w:shd w:val="clear" w:color="auto" w:fill="CFF0FC"/>
          </w:tcPr>
          <w:p>
            <w:pPr>
              <w:jc w:val="right"/>
              <w:spacing w:after="0" w:line="108" w:lineRule="exact"/>
              <w:rPr>
                <w:sz w:val="20"/>
                <w:szCs w:val="20"/>
                <w:color w:val="auto"/>
              </w:rPr>
            </w:pPr>
            <w:r>
              <w:rPr>
                <w:rFonts w:ascii="Arial" w:cs="Arial" w:eastAsia="Arial" w:hAnsi="Arial"/>
                <w:sz w:val="10"/>
                <w:szCs w:val="10"/>
                <w:color w:val="auto"/>
              </w:rPr>
              <w:t>3,441</w:t>
            </w:r>
          </w:p>
        </w:tc>
        <w:tc>
          <w:tcPr>
            <w:tcW w:w="220" w:type="dxa"/>
            <w:vAlign w:val="bottom"/>
            <w:tcBorders>
              <w:right w:val="single" w:sz="8" w:color="auto"/>
            </w:tcBorders>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1040" w:type="dxa"/>
            <w:vAlign w:val="bottom"/>
            <w:shd w:val="clear" w:color="auto" w:fill="CFF0FC"/>
          </w:tcPr>
          <w:p>
            <w:pPr>
              <w:jc w:val="right"/>
              <w:spacing w:after="0" w:line="108" w:lineRule="exact"/>
              <w:rPr>
                <w:sz w:val="20"/>
                <w:szCs w:val="20"/>
                <w:color w:val="auto"/>
              </w:rPr>
            </w:pPr>
            <w:r>
              <w:rPr>
                <w:rFonts w:ascii="Arial" w:cs="Arial" w:eastAsia="Arial" w:hAnsi="Arial"/>
                <w:sz w:val="10"/>
                <w:szCs w:val="10"/>
                <w:color w:val="auto"/>
              </w:rPr>
              <w:t>2,182</w:t>
            </w:r>
          </w:p>
        </w:tc>
        <w:tc>
          <w:tcPr>
            <w:tcW w:w="120" w:type="dxa"/>
            <w:vAlign w:val="bottom"/>
            <w:shd w:val="clear" w:color="auto" w:fill="CFF0FC"/>
          </w:tcPr>
          <w:p>
            <w:pPr>
              <w:spacing w:after="0"/>
              <w:rPr>
                <w:sz w:val="9"/>
                <w:szCs w:val="9"/>
                <w:color w:val="auto"/>
              </w:rPr>
            </w:pPr>
          </w:p>
        </w:tc>
      </w:tr>
      <w:tr>
        <w:trPr>
          <w:trHeight w:val="108"/>
        </w:trPr>
        <w:tc>
          <w:tcPr>
            <w:tcW w:w="4480" w:type="dxa"/>
            <w:vAlign w:val="bottom"/>
            <w:gridSpan w:val="2"/>
          </w:tcPr>
          <w:p>
            <w:pPr>
              <w:ind w:left="80"/>
              <w:spacing w:after="0" w:line="108" w:lineRule="exact"/>
              <w:rPr>
                <w:sz w:val="20"/>
                <w:szCs w:val="20"/>
                <w:color w:val="auto"/>
              </w:rPr>
            </w:pPr>
            <w:r>
              <w:rPr>
                <w:rFonts w:ascii="Arial" w:cs="Arial" w:eastAsia="Arial" w:hAnsi="Arial"/>
                <w:sz w:val="10"/>
                <w:szCs w:val="10"/>
                <w:color w:val="auto"/>
              </w:rPr>
              <w:t>Deferred income taxes</w:t>
            </w:r>
          </w:p>
        </w:tc>
        <w:tc>
          <w:tcPr>
            <w:tcW w:w="1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20" w:type="dxa"/>
            <w:vAlign w:val="bottom"/>
            <w:gridSpan w:val="2"/>
          </w:tcPr>
          <w:p>
            <w:pPr>
              <w:jc w:val="right"/>
              <w:ind w:right="260"/>
              <w:spacing w:after="0" w:line="108" w:lineRule="exact"/>
              <w:rPr>
                <w:sz w:val="20"/>
                <w:szCs w:val="20"/>
                <w:color w:val="auto"/>
              </w:rPr>
            </w:pPr>
            <w:r>
              <w:rPr>
                <w:rFonts w:ascii="Arial" w:cs="Arial" w:eastAsia="Arial" w:hAnsi="Arial"/>
                <w:sz w:val="10"/>
                <w:szCs w:val="10"/>
                <w:color w:val="auto"/>
              </w:rPr>
              <w:t>(10,894)</w:t>
            </w:r>
          </w:p>
        </w:tc>
        <w:tc>
          <w:tcPr>
            <w:tcW w:w="320" w:type="dxa"/>
            <w:vAlign w:val="bottom"/>
          </w:tcPr>
          <w:p>
            <w:pPr>
              <w:spacing w:after="0"/>
              <w:rPr>
                <w:sz w:val="9"/>
                <w:szCs w:val="9"/>
                <w:color w:val="auto"/>
              </w:rPr>
            </w:pPr>
          </w:p>
        </w:tc>
        <w:tc>
          <w:tcPr>
            <w:tcW w:w="1180" w:type="dxa"/>
            <w:vAlign w:val="bottom"/>
            <w:gridSpan w:val="2"/>
          </w:tcPr>
          <w:p>
            <w:pPr>
              <w:jc w:val="right"/>
              <w:ind w:right="260"/>
              <w:spacing w:after="0" w:line="108" w:lineRule="exact"/>
              <w:rPr>
                <w:sz w:val="20"/>
                <w:szCs w:val="20"/>
                <w:color w:val="auto"/>
              </w:rPr>
            </w:pPr>
            <w:r>
              <w:rPr>
                <w:rFonts w:ascii="Arial" w:cs="Arial" w:eastAsia="Arial" w:hAnsi="Arial"/>
                <w:sz w:val="10"/>
                <w:szCs w:val="10"/>
                <w:color w:val="auto"/>
              </w:rPr>
              <w:t>(24,435)</w:t>
            </w:r>
          </w:p>
        </w:tc>
        <w:tc>
          <w:tcPr>
            <w:tcW w:w="200" w:type="dxa"/>
            <w:vAlign w:val="bottom"/>
          </w:tcPr>
          <w:p>
            <w:pPr>
              <w:spacing w:after="0"/>
              <w:rPr>
                <w:sz w:val="9"/>
                <w:szCs w:val="9"/>
                <w:color w:val="auto"/>
              </w:rPr>
            </w:pPr>
          </w:p>
        </w:tc>
        <w:tc>
          <w:tcPr>
            <w:tcW w:w="1240" w:type="dxa"/>
            <w:vAlign w:val="bottom"/>
            <w:tcBorders>
              <w:right w:val="single" w:sz="8" w:color="auto"/>
            </w:tcBorders>
            <w:gridSpan w:val="2"/>
          </w:tcPr>
          <w:p>
            <w:pPr>
              <w:jc w:val="right"/>
              <w:ind w:right="180"/>
              <w:spacing w:after="0" w:line="108" w:lineRule="exact"/>
              <w:rPr>
                <w:sz w:val="20"/>
                <w:szCs w:val="20"/>
                <w:color w:val="auto"/>
              </w:rPr>
            </w:pPr>
            <w:r>
              <w:rPr>
                <w:rFonts w:ascii="Arial" w:cs="Arial" w:eastAsia="Arial" w:hAnsi="Arial"/>
                <w:sz w:val="10"/>
                <w:szCs w:val="10"/>
                <w:color w:val="auto"/>
              </w:rPr>
              <w:t>(31,084)</w:t>
            </w: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60" w:type="dxa"/>
            <w:vAlign w:val="bottom"/>
            <w:gridSpan w:val="2"/>
          </w:tcPr>
          <w:p>
            <w:pPr>
              <w:jc w:val="right"/>
              <w:ind w:right="80"/>
              <w:spacing w:after="0" w:line="108" w:lineRule="exact"/>
              <w:rPr>
                <w:sz w:val="20"/>
                <w:szCs w:val="20"/>
                <w:color w:val="auto"/>
              </w:rPr>
            </w:pPr>
            <w:r>
              <w:rPr>
                <w:rFonts w:ascii="Arial" w:cs="Arial" w:eastAsia="Arial" w:hAnsi="Arial"/>
                <w:sz w:val="10"/>
                <w:szCs w:val="10"/>
                <w:color w:val="auto"/>
              </w:rPr>
              <w:t>(3,327)</w:t>
            </w:r>
          </w:p>
        </w:tc>
      </w:tr>
      <w:tr>
        <w:trPr>
          <w:trHeight w:val="108"/>
        </w:trPr>
        <w:tc>
          <w:tcPr>
            <w:tcW w:w="4480" w:type="dxa"/>
            <w:vAlign w:val="bottom"/>
            <w:gridSpan w:val="2"/>
            <w:shd w:val="clear" w:color="auto" w:fill="CFF0FC"/>
          </w:tcPr>
          <w:p>
            <w:pPr>
              <w:ind w:left="80"/>
              <w:spacing w:after="0" w:line="108" w:lineRule="exact"/>
              <w:rPr>
                <w:sz w:val="20"/>
                <w:szCs w:val="20"/>
                <w:color w:val="auto"/>
              </w:rPr>
            </w:pPr>
            <w:r>
              <w:rPr>
                <w:rFonts w:ascii="Arial" w:cs="Arial" w:eastAsia="Arial" w:hAnsi="Arial"/>
                <w:sz w:val="10"/>
                <w:szCs w:val="10"/>
                <w:color w:val="auto"/>
              </w:rPr>
              <w:t>Stock-based compensation</w:t>
            </w:r>
          </w:p>
        </w:tc>
        <w:tc>
          <w:tcPr>
            <w:tcW w:w="116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920" w:type="dxa"/>
            <w:vAlign w:val="bottom"/>
            <w:shd w:val="clear" w:color="auto" w:fill="CFF0FC"/>
          </w:tcPr>
          <w:p>
            <w:pPr>
              <w:jc w:val="right"/>
              <w:spacing w:after="0" w:line="108" w:lineRule="exact"/>
              <w:rPr>
                <w:sz w:val="20"/>
                <w:szCs w:val="20"/>
                <w:color w:val="auto"/>
              </w:rPr>
            </w:pPr>
            <w:r>
              <w:rPr>
                <w:rFonts w:ascii="Arial" w:cs="Arial" w:eastAsia="Arial" w:hAnsi="Arial"/>
                <w:sz w:val="10"/>
                <w:szCs w:val="10"/>
                <w:color w:val="auto"/>
              </w:rPr>
              <w:t>10,012</w:t>
            </w:r>
          </w:p>
        </w:tc>
        <w:tc>
          <w:tcPr>
            <w:tcW w:w="30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900" w:type="dxa"/>
            <w:vAlign w:val="bottom"/>
            <w:shd w:val="clear" w:color="auto" w:fill="CFF0FC"/>
          </w:tcPr>
          <w:p>
            <w:pPr>
              <w:jc w:val="right"/>
              <w:spacing w:after="0" w:line="108" w:lineRule="exact"/>
              <w:rPr>
                <w:sz w:val="20"/>
                <w:szCs w:val="20"/>
                <w:color w:val="auto"/>
              </w:rPr>
            </w:pPr>
            <w:r>
              <w:rPr>
                <w:rFonts w:ascii="Arial" w:cs="Arial" w:eastAsia="Arial" w:hAnsi="Arial"/>
                <w:sz w:val="10"/>
                <w:szCs w:val="10"/>
                <w:color w:val="auto"/>
              </w:rPr>
              <w:t>2,272</w:t>
            </w:r>
          </w:p>
        </w:tc>
        <w:tc>
          <w:tcPr>
            <w:tcW w:w="28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240" w:type="dxa"/>
            <w:vAlign w:val="bottom"/>
            <w:tcBorders>
              <w:right w:val="single" w:sz="8" w:color="auto"/>
            </w:tcBorders>
            <w:gridSpan w:val="2"/>
            <w:shd w:val="clear" w:color="auto" w:fill="CFF0FC"/>
          </w:tcPr>
          <w:p>
            <w:pPr>
              <w:jc w:val="right"/>
              <w:ind w:right="220"/>
              <w:spacing w:after="0" w:line="108" w:lineRule="exact"/>
              <w:rPr>
                <w:sz w:val="20"/>
                <w:szCs w:val="20"/>
                <w:color w:val="auto"/>
              </w:rPr>
            </w:pPr>
            <w:r>
              <w:rPr>
                <w:rFonts w:ascii="Arial" w:cs="Arial" w:eastAsia="Arial" w:hAnsi="Arial"/>
                <w:sz w:val="10"/>
                <w:szCs w:val="10"/>
                <w:color w:val="auto"/>
              </w:rPr>
              <w:t>—</w:t>
            </w:r>
          </w:p>
        </w:tc>
        <w:tc>
          <w:tcPr>
            <w:tcW w:w="6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1160" w:type="dxa"/>
            <w:vAlign w:val="bottom"/>
            <w:gridSpan w:val="2"/>
            <w:shd w:val="clear" w:color="auto" w:fill="CFF0FC"/>
          </w:tcPr>
          <w:p>
            <w:pPr>
              <w:jc w:val="right"/>
              <w:ind w:right="140"/>
              <w:spacing w:after="0" w:line="108" w:lineRule="exact"/>
              <w:rPr>
                <w:sz w:val="20"/>
                <w:szCs w:val="20"/>
                <w:color w:val="auto"/>
              </w:rPr>
            </w:pPr>
            <w:r>
              <w:rPr>
                <w:rFonts w:ascii="Arial" w:cs="Arial" w:eastAsia="Arial" w:hAnsi="Arial"/>
                <w:sz w:val="10"/>
                <w:szCs w:val="10"/>
                <w:color w:val="auto"/>
              </w:rPr>
              <w:t>—</w:t>
            </w:r>
          </w:p>
        </w:tc>
      </w:tr>
      <w:tr>
        <w:trPr>
          <w:trHeight w:val="108"/>
        </w:trPr>
        <w:tc>
          <w:tcPr>
            <w:tcW w:w="4480" w:type="dxa"/>
            <w:vAlign w:val="bottom"/>
            <w:gridSpan w:val="2"/>
          </w:tcPr>
          <w:p>
            <w:pPr>
              <w:ind w:left="80"/>
              <w:spacing w:after="0" w:line="108" w:lineRule="exact"/>
              <w:rPr>
                <w:sz w:val="20"/>
                <w:szCs w:val="20"/>
                <w:color w:val="auto"/>
              </w:rPr>
            </w:pPr>
            <w:r>
              <w:rPr>
                <w:rFonts w:ascii="Arial" w:cs="Arial" w:eastAsia="Arial" w:hAnsi="Arial"/>
                <w:sz w:val="10"/>
                <w:szCs w:val="10"/>
                <w:color w:val="auto"/>
              </w:rPr>
              <w:t>Loss on extinguishment of debt</w:t>
            </w:r>
          </w:p>
        </w:tc>
        <w:tc>
          <w:tcPr>
            <w:tcW w:w="1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2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w:t>
            </w:r>
          </w:p>
        </w:tc>
        <w:tc>
          <w:tcPr>
            <w:tcW w:w="320" w:type="dxa"/>
            <w:vAlign w:val="bottom"/>
          </w:tcPr>
          <w:p>
            <w:pPr>
              <w:spacing w:after="0"/>
              <w:rPr>
                <w:sz w:val="9"/>
                <w:szCs w:val="9"/>
                <w:color w:val="auto"/>
              </w:rPr>
            </w:pPr>
          </w:p>
        </w:tc>
        <w:tc>
          <w:tcPr>
            <w:tcW w:w="900" w:type="dxa"/>
            <w:vAlign w:val="bottom"/>
          </w:tcPr>
          <w:p>
            <w:pPr>
              <w:jc w:val="right"/>
              <w:spacing w:after="0" w:line="108" w:lineRule="exact"/>
              <w:rPr>
                <w:sz w:val="20"/>
                <w:szCs w:val="20"/>
                <w:color w:val="auto"/>
              </w:rPr>
            </w:pPr>
            <w:r>
              <w:rPr>
                <w:rFonts w:ascii="Arial" w:cs="Arial" w:eastAsia="Arial" w:hAnsi="Arial"/>
                <w:sz w:val="10"/>
                <w:szCs w:val="10"/>
                <w:color w:val="auto"/>
              </w:rPr>
              <w:t>26,486</w:t>
            </w: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40" w:type="dxa"/>
            <w:vAlign w:val="bottom"/>
            <w:tcBorders>
              <w:right w:val="single" w:sz="8" w:color="auto"/>
            </w:tcBorders>
            <w:gridSpan w:val="2"/>
          </w:tcPr>
          <w:p>
            <w:pPr>
              <w:jc w:val="right"/>
              <w:ind w:right="220"/>
              <w:spacing w:after="0" w:line="108"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60" w:type="dxa"/>
            <w:vAlign w:val="bottom"/>
            <w:gridSpan w:val="2"/>
          </w:tcPr>
          <w:p>
            <w:pPr>
              <w:jc w:val="right"/>
              <w:ind w:right="140"/>
              <w:spacing w:after="0" w:line="108" w:lineRule="exact"/>
              <w:rPr>
                <w:sz w:val="20"/>
                <w:szCs w:val="20"/>
                <w:color w:val="auto"/>
              </w:rPr>
            </w:pPr>
            <w:r>
              <w:rPr>
                <w:rFonts w:ascii="Arial" w:cs="Arial" w:eastAsia="Arial" w:hAnsi="Arial"/>
                <w:sz w:val="10"/>
                <w:szCs w:val="10"/>
                <w:color w:val="auto"/>
              </w:rPr>
              <w:t>—</w:t>
            </w:r>
          </w:p>
        </w:tc>
      </w:tr>
      <w:tr>
        <w:trPr>
          <w:trHeight w:val="108"/>
        </w:trPr>
        <w:tc>
          <w:tcPr>
            <w:tcW w:w="4480" w:type="dxa"/>
            <w:vAlign w:val="bottom"/>
            <w:gridSpan w:val="2"/>
            <w:shd w:val="clear" w:color="auto" w:fill="CFF0FC"/>
          </w:tcPr>
          <w:p>
            <w:pPr>
              <w:ind w:left="80"/>
              <w:spacing w:after="0" w:line="108" w:lineRule="exact"/>
              <w:rPr>
                <w:sz w:val="20"/>
                <w:szCs w:val="20"/>
                <w:color w:val="auto"/>
              </w:rPr>
            </w:pPr>
            <w:r>
              <w:rPr>
                <w:rFonts w:ascii="Arial" w:cs="Arial" w:eastAsia="Arial" w:hAnsi="Arial"/>
                <w:sz w:val="10"/>
                <w:szCs w:val="10"/>
                <w:color w:val="auto"/>
              </w:rPr>
              <w:t>Installation and service parts expense</w:t>
            </w:r>
          </w:p>
        </w:tc>
        <w:tc>
          <w:tcPr>
            <w:tcW w:w="116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920" w:type="dxa"/>
            <w:vAlign w:val="bottom"/>
            <w:shd w:val="clear" w:color="auto" w:fill="CFF0FC"/>
          </w:tcPr>
          <w:p>
            <w:pPr>
              <w:jc w:val="right"/>
              <w:spacing w:after="0" w:line="108" w:lineRule="exact"/>
              <w:rPr>
                <w:sz w:val="20"/>
                <w:szCs w:val="20"/>
                <w:color w:val="auto"/>
              </w:rPr>
            </w:pPr>
            <w:r>
              <w:rPr>
                <w:rFonts w:ascii="Arial" w:cs="Arial" w:eastAsia="Arial" w:hAnsi="Arial"/>
                <w:sz w:val="10"/>
                <w:szCs w:val="10"/>
                <w:color w:val="auto"/>
              </w:rPr>
              <w:t>1,166</w:t>
            </w:r>
          </w:p>
        </w:tc>
        <w:tc>
          <w:tcPr>
            <w:tcW w:w="30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900" w:type="dxa"/>
            <w:vAlign w:val="bottom"/>
            <w:shd w:val="clear" w:color="auto" w:fill="CFF0FC"/>
          </w:tcPr>
          <w:p>
            <w:pPr>
              <w:jc w:val="right"/>
              <w:spacing w:after="0" w:line="108" w:lineRule="exact"/>
              <w:rPr>
                <w:sz w:val="20"/>
                <w:szCs w:val="20"/>
                <w:color w:val="auto"/>
              </w:rPr>
            </w:pPr>
            <w:r>
              <w:rPr>
                <w:rFonts w:ascii="Arial" w:cs="Arial" w:eastAsia="Arial" w:hAnsi="Arial"/>
                <w:sz w:val="10"/>
                <w:szCs w:val="10"/>
                <w:color w:val="auto"/>
              </w:rPr>
              <w:t>1,238</w:t>
            </w:r>
          </w:p>
        </w:tc>
        <w:tc>
          <w:tcPr>
            <w:tcW w:w="28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020" w:type="dxa"/>
            <w:vAlign w:val="bottom"/>
            <w:shd w:val="clear" w:color="auto" w:fill="CFF0FC"/>
          </w:tcPr>
          <w:p>
            <w:pPr>
              <w:jc w:val="right"/>
              <w:spacing w:after="0" w:line="108" w:lineRule="exact"/>
              <w:rPr>
                <w:sz w:val="20"/>
                <w:szCs w:val="20"/>
                <w:color w:val="auto"/>
              </w:rPr>
            </w:pPr>
            <w:r>
              <w:rPr>
                <w:rFonts w:ascii="Arial" w:cs="Arial" w:eastAsia="Arial" w:hAnsi="Arial"/>
                <w:sz w:val="10"/>
                <w:szCs w:val="10"/>
                <w:color w:val="auto"/>
              </w:rPr>
              <w:t>565</w:t>
            </w:r>
          </w:p>
        </w:tc>
        <w:tc>
          <w:tcPr>
            <w:tcW w:w="220" w:type="dxa"/>
            <w:vAlign w:val="bottom"/>
            <w:tcBorders>
              <w:right w:val="single" w:sz="8" w:color="auto"/>
            </w:tcBorders>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1040" w:type="dxa"/>
            <w:vAlign w:val="bottom"/>
            <w:shd w:val="clear" w:color="auto" w:fill="CFF0FC"/>
          </w:tcPr>
          <w:p>
            <w:pPr>
              <w:jc w:val="right"/>
              <w:spacing w:after="0" w:line="108" w:lineRule="exact"/>
              <w:rPr>
                <w:sz w:val="20"/>
                <w:szCs w:val="20"/>
                <w:color w:val="auto"/>
              </w:rPr>
            </w:pPr>
            <w:r>
              <w:rPr>
                <w:rFonts w:ascii="Arial" w:cs="Arial" w:eastAsia="Arial" w:hAnsi="Arial"/>
                <w:sz w:val="10"/>
                <w:szCs w:val="10"/>
                <w:color w:val="auto"/>
              </w:rPr>
              <w:t>177</w:t>
            </w:r>
          </w:p>
        </w:tc>
        <w:tc>
          <w:tcPr>
            <w:tcW w:w="120" w:type="dxa"/>
            <w:vAlign w:val="bottom"/>
            <w:shd w:val="clear" w:color="auto" w:fill="CFF0FC"/>
          </w:tcPr>
          <w:p>
            <w:pPr>
              <w:spacing w:after="0"/>
              <w:rPr>
                <w:sz w:val="9"/>
                <w:szCs w:val="9"/>
                <w:color w:val="auto"/>
              </w:rPr>
            </w:pPr>
          </w:p>
        </w:tc>
      </w:tr>
      <w:tr>
        <w:trPr>
          <w:trHeight w:val="108"/>
        </w:trPr>
        <w:tc>
          <w:tcPr>
            <w:tcW w:w="4480" w:type="dxa"/>
            <w:vAlign w:val="bottom"/>
            <w:gridSpan w:val="2"/>
          </w:tcPr>
          <w:p>
            <w:pPr>
              <w:ind w:left="80"/>
              <w:spacing w:after="0" w:line="108" w:lineRule="exact"/>
              <w:rPr>
                <w:sz w:val="20"/>
                <w:szCs w:val="20"/>
                <w:color w:val="auto"/>
              </w:rPr>
            </w:pPr>
            <w:r>
              <w:rPr>
                <w:rFonts w:ascii="Arial" w:cs="Arial" w:eastAsia="Arial" w:hAnsi="Arial"/>
                <w:sz w:val="10"/>
                <w:szCs w:val="10"/>
                <w:color w:val="auto"/>
              </w:rPr>
              <w:t>Accretion expense</w:t>
            </w:r>
          </w:p>
        </w:tc>
        <w:tc>
          <w:tcPr>
            <w:tcW w:w="1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920" w:type="dxa"/>
            <w:vAlign w:val="bottom"/>
          </w:tcPr>
          <w:p>
            <w:pPr>
              <w:jc w:val="right"/>
              <w:spacing w:after="0" w:line="108" w:lineRule="exact"/>
              <w:rPr>
                <w:sz w:val="20"/>
                <w:szCs w:val="20"/>
                <w:color w:val="auto"/>
              </w:rPr>
            </w:pPr>
            <w:r>
              <w:rPr>
                <w:rFonts w:ascii="Arial" w:cs="Arial" w:eastAsia="Arial" w:hAnsi="Arial"/>
                <w:sz w:val="10"/>
                <w:szCs w:val="10"/>
                <w:color w:val="auto"/>
              </w:rPr>
              <w:t>350</w:t>
            </w:r>
          </w:p>
        </w:tc>
        <w:tc>
          <w:tcPr>
            <w:tcW w:w="300" w:type="dxa"/>
            <w:vAlign w:val="bottom"/>
          </w:tcPr>
          <w:p>
            <w:pPr>
              <w:spacing w:after="0"/>
              <w:rPr>
                <w:sz w:val="9"/>
                <w:szCs w:val="9"/>
                <w:color w:val="auto"/>
              </w:rPr>
            </w:pPr>
          </w:p>
        </w:tc>
        <w:tc>
          <w:tcPr>
            <w:tcW w:w="320" w:type="dxa"/>
            <w:vAlign w:val="bottom"/>
          </w:tcPr>
          <w:p>
            <w:pPr>
              <w:spacing w:after="0"/>
              <w:rPr>
                <w:sz w:val="9"/>
                <w:szCs w:val="9"/>
                <w:color w:val="auto"/>
              </w:rPr>
            </w:pPr>
          </w:p>
        </w:tc>
        <w:tc>
          <w:tcPr>
            <w:tcW w:w="900" w:type="dxa"/>
            <w:vAlign w:val="bottom"/>
          </w:tcPr>
          <w:p>
            <w:pPr>
              <w:jc w:val="right"/>
              <w:spacing w:after="0" w:line="108" w:lineRule="exact"/>
              <w:rPr>
                <w:sz w:val="20"/>
                <w:szCs w:val="20"/>
                <w:color w:val="auto"/>
              </w:rPr>
            </w:pPr>
            <w:r>
              <w:rPr>
                <w:rFonts w:ascii="Arial" w:cs="Arial" w:eastAsia="Arial" w:hAnsi="Arial"/>
                <w:sz w:val="10"/>
                <w:szCs w:val="10"/>
                <w:color w:val="auto"/>
              </w:rPr>
              <w:t>396</w:t>
            </w: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20" w:type="dxa"/>
            <w:vAlign w:val="bottom"/>
          </w:tcPr>
          <w:p>
            <w:pPr>
              <w:jc w:val="right"/>
              <w:spacing w:after="0" w:line="108" w:lineRule="exact"/>
              <w:rPr>
                <w:sz w:val="20"/>
                <w:szCs w:val="20"/>
                <w:color w:val="auto"/>
              </w:rPr>
            </w:pPr>
            <w:r>
              <w:rPr>
                <w:rFonts w:ascii="Arial" w:cs="Arial" w:eastAsia="Arial" w:hAnsi="Arial"/>
                <w:sz w:val="10"/>
                <w:szCs w:val="10"/>
                <w:color w:val="auto"/>
              </w:rPr>
              <w:t>154</w:t>
            </w:r>
          </w:p>
        </w:tc>
        <w:tc>
          <w:tcPr>
            <w:tcW w:w="22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40" w:type="dxa"/>
            <w:vAlign w:val="bottom"/>
          </w:tcPr>
          <w:p>
            <w:pPr>
              <w:jc w:val="right"/>
              <w:spacing w:after="0" w:line="108" w:lineRule="exact"/>
              <w:rPr>
                <w:sz w:val="20"/>
                <w:szCs w:val="20"/>
                <w:color w:val="auto"/>
              </w:rPr>
            </w:pPr>
            <w:r>
              <w:rPr>
                <w:rFonts w:ascii="Arial" w:cs="Arial" w:eastAsia="Arial" w:hAnsi="Arial"/>
                <w:sz w:val="10"/>
                <w:szCs w:val="10"/>
                <w:color w:val="auto"/>
              </w:rPr>
              <w:t>106</w:t>
            </w:r>
          </w:p>
        </w:tc>
        <w:tc>
          <w:tcPr>
            <w:tcW w:w="120" w:type="dxa"/>
            <w:vAlign w:val="bottom"/>
          </w:tcPr>
          <w:p>
            <w:pPr>
              <w:spacing w:after="0"/>
              <w:rPr>
                <w:sz w:val="9"/>
                <w:szCs w:val="9"/>
                <w:color w:val="auto"/>
              </w:rPr>
            </w:pPr>
          </w:p>
        </w:tc>
      </w:tr>
      <w:tr>
        <w:trPr>
          <w:trHeight w:val="108"/>
        </w:trPr>
        <w:tc>
          <w:tcPr>
            <w:tcW w:w="4480" w:type="dxa"/>
            <w:vAlign w:val="bottom"/>
            <w:gridSpan w:val="2"/>
            <w:shd w:val="clear" w:color="auto" w:fill="CFF0FC"/>
          </w:tcPr>
          <w:p>
            <w:pPr>
              <w:ind w:left="80"/>
              <w:spacing w:after="0" w:line="108" w:lineRule="exact"/>
              <w:rPr>
                <w:sz w:val="20"/>
                <w:szCs w:val="20"/>
                <w:color w:val="auto"/>
              </w:rPr>
            </w:pPr>
            <w:r>
              <w:rPr>
                <w:rFonts w:ascii="Arial" w:cs="Arial" w:eastAsia="Arial" w:hAnsi="Arial"/>
                <w:sz w:val="10"/>
                <w:szCs w:val="10"/>
                <w:color w:val="auto"/>
              </w:rPr>
              <w:t>Write-downs of installation and service parts and (gain) loss on disposal of assets</w:t>
            </w:r>
          </w:p>
        </w:tc>
        <w:tc>
          <w:tcPr>
            <w:tcW w:w="116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920" w:type="dxa"/>
            <w:vAlign w:val="bottom"/>
            <w:shd w:val="clear" w:color="auto" w:fill="CFF0FC"/>
          </w:tcPr>
          <w:p>
            <w:pPr>
              <w:jc w:val="right"/>
              <w:spacing w:after="0" w:line="108" w:lineRule="exact"/>
              <w:rPr>
                <w:sz w:val="20"/>
                <w:szCs w:val="20"/>
                <w:color w:val="auto"/>
              </w:rPr>
            </w:pPr>
            <w:r>
              <w:rPr>
                <w:rFonts w:ascii="Arial" w:cs="Arial" w:eastAsia="Arial" w:hAnsi="Arial"/>
                <w:sz w:val="10"/>
                <w:szCs w:val="10"/>
                <w:color w:val="auto"/>
              </w:rPr>
              <w:t>205</w:t>
            </w:r>
          </w:p>
        </w:tc>
        <w:tc>
          <w:tcPr>
            <w:tcW w:w="30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900" w:type="dxa"/>
            <w:vAlign w:val="bottom"/>
            <w:shd w:val="clear" w:color="auto" w:fill="CFF0FC"/>
          </w:tcPr>
          <w:p>
            <w:pPr>
              <w:jc w:val="right"/>
              <w:spacing w:after="0" w:line="108" w:lineRule="exact"/>
              <w:rPr>
                <w:sz w:val="20"/>
                <w:szCs w:val="20"/>
                <w:color w:val="auto"/>
              </w:rPr>
            </w:pPr>
            <w:r>
              <w:rPr>
                <w:rFonts w:ascii="Arial" w:cs="Arial" w:eastAsia="Arial" w:hAnsi="Arial"/>
                <w:sz w:val="10"/>
                <w:szCs w:val="10"/>
                <w:color w:val="auto"/>
              </w:rPr>
              <w:t>7</w:t>
            </w:r>
          </w:p>
        </w:tc>
        <w:tc>
          <w:tcPr>
            <w:tcW w:w="28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240" w:type="dxa"/>
            <w:vAlign w:val="bottom"/>
            <w:tcBorders>
              <w:right w:val="single" w:sz="8" w:color="auto"/>
            </w:tcBorders>
            <w:gridSpan w:val="2"/>
            <w:shd w:val="clear" w:color="auto" w:fill="CFF0FC"/>
          </w:tcPr>
          <w:p>
            <w:pPr>
              <w:jc w:val="right"/>
              <w:ind w:right="180"/>
              <w:spacing w:after="0" w:line="108" w:lineRule="exact"/>
              <w:rPr>
                <w:sz w:val="20"/>
                <w:szCs w:val="20"/>
                <w:color w:val="auto"/>
              </w:rPr>
            </w:pPr>
            <w:r>
              <w:rPr>
                <w:rFonts w:ascii="Arial" w:cs="Arial" w:eastAsia="Arial" w:hAnsi="Arial"/>
                <w:sz w:val="10"/>
                <w:szCs w:val="10"/>
                <w:color w:val="auto"/>
              </w:rPr>
              <w:t>(38)</w:t>
            </w:r>
          </w:p>
        </w:tc>
        <w:tc>
          <w:tcPr>
            <w:tcW w:w="6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1040" w:type="dxa"/>
            <w:vAlign w:val="bottom"/>
            <w:shd w:val="clear" w:color="auto" w:fill="CFF0FC"/>
          </w:tcPr>
          <w:p>
            <w:pPr>
              <w:jc w:val="right"/>
              <w:spacing w:after="0" w:line="108" w:lineRule="exact"/>
              <w:rPr>
                <w:sz w:val="20"/>
                <w:szCs w:val="20"/>
                <w:color w:val="auto"/>
              </w:rPr>
            </w:pPr>
            <w:r>
              <w:rPr>
                <w:rFonts w:ascii="Arial" w:cs="Arial" w:eastAsia="Arial" w:hAnsi="Arial"/>
                <w:sz w:val="10"/>
                <w:szCs w:val="10"/>
                <w:color w:val="auto"/>
              </w:rPr>
              <w:t>39</w:t>
            </w:r>
          </w:p>
        </w:tc>
        <w:tc>
          <w:tcPr>
            <w:tcW w:w="120" w:type="dxa"/>
            <w:vAlign w:val="bottom"/>
            <w:shd w:val="clear" w:color="auto" w:fill="CFF0FC"/>
          </w:tcPr>
          <w:p>
            <w:pPr>
              <w:spacing w:after="0"/>
              <w:rPr>
                <w:sz w:val="9"/>
                <w:szCs w:val="9"/>
                <w:color w:val="auto"/>
              </w:rPr>
            </w:pPr>
          </w:p>
        </w:tc>
      </w:tr>
      <w:tr>
        <w:trPr>
          <w:trHeight w:val="108"/>
        </w:trPr>
        <w:tc>
          <w:tcPr>
            <w:tcW w:w="4480" w:type="dxa"/>
            <w:vAlign w:val="bottom"/>
            <w:gridSpan w:val="2"/>
          </w:tcPr>
          <w:p>
            <w:pPr>
              <w:spacing w:after="0" w:line="108" w:lineRule="exact"/>
              <w:rPr>
                <w:sz w:val="20"/>
                <w:szCs w:val="20"/>
                <w:color w:val="auto"/>
              </w:rPr>
            </w:pPr>
            <w:r>
              <w:rPr>
                <w:rFonts w:ascii="Arial" w:cs="Arial" w:eastAsia="Arial" w:hAnsi="Arial"/>
                <w:sz w:val="10"/>
                <w:szCs w:val="10"/>
                <w:color w:val="auto"/>
              </w:rPr>
              <w:t>Changes in operating assets and liabilities:</w:t>
            </w:r>
          </w:p>
        </w:tc>
        <w:tc>
          <w:tcPr>
            <w:tcW w:w="1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920" w:type="dxa"/>
            <w:vAlign w:val="bottom"/>
          </w:tcPr>
          <w:p>
            <w:pPr>
              <w:spacing w:after="0"/>
              <w:rPr>
                <w:sz w:val="9"/>
                <w:szCs w:val="9"/>
                <w:color w:val="auto"/>
              </w:rPr>
            </w:pPr>
          </w:p>
        </w:tc>
        <w:tc>
          <w:tcPr>
            <w:tcW w:w="300" w:type="dxa"/>
            <w:vAlign w:val="bottom"/>
          </w:tcPr>
          <w:p>
            <w:pPr>
              <w:spacing w:after="0"/>
              <w:rPr>
                <w:sz w:val="9"/>
                <w:szCs w:val="9"/>
                <w:color w:val="auto"/>
              </w:rPr>
            </w:pPr>
          </w:p>
        </w:tc>
        <w:tc>
          <w:tcPr>
            <w:tcW w:w="320" w:type="dxa"/>
            <w:vAlign w:val="bottom"/>
          </w:tcPr>
          <w:p>
            <w:pPr>
              <w:spacing w:after="0"/>
              <w:rPr>
                <w:sz w:val="9"/>
                <w:szCs w:val="9"/>
                <w:color w:val="auto"/>
              </w:rPr>
            </w:pPr>
          </w:p>
        </w:tc>
        <w:tc>
          <w:tcPr>
            <w:tcW w:w="9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0" w:type="dxa"/>
            <w:vAlign w:val="bottom"/>
          </w:tcPr>
          <w:p>
            <w:pPr>
              <w:spacing w:after="0"/>
              <w:rPr>
                <w:sz w:val="9"/>
                <w:szCs w:val="9"/>
                <w:color w:val="auto"/>
              </w:rPr>
            </w:pPr>
          </w:p>
        </w:tc>
      </w:tr>
      <w:tr>
        <w:trPr>
          <w:trHeight w:val="108"/>
        </w:trPr>
        <w:tc>
          <w:tcPr>
            <w:tcW w:w="4480" w:type="dxa"/>
            <w:vAlign w:val="bottom"/>
            <w:gridSpan w:val="2"/>
            <w:shd w:val="clear" w:color="auto" w:fill="CFF0FC"/>
          </w:tcPr>
          <w:p>
            <w:pPr>
              <w:ind w:left="80"/>
              <w:spacing w:after="0" w:line="108" w:lineRule="exact"/>
              <w:rPr>
                <w:sz w:val="20"/>
                <w:szCs w:val="20"/>
                <w:color w:val="auto"/>
              </w:rPr>
            </w:pPr>
            <w:r>
              <w:rPr>
                <w:rFonts w:ascii="Arial" w:cs="Arial" w:eastAsia="Arial" w:hAnsi="Arial"/>
                <w:sz w:val="10"/>
                <w:szCs w:val="10"/>
                <w:color w:val="auto"/>
              </w:rPr>
              <w:t>Accounts receivable, net</w:t>
            </w:r>
          </w:p>
        </w:tc>
        <w:tc>
          <w:tcPr>
            <w:tcW w:w="116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1220" w:type="dxa"/>
            <w:vAlign w:val="bottom"/>
            <w:gridSpan w:val="2"/>
            <w:shd w:val="clear" w:color="auto" w:fill="CFF0FC"/>
          </w:tcPr>
          <w:p>
            <w:pPr>
              <w:jc w:val="right"/>
              <w:ind w:right="260"/>
              <w:spacing w:after="0" w:line="108" w:lineRule="exact"/>
              <w:rPr>
                <w:sz w:val="20"/>
                <w:szCs w:val="20"/>
                <w:color w:val="auto"/>
              </w:rPr>
            </w:pPr>
            <w:r>
              <w:rPr>
                <w:rFonts w:ascii="Arial" w:cs="Arial" w:eastAsia="Arial" w:hAnsi="Arial"/>
                <w:sz w:val="10"/>
                <w:szCs w:val="10"/>
                <w:color w:val="auto"/>
              </w:rPr>
              <w:t>(12,662)</w:t>
            </w:r>
          </w:p>
        </w:tc>
        <w:tc>
          <w:tcPr>
            <w:tcW w:w="320" w:type="dxa"/>
            <w:vAlign w:val="bottom"/>
            <w:shd w:val="clear" w:color="auto" w:fill="CFF0FC"/>
          </w:tcPr>
          <w:p>
            <w:pPr>
              <w:spacing w:after="0"/>
              <w:rPr>
                <w:sz w:val="9"/>
                <w:szCs w:val="9"/>
                <w:color w:val="auto"/>
              </w:rPr>
            </w:pPr>
          </w:p>
        </w:tc>
        <w:tc>
          <w:tcPr>
            <w:tcW w:w="1180" w:type="dxa"/>
            <w:vAlign w:val="bottom"/>
            <w:gridSpan w:val="2"/>
            <w:shd w:val="clear" w:color="auto" w:fill="CFF0FC"/>
          </w:tcPr>
          <w:p>
            <w:pPr>
              <w:jc w:val="right"/>
              <w:ind w:right="260"/>
              <w:spacing w:after="0" w:line="108" w:lineRule="exact"/>
              <w:rPr>
                <w:sz w:val="20"/>
                <w:szCs w:val="20"/>
                <w:color w:val="auto"/>
              </w:rPr>
            </w:pPr>
            <w:r>
              <w:rPr>
                <w:rFonts w:ascii="Arial" w:cs="Arial" w:eastAsia="Arial" w:hAnsi="Arial"/>
                <w:sz w:val="10"/>
                <w:szCs w:val="10"/>
                <w:color w:val="auto"/>
              </w:rPr>
              <w:t>(23,721)</w:t>
            </w:r>
          </w:p>
        </w:tc>
        <w:tc>
          <w:tcPr>
            <w:tcW w:w="200" w:type="dxa"/>
            <w:vAlign w:val="bottom"/>
            <w:shd w:val="clear" w:color="auto" w:fill="CFF0FC"/>
          </w:tcPr>
          <w:p>
            <w:pPr>
              <w:spacing w:after="0"/>
              <w:rPr>
                <w:sz w:val="9"/>
                <w:szCs w:val="9"/>
                <w:color w:val="auto"/>
              </w:rPr>
            </w:pPr>
          </w:p>
        </w:tc>
        <w:tc>
          <w:tcPr>
            <w:tcW w:w="1240" w:type="dxa"/>
            <w:vAlign w:val="bottom"/>
            <w:tcBorders>
              <w:right w:val="single" w:sz="8" w:color="auto"/>
            </w:tcBorders>
            <w:gridSpan w:val="2"/>
            <w:shd w:val="clear" w:color="auto" w:fill="CFF0FC"/>
          </w:tcPr>
          <w:p>
            <w:pPr>
              <w:jc w:val="right"/>
              <w:ind w:right="180"/>
              <w:spacing w:after="0" w:line="108" w:lineRule="exact"/>
              <w:rPr>
                <w:sz w:val="20"/>
                <w:szCs w:val="20"/>
                <w:color w:val="auto"/>
              </w:rPr>
            </w:pPr>
            <w:r>
              <w:rPr>
                <w:rFonts w:ascii="Arial" w:cs="Arial" w:eastAsia="Arial" w:hAnsi="Arial"/>
                <w:sz w:val="10"/>
                <w:szCs w:val="10"/>
                <w:color w:val="auto"/>
              </w:rPr>
              <w:t>(17,153)</w:t>
            </w:r>
          </w:p>
        </w:tc>
        <w:tc>
          <w:tcPr>
            <w:tcW w:w="6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1040" w:type="dxa"/>
            <w:vAlign w:val="bottom"/>
            <w:shd w:val="clear" w:color="auto" w:fill="CFF0FC"/>
          </w:tcPr>
          <w:p>
            <w:pPr>
              <w:jc w:val="right"/>
              <w:spacing w:after="0" w:line="108" w:lineRule="exact"/>
              <w:rPr>
                <w:sz w:val="20"/>
                <w:szCs w:val="20"/>
                <w:color w:val="auto"/>
              </w:rPr>
            </w:pPr>
            <w:r>
              <w:rPr>
                <w:rFonts w:ascii="Arial" w:cs="Arial" w:eastAsia="Arial" w:hAnsi="Arial"/>
                <w:sz w:val="10"/>
                <w:szCs w:val="10"/>
                <w:color w:val="auto"/>
              </w:rPr>
              <w:t>6,108</w:t>
            </w:r>
          </w:p>
        </w:tc>
        <w:tc>
          <w:tcPr>
            <w:tcW w:w="120" w:type="dxa"/>
            <w:vAlign w:val="bottom"/>
            <w:shd w:val="clear" w:color="auto" w:fill="CFF0FC"/>
          </w:tcPr>
          <w:p>
            <w:pPr>
              <w:spacing w:after="0"/>
              <w:rPr>
                <w:sz w:val="9"/>
                <w:szCs w:val="9"/>
                <w:color w:val="auto"/>
              </w:rPr>
            </w:pPr>
          </w:p>
        </w:tc>
      </w:tr>
      <w:tr>
        <w:trPr>
          <w:trHeight w:val="108"/>
        </w:trPr>
        <w:tc>
          <w:tcPr>
            <w:tcW w:w="4480" w:type="dxa"/>
            <w:vAlign w:val="bottom"/>
            <w:gridSpan w:val="2"/>
          </w:tcPr>
          <w:p>
            <w:pPr>
              <w:ind w:left="80"/>
              <w:spacing w:after="0" w:line="108" w:lineRule="exact"/>
              <w:rPr>
                <w:sz w:val="20"/>
                <w:szCs w:val="20"/>
                <w:color w:val="auto"/>
              </w:rPr>
            </w:pPr>
            <w:r>
              <w:rPr>
                <w:rFonts w:ascii="Arial" w:cs="Arial" w:eastAsia="Arial" w:hAnsi="Arial"/>
                <w:sz w:val="10"/>
                <w:szCs w:val="10"/>
                <w:color w:val="auto"/>
              </w:rPr>
              <w:t>Unbilled receivables</w:t>
            </w:r>
          </w:p>
        </w:tc>
        <w:tc>
          <w:tcPr>
            <w:tcW w:w="1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20" w:type="dxa"/>
            <w:vAlign w:val="bottom"/>
            <w:gridSpan w:val="2"/>
          </w:tcPr>
          <w:p>
            <w:pPr>
              <w:jc w:val="right"/>
              <w:ind w:right="260"/>
              <w:spacing w:after="0" w:line="108" w:lineRule="exact"/>
              <w:rPr>
                <w:sz w:val="20"/>
                <w:szCs w:val="20"/>
                <w:color w:val="auto"/>
              </w:rPr>
            </w:pPr>
            <w:r>
              <w:rPr>
                <w:rFonts w:ascii="Arial" w:cs="Arial" w:eastAsia="Arial" w:hAnsi="Arial"/>
                <w:sz w:val="10"/>
                <w:szCs w:val="10"/>
                <w:color w:val="auto"/>
              </w:rPr>
              <w:t>(6,428)</w:t>
            </w:r>
          </w:p>
        </w:tc>
        <w:tc>
          <w:tcPr>
            <w:tcW w:w="320" w:type="dxa"/>
            <w:vAlign w:val="bottom"/>
          </w:tcPr>
          <w:p>
            <w:pPr>
              <w:spacing w:after="0"/>
              <w:rPr>
                <w:sz w:val="9"/>
                <w:szCs w:val="9"/>
                <w:color w:val="auto"/>
              </w:rPr>
            </w:pPr>
          </w:p>
        </w:tc>
        <w:tc>
          <w:tcPr>
            <w:tcW w:w="1180" w:type="dxa"/>
            <w:vAlign w:val="bottom"/>
            <w:gridSpan w:val="2"/>
          </w:tcPr>
          <w:p>
            <w:pPr>
              <w:jc w:val="right"/>
              <w:ind w:right="260"/>
              <w:spacing w:after="0" w:line="108" w:lineRule="exact"/>
              <w:rPr>
                <w:sz w:val="20"/>
                <w:szCs w:val="20"/>
                <w:color w:val="auto"/>
              </w:rPr>
            </w:pPr>
            <w:r>
              <w:rPr>
                <w:rFonts w:ascii="Arial" w:cs="Arial" w:eastAsia="Arial" w:hAnsi="Arial"/>
                <w:sz w:val="10"/>
                <w:szCs w:val="10"/>
                <w:color w:val="auto"/>
              </w:rPr>
              <w:t>(6,124)</w:t>
            </w:r>
          </w:p>
        </w:tc>
        <w:tc>
          <w:tcPr>
            <w:tcW w:w="200" w:type="dxa"/>
            <w:vAlign w:val="bottom"/>
          </w:tcPr>
          <w:p>
            <w:pPr>
              <w:spacing w:after="0"/>
              <w:rPr>
                <w:sz w:val="9"/>
                <w:szCs w:val="9"/>
                <w:color w:val="auto"/>
              </w:rPr>
            </w:pPr>
          </w:p>
        </w:tc>
        <w:tc>
          <w:tcPr>
            <w:tcW w:w="1240" w:type="dxa"/>
            <w:vAlign w:val="bottom"/>
            <w:tcBorders>
              <w:right w:val="single" w:sz="8" w:color="auto"/>
            </w:tcBorders>
            <w:gridSpan w:val="2"/>
          </w:tcPr>
          <w:p>
            <w:pPr>
              <w:jc w:val="right"/>
              <w:ind w:right="180"/>
              <w:spacing w:after="0" w:line="108" w:lineRule="exact"/>
              <w:rPr>
                <w:sz w:val="20"/>
                <w:szCs w:val="20"/>
                <w:color w:val="auto"/>
              </w:rPr>
            </w:pPr>
            <w:r>
              <w:rPr>
                <w:rFonts w:ascii="Arial" w:cs="Arial" w:eastAsia="Arial" w:hAnsi="Arial"/>
                <w:sz w:val="10"/>
                <w:szCs w:val="10"/>
                <w:color w:val="auto"/>
              </w:rPr>
              <w:t>(362)</w:t>
            </w: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40" w:type="dxa"/>
            <w:vAlign w:val="bottom"/>
          </w:tcPr>
          <w:p>
            <w:pPr>
              <w:jc w:val="right"/>
              <w:spacing w:after="0" w:line="108" w:lineRule="exact"/>
              <w:rPr>
                <w:sz w:val="20"/>
                <w:szCs w:val="20"/>
                <w:color w:val="auto"/>
              </w:rPr>
            </w:pPr>
            <w:r>
              <w:rPr>
                <w:rFonts w:ascii="Arial" w:cs="Arial" w:eastAsia="Arial" w:hAnsi="Arial"/>
                <w:sz w:val="10"/>
                <w:szCs w:val="10"/>
                <w:color w:val="auto"/>
              </w:rPr>
              <w:t>1,945</w:t>
            </w:r>
          </w:p>
        </w:tc>
        <w:tc>
          <w:tcPr>
            <w:tcW w:w="120" w:type="dxa"/>
            <w:vAlign w:val="bottom"/>
          </w:tcPr>
          <w:p>
            <w:pPr>
              <w:spacing w:after="0"/>
              <w:rPr>
                <w:sz w:val="9"/>
                <w:szCs w:val="9"/>
                <w:color w:val="auto"/>
              </w:rPr>
            </w:pPr>
          </w:p>
        </w:tc>
      </w:tr>
      <w:tr>
        <w:trPr>
          <w:trHeight w:val="108"/>
        </w:trPr>
        <w:tc>
          <w:tcPr>
            <w:tcW w:w="4480" w:type="dxa"/>
            <w:vAlign w:val="bottom"/>
            <w:gridSpan w:val="2"/>
            <w:shd w:val="clear" w:color="auto" w:fill="CFF0FC"/>
          </w:tcPr>
          <w:p>
            <w:pPr>
              <w:ind w:left="80"/>
              <w:spacing w:after="0" w:line="108" w:lineRule="exact"/>
              <w:rPr>
                <w:sz w:val="20"/>
                <w:szCs w:val="20"/>
                <w:color w:val="auto"/>
              </w:rPr>
            </w:pPr>
            <w:r>
              <w:rPr>
                <w:rFonts w:ascii="Arial" w:cs="Arial" w:eastAsia="Arial" w:hAnsi="Arial"/>
                <w:sz w:val="10"/>
                <w:szCs w:val="10"/>
                <w:color w:val="auto"/>
              </w:rPr>
              <w:t>Prepaid expenses and other current assets</w:t>
            </w:r>
          </w:p>
        </w:tc>
        <w:tc>
          <w:tcPr>
            <w:tcW w:w="116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1220" w:type="dxa"/>
            <w:vAlign w:val="bottom"/>
            <w:gridSpan w:val="2"/>
            <w:shd w:val="clear" w:color="auto" w:fill="CFF0FC"/>
          </w:tcPr>
          <w:p>
            <w:pPr>
              <w:jc w:val="right"/>
              <w:ind w:right="260"/>
              <w:spacing w:after="0" w:line="108" w:lineRule="exact"/>
              <w:rPr>
                <w:sz w:val="20"/>
                <w:szCs w:val="20"/>
                <w:color w:val="auto"/>
              </w:rPr>
            </w:pPr>
            <w:r>
              <w:rPr>
                <w:rFonts w:ascii="Arial" w:cs="Arial" w:eastAsia="Arial" w:hAnsi="Arial"/>
                <w:sz w:val="10"/>
                <w:szCs w:val="10"/>
                <w:color w:val="auto"/>
              </w:rPr>
              <w:t>(7,150)</w:t>
            </w:r>
          </w:p>
        </w:tc>
        <w:tc>
          <w:tcPr>
            <w:tcW w:w="320" w:type="dxa"/>
            <w:vAlign w:val="bottom"/>
            <w:shd w:val="clear" w:color="auto" w:fill="CFF0FC"/>
          </w:tcPr>
          <w:p>
            <w:pPr>
              <w:spacing w:after="0"/>
              <w:rPr>
                <w:sz w:val="9"/>
                <w:szCs w:val="9"/>
                <w:color w:val="auto"/>
              </w:rPr>
            </w:pPr>
          </w:p>
        </w:tc>
        <w:tc>
          <w:tcPr>
            <w:tcW w:w="900" w:type="dxa"/>
            <w:vAlign w:val="bottom"/>
            <w:shd w:val="clear" w:color="auto" w:fill="CFF0FC"/>
          </w:tcPr>
          <w:p>
            <w:pPr>
              <w:jc w:val="right"/>
              <w:spacing w:after="0" w:line="108" w:lineRule="exact"/>
              <w:rPr>
                <w:sz w:val="20"/>
                <w:szCs w:val="20"/>
                <w:color w:val="auto"/>
              </w:rPr>
            </w:pPr>
            <w:r>
              <w:rPr>
                <w:rFonts w:ascii="Arial" w:cs="Arial" w:eastAsia="Arial" w:hAnsi="Arial"/>
                <w:sz w:val="10"/>
                <w:szCs w:val="10"/>
                <w:color w:val="auto"/>
              </w:rPr>
              <w:t>2,115</w:t>
            </w:r>
          </w:p>
        </w:tc>
        <w:tc>
          <w:tcPr>
            <w:tcW w:w="28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020" w:type="dxa"/>
            <w:vAlign w:val="bottom"/>
            <w:shd w:val="clear" w:color="auto" w:fill="CFF0FC"/>
          </w:tcPr>
          <w:p>
            <w:pPr>
              <w:jc w:val="right"/>
              <w:spacing w:after="0" w:line="108" w:lineRule="exact"/>
              <w:rPr>
                <w:sz w:val="20"/>
                <w:szCs w:val="20"/>
                <w:color w:val="auto"/>
              </w:rPr>
            </w:pPr>
            <w:r>
              <w:rPr>
                <w:rFonts w:ascii="Arial" w:cs="Arial" w:eastAsia="Arial" w:hAnsi="Arial"/>
                <w:sz w:val="10"/>
                <w:szCs w:val="10"/>
                <w:color w:val="auto"/>
              </w:rPr>
              <w:t>4,342</w:t>
            </w:r>
          </w:p>
        </w:tc>
        <w:tc>
          <w:tcPr>
            <w:tcW w:w="220" w:type="dxa"/>
            <w:vAlign w:val="bottom"/>
            <w:tcBorders>
              <w:right w:val="single" w:sz="8" w:color="auto"/>
            </w:tcBorders>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1160" w:type="dxa"/>
            <w:vAlign w:val="bottom"/>
            <w:gridSpan w:val="2"/>
            <w:shd w:val="clear" w:color="auto" w:fill="CFF0FC"/>
          </w:tcPr>
          <w:p>
            <w:pPr>
              <w:jc w:val="right"/>
              <w:ind w:right="80"/>
              <w:spacing w:after="0" w:line="108" w:lineRule="exact"/>
              <w:rPr>
                <w:sz w:val="20"/>
                <w:szCs w:val="20"/>
                <w:color w:val="auto"/>
              </w:rPr>
            </w:pPr>
            <w:r>
              <w:rPr>
                <w:rFonts w:ascii="Arial" w:cs="Arial" w:eastAsia="Arial" w:hAnsi="Arial"/>
                <w:sz w:val="10"/>
                <w:szCs w:val="10"/>
                <w:color w:val="auto"/>
              </w:rPr>
              <w:t>(1,260)</w:t>
            </w:r>
          </w:p>
        </w:tc>
      </w:tr>
      <w:tr>
        <w:trPr>
          <w:trHeight w:val="108"/>
        </w:trPr>
        <w:tc>
          <w:tcPr>
            <w:tcW w:w="4480" w:type="dxa"/>
            <w:vAlign w:val="bottom"/>
            <w:gridSpan w:val="2"/>
          </w:tcPr>
          <w:p>
            <w:pPr>
              <w:ind w:left="80"/>
              <w:spacing w:after="0" w:line="108" w:lineRule="exact"/>
              <w:rPr>
                <w:sz w:val="20"/>
                <w:szCs w:val="20"/>
                <w:color w:val="auto"/>
              </w:rPr>
            </w:pPr>
            <w:r>
              <w:rPr>
                <w:rFonts w:ascii="Arial" w:cs="Arial" w:eastAsia="Arial" w:hAnsi="Arial"/>
                <w:sz w:val="10"/>
                <w:szCs w:val="10"/>
                <w:color w:val="auto"/>
              </w:rPr>
              <w:t>Accounts payable and accrued liabilities</w:t>
            </w:r>
          </w:p>
        </w:tc>
        <w:tc>
          <w:tcPr>
            <w:tcW w:w="1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20" w:type="dxa"/>
            <w:vAlign w:val="bottom"/>
            <w:gridSpan w:val="2"/>
          </w:tcPr>
          <w:p>
            <w:pPr>
              <w:jc w:val="right"/>
              <w:ind w:right="260"/>
              <w:spacing w:after="0" w:line="108" w:lineRule="exact"/>
              <w:rPr>
                <w:sz w:val="20"/>
                <w:szCs w:val="20"/>
                <w:color w:val="auto"/>
              </w:rPr>
            </w:pPr>
            <w:r>
              <w:rPr>
                <w:rFonts w:ascii="Arial" w:cs="Arial" w:eastAsia="Arial" w:hAnsi="Arial"/>
                <w:sz w:val="10"/>
                <w:szCs w:val="10"/>
                <w:color w:val="auto"/>
              </w:rPr>
              <w:t>(8,194)</w:t>
            </w:r>
          </w:p>
        </w:tc>
        <w:tc>
          <w:tcPr>
            <w:tcW w:w="320" w:type="dxa"/>
            <w:vAlign w:val="bottom"/>
          </w:tcPr>
          <w:p>
            <w:pPr>
              <w:spacing w:after="0"/>
              <w:rPr>
                <w:sz w:val="9"/>
                <w:szCs w:val="9"/>
                <w:color w:val="auto"/>
              </w:rPr>
            </w:pPr>
          </w:p>
        </w:tc>
        <w:tc>
          <w:tcPr>
            <w:tcW w:w="900" w:type="dxa"/>
            <w:vAlign w:val="bottom"/>
          </w:tcPr>
          <w:p>
            <w:pPr>
              <w:jc w:val="right"/>
              <w:spacing w:after="0" w:line="108" w:lineRule="exact"/>
              <w:rPr>
                <w:sz w:val="20"/>
                <w:szCs w:val="20"/>
                <w:color w:val="auto"/>
              </w:rPr>
            </w:pPr>
            <w:r>
              <w:rPr>
                <w:rFonts w:ascii="Arial" w:cs="Arial" w:eastAsia="Arial" w:hAnsi="Arial"/>
                <w:sz w:val="10"/>
                <w:szCs w:val="10"/>
                <w:color w:val="auto"/>
              </w:rPr>
              <w:t>7,125</w:t>
            </w: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40" w:type="dxa"/>
            <w:vAlign w:val="bottom"/>
            <w:tcBorders>
              <w:right w:val="single" w:sz="8" w:color="auto"/>
            </w:tcBorders>
            <w:gridSpan w:val="2"/>
          </w:tcPr>
          <w:p>
            <w:pPr>
              <w:jc w:val="right"/>
              <w:ind w:right="180"/>
              <w:spacing w:after="0" w:line="108" w:lineRule="exact"/>
              <w:rPr>
                <w:sz w:val="20"/>
                <w:szCs w:val="20"/>
                <w:color w:val="auto"/>
              </w:rPr>
            </w:pPr>
            <w:r>
              <w:rPr>
                <w:rFonts w:ascii="Arial" w:cs="Arial" w:eastAsia="Arial" w:hAnsi="Arial"/>
                <w:sz w:val="10"/>
                <w:szCs w:val="10"/>
                <w:color w:val="auto"/>
              </w:rPr>
              <w:t>(4,846)</w:t>
            </w: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40" w:type="dxa"/>
            <w:vAlign w:val="bottom"/>
          </w:tcPr>
          <w:p>
            <w:pPr>
              <w:jc w:val="right"/>
              <w:spacing w:after="0" w:line="108" w:lineRule="exact"/>
              <w:rPr>
                <w:sz w:val="20"/>
                <w:szCs w:val="20"/>
                <w:color w:val="auto"/>
              </w:rPr>
            </w:pPr>
            <w:r>
              <w:rPr>
                <w:rFonts w:ascii="Arial" w:cs="Arial" w:eastAsia="Arial" w:hAnsi="Arial"/>
                <w:sz w:val="10"/>
                <w:szCs w:val="10"/>
                <w:color w:val="auto"/>
              </w:rPr>
              <w:t>22,414</w:t>
            </w:r>
          </w:p>
        </w:tc>
        <w:tc>
          <w:tcPr>
            <w:tcW w:w="120" w:type="dxa"/>
            <w:vAlign w:val="bottom"/>
          </w:tcPr>
          <w:p>
            <w:pPr>
              <w:spacing w:after="0"/>
              <w:rPr>
                <w:sz w:val="9"/>
                <w:szCs w:val="9"/>
                <w:color w:val="auto"/>
              </w:rPr>
            </w:pPr>
          </w:p>
        </w:tc>
      </w:tr>
      <w:tr>
        <w:trPr>
          <w:trHeight w:val="108"/>
        </w:trPr>
        <w:tc>
          <w:tcPr>
            <w:tcW w:w="4480" w:type="dxa"/>
            <w:vAlign w:val="bottom"/>
            <w:gridSpan w:val="2"/>
            <w:shd w:val="clear" w:color="auto" w:fill="CFF0FC"/>
          </w:tcPr>
          <w:p>
            <w:pPr>
              <w:ind w:left="80"/>
              <w:spacing w:after="0" w:line="108" w:lineRule="exact"/>
              <w:rPr>
                <w:sz w:val="20"/>
                <w:szCs w:val="20"/>
                <w:color w:val="auto"/>
              </w:rPr>
            </w:pPr>
            <w:r>
              <w:rPr>
                <w:rFonts w:ascii="Arial" w:cs="Arial" w:eastAsia="Arial" w:hAnsi="Arial"/>
                <w:sz w:val="10"/>
                <w:szCs w:val="10"/>
                <w:color w:val="auto"/>
              </w:rPr>
              <w:t>Other liabilities</w:t>
            </w:r>
          </w:p>
        </w:tc>
        <w:tc>
          <w:tcPr>
            <w:tcW w:w="116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1220" w:type="dxa"/>
            <w:vAlign w:val="bottom"/>
            <w:gridSpan w:val="2"/>
            <w:shd w:val="clear" w:color="auto" w:fill="CFF0FC"/>
          </w:tcPr>
          <w:p>
            <w:pPr>
              <w:jc w:val="right"/>
              <w:ind w:right="260"/>
              <w:spacing w:after="0" w:line="108" w:lineRule="exact"/>
              <w:rPr>
                <w:sz w:val="20"/>
                <w:szCs w:val="20"/>
                <w:color w:val="auto"/>
              </w:rPr>
            </w:pPr>
            <w:r>
              <w:rPr>
                <w:rFonts w:ascii="Arial" w:cs="Arial" w:eastAsia="Arial" w:hAnsi="Arial"/>
                <w:sz w:val="10"/>
                <w:szCs w:val="10"/>
                <w:color w:val="auto"/>
              </w:rPr>
              <w:t>(2,151)</w:t>
            </w:r>
          </w:p>
        </w:tc>
        <w:tc>
          <w:tcPr>
            <w:tcW w:w="320" w:type="dxa"/>
            <w:vAlign w:val="bottom"/>
            <w:shd w:val="clear" w:color="auto" w:fill="CFF0FC"/>
          </w:tcPr>
          <w:p>
            <w:pPr>
              <w:spacing w:after="0"/>
              <w:rPr>
                <w:sz w:val="9"/>
                <w:szCs w:val="9"/>
                <w:color w:val="auto"/>
              </w:rPr>
            </w:pPr>
          </w:p>
        </w:tc>
        <w:tc>
          <w:tcPr>
            <w:tcW w:w="900" w:type="dxa"/>
            <w:vAlign w:val="bottom"/>
            <w:shd w:val="clear" w:color="auto" w:fill="CFF0FC"/>
          </w:tcPr>
          <w:p>
            <w:pPr>
              <w:jc w:val="right"/>
              <w:spacing w:after="0" w:line="108" w:lineRule="exact"/>
              <w:rPr>
                <w:sz w:val="20"/>
                <w:szCs w:val="20"/>
                <w:color w:val="auto"/>
              </w:rPr>
            </w:pPr>
            <w:r>
              <w:rPr>
                <w:rFonts w:ascii="Arial" w:cs="Arial" w:eastAsia="Arial" w:hAnsi="Arial"/>
                <w:sz w:val="10"/>
                <w:szCs w:val="10"/>
                <w:color w:val="auto"/>
              </w:rPr>
              <w:t>513</w:t>
            </w:r>
          </w:p>
        </w:tc>
        <w:tc>
          <w:tcPr>
            <w:tcW w:w="28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240" w:type="dxa"/>
            <w:vAlign w:val="bottom"/>
            <w:tcBorders>
              <w:right w:val="single" w:sz="8" w:color="auto"/>
            </w:tcBorders>
            <w:gridSpan w:val="2"/>
            <w:shd w:val="clear" w:color="auto" w:fill="CFF0FC"/>
          </w:tcPr>
          <w:p>
            <w:pPr>
              <w:jc w:val="right"/>
              <w:ind w:right="180"/>
              <w:spacing w:after="0" w:line="108" w:lineRule="exact"/>
              <w:rPr>
                <w:sz w:val="20"/>
                <w:szCs w:val="20"/>
                <w:color w:val="auto"/>
              </w:rPr>
            </w:pPr>
            <w:r>
              <w:rPr>
                <w:rFonts w:ascii="Arial" w:cs="Arial" w:eastAsia="Arial" w:hAnsi="Arial"/>
                <w:sz w:val="10"/>
                <w:szCs w:val="10"/>
                <w:color w:val="auto"/>
              </w:rPr>
              <w:t>(78)</w:t>
            </w:r>
          </w:p>
        </w:tc>
        <w:tc>
          <w:tcPr>
            <w:tcW w:w="6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1160" w:type="dxa"/>
            <w:vAlign w:val="bottom"/>
            <w:gridSpan w:val="2"/>
            <w:shd w:val="clear" w:color="auto" w:fill="CFF0FC"/>
          </w:tcPr>
          <w:p>
            <w:pPr>
              <w:jc w:val="right"/>
              <w:ind w:right="80"/>
              <w:spacing w:after="0" w:line="108" w:lineRule="exact"/>
              <w:rPr>
                <w:sz w:val="20"/>
                <w:szCs w:val="20"/>
                <w:color w:val="auto"/>
              </w:rPr>
            </w:pPr>
            <w:r>
              <w:rPr>
                <w:rFonts w:ascii="Arial" w:cs="Arial" w:eastAsia="Arial" w:hAnsi="Arial"/>
                <w:sz w:val="10"/>
                <w:szCs w:val="10"/>
                <w:color w:val="auto"/>
              </w:rPr>
              <w:t>(508)</w:t>
            </w:r>
          </w:p>
        </w:tc>
      </w:tr>
      <w:tr>
        <w:trPr>
          <w:trHeight w:val="97"/>
        </w:trPr>
        <w:tc>
          <w:tcPr>
            <w:tcW w:w="4480" w:type="dxa"/>
            <w:vAlign w:val="bottom"/>
            <w:gridSpan w:val="2"/>
          </w:tcPr>
          <w:p>
            <w:pPr>
              <w:spacing w:after="0" w:line="97" w:lineRule="exact"/>
              <w:rPr>
                <w:sz w:val="20"/>
                <w:szCs w:val="20"/>
                <w:color w:val="auto"/>
              </w:rPr>
            </w:pPr>
            <w:r>
              <w:rPr>
                <w:rFonts w:ascii="Arial" w:cs="Arial" w:eastAsia="Arial" w:hAnsi="Arial"/>
                <w:sz w:val="10"/>
                <w:szCs w:val="10"/>
                <w:color w:val="auto"/>
              </w:rPr>
              <w:t>Net cash provided by operating activities</w:t>
            </w:r>
          </w:p>
        </w:tc>
        <w:tc>
          <w:tcPr>
            <w:tcW w:w="1160" w:type="dxa"/>
            <w:vAlign w:val="bottom"/>
          </w:tcPr>
          <w:p>
            <w:pPr>
              <w:spacing w:after="0"/>
              <w:rPr>
                <w:sz w:val="8"/>
                <w:szCs w:val="8"/>
                <w:color w:val="auto"/>
              </w:rPr>
            </w:pPr>
          </w:p>
        </w:tc>
        <w:tc>
          <w:tcPr>
            <w:tcW w:w="280" w:type="dxa"/>
            <w:vAlign w:val="bottom"/>
            <w:tcBorders>
              <w:top w:val="single" w:sz="8" w:color="auto"/>
            </w:tcBorders>
          </w:tcPr>
          <w:p>
            <w:pPr>
              <w:spacing w:after="0"/>
              <w:rPr>
                <w:sz w:val="8"/>
                <w:szCs w:val="8"/>
                <w:color w:val="auto"/>
              </w:rPr>
            </w:pPr>
          </w:p>
        </w:tc>
        <w:tc>
          <w:tcPr>
            <w:tcW w:w="920" w:type="dxa"/>
            <w:vAlign w:val="bottom"/>
            <w:tcBorders>
              <w:top w:val="single" w:sz="8" w:color="auto"/>
            </w:tcBorders>
          </w:tcPr>
          <w:p>
            <w:pPr>
              <w:jc w:val="right"/>
              <w:spacing w:after="0" w:line="97" w:lineRule="exact"/>
              <w:rPr>
                <w:sz w:val="20"/>
                <w:szCs w:val="20"/>
                <w:color w:val="auto"/>
              </w:rPr>
            </w:pPr>
            <w:r>
              <w:rPr>
                <w:rFonts w:ascii="Arial" w:cs="Arial" w:eastAsia="Arial" w:hAnsi="Arial"/>
                <w:sz w:val="10"/>
                <w:szCs w:val="10"/>
                <w:color w:val="auto"/>
              </w:rPr>
              <w:t>133,802</w:t>
            </w:r>
          </w:p>
        </w:tc>
        <w:tc>
          <w:tcPr>
            <w:tcW w:w="300" w:type="dxa"/>
            <w:vAlign w:val="bottom"/>
          </w:tcPr>
          <w:p>
            <w:pPr>
              <w:spacing w:after="0"/>
              <w:rPr>
                <w:sz w:val="8"/>
                <w:szCs w:val="8"/>
                <w:color w:val="auto"/>
              </w:rPr>
            </w:pPr>
          </w:p>
        </w:tc>
        <w:tc>
          <w:tcPr>
            <w:tcW w:w="320" w:type="dxa"/>
            <w:vAlign w:val="bottom"/>
            <w:tcBorders>
              <w:top w:val="single" w:sz="8" w:color="auto"/>
            </w:tcBorders>
          </w:tcPr>
          <w:p>
            <w:pPr>
              <w:spacing w:after="0"/>
              <w:rPr>
                <w:sz w:val="8"/>
                <w:szCs w:val="8"/>
                <w:color w:val="auto"/>
              </w:rPr>
            </w:pPr>
          </w:p>
        </w:tc>
        <w:tc>
          <w:tcPr>
            <w:tcW w:w="900" w:type="dxa"/>
            <w:vAlign w:val="bottom"/>
            <w:tcBorders>
              <w:top w:val="single" w:sz="8" w:color="auto"/>
            </w:tcBorders>
          </w:tcPr>
          <w:p>
            <w:pPr>
              <w:jc w:val="right"/>
              <w:spacing w:after="0" w:line="97" w:lineRule="exact"/>
              <w:rPr>
                <w:sz w:val="20"/>
                <w:szCs w:val="20"/>
                <w:color w:val="auto"/>
              </w:rPr>
            </w:pPr>
            <w:r>
              <w:rPr>
                <w:rFonts w:ascii="Arial" w:cs="Arial" w:eastAsia="Arial" w:hAnsi="Arial"/>
                <w:sz w:val="10"/>
                <w:szCs w:val="10"/>
                <w:color w:val="auto"/>
              </w:rPr>
              <w:t>46,017</w:t>
            </w:r>
          </w:p>
        </w:tc>
        <w:tc>
          <w:tcPr>
            <w:tcW w:w="280" w:type="dxa"/>
            <w:vAlign w:val="bottom"/>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1020" w:type="dxa"/>
            <w:vAlign w:val="bottom"/>
            <w:tcBorders>
              <w:top w:val="single" w:sz="8" w:color="auto"/>
            </w:tcBorders>
          </w:tcPr>
          <w:p>
            <w:pPr>
              <w:jc w:val="right"/>
              <w:spacing w:after="0" w:line="97" w:lineRule="exact"/>
              <w:rPr>
                <w:sz w:val="20"/>
                <w:szCs w:val="20"/>
                <w:color w:val="auto"/>
              </w:rPr>
            </w:pPr>
            <w:r>
              <w:rPr>
                <w:rFonts w:ascii="Arial" w:cs="Arial" w:eastAsia="Arial" w:hAnsi="Arial"/>
                <w:sz w:val="10"/>
                <w:szCs w:val="10"/>
                <w:color w:val="auto"/>
              </w:rPr>
              <w:t>8,311</w:t>
            </w:r>
          </w:p>
        </w:tc>
        <w:tc>
          <w:tcPr>
            <w:tcW w:w="220" w:type="dxa"/>
            <w:vAlign w:val="bottom"/>
            <w:tcBorders>
              <w:right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1040" w:type="dxa"/>
            <w:vAlign w:val="bottom"/>
            <w:tcBorders>
              <w:top w:val="single" w:sz="8" w:color="auto"/>
            </w:tcBorders>
          </w:tcPr>
          <w:p>
            <w:pPr>
              <w:jc w:val="right"/>
              <w:spacing w:after="0" w:line="97" w:lineRule="exact"/>
              <w:rPr>
                <w:sz w:val="20"/>
                <w:szCs w:val="20"/>
                <w:color w:val="auto"/>
              </w:rPr>
            </w:pPr>
            <w:r>
              <w:rPr>
                <w:rFonts w:ascii="Arial" w:cs="Arial" w:eastAsia="Arial" w:hAnsi="Arial"/>
                <w:sz w:val="10"/>
                <w:szCs w:val="10"/>
                <w:color w:val="auto"/>
              </w:rPr>
              <w:t>41,833</w:t>
            </w:r>
          </w:p>
        </w:tc>
        <w:tc>
          <w:tcPr>
            <w:tcW w:w="120" w:type="dxa"/>
            <w:vAlign w:val="bottom"/>
          </w:tcPr>
          <w:p>
            <w:pPr>
              <w:spacing w:after="0"/>
              <w:rPr>
                <w:sz w:val="8"/>
                <w:szCs w:val="8"/>
                <w:color w:val="auto"/>
              </w:rPr>
            </w:pPr>
          </w:p>
        </w:tc>
      </w:tr>
      <w:tr>
        <w:trPr>
          <w:trHeight w:val="108"/>
        </w:trPr>
        <w:tc>
          <w:tcPr>
            <w:tcW w:w="4480" w:type="dxa"/>
            <w:vAlign w:val="bottom"/>
            <w:gridSpan w:val="2"/>
            <w:shd w:val="clear" w:color="auto" w:fill="CFF0FC"/>
          </w:tcPr>
          <w:p>
            <w:pPr>
              <w:spacing w:after="0" w:line="108" w:lineRule="exact"/>
              <w:rPr>
                <w:sz w:val="20"/>
                <w:szCs w:val="20"/>
                <w:color w:val="auto"/>
              </w:rPr>
            </w:pPr>
            <w:r>
              <w:rPr>
                <w:rFonts w:ascii="Arial" w:cs="Arial" w:eastAsia="Arial" w:hAnsi="Arial"/>
                <w:sz w:val="10"/>
                <w:szCs w:val="10"/>
                <w:b w:val="1"/>
                <w:bCs w:val="1"/>
                <w:color w:val="auto"/>
              </w:rPr>
              <w:t>Cash Flows from Investing Activities:</w:t>
            </w:r>
          </w:p>
        </w:tc>
        <w:tc>
          <w:tcPr>
            <w:tcW w:w="116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920" w:type="dxa"/>
            <w:vAlign w:val="bottom"/>
            <w:shd w:val="clear" w:color="auto" w:fill="CFF0FC"/>
          </w:tcPr>
          <w:p>
            <w:pPr>
              <w:spacing w:after="0"/>
              <w:rPr>
                <w:sz w:val="9"/>
                <w:szCs w:val="9"/>
                <w:color w:val="auto"/>
              </w:rPr>
            </w:pPr>
          </w:p>
        </w:tc>
        <w:tc>
          <w:tcPr>
            <w:tcW w:w="30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90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020" w:type="dxa"/>
            <w:vAlign w:val="bottom"/>
            <w:shd w:val="clear" w:color="auto" w:fill="CFF0FC"/>
          </w:tcPr>
          <w:p>
            <w:pPr>
              <w:spacing w:after="0"/>
              <w:rPr>
                <w:sz w:val="9"/>
                <w:szCs w:val="9"/>
                <w:color w:val="auto"/>
              </w:rPr>
            </w:pPr>
          </w:p>
        </w:tc>
        <w:tc>
          <w:tcPr>
            <w:tcW w:w="220" w:type="dxa"/>
            <w:vAlign w:val="bottom"/>
            <w:tcBorders>
              <w:right w:val="single" w:sz="8" w:color="auto"/>
            </w:tcBorders>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10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r>
      <w:tr>
        <w:trPr>
          <w:trHeight w:val="108"/>
        </w:trPr>
        <w:tc>
          <w:tcPr>
            <w:tcW w:w="4480" w:type="dxa"/>
            <w:vAlign w:val="bottom"/>
            <w:gridSpan w:val="2"/>
          </w:tcPr>
          <w:p>
            <w:pPr>
              <w:ind w:left="80"/>
              <w:spacing w:after="0" w:line="108" w:lineRule="exact"/>
              <w:rPr>
                <w:sz w:val="20"/>
                <w:szCs w:val="20"/>
                <w:color w:val="auto"/>
              </w:rPr>
            </w:pPr>
            <w:r>
              <w:rPr>
                <w:rFonts w:ascii="Arial" w:cs="Arial" w:eastAsia="Arial" w:hAnsi="Arial"/>
                <w:sz w:val="10"/>
                <w:szCs w:val="10"/>
                <w:color w:val="auto"/>
              </w:rPr>
              <w:t>Acquisition of businesses, net of cash and restricted cash acquired</w:t>
            </w:r>
          </w:p>
        </w:tc>
        <w:tc>
          <w:tcPr>
            <w:tcW w:w="1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20" w:type="dxa"/>
            <w:vAlign w:val="bottom"/>
            <w:gridSpan w:val="2"/>
          </w:tcPr>
          <w:p>
            <w:pPr>
              <w:jc w:val="right"/>
              <w:ind w:right="260"/>
              <w:spacing w:after="0" w:line="108" w:lineRule="exact"/>
              <w:rPr>
                <w:sz w:val="20"/>
                <w:szCs w:val="20"/>
                <w:color w:val="auto"/>
              </w:rPr>
            </w:pPr>
            <w:r>
              <w:rPr>
                <w:rFonts w:ascii="Arial" w:cs="Arial" w:eastAsia="Arial" w:hAnsi="Arial"/>
                <w:sz w:val="10"/>
                <w:szCs w:val="10"/>
                <w:color w:val="auto"/>
              </w:rPr>
              <w:t>(25,519)</w:t>
            </w:r>
          </w:p>
        </w:tc>
        <w:tc>
          <w:tcPr>
            <w:tcW w:w="320" w:type="dxa"/>
            <w:vAlign w:val="bottom"/>
          </w:tcPr>
          <w:p>
            <w:pPr>
              <w:spacing w:after="0"/>
              <w:rPr>
                <w:sz w:val="9"/>
                <w:szCs w:val="9"/>
                <w:color w:val="auto"/>
              </w:rPr>
            </w:pPr>
          </w:p>
        </w:tc>
        <w:tc>
          <w:tcPr>
            <w:tcW w:w="1180" w:type="dxa"/>
            <w:vAlign w:val="bottom"/>
            <w:gridSpan w:val="2"/>
          </w:tcPr>
          <w:p>
            <w:pPr>
              <w:jc w:val="right"/>
              <w:ind w:right="260"/>
              <w:spacing w:after="0" w:line="108" w:lineRule="exact"/>
              <w:rPr>
                <w:sz w:val="20"/>
                <w:szCs w:val="20"/>
                <w:color w:val="auto"/>
              </w:rPr>
            </w:pPr>
            <w:r>
              <w:rPr>
                <w:rFonts w:ascii="Arial" w:cs="Arial" w:eastAsia="Arial" w:hAnsi="Arial"/>
                <w:sz w:val="10"/>
                <w:szCs w:val="10"/>
                <w:color w:val="auto"/>
              </w:rPr>
              <w:t>(536,699)</w:t>
            </w:r>
          </w:p>
        </w:tc>
        <w:tc>
          <w:tcPr>
            <w:tcW w:w="200" w:type="dxa"/>
            <w:vAlign w:val="bottom"/>
          </w:tcPr>
          <w:p>
            <w:pPr>
              <w:spacing w:after="0"/>
              <w:rPr>
                <w:sz w:val="9"/>
                <w:szCs w:val="9"/>
                <w:color w:val="auto"/>
              </w:rPr>
            </w:pPr>
          </w:p>
        </w:tc>
        <w:tc>
          <w:tcPr>
            <w:tcW w:w="1240" w:type="dxa"/>
            <w:vAlign w:val="bottom"/>
            <w:tcBorders>
              <w:right w:val="single" w:sz="8" w:color="auto"/>
            </w:tcBorders>
            <w:gridSpan w:val="2"/>
          </w:tcPr>
          <w:p>
            <w:pPr>
              <w:jc w:val="right"/>
              <w:ind w:right="180"/>
              <w:spacing w:after="0" w:line="108" w:lineRule="exact"/>
              <w:rPr>
                <w:sz w:val="20"/>
                <w:szCs w:val="20"/>
                <w:color w:val="auto"/>
              </w:rPr>
            </w:pPr>
            <w:r>
              <w:rPr>
                <w:rFonts w:ascii="Arial" w:cs="Arial" w:eastAsia="Arial" w:hAnsi="Arial"/>
                <w:sz w:val="10"/>
                <w:szCs w:val="10"/>
                <w:color w:val="auto"/>
              </w:rPr>
              <w:t>(537,854)</w:t>
            </w: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60" w:type="dxa"/>
            <w:vAlign w:val="bottom"/>
            <w:gridSpan w:val="2"/>
          </w:tcPr>
          <w:p>
            <w:pPr>
              <w:jc w:val="right"/>
              <w:ind w:right="140"/>
              <w:spacing w:after="0" w:line="108" w:lineRule="exact"/>
              <w:rPr>
                <w:sz w:val="20"/>
                <w:szCs w:val="20"/>
                <w:color w:val="auto"/>
              </w:rPr>
            </w:pPr>
            <w:r>
              <w:rPr>
                <w:rFonts w:ascii="Arial" w:cs="Arial" w:eastAsia="Arial" w:hAnsi="Arial"/>
                <w:sz w:val="10"/>
                <w:szCs w:val="10"/>
                <w:color w:val="auto"/>
              </w:rPr>
              <w:t>—</w:t>
            </w:r>
          </w:p>
        </w:tc>
      </w:tr>
      <w:tr>
        <w:trPr>
          <w:trHeight w:val="108"/>
        </w:trPr>
        <w:tc>
          <w:tcPr>
            <w:tcW w:w="4480" w:type="dxa"/>
            <w:vAlign w:val="bottom"/>
            <w:gridSpan w:val="2"/>
            <w:shd w:val="clear" w:color="auto" w:fill="CFF0FC"/>
          </w:tcPr>
          <w:p>
            <w:pPr>
              <w:ind w:left="80"/>
              <w:spacing w:after="0" w:line="108" w:lineRule="exact"/>
              <w:rPr>
                <w:sz w:val="20"/>
                <w:szCs w:val="20"/>
                <w:color w:val="auto"/>
              </w:rPr>
            </w:pPr>
            <w:r>
              <w:rPr>
                <w:rFonts w:ascii="Arial" w:cs="Arial" w:eastAsia="Arial" w:hAnsi="Arial"/>
                <w:sz w:val="10"/>
                <w:szCs w:val="10"/>
                <w:color w:val="auto"/>
              </w:rPr>
              <w:t>Purchases of installation and service parts and property and equipment</w:t>
            </w:r>
          </w:p>
        </w:tc>
        <w:tc>
          <w:tcPr>
            <w:tcW w:w="116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1220" w:type="dxa"/>
            <w:vAlign w:val="bottom"/>
            <w:gridSpan w:val="2"/>
            <w:shd w:val="clear" w:color="auto" w:fill="CFF0FC"/>
          </w:tcPr>
          <w:p>
            <w:pPr>
              <w:jc w:val="right"/>
              <w:ind w:right="260"/>
              <w:spacing w:after="0" w:line="108" w:lineRule="exact"/>
              <w:rPr>
                <w:sz w:val="20"/>
                <w:szCs w:val="20"/>
                <w:color w:val="auto"/>
              </w:rPr>
            </w:pPr>
            <w:r>
              <w:rPr>
                <w:rFonts w:ascii="Arial" w:cs="Arial" w:eastAsia="Arial" w:hAnsi="Arial"/>
                <w:sz w:val="10"/>
                <w:szCs w:val="10"/>
                <w:color w:val="auto"/>
              </w:rPr>
              <w:t>(29,685)</w:t>
            </w:r>
          </w:p>
        </w:tc>
        <w:tc>
          <w:tcPr>
            <w:tcW w:w="320" w:type="dxa"/>
            <w:vAlign w:val="bottom"/>
            <w:shd w:val="clear" w:color="auto" w:fill="CFF0FC"/>
          </w:tcPr>
          <w:p>
            <w:pPr>
              <w:spacing w:after="0"/>
              <w:rPr>
                <w:sz w:val="9"/>
                <w:szCs w:val="9"/>
                <w:color w:val="auto"/>
              </w:rPr>
            </w:pPr>
          </w:p>
        </w:tc>
        <w:tc>
          <w:tcPr>
            <w:tcW w:w="1180" w:type="dxa"/>
            <w:vAlign w:val="bottom"/>
            <w:gridSpan w:val="2"/>
            <w:shd w:val="clear" w:color="auto" w:fill="CFF0FC"/>
          </w:tcPr>
          <w:p>
            <w:pPr>
              <w:jc w:val="right"/>
              <w:ind w:right="260"/>
              <w:spacing w:after="0" w:line="108" w:lineRule="exact"/>
              <w:rPr>
                <w:sz w:val="20"/>
                <w:szCs w:val="20"/>
                <w:color w:val="auto"/>
              </w:rPr>
            </w:pPr>
            <w:r>
              <w:rPr>
                <w:rFonts w:ascii="Arial" w:cs="Arial" w:eastAsia="Arial" w:hAnsi="Arial"/>
                <w:sz w:val="10"/>
                <w:szCs w:val="10"/>
                <w:color w:val="auto"/>
              </w:rPr>
              <w:t>(26,576)</w:t>
            </w:r>
          </w:p>
        </w:tc>
        <w:tc>
          <w:tcPr>
            <w:tcW w:w="200" w:type="dxa"/>
            <w:vAlign w:val="bottom"/>
            <w:shd w:val="clear" w:color="auto" w:fill="CFF0FC"/>
          </w:tcPr>
          <w:p>
            <w:pPr>
              <w:spacing w:after="0"/>
              <w:rPr>
                <w:sz w:val="9"/>
                <w:szCs w:val="9"/>
                <w:color w:val="auto"/>
              </w:rPr>
            </w:pPr>
          </w:p>
        </w:tc>
        <w:tc>
          <w:tcPr>
            <w:tcW w:w="1240" w:type="dxa"/>
            <w:vAlign w:val="bottom"/>
            <w:tcBorders>
              <w:right w:val="single" w:sz="8" w:color="auto"/>
            </w:tcBorders>
            <w:gridSpan w:val="2"/>
            <w:shd w:val="clear" w:color="auto" w:fill="CFF0FC"/>
          </w:tcPr>
          <w:p>
            <w:pPr>
              <w:jc w:val="right"/>
              <w:ind w:right="180"/>
              <w:spacing w:after="0" w:line="108" w:lineRule="exact"/>
              <w:rPr>
                <w:sz w:val="20"/>
                <w:szCs w:val="20"/>
                <w:color w:val="auto"/>
              </w:rPr>
            </w:pPr>
            <w:r>
              <w:rPr>
                <w:rFonts w:ascii="Arial" w:cs="Arial" w:eastAsia="Arial" w:hAnsi="Arial"/>
                <w:sz w:val="10"/>
                <w:szCs w:val="10"/>
                <w:color w:val="auto"/>
              </w:rPr>
              <w:t>(15,874)</w:t>
            </w:r>
          </w:p>
        </w:tc>
        <w:tc>
          <w:tcPr>
            <w:tcW w:w="6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1160" w:type="dxa"/>
            <w:vAlign w:val="bottom"/>
            <w:gridSpan w:val="2"/>
            <w:shd w:val="clear" w:color="auto" w:fill="CFF0FC"/>
          </w:tcPr>
          <w:p>
            <w:pPr>
              <w:jc w:val="right"/>
              <w:ind w:right="80"/>
              <w:spacing w:after="0" w:line="108" w:lineRule="exact"/>
              <w:rPr>
                <w:sz w:val="20"/>
                <w:szCs w:val="20"/>
                <w:color w:val="auto"/>
              </w:rPr>
            </w:pPr>
            <w:r>
              <w:rPr>
                <w:rFonts w:ascii="Arial" w:cs="Arial" w:eastAsia="Arial" w:hAnsi="Arial"/>
                <w:sz w:val="10"/>
                <w:szCs w:val="10"/>
                <w:color w:val="auto"/>
              </w:rPr>
              <w:t>(8,953)</w:t>
            </w:r>
          </w:p>
        </w:tc>
      </w:tr>
      <w:tr>
        <w:trPr>
          <w:trHeight w:val="108"/>
        </w:trPr>
        <w:tc>
          <w:tcPr>
            <w:tcW w:w="4480" w:type="dxa"/>
            <w:vAlign w:val="bottom"/>
            <w:tcBorders>
              <w:bottom w:val="single" w:sz="8" w:color="CFF0FC"/>
            </w:tcBorders>
            <w:gridSpan w:val="2"/>
          </w:tcPr>
          <w:p>
            <w:pPr>
              <w:ind w:left="80"/>
              <w:spacing w:after="0" w:line="108" w:lineRule="exact"/>
              <w:rPr>
                <w:sz w:val="20"/>
                <w:szCs w:val="20"/>
                <w:color w:val="auto"/>
              </w:rPr>
            </w:pPr>
            <w:r>
              <w:rPr>
                <w:rFonts w:ascii="Arial" w:cs="Arial" w:eastAsia="Arial" w:hAnsi="Arial"/>
                <w:sz w:val="10"/>
                <w:szCs w:val="10"/>
                <w:color w:val="auto"/>
              </w:rPr>
              <w:t>Cash proceeds from the sale of assets</w:t>
            </w:r>
          </w:p>
        </w:tc>
        <w:tc>
          <w:tcPr>
            <w:tcW w:w="1160" w:type="dxa"/>
            <w:vAlign w:val="bottom"/>
            <w:tcBorders>
              <w:bottom w:val="single" w:sz="8" w:color="CFF0FC"/>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231</w:t>
            </w:r>
          </w:p>
        </w:tc>
        <w:tc>
          <w:tcPr>
            <w:tcW w:w="300" w:type="dxa"/>
            <w:vAlign w:val="bottom"/>
            <w:tcBorders>
              <w:bottom w:val="single" w:sz="8" w:color="CFF0FC"/>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418</w:t>
            </w:r>
          </w:p>
        </w:tc>
        <w:tc>
          <w:tcPr>
            <w:tcW w:w="280" w:type="dxa"/>
            <w:vAlign w:val="bottom"/>
            <w:tcBorders>
              <w:bottom w:val="single" w:sz="8" w:color="CFF0FC"/>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192</w:t>
            </w:r>
          </w:p>
        </w:tc>
        <w:tc>
          <w:tcPr>
            <w:tcW w:w="220" w:type="dxa"/>
            <w:vAlign w:val="bottom"/>
            <w:tcBorders>
              <w:bottom w:val="single" w:sz="8" w:color="CFF0FC"/>
              <w:right w:val="single" w:sz="8" w:color="auto"/>
            </w:tcBorders>
          </w:tcPr>
          <w:p>
            <w:pPr>
              <w:spacing w:after="0"/>
              <w:rPr>
                <w:sz w:val="9"/>
                <w:szCs w:val="9"/>
                <w:color w:val="auto"/>
              </w:rPr>
            </w:pPr>
          </w:p>
        </w:tc>
        <w:tc>
          <w:tcPr>
            <w:tcW w:w="60" w:type="dxa"/>
            <w:vAlign w:val="bottom"/>
            <w:tcBorders>
              <w:bottom w:val="single" w:sz="8" w:color="CFF0FC"/>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167</w:t>
            </w:r>
          </w:p>
        </w:tc>
        <w:tc>
          <w:tcPr>
            <w:tcW w:w="120" w:type="dxa"/>
            <w:vAlign w:val="bottom"/>
            <w:tcBorders>
              <w:bottom w:val="single" w:sz="8" w:color="CFF0FC"/>
            </w:tcBorders>
          </w:tcPr>
          <w:p>
            <w:pPr>
              <w:spacing w:after="0"/>
              <w:rPr>
                <w:sz w:val="9"/>
                <w:szCs w:val="9"/>
                <w:color w:val="auto"/>
              </w:rPr>
            </w:pPr>
          </w:p>
        </w:tc>
      </w:tr>
      <w:tr>
        <w:trPr>
          <w:trHeight w:val="97"/>
        </w:trPr>
        <w:tc>
          <w:tcPr>
            <w:tcW w:w="4480" w:type="dxa"/>
            <w:vAlign w:val="bottom"/>
            <w:gridSpan w:val="2"/>
            <w:shd w:val="clear" w:color="auto" w:fill="CFF0FC"/>
          </w:tcPr>
          <w:p>
            <w:pPr>
              <w:spacing w:after="0" w:line="97" w:lineRule="exact"/>
              <w:rPr>
                <w:sz w:val="20"/>
                <w:szCs w:val="20"/>
                <w:color w:val="auto"/>
              </w:rPr>
            </w:pPr>
            <w:r>
              <w:rPr>
                <w:rFonts w:ascii="Arial" w:cs="Arial" w:eastAsia="Arial" w:hAnsi="Arial"/>
                <w:sz w:val="10"/>
                <w:szCs w:val="10"/>
                <w:color w:val="auto"/>
              </w:rPr>
              <w:t>Net cash used in investing activities</w:t>
            </w:r>
          </w:p>
        </w:tc>
        <w:tc>
          <w:tcPr>
            <w:tcW w:w="1160" w:type="dxa"/>
            <w:vAlign w:val="bottom"/>
            <w:shd w:val="clear" w:color="auto" w:fill="CFF0FC"/>
          </w:tcPr>
          <w:p>
            <w:pPr>
              <w:spacing w:after="0"/>
              <w:rPr>
                <w:sz w:val="8"/>
                <w:szCs w:val="8"/>
                <w:color w:val="auto"/>
              </w:rPr>
            </w:pPr>
          </w:p>
        </w:tc>
        <w:tc>
          <w:tcPr>
            <w:tcW w:w="280" w:type="dxa"/>
            <w:vAlign w:val="bottom"/>
            <w:shd w:val="clear" w:color="auto" w:fill="CFF0FC"/>
          </w:tcPr>
          <w:p>
            <w:pPr>
              <w:spacing w:after="0"/>
              <w:rPr>
                <w:sz w:val="8"/>
                <w:szCs w:val="8"/>
                <w:color w:val="auto"/>
              </w:rPr>
            </w:pPr>
          </w:p>
        </w:tc>
        <w:tc>
          <w:tcPr>
            <w:tcW w:w="920" w:type="dxa"/>
            <w:vAlign w:val="bottom"/>
            <w:shd w:val="clear" w:color="auto" w:fill="CFF0FC"/>
          </w:tcPr>
          <w:p>
            <w:pPr>
              <w:jc w:val="right"/>
              <w:spacing w:after="0" w:line="97" w:lineRule="exact"/>
              <w:rPr>
                <w:sz w:val="20"/>
                <w:szCs w:val="20"/>
                <w:color w:val="auto"/>
              </w:rPr>
            </w:pPr>
            <w:r>
              <w:rPr>
                <w:rFonts w:ascii="Arial" w:cs="Arial" w:eastAsia="Arial" w:hAnsi="Arial"/>
                <w:sz w:val="10"/>
                <w:szCs w:val="10"/>
                <w:color w:val="auto"/>
              </w:rPr>
              <w:t>(54,973)</w:t>
            </w:r>
          </w:p>
        </w:tc>
        <w:tc>
          <w:tcPr>
            <w:tcW w:w="300" w:type="dxa"/>
            <w:vAlign w:val="bottom"/>
            <w:shd w:val="clear" w:color="auto" w:fill="CFF0FC"/>
          </w:tcPr>
          <w:p>
            <w:pPr>
              <w:spacing w:after="0"/>
              <w:rPr>
                <w:sz w:val="8"/>
                <w:szCs w:val="8"/>
                <w:color w:val="auto"/>
              </w:rPr>
            </w:pPr>
          </w:p>
        </w:tc>
        <w:tc>
          <w:tcPr>
            <w:tcW w:w="320" w:type="dxa"/>
            <w:vAlign w:val="bottom"/>
            <w:shd w:val="clear" w:color="auto" w:fill="CFF0FC"/>
          </w:tcPr>
          <w:p>
            <w:pPr>
              <w:spacing w:after="0"/>
              <w:rPr>
                <w:sz w:val="8"/>
                <w:szCs w:val="8"/>
                <w:color w:val="auto"/>
              </w:rPr>
            </w:pPr>
          </w:p>
        </w:tc>
        <w:tc>
          <w:tcPr>
            <w:tcW w:w="900" w:type="dxa"/>
            <w:vAlign w:val="bottom"/>
            <w:shd w:val="clear" w:color="auto" w:fill="CFF0FC"/>
          </w:tcPr>
          <w:p>
            <w:pPr>
              <w:jc w:val="right"/>
              <w:spacing w:after="0" w:line="97" w:lineRule="exact"/>
              <w:rPr>
                <w:sz w:val="20"/>
                <w:szCs w:val="20"/>
                <w:color w:val="auto"/>
              </w:rPr>
            </w:pPr>
            <w:r>
              <w:rPr>
                <w:rFonts w:ascii="Arial" w:cs="Arial" w:eastAsia="Arial" w:hAnsi="Arial"/>
                <w:sz w:val="10"/>
                <w:szCs w:val="10"/>
                <w:color w:val="auto"/>
              </w:rPr>
              <w:t>(562,857)</w:t>
            </w:r>
          </w:p>
        </w:tc>
        <w:tc>
          <w:tcPr>
            <w:tcW w:w="28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1020" w:type="dxa"/>
            <w:vAlign w:val="bottom"/>
            <w:shd w:val="clear" w:color="auto" w:fill="CFF0FC"/>
          </w:tcPr>
          <w:p>
            <w:pPr>
              <w:jc w:val="right"/>
              <w:spacing w:after="0" w:line="97" w:lineRule="exact"/>
              <w:rPr>
                <w:sz w:val="20"/>
                <w:szCs w:val="20"/>
                <w:color w:val="auto"/>
              </w:rPr>
            </w:pPr>
            <w:r>
              <w:rPr>
                <w:rFonts w:ascii="Arial" w:cs="Arial" w:eastAsia="Arial" w:hAnsi="Arial"/>
                <w:sz w:val="10"/>
                <w:szCs w:val="10"/>
                <w:color w:val="auto"/>
              </w:rPr>
              <w:t>(553,536)</w:t>
            </w:r>
          </w:p>
        </w:tc>
        <w:tc>
          <w:tcPr>
            <w:tcW w:w="220" w:type="dxa"/>
            <w:vAlign w:val="bottom"/>
            <w:tcBorders>
              <w:right w:val="single" w:sz="8" w:color="auto"/>
            </w:tcBorders>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180" w:type="dxa"/>
            <w:vAlign w:val="bottom"/>
            <w:shd w:val="clear" w:color="auto" w:fill="CFF0FC"/>
          </w:tcPr>
          <w:p>
            <w:pPr>
              <w:spacing w:after="0"/>
              <w:rPr>
                <w:sz w:val="8"/>
                <w:szCs w:val="8"/>
                <w:color w:val="auto"/>
              </w:rPr>
            </w:pPr>
          </w:p>
        </w:tc>
        <w:tc>
          <w:tcPr>
            <w:tcW w:w="1040" w:type="dxa"/>
            <w:vAlign w:val="bottom"/>
            <w:shd w:val="clear" w:color="auto" w:fill="CFF0FC"/>
          </w:tcPr>
          <w:p>
            <w:pPr>
              <w:jc w:val="right"/>
              <w:spacing w:after="0" w:line="97" w:lineRule="exact"/>
              <w:rPr>
                <w:sz w:val="20"/>
                <w:szCs w:val="20"/>
                <w:color w:val="auto"/>
              </w:rPr>
            </w:pPr>
            <w:r>
              <w:rPr>
                <w:rFonts w:ascii="Arial" w:cs="Arial" w:eastAsia="Arial" w:hAnsi="Arial"/>
                <w:sz w:val="10"/>
                <w:szCs w:val="10"/>
                <w:color w:val="auto"/>
              </w:rPr>
              <w:t>(8,786)</w:t>
            </w:r>
          </w:p>
        </w:tc>
        <w:tc>
          <w:tcPr>
            <w:tcW w:w="120" w:type="dxa"/>
            <w:vAlign w:val="bottom"/>
            <w:shd w:val="clear" w:color="auto" w:fill="CFF0FC"/>
          </w:tcPr>
          <w:p>
            <w:pPr>
              <w:spacing w:after="0"/>
              <w:rPr>
                <w:sz w:val="8"/>
                <w:szCs w:val="8"/>
                <w:color w:val="auto"/>
              </w:rPr>
            </w:pPr>
          </w:p>
        </w:tc>
      </w:tr>
      <w:tr>
        <w:trPr>
          <w:trHeight w:val="108"/>
        </w:trPr>
        <w:tc>
          <w:tcPr>
            <w:tcW w:w="4480" w:type="dxa"/>
            <w:vAlign w:val="bottom"/>
            <w:gridSpan w:val="2"/>
          </w:tcPr>
          <w:p>
            <w:pPr>
              <w:spacing w:after="0" w:line="108" w:lineRule="exact"/>
              <w:rPr>
                <w:sz w:val="20"/>
                <w:szCs w:val="20"/>
                <w:color w:val="auto"/>
              </w:rPr>
            </w:pPr>
            <w:r>
              <w:rPr>
                <w:rFonts w:ascii="Arial" w:cs="Arial" w:eastAsia="Arial" w:hAnsi="Arial"/>
                <w:sz w:val="10"/>
                <w:szCs w:val="10"/>
                <w:b w:val="1"/>
                <w:bCs w:val="1"/>
                <w:color w:val="auto"/>
              </w:rPr>
              <w:t>Cash Flows from Financing Activities:</w:t>
            </w:r>
          </w:p>
        </w:tc>
        <w:tc>
          <w:tcPr>
            <w:tcW w:w="1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920" w:type="dxa"/>
            <w:vAlign w:val="bottom"/>
          </w:tcPr>
          <w:p>
            <w:pPr>
              <w:spacing w:after="0"/>
              <w:rPr>
                <w:sz w:val="9"/>
                <w:szCs w:val="9"/>
                <w:color w:val="auto"/>
              </w:rPr>
            </w:pPr>
          </w:p>
        </w:tc>
        <w:tc>
          <w:tcPr>
            <w:tcW w:w="300" w:type="dxa"/>
            <w:vAlign w:val="bottom"/>
          </w:tcPr>
          <w:p>
            <w:pPr>
              <w:spacing w:after="0"/>
              <w:rPr>
                <w:sz w:val="9"/>
                <w:szCs w:val="9"/>
                <w:color w:val="auto"/>
              </w:rPr>
            </w:pPr>
          </w:p>
        </w:tc>
        <w:tc>
          <w:tcPr>
            <w:tcW w:w="320" w:type="dxa"/>
            <w:vAlign w:val="bottom"/>
          </w:tcPr>
          <w:p>
            <w:pPr>
              <w:spacing w:after="0"/>
              <w:rPr>
                <w:sz w:val="9"/>
                <w:szCs w:val="9"/>
                <w:color w:val="auto"/>
              </w:rPr>
            </w:pPr>
          </w:p>
        </w:tc>
        <w:tc>
          <w:tcPr>
            <w:tcW w:w="9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0" w:type="dxa"/>
            <w:vAlign w:val="bottom"/>
          </w:tcPr>
          <w:p>
            <w:pPr>
              <w:spacing w:after="0"/>
              <w:rPr>
                <w:sz w:val="9"/>
                <w:szCs w:val="9"/>
                <w:color w:val="auto"/>
              </w:rPr>
            </w:pPr>
          </w:p>
        </w:tc>
      </w:tr>
      <w:tr>
        <w:trPr>
          <w:trHeight w:val="108"/>
        </w:trPr>
        <w:tc>
          <w:tcPr>
            <w:tcW w:w="4480" w:type="dxa"/>
            <w:vAlign w:val="bottom"/>
            <w:gridSpan w:val="2"/>
            <w:shd w:val="clear" w:color="auto" w:fill="CFF0FC"/>
          </w:tcPr>
          <w:p>
            <w:pPr>
              <w:ind w:left="80"/>
              <w:spacing w:after="0" w:line="108" w:lineRule="exact"/>
              <w:rPr>
                <w:sz w:val="20"/>
                <w:szCs w:val="20"/>
                <w:color w:val="auto"/>
              </w:rPr>
            </w:pPr>
            <w:r>
              <w:rPr>
                <w:rFonts w:ascii="Arial" w:cs="Arial" w:eastAsia="Arial" w:hAnsi="Arial"/>
                <w:sz w:val="10"/>
                <w:szCs w:val="10"/>
                <w:color w:val="auto"/>
              </w:rPr>
              <w:t>Successor borrowings on revolver</w:t>
            </w:r>
          </w:p>
        </w:tc>
        <w:tc>
          <w:tcPr>
            <w:tcW w:w="116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1220" w:type="dxa"/>
            <w:vAlign w:val="bottom"/>
            <w:gridSpan w:val="2"/>
            <w:shd w:val="clear" w:color="auto" w:fill="CFF0FC"/>
          </w:tcPr>
          <w:p>
            <w:pPr>
              <w:jc w:val="right"/>
              <w:ind w:right="300"/>
              <w:spacing w:after="0" w:line="108" w:lineRule="exact"/>
              <w:rPr>
                <w:sz w:val="20"/>
                <w:szCs w:val="20"/>
                <w:color w:val="auto"/>
              </w:rPr>
            </w:pPr>
            <w:r>
              <w:rPr>
                <w:rFonts w:ascii="Arial" w:cs="Arial" w:eastAsia="Arial" w:hAnsi="Arial"/>
                <w:sz w:val="10"/>
                <w:szCs w:val="10"/>
                <w:color w:val="auto"/>
              </w:rPr>
              <w:t>—</w:t>
            </w:r>
          </w:p>
        </w:tc>
        <w:tc>
          <w:tcPr>
            <w:tcW w:w="320" w:type="dxa"/>
            <w:vAlign w:val="bottom"/>
            <w:shd w:val="clear" w:color="auto" w:fill="CFF0FC"/>
          </w:tcPr>
          <w:p>
            <w:pPr>
              <w:spacing w:after="0"/>
              <w:rPr>
                <w:sz w:val="9"/>
                <w:szCs w:val="9"/>
                <w:color w:val="auto"/>
              </w:rPr>
            </w:pPr>
          </w:p>
        </w:tc>
        <w:tc>
          <w:tcPr>
            <w:tcW w:w="900" w:type="dxa"/>
            <w:vAlign w:val="bottom"/>
            <w:shd w:val="clear" w:color="auto" w:fill="CFF0FC"/>
          </w:tcPr>
          <w:p>
            <w:pPr>
              <w:jc w:val="right"/>
              <w:spacing w:after="0" w:line="108" w:lineRule="exact"/>
              <w:rPr>
                <w:sz w:val="20"/>
                <w:szCs w:val="20"/>
                <w:color w:val="auto"/>
              </w:rPr>
            </w:pPr>
            <w:r>
              <w:rPr>
                <w:rFonts w:ascii="Arial" w:cs="Arial" w:eastAsia="Arial" w:hAnsi="Arial"/>
                <w:sz w:val="10"/>
                <w:szCs w:val="10"/>
                <w:color w:val="auto"/>
              </w:rPr>
              <w:t>468</w:t>
            </w:r>
          </w:p>
        </w:tc>
        <w:tc>
          <w:tcPr>
            <w:tcW w:w="28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020" w:type="dxa"/>
            <w:vAlign w:val="bottom"/>
            <w:shd w:val="clear" w:color="auto" w:fill="CFF0FC"/>
          </w:tcPr>
          <w:p>
            <w:pPr>
              <w:jc w:val="right"/>
              <w:spacing w:after="0" w:line="108" w:lineRule="exact"/>
              <w:rPr>
                <w:sz w:val="20"/>
                <w:szCs w:val="20"/>
                <w:color w:val="auto"/>
              </w:rPr>
            </w:pPr>
            <w:r>
              <w:rPr>
                <w:rFonts w:ascii="Arial" w:cs="Arial" w:eastAsia="Arial" w:hAnsi="Arial"/>
                <w:sz w:val="10"/>
                <w:szCs w:val="10"/>
                <w:color w:val="auto"/>
              </w:rPr>
              <w:t>18,531</w:t>
            </w:r>
          </w:p>
        </w:tc>
        <w:tc>
          <w:tcPr>
            <w:tcW w:w="220" w:type="dxa"/>
            <w:vAlign w:val="bottom"/>
            <w:tcBorders>
              <w:right w:val="single" w:sz="8" w:color="auto"/>
            </w:tcBorders>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1160" w:type="dxa"/>
            <w:vAlign w:val="bottom"/>
            <w:gridSpan w:val="2"/>
            <w:shd w:val="clear" w:color="auto" w:fill="CFF0FC"/>
          </w:tcPr>
          <w:p>
            <w:pPr>
              <w:jc w:val="right"/>
              <w:ind w:right="140"/>
              <w:spacing w:after="0" w:line="108" w:lineRule="exact"/>
              <w:rPr>
                <w:sz w:val="20"/>
                <w:szCs w:val="20"/>
                <w:color w:val="auto"/>
              </w:rPr>
            </w:pPr>
            <w:r>
              <w:rPr>
                <w:rFonts w:ascii="Arial" w:cs="Arial" w:eastAsia="Arial" w:hAnsi="Arial"/>
                <w:sz w:val="10"/>
                <w:szCs w:val="10"/>
                <w:color w:val="auto"/>
              </w:rPr>
              <w:t>—</w:t>
            </w:r>
          </w:p>
        </w:tc>
      </w:tr>
      <w:tr>
        <w:trPr>
          <w:trHeight w:val="108"/>
        </w:trPr>
        <w:tc>
          <w:tcPr>
            <w:tcW w:w="4480" w:type="dxa"/>
            <w:vAlign w:val="bottom"/>
            <w:gridSpan w:val="2"/>
          </w:tcPr>
          <w:p>
            <w:pPr>
              <w:ind w:left="80"/>
              <w:spacing w:after="0" w:line="108" w:lineRule="exact"/>
              <w:rPr>
                <w:sz w:val="20"/>
                <w:szCs w:val="20"/>
                <w:color w:val="auto"/>
              </w:rPr>
            </w:pPr>
            <w:r>
              <w:rPr>
                <w:rFonts w:ascii="Arial" w:cs="Arial" w:eastAsia="Arial" w:hAnsi="Arial"/>
                <w:sz w:val="10"/>
                <w:szCs w:val="10"/>
                <w:color w:val="auto"/>
              </w:rPr>
              <w:t>Successor repayment on revolver</w:t>
            </w:r>
          </w:p>
        </w:tc>
        <w:tc>
          <w:tcPr>
            <w:tcW w:w="1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2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w:t>
            </w:r>
          </w:p>
        </w:tc>
        <w:tc>
          <w:tcPr>
            <w:tcW w:w="320" w:type="dxa"/>
            <w:vAlign w:val="bottom"/>
          </w:tcPr>
          <w:p>
            <w:pPr>
              <w:spacing w:after="0"/>
              <w:rPr>
                <w:sz w:val="9"/>
                <w:szCs w:val="9"/>
                <w:color w:val="auto"/>
              </w:rPr>
            </w:pPr>
          </w:p>
        </w:tc>
        <w:tc>
          <w:tcPr>
            <w:tcW w:w="1180" w:type="dxa"/>
            <w:vAlign w:val="bottom"/>
            <w:gridSpan w:val="2"/>
          </w:tcPr>
          <w:p>
            <w:pPr>
              <w:jc w:val="right"/>
              <w:ind w:right="260"/>
              <w:spacing w:after="0" w:line="108" w:lineRule="exact"/>
              <w:rPr>
                <w:sz w:val="20"/>
                <w:szCs w:val="20"/>
                <w:color w:val="auto"/>
              </w:rPr>
            </w:pPr>
            <w:r>
              <w:rPr>
                <w:rFonts w:ascii="Arial" w:cs="Arial" w:eastAsia="Arial" w:hAnsi="Arial"/>
                <w:sz w:val="10"/>
                <w:szCs w:val="10"/>
                <w:color w:val="auto"/>
              </w:rPr>
              <w:t>(468)</w:t>
            </w:r>
          </w:p>
        </w:tc>
        <w:tc>
          <w:tcPr>
            <w:tcW w:w="200" w:type="dxa"/>
            <w:vAlign w:val="bottom"/>
          </w:tcPr>
          <w:p>
            <w:pPr>
              <w:spacing w:after="0"/>
              <w:rPr>
                <w:sz w:val="9"/>
                <w:szCs w:val="9"/>
                <w:color w:val="auto"/>
              </w:rPr>
            </w:pPr>
          </w:p>
        </w:tc>
        <w:tc>
          <w:tcPr>
            <w:tcW w:w="1240" w:type="dxa"/>
            <w:vAlign w:val="bottom"/>
            <w:tcBorders>
              <w:right w:val="single" w:sz="8" w:color="auto"/>
            </w:tcBorders>
            <w:gridSpan w:val="2"/>
          </w:tcPr>
          <w:p>
            <w:pPr>
              <w:jc w:val="right"/>
              <w:ind w:right="180"/>
              <w:spacing w:after="0" w:line="108" w:lineRule="exact"/>
              <w:rPr>
                <w:sz w:val="20"/>
                <w:szCs w:val="20"/>
                <w:color w:val="auto"/>
              </w:rPr>
            </w:pPr>
            <w:r>
              <w:rPr>
                <w:rFonts w:ascii="Arial" w:cs="Arial" w:eastAsia="Arial" w:hAnsi="Arial"/>
                <w:sz w:val="10"/>
                <w:szCs w:val="10"/>
                <w:color w:val="auto"/>
              </w:rPr>
              <w:t>(18,531)</w:t>
            </w: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60" w:type="dxa"/>
            <w:vAlign w:val="bottom"/>
            <w:gridSpan w:val="2"/>
          </w:tcPr>
          <w:p>
            <w:pPr>
              <w:jc w:val="right"/>
              <w:ind w:right="140"/>
              <w:spacing w:after="0" w:line="108" w:lineRule="exact"/>
              <w:rPr>
                <w:sz w:val="20"/>
                <w:szCs w:val="20"/>
                <w:color w:val="auto"/>
              </w:rPr>
            </w:pPr>
            <w:r>
              <w:rPr>
                <w:rFonts w:ascii="Arial" w:cs="Arial" w:eastAsia="Arial" w:hAnsi="Arial"/>
                <w:sz w:val="10"/>
                <w:szCs w:val="10"/>
                <w:color w:val="auto"/>
              </w:rPr>
              <w:t>—</w:t>
            </w:r>
          </w:p>
        </w:tc>
      </w:tr>
      <w:tr>
        <w:trPr>
          <w:trHeight w:val="108"/>
        </w:trPr>
        <w:tc>
          <w:tcPr>
            <w:tcW w:w="4480" w:type="dxa"/>
            <w:vAlign w:val="bottom"/>
            <w:gridSpan w:val="2"/>
            <w:shd w:val="clear" w:color="auto" w:fill="CFF0FC"/>
          </w:tcPr>
          <w:p>
            <w:pPr>
              <w:ind w:left="80"/>
              <w:spacing w:after="0" w:line="108" w:lineRule="exact"/>
              <w:rPr>
                <w:sz w:val="20"/>
                <w:szCs w:val="20"/>
                <w:color w:val="auto"/>
              </w:rPr>
            </w:pPr>
            <w:r>
              <w:rPr>
                <w:rFonts w:ascii="Arial" w:cs="Arial" w:eastAsia="Arial" w:hAnsi="Arial"/>
                <w:sz w:val="10"/>
                <w:szCs w:val="10"/>
                <w:color w:val="auto"/>
              </w:rPr>
              <w:t>Successor borrowings of long-term debt</w:t>
            </w:r>
          </w:p>
        </w:tc>
        <w:tc>
          <w:tcPr>
            <w:tcW w:w="116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1220" w:type="dxa"/>
            <w:vAlign w:val="bottom"/>
            <w:gridSpan w:val="2"/>
            <w:shd w:val="clear" w:color="auto" w:fill="CFF0FC"/>
          </w:tcPr>
          <w:p>
            <w:pPr>
              <w:jc w:val="right"/>
              <w:ind w:right="300"/>
              <w:spacing w:after="0" w:line="108" w:lineRule="exact"/>
              <w:rPr>
                <w:sz w:val="20"/>
                <w:szCs w:val="20"/>
                <w:color w:val="auto"/>
              </w:rPr>
            </w:pPr>
            <w:r>
              <w:rPr>
                <w:rFonts w:ascii="Arial" w:cs="Arial" w:eastAsia="Arial" w:hAnsi="Arial"/>
                <w:sz w:val="10"/>
                <w:szCs w:val="10"/>
                <w:color w:val="auto"/>
              </w:rPr>
              <w:t>—</w:t>
            </w:r>
          </w:p>
        </w:tc>
        <w:tc>
          <w:tcPr>
            <w:tcW w:w="320" w:type="dxa"/>
            <w:vAlign w:val="bottom"/>
            <w:shd w:val="clear" w:color="auto" w:fill="CFF0FC"/>
          </w:tcPr>
          <w:p>
            <w:pPr>
              <w:spacing w:after="0"/>
              <w:rPr>
                <w:sz w:val="9"/>
                <w:szCs w:val="9"/>
                <w:color w:val="auto"/>
              </w:rPr>
            </w:pPr>
          </w:p>
        </w:tc>
        <w:tc>
          <w:tcPr>
            <w:tcW w:w="900" w:type="dxa"/>
            <w:vAlign w:val="bottom"/>
            <w:shd w:val="clear" w:color="auto" w:fill="CFF0FC"/>
          </w:tcPr>
          <w:p>
            <w:pPr>
              <w:jc w:val="right"/>
              <w:spacing w:after="0" w:line="108" w:lineRule="exact"/>
              <w:rPr>
                <w:sz w:val="20"/>
                <w:szCs w:val="20"/>
                <w:color w:val="auto"/>
              </w:rPr>
            </w:pPr>
            <w:r>
              <w:rPr>
                <w:rFonts w:ascii="Arial" w:cs="Arial" w:eastAsia="Arial" w:hAnsi="Arial"/>
                <w:sz w:val="10"/>
                <w:szCs w:val="10"/>
                <w:color w:val="auto"/>
              </w:rPr>
              <w:t>1,103,800</w:t>
            </w:r>
          </w:p>
        </w:tc>
        <w:tc>
          <w:tcPr>
            <w:tcW w:w="28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020" w:type="dxa"/>
            <w:vAlign w:val="bottom"/>
            <w:shd w:val="clear" w:color="auto" w:fill="CFF0FC"/>
          </w:tcPr>
          <w:p>
            <w:pPr>
              <w:jc w:val="right"/>
              <w:spacing w:after="0" w:line="108" w:lineRule="exact"/>
              <w:rPr>
                <w:sz w:val="20"/>
                <w:szCs w:val="20"/>
                <w:color w:val="auto"/>
              </w:rPr>
            </w:pPr>
            <w:r>
              <w:rPr>
                <w:rFonts w:ascii="Arial" w:cs="Arial" w:eastAsia="Arial" w:hAnsi="Arial"/>
                <w:sz w:val="10"/>
                <w:szCs w:val="10"/>
                <w:color w:val="auto"/>
              </w:rPr>
              <w:t>444,250</w:t>
            </w:r>
          </w:p>
        </w:tc>
        <w:tc>
          <w:tcPr>
            <w:tcW w:w="220" w:type="dxa"/>
            <w:vAlign w:val="bottom"/>
            <w:tcBorders>
              <w:right w:val="single" w:sz="8" w:color="auto"/>
            </w:tcBorders>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1160" w:type="dxa"/>
            <w:vAlign w:val="bottom"/>
            <w:gridSpan w:val="2"/>
            <w:shd w:val="clear" w:color="auto" w:fill="CFF0FC"/>
          </w:tcPr>
          <w:p>
            <w:pPr>
              <w:jc w:val="right"/>
              <w:ind w:right="140"/>
              <w:spacing w:after="0" w:line="108" w:lineRule="exact"/>
              <w:rPr>
                <w:sz w:val="20"/>
                <w:szCs w:val="20"/>
                <w:color w:val="auto"/>
              </w:rPr>
            </w:pPr>
            <w:r>
              <w:rPr>
                <w:rFonts w:ascii="Arial" w:cs="Arial" w:eastAsia="Arial" w:hAnsi="Arial"/>
                <w:sz w:val="10"/>
                <w:szCs w:val="10"/>
                <w:color w:val="auto"/>
              </w:rPr>
              <w:t>—</w:t>
            </w:r>
          </w:p>
        </w:tc>
      </w:tr>
      <w:tr>
        <w:trPr>
          <w:trHeight w:val="108"/>
        </w:trPr>
        <w:tc>
          <w:tcPr>
            <w:tcW w:w="4480" w:type="dxa"/>
            <w:vAlign w:val="bottom"/>
            <w:gridSpan w:val="2"/>
          </w:tcPr>
          <w:p>
            <w:pPr>
              <w:ind w:left="80"/>
              <w:spacing w:after="0" w:line="108" w:lineRule="exact"/>
              <w:rPr>
                <w:sz w:val="20"/>
                <w:szCs w:val="20"/>
                <w:color w:val="auto"/>
              </w:rPr>
            </w:pPr>
            <w:r>
              <w:rPr>
                <w:rFonts w:ascii="Arial" w:cs="Arial" w:eastAsia="Arial" w:hAnsi="Arial"/>
                <w:sz w:val="10"/>
                <w:szCs w:val="10"/>
                <w:color w:val="auto"/>
              </w:rPr>
              <w:t>Successor repayment of long-term debt</w:t>
            </w:r>
          </w:p>
        </w:tc>
        <w:tc>
          <w:tcPr>
            <w:tcW w:w="1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20" w:type="dxa"/>
            <w:vAlign w:val="bottom"/>
            <w:gridSpan w:val="2"/>
          </w:tcPr>
          <w:p>
            <w:pPr>
              <w:jc w:val="right"/>
              <w:ind w:right="260"/>
              <w:spacing w:after="0" w:line="108" w:lineRule="exact"/>
              <w:rPr>
                <w:sz w:val="20"/>
                <w:szCs w:val="20"/>
                <w:color w:val="auto"/>
              </w:rPr>
            </w:pPr>
            <w:r>
              <w:rPr>
                <w:rFonts w:ascii="Arial" w:cs="Arial" w:eastAsia="Arial" w:hAnsi="Arial"/>
                <w:sz w:val="10"/>
                <w:szCs w:val="10"/>
                <w:color w:val="auto"/>
              </w:rPr>
              <w:t>(9,104)</w:t>
            </w:r>
          </w:p>
        </w:tc>
        <w:tc>
          <w:tcPr>
            <w:tcW w:w="320" w:type="dxa"/>
            <w:vAlign w:val="bottom"/>
          </w:tcPr>
          <w:p>
            <w:pPr>
              <w:spacing w:after="0"/>
              <w:rPr>
                <w:sz w:val="9"/>
                <w:szCs w:val="9"/>
                <w:color w:val="auto"/>
              </w:rPr>
            </w:pPr>
          </w:p>
        </w:tc>
        <w:tc>
          <w:tcPr>
            <w:tcW w:w="1180" w:type="dxa"/>
            <w:vAlign w:val="bottom"/>
            <w:gridSpan w:val="2"/>
          </w:tcPr>
          <w:p>
            <w:pPr>
              <w:jc w:val="right"/>
              <w:ind w:right="260"/>
              <w:spacing w:after="0" w:line="108" w:lineRule="exact"/>
              <w:rPr>
                <w:sz w:val="20"/>
                <w:szCs w:val="20"/>
                <w:color w:val="auto"/>
              </w:rPr>
            </w:pPr>
            <w:r>
              <w:rPr>
                <w:rFonts w:ascii="Arial" w:cs="Arial" w:eastAsia="Arial" w:hAnsi="Arial"/>
                <w:sz w:val="10"/>
                <w:szCs w:val="10"/>
                <w:color w:val="auto"/>
              </w:rPr>
              <w:t>(654,851)</w:t>
            </w:r>
          </w:p>
        </w:tc>
        <w:tc>
          <w:tcPr>
            <w:tcW w:w="200" w:type="dxa"/>
            <w:vAlign w:val="bottom"/>
          </w:tcPr>
          <w:p>
            <w:pPr>
              <w:spacing w:after="0"/>
              <w:rPr>
                <w:sz w:val="9"/>
                <w:szCs w:val="9"/>
                <w:color w:val="auto"/>
              </w:rPr>
            </w:pPr>
          </w:p>
        </w:tc>
        <w:tc>
          <w:tcPr>
            <w:tcW w:w="1240" w:type="dxa"/>
            <w:vAlign w:val="bottom"/>
            <w:tcBorders>
              <w:right w:val="single" w:sz="8" w:color="auto"/>
            </w:tcBorders>
            <w:gridSpan w:val="2"/>
          </w:tcPr>
          <w:p>
            <w:pPr>
              <w:jc w:val="right"/>
              <w:ind w:right="180"/>
              <w:spacing w:after="0" w:line="108" w:lineRule="exact"/>
              <w:rPr>
                <w:sz w:val="20"/>
                <w:szCs w:val="20"/>
                <w:color w:val="auto"/>
              </w:rPr>
            </w:pPr>
            <w:r>
              <w:rPr>
                <w:rFonts w:ascii="Arial" w:cs="Arial" w:eastAsia="Arial" w:hAnsi="Arial"/>
                <w:sz w:val="10"/>
                <w:szCs w:val="10"/>
                <w:color w:val="auto"/>
              </w:rPr>
              <w:t>(1,625)</w:t>
            </w: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60" w:type="dxa"/>
            <w:vAlign w:val="bottom"/>
            <w:gridSpan w:val="2"/>
          </w:tcPr>
          <w:p>
            <w:pPr>
              <w:jc w:val="right"/>
              <w:ind w:right="140"/>
              <w:spacing w:after="0" w:line="108" w:lineRule="exact"/>
              <w:rPr>
                <w:sz w:val="20"/>
                <w:szCs w:val="20"/>
                <w:color w:val="auto"/>
              </w:rPr>
            </w:pPr>
            <w:r>
              <w:rPr>
                <w:rFonts w:ascii="Arial" w:cs="Arial" w:eastAsia="Arial" w:hAnsi="Arial"/>
                <w:sz w:val="10"/>
                <w:szCs w:val="10"/>
                <w:color w:val="auto"/>
              </w:rPr>
              <w:t>—</w:t>
            </w:r>
          </w:p>
        </w:tc>
      </w:tr>
      <w:tr>
        <w:trPr>
          <w:trHeight w:val="108"/>
        </w:trPr>
        <w:tc>
          <w:tcPr>
            <w:tcW w:w="4480" w:type="dxa"/>
            <w:vAlign w:val="bottom"/>
            <w:gridSpan w:val="2"/>
            <w:shd w:val="clear" w:color="auto" w:fill="CFF0FC"/>
          </w:tcPr>
          <w:p>
            <w:pPr>
              <w:ind w:left="80"/>
              <w:spacing w:after="0" w:line="108" w:lineRule="exact"/>
              <w:rPr>
                <w:sz w:val="20"/>
                <w:szCs w:val="20"/>
                <w:color w:val="auto"/>
              </w:rPr>
            </w:pPr>
            <w:r>
              <w:rPr>
                <w:rFonts w:ascii="Arial" w:cs="Arial" w:eastAsia="Arial" w:hAnsi="Arial"/>
                <w:sz w:val="10"/>
                <w:szCs w:val="10"/>
                <w:color w:val="auto"/>
              </w:rPr>
              <w:t>Successor payment of debt issuance costs</w:t>
            </w:r>
          </w:p>
        </w:tc>
        <w:tc>
          <w:tcPr>
            <w:tcW w:w="116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1220" w:type="dxa"/>
            <w:vAlign w:val="bottom"/>
            <w:gridSpan w:val="2"/>
            <w:shd w:val="clear" w:color="auto" w:fill="CFF0FC"/>
          </w:tcPr>
          <w:p>
            <w:pPr>
              <w:jc w:val="right"/>
              <w:ind w:right="260"/>
              <w:spacing w:after="0" w:line="108" w:lineRule="exact"/>
              <w:rPr>
                <w:sz w:val="20"/>
                <w:szCs w:val="20"/>
                <w:color w:val="auto"/>
              </w:rPr>
            </w:pPr>
            <w:r>
              <w:rPr>
                <w:rFonts w:ascii="Arial" w:cs="Arial" w:eastAsia="Arial" w:hAnsi="Arial"/>
                <w:sz w:val="10"/>
                <w:szCs w:val="10"/>
                <w:color w:val="auto"/>
              </w:rPr>
              <w:t>(426)</w:t>
            </w:r>
          </w:p>
        </w:tc>
        <w:tc>
          <w:tcPr>
            <w:tcW w:w="320" w:type="dxa"/>
            <w:vAlign w:val="bottom"/>
            <w:shd w:val="clear" w:color="auto" w:fill="CFF0FC"/>
          </w:tcPr>
          <w:p>
            <w:pPr>
              <w:spacing w:after="0"/>
              <w:rPr>
                <w:sz w:val="9"/>
                <w:szCs w:val="9"/>
                <w:color w:val="auto"/>
              </w:rPr>
            </w:pPr>
          </w:p>
        </w:tc>
        <w:tc>
          <w:tcPr>
            <w:tcW w:w="1180" w:type="dxa"/>
            <w:vAlign w:val="bottom"/>
            <w:gridSpan w:val="2"/>
            <w:shd w:val="clear" w:color="auto" w:fill="CFF0FC"/>
          </w:tcPr>
          <w:p>
            <w:pPr>
              <w:jc w:val="right"/>
              <w:ind w:right="260"/>
              <w:spacing w:after="0" w:line="108" w:lineRule="exact"/>
              <w:rPr>
                <w:sz w:val="20"/>
                <w:szCs w:val="20"/>
                <w:color w:val="auto"/>
              </w:rPr>
            </w:pPr>
            <w:r>
              <w:rPr>
                <w:rFonts w:ascii="Arial" w:cs="Arial" w:eastAsia="Arial" w:hAnsi="Arial"/>
                <w:sz w:val="10"/>
                <w:szCs w:val="10"/>
                <w:color w:val="auto"/>
              </w:rPr>
              <w:t>(31,753)</w:t>
            </w:r>
          </w:p>
        </w:tc>
        <w:tc>
          <w:tcPr>
            <w:tcW w:w="200" w:type="dxa"/>
            <w:vAlign w:val="bottom"/>
            <w:shd w:val="clear" w:color="auto" w:fill="CFF0FC"/>
          </w:tcPr>
          <w:p>
            <w:pPr>
              <w:spacing w:after="0"/>
              <w:rPr>
                <w:sz w:val="9"/>
                <w:szCs w:val="9"/>
                <w:color w:val="auto"/>
              </w:rPr>
            </w:pPr>
          </w:p>
        </w:tc>
        <w:tc>
          <w:tcPr>
            <w:tcW w:w="1240" w:type="dxa"/>
            <w:vAlign w:val="bottom"/>
            <w:tcBorders>
              <w:right w:val="single" w:sz="8" w:color="auto"/>
            </w:tcBorders>
            <w:gridSpan w:val="2"/>
            <w:shd w:val="clear" w:color="auto" w:fill="CFF0FC"/>
          </w:tcPr>
          <w:p>
            <w:pPr>
              <w:jc w:val="right"/>
              <w:ind w:right="180"/>
              <w:spacing w:after="0" w:line="108" w:lineRule="exact"/>
              <w:rPr>
                <w:sz w:val="20"/>
                <w:szCs w:val="20"/>
                <w:color w:val="auto"/>
              </w:rPr>
            </w:pPr>
            <w:r>
              <w:rPr>
                <w:rFonts w:ascii="Arial" w:cs="Arial" w:eastAsia="Arial" w:hAnsi="Arial"/>
                <w:sz w:val="10"/>
                <w:szCs w:val="10"/>
                <w:color w:val="auto"/>
              </w:rPr>
              <w:t>(15,917)</w:t>
            </w:r>
          </w:p>
        </w:tc>
        <w:tc>
          <w:tcPr>
            <w:tcW w:w="6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1160" w:type="dxa"/>
            <w:vAlign w:val="bottom"/>
            <w:gridSpan w:val="2"/>
            <w:shd w:val="clear" w:color="auto" w:fill="CFF0FC"/>
          </w:tcPr>
          <w:p>
            <w:pPr>
              <w:jc w:val="right"/>
              <w:ind w:right="140"/>
              <w:spacing w:after="0" w:line="108" w:lineRule="exact"/>
              <w:rPr>
                <w:sz w:val="20"/>
                <w:szCs w:val="20"/>
                <w:color w:val="auto"/>
              </w:rPr>
            </w:pPr>
            <w:r>
              <w:rPr>
                <w:rFonts w:ascii="Arial" w:cs="Arial" w:eastAsia="Arial" w:hAnsi="Arial"/>
                <w:sz w:val="10"/>
                <w:szCs w:val="10"/>
                <w:color w:val="auto"/>
              </w:rPr>
              <w:t>—</w:t>
            </w:r>
          </w:p>
        </w:tc>
      </w:tr>
      <w:tr>
        <w:trPr>
          <w:trHeight w:val="108"/>
        </w:trPr>
        <w:tc>
          <w:tcPr>
            <w:tcW w:w="4480" w:type="dxa"/>
            <w:vAlign w:val="bottom"/>
            <w:gridSpan w:val="2"/>
          </w:tcPr>
          <w:p>
            <w:pPr>
              <w:ind w:left="80"/>
              <w:spacing w:after="0" w:line="108" w:lineRule="exact"/>
              <w:rPr>
                <w:sz w:val="20"/>
                <w:szCs w:val="20"/>
                <w:color w:val="auto"/>
              </w:rPr>
            </w:pPr>
            <w:r>
              <w:rPr>
                <w:rFonts w:ascii="Arial" w:cs="Arial" w:eastAsia="Arial" w:hAnsi="Arial"/>
                <w:sz w:val="10"/>
                <w:szCs w:val="10"/>
                <w:color w:val="auto"/>
              </w:rPr>
              <w:t>Payment of debt extinguishment costs</w:t>
            </w:r>
          </w:p>
        </w:tc>
        <w:tc>
          <w:tcPr>
            <w:tcW w:w="1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2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w:t>
            </w:r>
          </w:p>
        </w:tc>
        <w:tc>
          <w:tcPr>
            <w:tcW w:w="320" w:type="dxa"/>
            <w:vAlign w:val="bottom"/>
          </w:tcPr>
          <w:p>
            <w:pPr>
              <w:spacing w:after="0"/>
              <w:rPr>
                <w:sz w:val="9"/>
                <w:szCs w:val="9"/>
                <w:color w:val="auto"/>
              </w:rPr>
            </w:pPr>
          </w:p>
        </w:tc>
        <w:tc>
          <w:tcPr>
            <w:tcW w:w="1180" w:type="dxa"/>
            <w:vAlign w:val="bottom"/>
            <w:gridSpan w:val="2"/>
          </w:tcPr>
          <w:p>
            <w:pPr>
              <w:jc w:val="right"/>
              <w:ind w:right="260"/>
              <w:spacing w:after="0" w:line="108" w:lineRule="exact"/>
              <w:rPr>
                <w:sz w:val="20"/>
                <w:szCs w:val="20"/>
                <w:color w:val="auto"/>
              </w:rPr>
            </w:pPr>
            <w:r>
              <w:rPr>
                <w:rFonts w:ascii="Arial" w:cs="Arial" w:eastAsia="Arial" w:hAnsi="Arial"/>
                <w:sz w:val="10"/>
                <w:szCs w:val="10"/>
                <w:color w:val="auto"/>
              </w:rPr>
              <w:t>(12,187)</w:t>
            </w:r>
          </w:p>
        </w:tc>
        <w:tc>
          <w:tcPr>
            <w:tcW w:w="200" w:type="dxa"/>
            <w:vAlign w:val="bottom"/>
          </w:tcPr>
          <w:p>
            <w:pPr>
              <w:spacing w:after="0"/>
              <w:rPr>
                <w:sz w:val="9"/>
                <w:szCs w:val="9"/>
                <w:color w:val="auto"/>
              </w:rPr>
            </w:pPr>
          </w:p>
        </w:tc>
        <w:tc>
          <w:tcPr>
            <w:tcW w:w="1240" w:type="dxa"/>
            <w:vAlign w:val="bottom"/>
            <w:tcBorders>
              <w:right w:val="single" w:sz="8" w:color="auto"/>
            </w:tcBorders>
            <w:gridSpan w:val="2"/>
          </w:tcPr>
          <w:p>
            <w:pPr>
              <w:jc w:val="right"/>
              <w:ind w:right="220"/>
              <w:spacing w:after="0" w:line="108"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60" w:type="dxa"/>
            <w:vAlign w:val="bottom"/>
            <w:gridSpan w:val="2"/>
          </w:tcPr>
          <w:p>
            <w:pPr>
              <w:jc w:val="right"/>
              <w:ind w:right="140"/>
              <w:spacing w:after="0" w:line="108" w:lineRule="exact"/>
              <w:rPr>
                <w:sz w:val="20"/>
                <w:szCs w:val="20"/>
                <w:color w:val="auto"/>
              </w:rPr>
            </w:pPr>
            <w:r>
              <w:rPr>
                <w:rFonts w:ascii="Arial" w:cs="Arial" w:eastAsia="Arial" w:hAnsi="Arial"/>
                <w:sz w:val="10"/>
                <w:szCs w:val="10"/>
                <w:color w:val="auto"/>
              </w:rPr>
              <w:t>—</w:t>
            </w:r>
          </w:p>
        </w:tc>
      </w:tr>
      <w:tr>
        <w:trPr>
          <w:trHeight w:val="108"/>
        </w:trPr>
        <w:tc>
          <w:tcPr>
            <w:tcW w:w="4480" w:type="dxa"/>
            <w:vAlign w:val="bottom"/>
            <w:gridSpan w:val="2"/>
            <w:shd w:val="clear" w:color="auto" w:fill="CFF0FC"/>
          </w:tcPr>
          <w:p>
            <w:pPr>
              <w:ind w:left="80"/>
              <w:spacing w:after="0" w:line="108" w:lineRule="exact"/>
              <w:rPr>
                <w:sz w:val="20"/>
                <w:szCs w:val="20"/>
                <w:color w:val="auto"/>
              </w:rPr>
            </w:pPr>
            <w:r>
              <w:rPr>
                <w:rFonts w:ascii="Arial" w:cs="Arial" w:eastAsia="Arial" w:hAnsi="Arial"/>
                <w:sz w:val="10"/>
                <w:szCs w:val="10"/>
                <w:color w:val="auto"/>
              </w:rPr>
              <w:t>Payment of employee tax withholding related to RSU vesting</w:t>
            </w:r>
          </w:p>
        </w:tc>
        <w:tc>
          <w:tcPr>
            <w:tcW w:w="116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1220" w:type="dxa"/>
            <w:vAlign w:val="bottom"/>
            <w:gridSpan w:val="2"/>
            <w:shd w:val="clear" w:color="auto" w:fill="CFF0FC"/>
          </w:tcPr>
          <w:p>
            <w:pPr>
              <w:jc w:val="right"/>
              <w:ind w:right="260"/>
              <w:spacing w:after="0" w:line="108" w:lineRule="exact"/>
              <w:rPr>
                <w:sz w:val="20"/>
                <w:szCs w:val="20"/>
                <w:color w:val="auto"/>
              </w:rPr>
            </w:pPr>
            <w:r>
              <w:rPr>
                <w:rFonts w:ascii="Arial" w:cs="Arial" w:eastAsia="Arial" w:hAnsi="Arial"/>
                <w:sz w:val="10"/>
                <w:szCs w:val="10"/>
                <w:color w:val="auto"/>
              </w:rPr>
              <w:t>(4,990)</w:t>
            </w:r>
          </w:p>
        </w:tc>
        <w:tc>
          <w:tcPr>
            <w:tcW w:w="320" w:type="dxa"/>
            <w:vAlign w:val="bottom"/>
            <w:shd w:val="clear" w:color="auto" w:fill="CFF0FC"/>
          </w:tcPr>
          <w:p>
            <w:pPr>
              <w:spacing w:after="0"/>
              <w:rPr>
                <w:sz w:val="9"/>
                <w:szCs w:val="9"/>
                <w:color w:val="auto"/>
              </w:rPr>
            </w:pPr>
          </w:p>
        </w:tc>
        <w:tc>
          <w:tcPr>
            <w:tcW w:w="1180" w:type="dxa"/>
            <w:vAlign w:val="bottom"/>
            <w:gridSpan w:val="2"/>
            <w:shd w:val="clear" w:color="auto" w:fill="CFF0FC"/>
          </w:tcPr>
          <w:p>
            <w:pPr>
              <w:jc w:val="right"/>
              <w:ind w:right="300"/>
              <w:spacing w:after="0" w:line="108" w:lineRule="exact"/>
              <w:rPr>
                <w:sz w:val="20"/>
                <w:szCs w:val="20"/>
                <w:color w:val="auto"/>
              </w:rPr>
            </w:pPr>
            <w:r>
              <w:rPr>
                <w:rFonts w:ascii="Arial" w:cs="Arial" w:eastAsia="Arial" w:hAnsi="Arial"/>
                <w:sz w:val="10"/>
                <w:szCs w:val="10"/>
                <w:color w:val="auto"/>
              </w:rPr>
              <w:t>—</w:t>
            </w:r>
          </w:p>
        </w:tc>
        <w:tc>
          <w:tcPr>
            <w:tcW w:w="200" w:type="dxa"/>
            <w:vAlign w:val="bottom"/>
            <w:shd w:val="clear" w:color="auto" w:fill="CFF0FC"/>
          </w:tcPr>
          <w:p>
            <w:pPr>
              <w:spacing w:after="0"/>
              <w:rPr>
                <w:sz w:val="9"/>
                <w:szCs w:val="9"/>
                <w:color w:val="auto"/>
              </w:rPr>
            </w:pPr>
          </w:p>
        </w:tc>
        <w:tc>
          <w:tcPr>
            <w:tcW w:w="1240" w:type="dxa"/>
            <w:vAlign w:val="bottom"/>
            <w:tcBorders>
              <w:right w:val="single" w:sz="8" w:color="auto"/>
            </w:tcBorders>
            <w:gridSpan w:val="2"/>
            <w:shd w:val="clear" w:color="auto" w:fill="CFF0FC"/>
          </w:tcPr>
          <w:p>
            <w:pPr>
              <w:jc w:val="right"/>
              <w:ind w:right="220"/>
              <w:spacing w:after="0" w:line="108" w:lineRule="exact"/>
              <w:rPr>
                <w:sz w:val="20"/>
                <w:szCs w:val="20"/>
                <w:color w:val="auto"/>
              </w:rPr>
            </w:pPr>
            <w:r>
              <w:rPr>
                <w:rFonts w:ascii="Arial" w:cs="Arial" w:eastAsia="Arial" w:hAnsi="Arial"/>
                <w:sz w:val="10"/>
                <w:szCs w:val="10"/>
                <w:color w:val="auto"/>
              </w:rPr>
              <w:t>—</w:t>
            </w:r>
          </w:p>
        </w:tc>
        <w:tc>
          <w:tcPr>
            <w:tcW w:w="6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1160" w:type="dxa"/>
            <w:vAlign w:val="bottom"/>
            <w:gridSpan w:val="2"/>
            <w:shd w:val="clear" w:color="auto" w:fill="CFF0FC"/>
          </w:tcPr>
          <w:p>
            <w:pPr>
              <w:jc w:val="right"/>
              <w:ind w:right="140"/>
              <w:spacing w:after="0" w:line="108" w:lineRule="exact"/>
              <w:rPr>
                <w:sz w:val="20"/>
                <w:szCs w:val="20"/>
                <w:color w:val="auto"/>
              </w:rPr>
            </w:pPr>
            <w:r>
              <w:rPr>
                <w:rFonts w:ascii="Arial" w:cs="Arial" w:eastAsia="Arial" w:hAnsi="Arial"/>
                <w:sz w:val="10"/>
                <w:szCs w:val="10"/>
                <w:color w:val="auto"/>
              </w:rPr>
              <w:t>—</w:t>
            </w:r>
          </w:p>
        </w:tc>
      </w:tr>
      <w:tr>
        <w:trPr>
          <w:trHeight w:val="108"/>
        </w:trPr>
        <w:tc>
          <w:tcPr>
            <w:tcW w:w="4480" w:type="dxa"/>
            <w:vAlign w:val="bottom"/>
            <w:gridSpan w:val="2"/>
          </w:tcPr>
          <w:p>
            <w:pPr>
              <w:ind w:left="80"/>
              <w:spacing w:after="0" w:line="108" w:lineRule="exact"/>
              <w:rPr>
                <w:sz w:val="20"/>
                <w:szCs w:val="20"/>
                <w:color w:val="auto"/>
              </w:rPr>
            </w:pPr>
            <w:r>
              <w:rPr>
                <w:rFonts w:ascii="Arial" w:cs="Arial" w:eastAsia="Arial" w:hAnsi="Arial"/>
                <w:sz w:val="10"/>
                <w:szCs w:val="10"/>
                <w:color w:val="auto"/>
              </w:rPr>
              <w:t>Capitalization from merger with Gores Holdings</w:t>
            </w:r>
          </w:p>
        </w:tc>
        <w:tc>
          <w:tcPr>
            <w:tcW w:w="1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2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w:t>
            </w:r>
          </w:p>
        </w:tc>
        <w:tc>
          <w:tcPr>
            <w:tcW w:w="320" w:type="dxa"/>
            <w:vAlign w:val="bottom"/>
          </w:tcPr>
          <w:p>
            <w:pPr>
              <w:spacing w:after="0"/>
              <w:rPr>
                <w:sz w:val="9"/>
                <w:szCs w:val="9"/>
                <w:color w:val="auto"/>
              </w:rPr>
            </w:pPr>
          </w:p>
        </w:tc>
        <w:tc>
          <w:tcPr>
            <w:tcW w:w="900" w:type="dxa"/>
            <w:vAlign w:val="bottom"/>
          </w:tcPr>
          <w:p>
            <w:pPr>
              <w:jc w:val="right"/>
              <w:spacing w:after="0" w:line="108" w:lineRule="exact"/>
              <w:rPr>
                <w:sz w:val="20"/>
                <w:szCs w:val="20"/>
                <w:color w:val="auto"/>
              </w:rPr>
            </w:pPr>
            <w:r>
              <w:rPr>
                <w:rFonts w:ascii="Arial" w:cs="Arial" w:eastAsia="Arial" w:hAnsi="Arial"/>
                <w:sz w:val="10"/>
                <w:szCs w:val="10"/>
                <w:color w:val="auto"/>
              </w:rPr>
              <w:t>803,294</w:t>
            </w: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40" w:type="dxa"/>
            <w:vAlign w:val="bottom"/>
            <w:tcBorders>
              <w:right w:val="single" w:sz="8" w:color="auto"/>
            </w:tcBorders>
            <w:gridSpan w:val="2"/>
          </w:tcPr>
          <w:p>
            <w:pPr>
              <w:jc w:val="right"/>
              <w:ind w:right="220"/>
              <w:spacing w:after="0" w:line="108"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60" w:type="dxa"/>
            <w:vAlign w:val="bottom"/>
            <w:gridSpan w:val="2"/>
          </w:tcPr>
          <w:p>
            <w:pPr>
              <w:jc w:val="right"/>
              <w:ind w:right="140"/>
              <w:spacing w:after="0" w:line="108" w:lineRule="exact"/>
              <w:rPr>
                <w:sz w:val="20"/>
                <w:szCs w:val="20"/>
                <w:color w:val="auto"/>
              </w:rPr>
            </w:pPr>
            <w:r>
              <w:rPr>
                <w:rFonts w:ascii="Arial" w:cs="Arial" w:eastAsia="Arial" w:hAnsi="Arial"/>
                <w:sz w:val="10"/>
                <w:szCs w:val="10"/>
                <w:color w:val="auto"/>
              </w:rPr>
              <w:t>—</w:t>
            </w:r>
          </w:p>
        </w:tc>
      </w:tr>
      <w:tr>
        <w:trPr>
          <w:trHeight w:val="108"/>
        </w:trPr>
        <w:tc>
          <w:tcPr>
            <w:tcW w:w="4480" w:type="dxa"/>
            <w:vAlign w:val="bottom"/>
            <w:gridSpan w:val="2"/>
            <w:shd w:val="clear" w:color="auto" w:fill="CFF0FC"/>
          </w:tcPr>
          <w:p>
            <w:pPr>
              <w:ind w:left="80"/>
              <w:spacing w:after="0" w:line="108" w:lineRule="exact"/>
              <w:rPr>
                <w:sz w:val="20"/>
                <w:szCs w:val="20"/>
                <w:color w:val="auto"/>
              </w:rPr>
            </w:pPr>
            <w:r>
              <w:rPr>
                <w:rFonts w:ascii="Arial" w:cs="Arial" w:eastAsia="Arial" w:hAnsi="Arial"/>
                <w:sz w:val="10"/>
                <w:szCs w:val="10"/>
                <w:color w:val="auto"/>
              </w:rPr>
              <w:t>Payment of underwriting and transaction costs</w:t>
            </w:r>
          </w:p>
        </w:tc>
        <w:tc>
          <w:tcPr>
            <w:tcW w:w="116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1220" w:type="dxa"/>
            <w:vAlign w:val="bottom"/>
            <w:gridSpan w:val="2"/>
            <w:shd w:val="clear" w:color="auto" w:fill="CFF0FC"/>
          </w:tcPr>
          <w:p>
            <w:pPr>
              <w:jc w:val="right"/>
              <w:ind w:right="300"/>
              <w:spacing w:after="0" w:line="108" w:lineRule="exact"/>
              <w:rPr>
                <w:sz w:val="20"/>
                <w:szCs w:val="20"/>
                <w:color w:val="auto"/>
              </w:rPr>
            </w:pPr>
            <w:r>
              <w:rPr>
                <w:rFonts w:ascii="Arial" w:cs="Arial" w:eastAsia="Arial" w:hAnsi="Arial"/>
                <w:sz w:val="10"/>
                <w:szCs w:val="10"/>
                <w:color w:val="auto"/>
              </w:rPr>
              <w:t>—</w:t>
            </w:r>
          </w:p>
        </w:tc>
        <w:tc>
          <w:tcPr>
            <w:tcW w:w="320" w:type="dxa"/>
            <w:vAlign w:val="bottom"/>
            <w:shd w:val="clear" w:color="auto" w:fill="CFF0FC"/>
          </w:tcPr>
          <w:p>
            <w:pPr>
              <w:spacing w:after="0"/>
              <w:rPr>
                <w:sz w:val="9"/>
                <w:szCs w:val="9"/>
                <w:color w:val="auto"/>
              </w:rPr>
            </w:pPr>
          </w:p>
        </w:tc>
        <w:tc>
          <w:tcPr>
            <w:tcW w:w="1180" w:type="dxa"/>
            <w:vAlign w:val="bottom"/>
            <w:gridSpan w:val="2"/>
            <w:shd w:val="clear" w:color="auto" w:fill="CFF0FC"/>
          </w:tcPr>
          <w:p>
            <w:pPr>
              <w:jc w:val="right"/>
              <w:ind w:right="260"/>
              <w:spacing w:after="0" w:line="108" w:lineRule="exact"/>
              <w:rPr>
                <w:sz w:val="20"/>
                <w:szCs w:val="20"/>
                <w:color w:val="auto"/>
              </w:rPr>
            </w:pPr>
            <w:r>
              <w:rPr>
                <w:rFonts w:ascii="Arial" w:cs="Arial" w:eastAsia="Arial" w:hAnsi="Arial"/>
                <w:sz w:val="10"/>
                <w:szCs w:val="10"/>
                <w:color w:val="auto"/>
              </w:rPr>
              <w:t>(24,024)</w:t>
            </w:r>
          </w:p>
        </w:tc>
        <w:tc>
          <w:tcPr>
            <w:tcW w:w="200" w:type="dxa"/>
            <w:vAlign w:val="bottom"/>
            <w:shd w:val="clear" w:color="auto" w:fill="CFF0FC"/>
          </w:tcPr>
          <w:p>
            <w:pPr>
              <w:spacing w:after="0"/>
              <w:rPr>
                <w:sz w:val="9"/>
                <w:szCs w:val="9"/>
                <w:color w:val="auto"/>
              </w:rPr>
            </w:pPr>
          </w:p>
        </w:tc>
        <w:tc>
          <w:tcPr>
            <w:tcW w:w="1240" w:type="dxa"/>
            <w:vAlign w:val="bottom"/>
            <w:tcBorders>
              <w:right w:val="single" w:sz="8" w:color="auto"/>
            </w:tcBorders>
            <w:gridSpan w:val="2"/>
            <w:shd w:val="clear" w:color="auto" w:fill="CFF0FC"/>
          </w:tcPr>
          <w:p>
            <w:pPr>
              <w:jc w:val="right"/>
              <w:ind w:right="220"/>
              <w:spacing w:after="0" w:line="108" w:lineRule="exact"/>
              <w:rPr>
                <w:sz w:val="20"/>
                <w:szCs w:val="20"/>
                <w:color w:val="auto"/>
              </w:rPr>
            </w:pPr>
            <w:r>
              <w:rPr>
                <w:rFonts w:ascii="Arial" w:cs="Arial" w:eastAsia="Arial" w:hAnsi="Arial"/>
                <w:sz w:val="10"/>
                <w:szCs w:val="10"/>
                <w:color w:val="auto"/>
              </w:rPr>
              <w:t>—</w:t>
            </w:r>
          </w:p>
        </w:tc>
        <w:tc>
          <w:tcPr>
            <w:tcW w:w="6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1160" w:type="dxa"/>
            <w:vAlign w:val="bottom"/>
            <w:gridSpan w:val="2"/>
            <w:shd w:val="clear" w:color="auto" w:fill="CFF0FC"/>
          </w:tcPr>
          <w:p>
            <w:pPr>
              <w:jc w:val="right"/>
              <w:ind w:right="140"/>
              <w:spacing w:after="0" w:line="108" w:lineRule="exact"/>
              <w:rPr>
                <w:sz w:val="20"/>
                <w:szCs w:val="20"/>
                <w:color w:val="auto"/>
              </w:rPr>
            </w:pPr>
            <w:r>
              <w:rPr>
                <w:rFonts w:ascii="Arial" w:cs="Arial" w:eastAsia="Arial" w:hAnsi="Arial"/>
                <w:sz w:val="10"/>
                <w:szCs w:val="10"/>
                <w:color w:val="auto"/>
              </w:rPr>
              <w:t>—</w:t>
            </w:r>
          </w:p>
        </w:tc>
      </w:tr>
      <w:tr>
        <w:trPr>
          <w:trHeight w:val="108"/>
        </w:trPr>
        <w:tc>
          <w:tcPr>
            <w:tcW w:w="4480" w:type="dxa"/>
            <w:vAlign w:val="bottom"/>
            <w:gridSpan w:val="2"/>
          </w:tcPr>
          <w:p>
            <w:pPr>
              <w:ind w:left="80"/>
              <w:spacing w:after="0" w:line="108" w:lineRule="exact"/>
              <w:rPr>
                <w:sz w:val="20"/>
                <w:szCs w:val="20"/>
                <w:color w:val="auto"/>
              </w:rPr>
            </w:pPr>
            <w:r>
              <w:rPr>
                <w:rFonts w:ascii="Arial" w:cs="Arial" w:eastAsia="Arial" w:hAnsi="Arial"/>
                <w:sz w:val="10"/>
                <w:szCs w:val="10"/>
                <w:color w:val="auto"/>
              </w:rPr>
              <w:t>Predecessor borrowings on note payable</w:t>
            </w:r>
          </w:p>
        </w:tc>
        <w:tc>
          <w:tcPr>
            <w:tcW w:w="1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2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w:t>
            </w:r>
          </w:p>
        </w:tc>
        <w:tc>
          <w:tcPr>
            <w:tcW w:w="320" w:type="dxa"/>
            <w:vAlign w:val="bottom"/>
          </w:tcPr>
          <w:p>
            <w:pPr>
              <w:spacing w:after="0"/>
              <w:rPr>
                <w:sz w:val="9"/>
                <w:szCs w:val="9"/>
                <w:color w:val="auto"/>
              </w:rPr>
            </w:pPr>
          </w:p>
        </w:tc>
        <w:tc>
          <w:tcPr>
            <w:tcW w:w="118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w:t>
            </w:r>
          </w:p>
        </w:tc>
        <w:tc>
          <w:tcPr>
            <w:tcW w:w="200" w:type="dxa"/>
            <w:vAlign w:val="bottom"/>
          </w:tcPr>
          <w:p>
            <w:pPr>
              <w:spacing w:after="0"/>
              <w:rPr>
                <w:sz w:val="9"/>
                <w:szCs w:val="9"/>
                <w:color w:val="auto"/>
              </w:rPr>
            </w:pPr>
          </w:p>
        </w:tc>
        <w:tc>
          <w:tcPr>
            <w:tcW w:w="1240" w:type="dxa"/>
            <w:vAlign w:val="bottom"/>
            <w:tcBorders>
              <w:right w:val="single" w:sz="8" w:color="auto"/>
            </w:tcBorders>
            <w:gridSpan w:val="2"/>
          </w:tcPr>
          <w:p>
            <w:pPr>
              <w:jc w:val="right"/>
              <w:ind w:right="220"/>
              <w:spacing w:after="0" w:line="108"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40" w:type="dxa"/>
            <w:vAlign w:val="bottom"/>
          </w:tcPr>
          <w:p>
            <w:pPr>
              <w:jc w:val="right"/>
              <w:spacing w:after="0" w:line="108" w:lineRule="exact"/>
              <w:rPr>
                <w:sz w:val="20"/>
                <w:szCs w:val="20"/>
                <w:color w:val="auto"/>
              </w:rPr>
            </w:pPr>
            <w:r>
              <w:rPr>
                <w:rFonts w:ascii="Arial" w:cs="Arial" w:eastAsia="Arial" w:hAnsi="Arial"/>
                <w:sz w:val="10"/>
                <w:szCs w:val="10"/>
                <w:color w:val="auto"/>
              </w:rPr>
              <w:t>40,752</w:t>
            </w:r>
          </w:p>
        </w:tc>
        <w:tc>
          <w:tcPr>
            <w:tcW w:w="120" w:type="dxa"/>
            <w:vAlign w:val="bottom"/>
          </w:tcPr>
          <w:p>
            <w:pPr>
              <w:spacing w:after="0"/>
              <w:rPr>
                <w:sz w:val="9"/>
                <w:szCs w:val="9"/>
                <w:color w:val="auto"/>
              </w:rPr>
            </w:pPr>
          </w:p>
        </w:tc>
      </w:tr>
      <w:tr>
        <w:trPr>
          <w:trHeight w:val="108"/>
        </w:trPr>
        <w:tc>
          <w:tcPr>
            <w:tcW w:w="4480" w:type="dxa"/>
            <w:vAlign w:val="bottom"/>
            <w:gridSpan w:val="2"/>
            <w:shd w:val="clear" w:color="auto" w:fill="CFF0FC"/>
          </w:tcPr>
          <w:p>
            <w:pPr>
              <w:ind w:left="80"/>
              <w:spacing w:after="0" w:line="108" w:lineRule="exact"/>
              <w:rPr>
                <w:sz w:val="20"/>
                <w:szCs w:val="20"/>
                <w:color w:val="auto"/>
              </w:rPr>
            </w:pPr>
            <w:r>
              <w:rPr>
                <w:rFonts w:ascii="Arial" w:cs="Arial" w:eastAsia="Arial" w:hAnsi="Arial"/>
                <w:sz w:val="10"/>
                <w:szCs w:val="10"/>
                <w:color w:val="auto"/>
              </w:rPr>
              <w:t>Predecessor repayments on note payable</w:t>
            </w:r>
          </w:p>
        </w:tc>
        <w:tc>
          <w:tcPr>
            <w:tcW w:w="116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1220" w:type="dxa"/>
            <w:vAlign w:val="bottom"/>
            <w:gridSpan w:val="2"/>
            <w:shd w:val="clear" w:color="auto" w:fill="CFF0FC"/>
          </w:tcPr>
          <w:p>
            <w:pPr>
              <w:jc w:val="right"/>
              <w:ind w:right="300"/>
              <w:spacing w:after="0" w:line="108" w:lineRule="exact"/>
              <w:rPr>
                <w:sz w:val="20"/>
                <w:szCs w:val="20"/>
                <w:color w:val="auto"/>
              </w:rPr>
            </w:pPr>
            <w:r>
              <w:rPr>
                <w:rFonts w:ascii="Arial" w:cs="Arial" w:eastAsia="Arial" w:hAnsi="Arial"/>
                <w:sz w:val="10"/>
                <w:szCs w:val="10"/>
                <w:color w:val="auto"/>
              </w:rPr>
              <w:t>—</w:t>
            </w:r>
          </w:p>
        </w:tc>
        <w:tc>
          <w:tcPr>
            <w:tcW w:w="320" w:type="dxa"/>
            <w:vAlign w:val="bottom"/>
            <w:shd w:val="clear" w:color="auto" w:fill="CFF0FC"/>
          </w:tcPr>
          <w:p>
            <w:pPr>
              <w:spacing w:after="0"/>
              <w:rPr>
                <w:sz w:val="9"/>
                <w:szCs w:val="9"/>
                <w:color w:val="auto"/>
              </w:rPr>
            </w:pPr>
          </w:p>
        </w:tc>
        <w:tc>
          <w:tcPr>
            <w:tcW w:w="1180" w:type="dxa"/>
            <w:vAlign w:val="bottom"/>
            <w:gridSpan w:val="2"/>
            <w:shd w:val="clear" w:color="auto" w:fill="CFF0FC"/>
          </w:tcPr>
          <w:p>
            <w:pPr>
              <w:jc w:val="right"/>
              <w:ind w:right="300"/>
              <w:spacing w:after="0" w:line="108" w:lineRule="exact"/>
              <w:rPr>
                <w:sz w:val="20"/>
                <w:szCs w:val="20"/>
                <w:color w:val="auto"/>
              </w:rPr>
            </w:pPr>
            <w:r>
              <w:rPr>
                <w:rFonts w:ascii="Arial" w:cs="Arial" w:eastAsia="Arial" w:hAnsi="Arial"/>
                <w:sz w:val="10"/>
                <w:szCs w:val="10"/>
                <w:color w:val="auto"/>
              </w:rPr>
              <w:t>—</w:t>
            </w:r>
          </w:p>
        </w:tc>
        <w:tc>
          <w:tcPr>
            <w:tcW w:w="200" w:type="dxa"/>
            <w:vAlign w:val="bottom"/>
            <w:shd w:val="clear" w:color="auto" w:fill="CFF0FC"/>
          </w:tcPr>
          <w:p>
            <w:pPr>
              <w:spacing w:after="0"/>
              <w:rPr>
                <w:sz w:val="9"/>
                <w:szCs w:val="9"/>
                <w:color w:val="auto"/>
              </w:rPr>
            </w:pPr>
          </w:p>
        </w:tc>
        <w:tc>
          <w:tcPr>
            <w:tcW w:w="1240" w:type="dxa"/>
            <w:vAlign w:val="bottom"/>
            <w:tcBorders>
              <w:right w:val="single" w:sz="8" w:color="auto"/>
            </w:tcBorders>
            <w:gridSpan w:val="2"/>
            <w:shd w:val="clear" w:color="auto" w:fill="CFF0FC"/>
          </w:tcPr>
          <w:p>
            <w:pPr>
              <w:jc w:val="right"/>
              <w:ind w:right="220"/>
              <w:spacing w:after="0" w:line="108" w:lineRule="exact"/>
              <w:rPr>
                <w:sz w:val="20"/>
                <w:szCs w:val="20"/>
                <w:color w:val="auto"/>
              </w:rPr>
            </w:pPr>
            <w:r>
              <w:rPr>
                <w:rFonts w:ascii="Arial" w:cs="Arial" w:eastAsia="Arial" w:hAnsi="Arial"/>
                <w:sz w:val="10"/>
                <w:szCs w:val="10"/>
                <w:color w:val="auto"/>
              </w:rPr>
              <w:t>—</w:t>
            </w:r>
          </w:p>
        </w:tc>
        <w:tc>
          <w:tcPr>
            <w:tcW w:w="6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1160" w:type="dxa"/>
            <w:vAlign w:val="bottom"/>
            <w:gridSpan w:val="2"/>
            <w:shd w:val="clear" w:color="auto" w:fill="CFF0FC"/>
          </w:tcPr>
          <w:p>
            <w:pPr>
              <w:jc w:val="right"/>
              <w:ind w:right="80"/>
              <w:spacing w:after="0" w:line="108" w:lineRule="exact"/>
              <w:rPr>
                <w:sz w:val="20"/>
                <w:szCs w:val="20"/>
                <w:color w:val="auto"/>
              </w:rPr>
            </w:pPr>
            <w:r>
              <w:rPr>
                <w:rFonts w:ascii="Arial" w:cs="Arial" w:eastAsia="Arial" w:hAnsi="Arial"/>
                <w:sz w:val="10"/>
                <w:szCs w:val="10"/>
                <w:color w:val="auto"/>
              </w:rPr>
              <w:t>(68,213)</w:t>
            </w:r>
          </w:p>
        </w:tc>
      </w:tr>
      <w:tr>
        <w:trPr>
          <w:trHeight w:val="108"/>
        </w:trPr>
        <w:tc>
          <w:tcPr>
            <w:tcW w:w="4480" w:type="dxa"/>
            <w:vAlign w:val="bottom"/>
            <w:gridSpan w:val="2"/>
          </w:tcPr>
          <w:p>
            <w:pPr>
              <w:ind w:left="80"/>
              <w:spacing w:after="0" w:line="108" w:lineRule="exact"/>
              <w:rPr>
                <w:sz w:val="20"/>
                <w:szCs w:val="20"/>
                <w:color w:val="auto"/>
              </w:rPr>
            </w:pPr>
            <w:r>
              <w:rPr>
                <w:rFonts w:ascii="Arial" w:cs="Arial" w:eastAsia="Arial" w:hAnsi="Arial"/>
                <w:sz w:val="10"/>
                <w:szCs w:val="10"/>
                <w:color w:val="auto"/>
              </w:rPr>
              <w:t>Predecessor payments of debt issuance costs</w:t>
            </w:r>
          </w:p>
        </w:tc>
        <w:tc>
          <w:tcPr>
            <w:tcW w:w="1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2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w:t>
            </w:r>
          </w:p>
        </w:tc>
        <w:tc>
          <w:tcPr>
            <w:tcW w:w="320" w:type="dxa"/>
            <w:vAlign w:val="bottom"/>
          </w:tcPr>
          <w:p>
            <w:pPr>
              <w:spacing w:after="0"/>
              <w:rPr>
                <w:sz w:val="9"/>
                <w:szCs w:val="9"/>
                <w:color w:val="auto"/>
              </w:rPr>
            </w:pPr>
          </w:p>
        </w:tc>
        <w:tc>
          <w:tcPr>
            <w:tcW w:w="118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w:t>
            </w:r>
          </w:p>
        </w:tc>
        <w:tc>
          <w:tcPr>
            <w:tcW w:w="200" w:type="dxa"/>
            <w:vAlign w:val="bottom"/>
          </w:tcPr>
          <w:p>
            <w:pPr>
              <w:spacing w:after="0"/>
              <w:rPr>
                <w:sz w:val="9"/>
                <w:szCs w:val="9"/>
                <w:color w:val="auto"/>
              </w:rPr>
            </w:pPr>
          </w:p>
        </w:tc>
        <w:tc>
          <w:tcPr>
            <w:tcW w:w="1240" w:type="dxa"/>
            <w:vAlign w:val="bottom"/>
            <w:tcBorders>
              <w:right w:val="single" w:sz="8" w:color="auto"/>
            </w:tcBorders>
            <w:gridSpan w:val="2"/>
          </w:tcPr>
          <w:p>
            <w:pPr>
              <w:jc w:val="right"/>
              <w:ind w:right="220"/>
              <w:spacing w:after="0" w:line="108"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60" w:type="dxa"/>
            <w:vAlign w:val="bottom"/>
            <w:gridSpan w:val="2"/>
          </w:tcPr>
          <w:p>
            <w:pPr>
              <w:jc w:val="right"/>
              <w:ind w:right="80"/>
              <w:spacing w:after="0" w:line="108" w:lineRule="exact"/>
              <w:rPr>
                <w:sz w:val="20"/>
                <w:szCs w:val="20"/>
                <w:color w:val="auto"/>
              </w:rPr>
            </w:pPr>
            <w:r>
              <w:rPr>
                <w:rFonts w:ascii="Arial" w:cs="Arial" w:eastAsia="Arial" w:hAnsi="Arial"/>
                <w:sz w:val="10"/>
                <w:szCs w:val="10"/>
                <w:color w:val="auto"/>
              </w:rPr>
              <w:t>(30)</w:t>
            </w:r>
          </w:p>
        </w:tc>
      </w:tr>
      <w:tr>
        <w:trPr>
          <w:trHeight w:val="108"/>
        </w:trPr>
        <w:tc>
          <w:tcPr>
            <w:tcW w:w="4480" w:type="dxa"/>
            <w:vAlign w:val="bottom"/>
            <w:gridSpan w:val="2"/>
            <w:shd w:val="clear" w:color="auto" w:fill="CFF0FC"/>
          </w:tcPr>
          <w:p>
            <w:pPr>
              <w:ind w:left="80"/>
              <w:spacing w:after="0" w:line="108" w:lineRule="exact"/>
              <w:rPr>
                <w:sz w:val="20"/>
                <w:szCs w:val="20"/>
                <w:color w:val="auto"/>
              </w:rPr>
            </w:pPr>
            <w:r>
              <w:rPr>
                <w:rFonts w:ascii="Arial" w:cs="Arial" w:eastAsia="Arial" w:hAnsi="Arial"/>
                <w:sz w:val="10"/>
                <w:szCs w:val="10"/>
                <w:color w:val="auto"/>
              </w:rPr>
              <w:t>Capital contribution from Greenlight</w:t>
            </w:r>
          </w:p>
        </w:tc>
        <w:tc>
          <w:tcPr>
            <w:tcW w:w="116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1220" w:type="dxa"/>
            <w:vAlign w:val="bottom"/>
            <w:gridSpan w:val="2"/>
            <w:shd w:val="clear" w:color="auto" w:fill="CFF0FC"/>
          </w:tcPr>
          <w:p>
            <w:pPr>
              <w:jc w:val="right"/>
              <w:ind w:right="300"/>
              <w:spacing w:after="0" w:line="108" w:lineRule="exact"/>
              <w:rPr>
                <w:sz w:val="20"/>
                <w:szCs w:val="20"/>
                <w:color w:val="auto"/>
              </w:rPr>
            </w:pPr>
            <w:r>
              <w:rPr>
                <w:rFonts w:ascii="Arial" w:cs="Arial" w:eastAsia="Arial" w:hAnsi="Arial"/>
                <w:sz w:val="10"/>
                <w:szCs w:val="10"/>
                <w:color w:val="auto"/>
              </w:rPr>
              <w:t>—</w:t>
            </w:r>
          </w:p>
        </w:tc>
        <w:tc>
          <w:tcPr>
            <w:tcW w:w="320" w:type="dxa"/>
            <w:vAlign w:val="bottom"/>
            <w:shd w:val="clear" w:color="auto" w:fill="CFF0FC"/>
          </w:tcPr>
          <w:p>
            <w:pPr>
              <w:spacing w:after="0"/>
              <w:rPr>
                <w:sz w:val="9"/>
                <w:szCs w:val="9"/>
                <w:color w:val="auto"/>
              </w:rPr>
            </w:pPr>
          </w:p>
        </w:tc>
        <w:tc>
          <w:tcPr>
            <w:tcW w:w="900" w:type="dxa"/>
            <w:vAlign w:val="bottom"/>
            <w:shd w:val="clear" w:color="auto" w:fill="CFF0FC"/>
          </w:tcPr>
          <w:p>
            <w:pPr>
              <w:jc w:val="right"/>
              <w:spacing w:after="0" w:line="108" w:lineRule="exact"/>
              <w:rPr>
                <w:sz w:val="20"/>
                <w:szCs w:val="20"/>
                <w:color w:val="auto"/>
              </w:rPr>
            </w:pPr>
            <w:r>
              <w:rPr>
                <w:rFonts w:ascii="Arial" w:cs="Arial" w:eastAsia="Arial" w:hAnsi="Arial"/>
                <w:sz w:val="10"/>
                <w:szCs w:val="10"/>
                <w:color w:val="auto"/>
              </w:rPr>
              <w:t>169,259</w:t>
            </w:r>
          </w:p>
        </w:tc>
        <w:tc>
          <w:tcPr>
            <w:tcW w:w="28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240" w:type="dxa"/>
            <w:vAlign w:val="bottom"/>
            <w:tcBorders>
              <w:right w:val="single" w:sz="8" w:color="auto"/>
            </w:tcBorders>
            <w:gridSpan w:val="2"/>
            <w:shd w:val="clear" w:color="auto" w:fill="CFF0FC"/>
          </w:tcPr>
          <w:p>
            <w:pPr>
              <w:jc w:val="right"/>
              <w:ind w:right="220"/>
              <w:spacing w:after="0" w:line="108" w:lineRule="exact"/>
              <w:rPr>
                <w:sz w:val="20"/>
                <w:szCs w:val="20"/>
                <w:color w:val="auto"/>
              </w:rPr>
            </w:pPr>
            <w:r>
              <w:rPr>
                <w:rFonts w:ascii="Arial" w:cs="Arial" w:eastAsia="Arial" w:hAnsi="Arial"/>
                <w:sz w:val="10"/>
                <w:szCs w:val="10"/>
                <w:color w:val="auto"/>
              </w:rPr>
              <w:t>—</w:t>
            </w:r>
          </w:p>
        </w:tc>
        <w:tc>
          <w:tcPr>
            <w:tcW w:w="6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1160" w:type="dxa"/>
            <w:vAlign w:val="bottom"/>
            <w:gridSpan w:val="2"/>
            <w:shd w:val="clear" w:color="auto" w:fill="CFF0FC"/>
          </w:tcPr>
          <w:p>
            <w:pPr>
              <w:jc w:val="right"/>
              <w:ind w:right="140"/>
              <w:spacing w:after="0" w:line="108" w:lineRule="exact"/>
              <w:rPr>
                <w:sz w:val="20"/>
                <w:szCs w:val="20"/>
                <w:color w:val="auto"/>
              </w:rPr>
            </w:pPr>
            <w:r>
              <w:rPr>
                <w:rFonts w:ascii="Arial" w:cs="Arial" w:eastAsia="Arial" w:hAnsi="Arial"/>
                <w:sz w:val="10"/>
                <w:szCs w:val="10"/>
                <w:color w:val="auto"/>
              </w:rPr>
              <w:t>—</w:t>
            </w:r>
          </w:p>
        </w:tc>
      </w:tr>
      <w:tr>
        <w:trPr>
          <w:trHeight w:val="108"/>
        </w:trPr>
        <w:tc>
          <w:tcPr>
            <w:tcW w:w="4480" w:type="dxa"/>
            <w:vAlign w:val="bottom"/>
            <w:gridSpan w:val="2"/>
          </w:tcPr>
          <w:p>
            <w:pPr>
              <w:ind w:left="80"/>
              <w:spacing w:after="0" w:line="108" w:lineRule="exact"/>
              <w:rPr>
                <w:sz w:val="20"/>
                <w:szCs w:val="20"/>
                <w:color w:val="auto"/>
              </w:rPr>
            </w:pPr>
            <w:r>
              <w:rPr>
                <w:rFonts w:ascii="Arial" w:cs="Arial" w:eastAsia="Arial" w:hAnsi="Arial"/>
                <w:sz w:val="10"/>
                <w:szCs w:val="10"/>
                <w:color w:val="auto"/>
              </w:rPr>
              <w:t>Successor distribution to selling shareholders</w:t>
            </w:r>
          </w:p>
        </w:tc>
        <w:tc>
          <w:tcPr>
            <w:tcW w:w="1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2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w:t>
            </w:r>
          </w:p>
        </w:tc>
        <w:tc>
          <w:tcPr>
            <w:tcW w:w="320" w:type="dxa"/>
            <w:vAlign w:val="bottom"/>
          </w:tcPr>
          <w:p>
            <w:pPr>
              <w:spacing w:after="0"/>
              <w:rPr>
                <w:sz w:val="9"/>
                <w:szCs w:val="9"/>
                <w:color w:val="auto"/>
              </w:rPr>
            </w:pPr>
          </w:p>
        </w:tc>
        <w:tc>
          <w:tcPr>
            <w:tcW w:w="1180" w:type="dxa"/>
            <w:vAlign w:val="bottom"/>
            <w:gridSpan w:val="2"/>
          </w:tcPr>
          <w:p>
            <w:pPr>
              <w:jc w:val="right"/>
              <w:ind w:right="260"/>
              <w:spacing w:after="0" w:line="108" w:lineRule="exact"/>
              <w:rPr>
                <w:sz w:val="20"/>
                <w:szCs w:val="20"/>
                <w:color w:val="auto"/>
              </w:rPr>
            </w:pPr>
            <w:r>
              <w:rPr>
                <w:rFonts w:ascii="Arial" w:cs="Arial" w:eastAsia="Arial" w:hAnsi="Arial"/>
                <w:sz w:val="10"/>
                <w:szCs w:val="10"/>
                <w:color w:val="auto"/>
              </w:rPr>
              <w:t>(779,270)</w:t>
            </w:r>
          </w:p>
        </w:tc>
        <w:tc>
          <w:tcPr>
            <w:tcW w:w="200" w:type="dxa"/>
            <w:vAlign w:val="bottom"/>
          </w:tcPr>
          <w:p>
            <w:pPr>
              <w:spacing w:after="0"/>
              <w:rPr>
                <w:sz w:val="9"/>
                <w:szCs w:val="9"/>
                <w:color w:val="auto"/>
              </w:rPr>
            </w:pPr>
          </w:p>
        </w:tc>
        <w:tc>
          <w:tcPr>
            <w:tcW w:w="1240" w:type="dxa"/>
            <w:vAlign w:val="bottom"/>
            <w:tcBorders>
              <w:right w:val="single" w:sz="8" w:color="auto"/>
            </w:tcBorders>
            <w:gridSpan w:val="2"/>
          </w:tcPr>
          <w:p>
            <w:pPr>
              <w:jc w:val="right"/>
              <w:ind w:right="220"/>
              <w:spacing w:after="0" w:line="108"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60" w:type="dxa"/>
            <w:vAlign w:val="bottom"/>
            <w:gridSpan w:val="2"/>
          </w:tcPr>
          <w:p>
            <w:pPr>
              <w:jc w:val="right"/>
              <w:ind w:right="140"/>
              <w:spacing w:after="0" w:line="108" w:lineRule="exact"/>
              <w:rPr>
                <w:sz w:val="20"/>
                <w:szCs w:val="20"/>
                <w:color w:val="auto"/>
              </w:rPr>
            </w:pPr>
            <w:r>
              <w:rPr>
                <w:rFonts w:ascii="Arial" w:cs="Arial" w:eastAsia="Arial" w:hAnsi="Arial"/>
                <w:sz w:val="10"/>
                <w:szCs w:val="10"/>
                <w:color w:val="auto"/>
              </w:rPr>
              <w:t>—</w:t>
            </w:r>
          </w:p>
        </w:tc>
      </w:tr>
      <w:tr>
        <w:trPr>
          <w:trHeight w:val="108"/>
        </w:trPr>
        <w:tc>
          <w:tcPr>
            <w:tcW w:w="4480" w:type="dxa"/>
            <w:vAlign w:val="bottom"/>
            <w:gridSpan w:val="2"/>
            <w:shd w:val="clear" w:color="auto" w:fill="CFF0FC"/>
          </w:tcPr>
          <w:p>
            <w:pPr>
              <w:ind w:left="80"/>
              <w:spacing w:after="0" w:line="108" w:lineRule="exact"/>
              <w:rPr>
                <w:sz w:val="20"/>
                <w:szCs w:val="20"/>
                <w:color w:val="auto"/>
              </w:rPr>
            </w:pPr>
            <w:r>
              <w:rPr>
                <w:rFonts w:ascii="Arial" w:cs="Arial" w:eastAsia="Arial" w:hAnsi="Arial"/>
                <w:sz w:val="10"/>
                <w:szCs w:val="10"/>
                <w:color w:val="auto"/>
              </w:rPr>
              <w:t>Proceeds from issuance of common stock</w:t>
            </w:r>
          </w:p>
        </w:tc>
        <w:tc>
          <w:tcPr>
            <w:tcW w:w="116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1220" w:type="dxa"/>
            <w:vAlign w:val="bottom"/>
            <w:gridSpan w:val="2"/>
            <w:shd w:val="clear" w:color="auto" w:fill="CFF0FC"/>
          </w:tcPr>
          <w:p>
            <w:pPr>
              <w:jc w:val="right"/>
              <w:ind w:right="300"/>
              <w:spacing w:after="0" w:line="108" w:lineRule="exact"/>
              <w:rPr>
                <w:sz w:val="20"/>
                <w:szCs w:val="20"/>
                <w:color w:val="auto"/>
              </w:rPr>
            </w:pPr>
            <w:r>
              <w:rPr>
                <w:rFonts w:ascii="Arial" w:cs="Arial" w:eastAsia="Arial" w:hAnsi="Arial"/>
                <w:sz w:val="10"/>
                <w:szCs w:val="10"/>
                <w:color w:val="auto"/>
              </w:rPr>
              <w:t>—</w:t>
            </w:r>
          </w:p>
        </w:tc>
        <w:tc>
          <w:tcPr>
            <w:tcW w:w="320" w:type="dxa"/>
            <w:vAlign w:val="bottom"/>
            <w:shd w:val="clear" w:color="auto" w:fill="CFF0FC"/>
          </w:tcPr>
          <w:p>
            <w:pPr>
              <w:spacing w:after="0"/>
              <w:rPr>
                <w:sz w:val="9"/>
                <w:szCs w:val="9"/>
                <w:color w:val="auto"/>
              </w:rPr>
            </w:pPr>
          </w:p>
        </w:tc>
        <w:tc>
          <w:tcPr>
            <w:tcW w:w="1180" w:type="dxa"/>
            <w:vAlign w:val="bottom"/>
            <w:gridSpan w:val="2"/>
            <w:shd w:val="clear" w:color="auto" w:fill="CFF0FC"/>
          </w:tcPr>
          <w:p>
            <w:pPr>
              <w:jc w:val="right"/>
              <w:ind w:right="300"/>
              <w:spacing w:after="0" w:line="108" w:lineRule="exact"/>
              <w:rPr>
                <w:sz w:val="20"/>
                <w:szCs w:val="20"/>
                <w:color w:val="auto"/>
              </w:rPr>
            </w:pPr>
            <w:r>
              <w:rPr>
                <w:rFonts w:ascii="Arial" w:cs="Arial" w:eastAsia="Arial" w:hAnsi="Arial"/>
                <w:sz w:val="10"/>
                <w:szCs w:val="10"/>
                <w:color w:val="auto"/>
              </w:rPr>
              <w:t>—</w:t>
            </w:r>
          </w:p>
        </w:tc>
        <w:tc>
          <w:tcPr>
            <w:tcW w:w="200" w:type="dxa"/>
            <w:vAlign w:val="bottom"/>
            <w:shd w:val="clear" w:color="auto" w:fill="CFF0FC"/>
          </w:tcPr>
          <w:p>
            <w:pPr>
              <w:spacing w:after="0"/>
              <w:rPr>
                <w:sz w:val="9"/>
                <w:szCs w:val="9"/>
                <w:color w:val="auto"/>
              </w:rPr>
            </w:pPr>
          </w:p>
        </w:tc>
        <w:tc>
          <w:tcPr>
            <w:tcW w:w="1020" w:type="dxa"/>
            <w:vAlign w:val="bottom"/>
            <w:shd w:val="clear" w:color="auto" w:fill="CFF0FC"/>
          </w:tcPr>
          <w:p>
            <w:pPr>
              <w:jc w:val="right"/>
              <w:spacing w:after="0" w:line="108" w:lineRule="exact"/>
              <w:rPr>
                <w:sz w:val="20"/>
                <w:szCs w:val="20"/>
                <w:color w:val="auto"/>
              </w:rPr>
            </w:pPr>
            <w:r>
              <w:rPr>
                <w:rFonts w:ascii="Arial" w:cs="Arial" w:eastAsia="Arial" w:hAnsi="Arial"/>
                <w:sz w:val="10"/>
                <w:szCs w:val="10"/>
                <w:color w:val="auto"/>
              </w:rPr>
              <w:t>129,026</w:t>
            </w:r>
          </w:p>
        </w:tc>
        <w:tc>
          <w:tcPr>
            <w:tcW w:w="220" w:type="dxa"/>
            <w:vAlign w:val="bottom"/>
            <w:tcBorders>
              <w:right w:val="single" w:sz="8" w:color="auto"/>
            </w:tcBorders>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1160" w:type="dxa"/>
            <w:vAlign w:val="bottom"/>
            <w:gridSpan w:val="2"/>
            <w:shd w:val="clear" w:color="auto" w:fill="CFF0FC"/>
          </w:tcPr>
          <w:p>
            <w:pPr>
              <w:jc w:val="right"/>
              <w:ind w:right="140"/>
              <w:spacing w:after="0" w:line="108" w:lineRule="exact"/>
              <w:rPr>
                <w:sz w:val="20"/>
                <w:szCs w:val="20"/>
                <w:color w:val="auto"/>
              </w:rPr>
            </w:pPr>
            <w:r>
              <w:rPr>
                <w:rFonts w:ascii="Arial" w:cs="Arial" w:eastAsia="Arial" w:hAnsi="Arial"/>
                <w:sz w:val="10"/>
                <w:szCs w:val="10"/>
                <w:color w:val="auto"/>
              </w:rPr>
              <w:t>—</w:t>
            </w:r>
          </w:p>
        </w:tc>
      </w:tr>
      <w:tr>
        <w:trPr>
          <w:trHeight w:val="97"/>
        </w:trPr>
        <w:tc>
          <w:tcPr>
            <w:tcW w:w="4480" w:type="dxa"/>
            <w:vAlign w:val="bottom"/>
            <w:tcBorders>
              <w:bottom w:val="single" w:sz="8" w:color="CFF0FC"/>
            </w:tcBorders>
            <w:gridSpan w:val="2"/>
          </w:tcPr>
          <w:p>
            <w:pPr>
              <w:spacing w:after="0" w:line="97" w:lineRule="exact"/>
              <w:rPr>
                <w:sz w:val="20"/>
                <w:szCs w:val="20"/>
                <w:color w:val="auto"/>
              </w:rPr>
            </w:pPr>
            <w:r>
              <w:rPr>
                <w:rFonts w:ascii="Arial" w:cs="Arial" w:eastAsia="Arial" w:hAnsi="Arial"/>
                <w:sz w:val="10"/>
                <w:szCs w:val="10"/>
                <w:color w:val="auto"/>
              </w:rPr>
              <w:t>Net cash (used in) provided by financing activities</w:t>
            </w:r>
          </w:p>
        </w:tc>
        <w:tc>
          <w:tcPr>
            <w:tcW w:w="1160" w:type="dxa"/>
            <w:vAlign w:val="bottom"/>
            <w:tcBorders>
              <w:bottom w:val="single" w:sz="8" w:color="CFF0FC"/>
            </w:tcBorders>
          </w:tcPr>
          <w:p>
            <w:pPr>
              <w:spacing w:after="0"/>
              <w:rPr>
                <w:sz w:val="8"/>
                <w:szCs w:val="8"/>
                <w:color w:val="auto"/>
              </w:rPr>
            </w:pPr>
          </w:p>
        </w:tc>
        <w:tc>
          <w:tcPr>
            <w:tcW w:w="280" w:type="dxa"/>
            <w:vAlign w:val="bottom"/>
            <w:tcBorders>
              <w:top w:val="single" w:sz="8" w:color="auto"/>
              <w:bottom w:val="single" w:sz="8" w:color="auto"/>
            </w:tcBorders>
          </w:tcPr>
          <w:p>
            <w:pPr>
              <w:spacing w:after="0"/>
              <w:rPr>
                <w:sz w:val="8"/>
                <w:szCs w:val="8"/>
                <w:color w:val="auto"/>
              </w:rPr>
            </w:pPr>
          </w:p>
        </w:tc>
        <w:tc>
          <w:tcPr>
            <w:tcW w:w="920" w:type="dxa"/>
            <w:vAlign w:val="bottom"/>
            <w:tcBorders>
              <w:top w:val="single" w:sz="8" w:color="auto"/>
              <w:bottom w:val="single" w:sz="8" w:color="auto"/>
            </w:tcBorders>
          </w:tcPr>
          <w:p>
            <w:pPr>
              <w:jc w:val="right"/>
              <w:spacing w:after="0" w:line="97" w:lineRule="exact"/>
              <w:rPr>
                <w:sz w:val="20"/>
                <w:szCs w:val="20"/>
                <w:color w:val="auto"/>
              </w:rPr>
            </w:pPr>
            <w:r>
              <w:rPr>
                <w:rFonts w:ascii="Arial" w:cs="Arial" w:eastAsia="Arial" w:hAnsi="Arial"/>
                <w:sz w:val="10"/>
                <w:szCs w:val="10"/>
                <w:color w:val="auto"/>
              </w:rPr>
              <w:t>(14,520)</w:t>
            </w:r>
          </w:p>
        </w:tc>
        <w:tc>
          <w:tcPr>
            <w:tcW w:w="300" w:type="dxa"/>
            <w:vAlign w:val="bottom"/>
            <w:tcBorders>
              <w:bottom w:val="single" w:sz="8" w:color="CFF0FC"/>
            </w:tcBorders>
          </w:tcPr>
          <w:p>
            <w:pPr>
              <w:spacing w:after="0"/>
              <w:rPr>
                <w:sz w:val="8"/>
                <w:szCs w:val="8"/>
                <w:color w:val="auto"/>
              </w:rPr>
            </w:pPr>
          </w:p>
        </w:tc>
        <w:tc>
          <w:tcPr>
            <w:tcW w:w="320" w:type="dxa"/>
            <w:vAlign w:val="bottom"/>
            <w:tcBorders>
              <w:top w:val="single" w:sz="8" w:color="auto"/>
              <w:bottom w:val="single" w:sz="8" w:color="auto"/>
            </w:tcBorders>
          </w:tcPr>
          <w:p>
            <w:pPr>
              <w:spacing w:after="0"/>
              <w:rPr>
                <w:sz w:val="8"/>
                <w:szCs w:val="8"/>
                <w:color w:val="auto"/>
              </w:rPr>
            </w:pPr>
          </w:p>
        </w:tc>
        <w:tc>
          <w:tcPr>
            <w:tcW w:w="900" w:type="dxa"/>
            <w:vAlign w:val="bottom"/>
            <w:tcBorders>
              <w:top w:val="single" w:sz="8" w:color="auto"/>
              <w:bottom w:val="single" w:sz="8" w:color="auto"/>
            </w:tcBorders>
          </w:tcPr>
          <w:p>
            <w:pPr>
              <w:jc w:val="right"/>
              <w:spacing w:after="0" w:line="97" w:lineRule="exact"/>
              <w:rPr>
                <w:sz w:val="20"/>
                <w:szCs w:val="20"/>
                <w:color w:val="auto"/>
              </w:rPr>
            </w:pPr>
            <w:r>
              <w:rPr>
                <w:rFonts w:ascii="Arial" w:cs="Arial" w:eastAsia="Arial" w:hAnsi="Arial"/>
                <w:sz w:val="10"/>
                <w:szCs w:val="10"/>
                <w:color w:val="auto"/>
              </w:rPr>
              <w:t>574,268</w:t>
            </w:r>
          </w:p>
        </w:tc>
        <w:tc>
          <w:tcPr>
            <w:tcW w:w="280" w:type="dxa"/>
            <w:vAlign w:val="bottom"/>
            <w:tcBorders>
              <w:bottom w:val="single" w:sz="8" w:color="CFF0FC"/>
            </w:tcBorders>
          </w:tcPr>
          <w:p>
            <w:pPr>
              <w:spacing w:after="0"/>
              <w:rPr>
                <w:sz w:val="8"/>
                <w:szCs w:val="8"/>
                <w:color w:val="auto"/>
              </w:rPr>
            </w:pPr>
          </w:p>
        </w:tc>
        <w:tc>
          <w:tcPr>
            <w:tcW w:w="200" w:type="dxa"/>
            <w:vAlign w:val="bottom"/>
            <w:tcBorders>
              <w:top w:val="single" w:sz="8" w:color="auto"/>
              <w:bottom w:val="single" w:sz="8" w:color="auto"/>
            </w:tcBorders>
          </w:tcPr>
          <w:p>
            <w:pPr>
              <w:spacing w:after="0"/>
              <w:rPr>
                <w:sz w:val="8"/>
                <w:szCs w:val="8"/>
                <w:color w:val="auto"/>
              </w:rPr>
            </w:pPr>
          </w:p>
        </w:tc>
        <w:tc>
          <w:tcPr>
            <w:tcW w:w="1020" w:type="dxa"/>
            <w:vAlign w:val="bottom"/>
            <w:tcBorders>
              <w:top w:val="single" w:sz="8" w:color="auto"/>
              <w:bottom w:val="single" w:sz="8" w:color="auto"/>
            </w:tcBorders>
          </w:tcPr>
          <w:p>
            <w:pPr>
              <w:jc w:val="right"/>
              <w:spacing w:after="0" w:line="97" w:lineRule="exact"/>
              <w:rPr>
                <w:sz w:val="20"/>
                <w:szCs w:val="20"/>
                <w:color w:val="auto"/>
              </w:rPr>
            </w:pPr>
            <w:r>
              <w:rPr>
                <w:rFonts w:ascii="Arial" w:cs="Arial" w:eastAsia="Arial" w:hAnsi="Arial"/>
                <w:sz w:val="10"/>
                <w:szCs w:val="10"/>
                <w:color w:val="auto"/>
              </w:rPr>
              <w:t>555,734</w:t>
            </w:r>
          </w:p>
        </w:tc>
        <w:tc>
          <w:tcPr>
            <w:tcW w:w="220" w:type="dxa"/>
            <w:vAlign w:val="bottom"/>
            <w:tcBorders>
              <w:bottom w:val="single" w:sz="8" w:color="CFF0FC"/>
              <w:right w:val="single" w:sz="8" w:color="auto"/>
            </w:tcBorders>
          </w:tcPr>
          <w:p>
            <w:pPr>
              <w:spacing w:after="0"/>
              <w:rPr>
                <w:sz w:val="8"/>
                <w:szCs w:val="8"/>
                <w:color w:val="auto"/>
              </w:rPr>
            </w:pPr>
          </w:p>
        </w:tc>
        <w:tc>
          <w:tcPr>
            <w:tcW w:w="60" w:type="dxa"/>
            <w:vAlign w:val="bottom"/>
            <w:tcBorders>
              <w:bottom w:val="single" w:sz="8" w:color="CFF0FC"/>
            </w:tcBorders>
          </w:tcPr>
          <w:p>
            <w:pPr>
              <w:spacing w:after="0"/>
              <w:rPr>
                <w:sz w:val="8"/>
                <w:szCs w:val="8"/>
                <w:color w:val="auto"/>
              </w:rPr>
            </w:pPr>
          </w:p>
        </w:tc>
        <w:tc>
          <w:tcPr>
            <w:tcW w:w="180" w:type="dxa"/>
            <w:vAlign w:val="bottom"/>
            <w:tcBorders>
              <w:top w:val="single" w:sz="8" w:color="auto"/>
              <w:bottom w:val="single" w:sz="8" w:color="auto"/>
            </w:tcBorders>
          </w:tcPr>
          <w:p>
            <w:pPr>
              <w:spacing w:after="0"/>
              <w:rPr>
                <w:sz w:val="8"/>
                <w:szCs w:val="8"/>
                <w:color w:val="auto"/>
              </w:rPr>
            </w:pPr>
          </w:p>
        </w:tc>
        <w:tc>
          <w:tcPr>
            <w:tcW w:w="1040" w:type="dxa"/>
            <w:vAlign w:val="bottom"/>
            <w:tcBorders>
              <w:top w:val="single" w:sz="8" w:color="auto"/>
              <w:bottom w:val="single" w:sz="8" w:color="auto"/>
            </w:tcBorders>
          </w:tcPr>
          <w:p>
            <w:pPr>
              <w:jc w:val="right"/>
              <w:spacing w:after="0" w:line="97" w:lineRule="exact"/>
              <w:rPr>
                <w:sz w:val="20"/>
                <w:szCs w:val="20"/>
                <w:color w:val="auto"/>
              </w:rPr>
            </w:pPr>
            <w:r>
              <w:rPr>
                <w:rFonts w:ascii="Arial" w:cs="Arial" w:eastAsia="Arial" w:hAnsi="Arial"/>
                <w:sz w:val="10"/>
                <w:szCs w:val="10"/>
                <w:color w:val="auto"/>
              </w:rPr>
              <w:t>(27,491)</w:t>
            </w:r>
          </w:p>
        </w:tc>
        <w:tc>
          <w:tcPr>
            <w:tcW w:w="120" w:type="dxa"/>
            <w:vAlign w:val="bottom"/>
            <w:tcBorders>
              <w:bottom w:val="single" w:sz="8" w:color="CFF0FC"/>
            </w:tcBorders>
          </w:tcPr>
          <w:p>
            <w:pPr>
              <w:spacing w:after="0"/>
              <w:rPr>
                <w:sz w:val="8"/>
                <w:szCs w:val="8"/>
                <w:color w:val="auto"/>
              </w:rPr>
            </w:pPr>
          </w:p>
        </w:tc>
      </w:tr>
      <w:tr>
        <w:trPr>
          <w:trHeight w:val="97"/>
        </w:trPr>
        <w:tc>
          <w:tcPr>
            <w:tcW w:w="4480" w:type="dxa"/>
            <w:vAlign w:val="bottom"/>
            <w:gridSpan w:val="2"/>
            <w:shd w:val="clear" w:color="auto" w:fill="CFF0FC"/>
          </w:tcPr>
          <w:p>
            <w:pPr>
              <w:spacing w:after="0" w:line="97" w:lineRule="exact"/>
              <w:rPr>
                <w:sz w:val="20"/>
                <w:szCs w:val="20"/>
                <w:color w:val="auto"/>
              </w:rPr>
            </w:pPr>
            <w:r>
              <w:rPr>
                <w:rFonts w:ascii="Arial" w:cs="Arial" w:eastAsia="Arial" w:hAnsi="Arial"/>
                <w:sz w:val="10"/>
                <w:szCs w:val="10"/>
                <w:color w:val="auto"/>
              </w:rPr>
              <w:t>Effect of exchange rate changes on cash and cash equivalents</w:t>
            </w:r>
          </w:p>
        </w:tc>
        <w:tc>
          <w:tcPr>
            <w:tcW w:w="1160" w:type="dxa"/>
            <w:vAlign w:val="bottom"/>
            <w:shd w:val="clear" w:color="auto" w:fill="CFF0FC"/>
          </w:tcPr>
          <w:p>
            <w:pPr>
              <w:spacing w:after="0"/>
              <w:rPr>
                <w:sz w:val="8"/>
                <w:szCs w:val="8"/>
                <w:color w:val="auto"/>
              </w:rPr>
            </w:pPr>
          </w:p>
        </w:tc>
        <w:tc>
          <w:tcPr>
            <w:tcW w:w="280" w:type="dxa"/>
            <w:vAlign w:val="bottom"/>
            <w:tcBorders>
              <w:bottom w:val="single" w:sz="8" w:color="auto"/>
            </w:tcBorders>
            <w:shd w:val="clear" w:color="auto" w:fill="CFF0FC"/>
          </w:tcPr>
          <w:p>
            <w:pPr>
              <w:spacing w:after="0"/>
              <w:rPr>
                <w:sz w:val="8"/>
                <w:szCs w:val="8"/>
                <w:color w:val="auto"/>
              </w:rPr>
            </w:pPr>
          </w:p>
        </w:tc>
        <w:tc>
          <w:tcPr>
            <w:tcW w:w="920" w:type="dxa"/>
            <w:vAlign w:val="bottom"/>
            <w:tcBorders>
              <w:bottom w:val="single" w:sz="8" w:color="auto"/>
            </w:tcBorders>
            <w:shd w:val="clear" w:color="auto" w:fill="CFF0FC"/>
          </w:tcPr>
          <w:p>
            <w:pPr>
              <w:jc w:val="right"/>
              <w:spacing w:after="0" w:line="97" w:lineRule="exact"/>
              <w:rPr>
                <w:sz w:val="20"/>
                <w:szCs w:val="20"/>
                <w:color w:val="auto"/>
              </w:rPr>
            </w:pPr>
            <w:r>
              <w:rPr>
                <w:rFonts w:ascii="Arial" w:cs="Arial" w:eastAsia="Arial" w:hAnsi="Arial"/>
                <w:sz w:val="10"/>
                <w:szCs w:val="10"/>
                <w:color w:val="auto"/>
              </w:rPr>
              <w:t>1,040</w:t>
            </w:r>
          </w:p>
        </w:tc>
        <w:tc>
          <w:tcPr>
            <w:tcW w:w="300" w:type="dxa"/>
            <w:vAlign w:val="bottom"/>
            <w:shd w:val="clear" w:color="auto" w:fill="CFF0FC"/>
          </w:tcPr>
          <w:p>
            <w:pPr>
              <w:spacing w:after="0"/>
              <w:rPr>
                <w:sz w:val="8"/>
                <w:szCs w:val="8"/>
                <w:color w:val="auto"/>
              </w:rPr>
            </w:pPr>
          </w:p>
        </w:tc>
        <w:tc>
          <w:tcPr>
            <w:tcW w:w="320" w:type="dxa"/>
            <w:vAlign w:val="bottom"/>
            <w:tcBorders>
              <w:bottom w:val="single" w:sz="8" w:color="auto"/>
            </w:tcBorders>
            <w:shd w:val="clear" w:color="auto" w:fill="CFF0FC"/>
          </w:tcPr>
          <w:p>
            <w:pPr>
              <w:spacing w:after="0"/>
              <w:rPr>
                <w:sz w:val="8"/>
                <w:szCs w:val="8"/>
                <w:color w:val="auto"/>
              </w:rPr>
            </w:pPr>
          </w:p>
        </w:tc>
        <w:tc>
          <w:tcPr>
            <w:tcW w:w="900" w:type="dxa"/>
            <w:vAlign w:val="bottom"/>
            <w:tcBorders>
              <w:bottom w:val="single" w:sz="8" w:color="auto"/>
            </w:tcBorders>
            <w:shd w:val="clear" w:color="auto" w:fill="CFF0FC"/>
          </w:tcPr>
          <w:p>
            <w:pPr>
              <w:jc w:val="right"/>
              <w:spacing w:after="0" w:line="97" w:lineRule="exact"/>
              <w:rPr>
                <w:sz w:val="20"/>
                <w:szCs w:val="20"/>
                <w:color w:val="auto"/>
              </w:rPr>
            </w:pPr>
            <w:r>
              <w:rPr>
                <w:rFonts w:ascii="Arial" w:cs="Arial" w:eastAsia="Arial" w:hAnsi="Arial"/>
                <w:sz w:val="10"/>
                <w:szCs w:val="10"/>
                <w:color w:val="auto"/>
              </w:rPr>
              <w:t>(856)</w:t>
            </w:r>
          </w:p>
        </w:tc>
        <w:tc>
          <w:tcPr>
            <w:tcW w:w="280" w:type="dxa"/>
            <w:vAlign w:val="bottom"/>
            <w:shd w:val="clear" w:color="auto" w:fill="CFF0FC"/>
          </w:tcPr>
          <w:p>
            <w:pPr>
              <w:spacing w:after="0"/>
              <w:rPr>
                <w:sz w:val="8"/>
                <w:szCs w:val="8"/>
                <w:color w:val="auto"/>
              </w:rPr>
            </w:pPr>
          </w:p>
        </w:tc>
        <w:tc>
          <w:tcPr>
            <w:tcW w:w="200" w:type="dxa"/>
            <w:vAlign w:val="bottom"/>
            <w:tcBorders>
              <w:bottom w:val="single" w:sz="8" w:color="auto"/>
            </w:tcBorders>
            <w:shd w:val="clear" w:color="auto" w:fill="CFF0FC"/>
          </w:tcPr>
          <w:p>
            <w:pPr>
              <w:spacing w:after="0"/>
              <w:rPr>
                <w:sz w:val="8"/>
                <w:szCs w:val="8"/>
                <w:color w:val="auto"/>
              </w:rPr>
            </w:pPr>
          </w:p>
        </w:tc>
        <w:tc>
          <w:tcPr>
            <w:tcW w:w="1020" w:type="dxa"/>
            <w:vAlign w:val="bottom"/>
            <w:tcBorders>
              <w:bottom w:val="single" w:sz="8" w:color="auto"/>
            </w:tcBorders>
            <w:shd w:val="clear" w:color="auto" w:fill="CFF0FC"/>
          </w:tcPr>
          <w:p>
            <w:pPr>
              <w:jc w:val="right"/>
              <w:spacing w:after="0" w:line="97" w:lineRule="exact"/>
              <w:rPr>
                <w:sz w:val="20"/>
                <w:szCs w:val="20"/>
                <w:color w:val="auto"/>
              </w:rPr>
            </w:pPr>
            <w:r>
              <w:rPr>
                <w:rFonts w:ascii="Arial" w:cs="Arial" w:eastAsia="Arial" w:hAnsi="Arial"/>
                <w:sz w:val="10"/>
                <w:szCs w:val="10"/>
                <w:color w:val="auto"/>
              </w:rPr>
              <w:t>—</w:t>
            </w:r>
          </w:p>
        </w:tc>
        <w:tc>
          <w:tcPr>
            <w:tcW w:w="220" w:type="dxa"/>
            <w:vAlign w:val="bottom"/>
            <w:tcBorders>
              <w:right w:val="single" w:sz="8" w:color="auto"/>
            </w:tcBorders>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180" w:type="dxa"/>
            <w:vAlign w:val="bottom"/>
            <w:tcBorders>
              <w:bottom w:val="single" w:sz="8" w:color="auto"/>
            </w:tcBorders>
            <w:shd w:val="clear" w:color="auto" w:fill="CFF0FC"/>
          </w:tcPr>
          <w:p>
            <w:pPr>
              <w:spacing w:after="0"/>
              <w:rPr>
                <w:sz w:val="8"/>
                <w:szCs w:val="8"/>
                <w:color w:val="auto"/>
              </w:rPr>
            </w:pPr>
          </w:p>
        </w:tc>
        <w:tc>
          <w:tcPr>
            <w:tcW w:w="1040" w:type="dxa"/>
            <w:vAlign w:val="bottom"/>
            <w:tcBorders>
              <w:bottom w:val="single" w:sz="8" w:color="auto"/>
            </w:tcBorders>
            <w:shd w:val="clear" w:color="auto" w:fill="CFF0FC"/>
          </w:tcPr>
          <w:p>
            <w:pPr>
              <w:jc w:val="right"/>
              <w:spacing w:after="0" w:line="97" w:lineRule="exact"/>
              <w:rPr>
                <w:sz w:val="20"/>
                <w:szCs w:val="20"/>
                <w:color w:val="auto"/>
              </w:rPr>
            </w:pPr>
            <w:r>
              <w:rPr>
                <w:rFonts w:ascii="Arial" w:cs="Arial" w:eastAsia="Arial" w:hAnsi="Arial"/>
                <w:sz w:val="10"/>
                <w:szCs w:val="10"/>
                <w:color w:val="auto"/>
              </w:rPr>
              <w:t>—</w:t>
            </w:r>
          </w:p>
        </w:tc>
        <w:tc>
          <w:tcPr>
            <w:tcW w:w="120" w:type="dxa"/>
            <w:vAlign w:val="bottom"/>
            <w:shd w:val="clear" w:color="auto" w:fill="CFF0FC"/>
          </w:tcPr>
          <w:p>
            <w:pPr>
              <w:spacing w:after="0"/>
              <w:rPr>
                <w:sz w:val="8"/>
                <w:szCs w:val="8"/>
                <w:color w:val="auto"/>
              </w:rPr>
            </w:pPr>
          </w:p>
        </w:tc>
      </w:tr>
      <w:tr>
        <w:trPr>
          <w:trHeight w:val="97"/>
        </w:trPr>
        <w:tc>
          <w:tcPr>
            <w:tcW w:w="4480" w:type="dxa"/>
            <w:vAlign w:val="bottom"/>
            <w:gridSpan w:val="2"/>
          </w:tcPr>
          <w:p>
            <w:pPr>
              <w:spacing w:after="0" w:line="97" w:lineRule="exact"/>
              <w:rPr>
                <w:sz w:val="20"/>
                <w:szCs w:val="20"/>
                <w:color w:val="auto"/>
              </w:rPr>
            </w:pPr>
            <w:r>
              <w:rPr>
                <w:rFonts w:ascii="Arial" w:cs="Arial" w:eastAsia="Arial" w:hAnsi="Arial"/>
                <w:sz w:val="10"/>
                <w:szCs w:val="10"/>
                <w:color w:val="auto"/>
              </w:rPr>
              <w:t>Net increase in cash, cash equivalents and restricted cash</w:t>
            </w:r>
          </w:p>
        </w:tc>
        <w:tc>
          <w:tcPr>
            <w:tcW w:w="1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920" w:type="dxa"/>
            <w:vAlign w:val="bottom"/>
          </w:tcPr>
          <w:p>
            <w:pPr>
              <w:jc w:val="right"/>
              <w:spacing w:after="0" w:line="97" w:lineRule="exact"/>
              <w:rPr>
                <w:sz w:val="20"/>
                <w:szCs w:val="20"/>
                <w:color w:val="auto"/>
              </w:rPr>
            </w:pPr>
            <w:r>
              <w:rPr>
                <w:rFonts w:ascii="Arial" w:cs="Arial" w:eastAsia="Arial" w:hAnsi="Arial"/>
                <w:sz w:val="10"/>
                <w:szCs w:val="10"/>
                <w:color w:val="auto"/>
              </w:rPr>
              <w:t>65,349</w:t>
            </w:r>
          </w:p>
        </w:tc>
        <w:tc>
          <w:tcPr>
            <w:tcW w:w="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900" w:type="dxa"/>
            <w:vAlign w:val="bottom"/>
          </w:tcPr>
          <w:p>
            <w:pPr>
              <w:jc w:val="right"/>
              <w:spacing w:after="0" w:line="97" w:lineRule="exact"/>
              <w:rPr>
                <w:sz w:val="20"/>
                <w:szCs w:val="20"/>
                <w:color w:val="auto"/>
              </w:rPr>
            </w:pPr>
            <w:r>
              <w:rPr>
                <w:rFonts w:ascii="Arial" w:cs="Arial" w:eastAsia="Arial" w:hAnsi="Arial"/>
                <w:sz w:val="10"/>
                <w:szCs w:val="10"/>
                <w:color w:val="auto"/>
              </w:rPr>
              <w:t>56,572</w:t>
            </w: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20" w:type="dxa"/>
            <w:vAlign w:val="bottom"/>
          </w:tcPr>
          <w:p>
            <w:pPr>
              <w:jc w:val="right"/>
              <w:spacing w:after="0" w:line="97" w:lineRule="exact"/>
              <w:rPr>
                <w:sz w:val="20"/>
                <w:szCs w:val="20"/>
                <w:color w:val="auto"/>
              </w:rPr>
            </w:pPr>
            <w:r>
              <w:rPr>
                <w:rFonts w:ascii="Arial" w:cs="Arial" w:eastAsia="Arial" w:hAnsi="Arial"/>
                <w:sz w:val="10"/>
                <w:szCs w:val="10"/>
                <w:color w:val="auto"/>
              </w:rPr>
              <w:t>10,509</w:t>
            </w:r>
          </w:p>
        </w:tc>
        <w:tc>
          <w:tcPr>
            <w:tcW w:w="220" w:type="dxa"/>
            <w:vAlign w:val="bottom"/>
            <w:tcBorders>
              <w:right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40" w:type="dxa"/>
            <w:vAlign w:val="bottom"/>
          </w:tcPr>
          <w:p>
            <w:pPr>
              <w:jc w:val="right"/>
              <w:spacing w:after="0" w:line="97" w:lineRule="exact"/>
              <w:rPr>
                <w:sz w:val="20"/>
                <w:szCs w:val="20"/>
                <w:color w:val="auto"/>
              </w:rPr>
            </w:pPr>
            <w:r>
              <w:rPr>
                <w:rFonts w:ascii="Arial" w:cs="Arial" w:eastAsia="Arial" w:hAnsi="Arial"/>
                <w:sz w:val="10"/>
                <w:szCs w:val="10"/>
                <w:color w:val="auto"/>
              </w:rPr>
              <w:t>5,556</w:t>
            </w:r>
          </w:p>
        </w:tc>
        <w:tc>
          <w:tcPr>
            <w:tcW w:w="120" w:type="dxa"/>
            <w:vAlign w:val="bottom"/>
          </w:tcPr>
          <w:p>
            <w:pPr>
              <w:spacing w:after="0"/>
              <w:rPr>
                <w:sz w:val="8"/>
                <w:szCs w:val="8"/>
                <w:color w:val="auto"/>
              </w:rPr>
            </w:pPr>
          </w:p>
        </w:tc>
      </w:tr>
      <w:tr>
        <w:trPr>
          <w:trHeight w:val="108"/>
        </w:trPr>
        <w:tc>
          <w:tcPr>
            <w:tcW w:w="4480" w:type="dxa"/>
            <w:vAlign w:val="bottom"/>
            <w:gridSpan w:val="2"/>
            <w:shd w:val="clear" w:color="auto" w:fill="CFF0FC"/>
          </w:tcPr>
          <w:p>
            <w:pPr>
              <w:spacing w:after="0" w:line="108" w:lineRule="exact"/>
              <w:rPr>
                <w:sz w:val="20"/>
                <w:szCs w:val="20"/>
                <w:color w:val="auto"/>
              </w:rPr>
            </w:pPr>
            <w:r>
              <w:rPr>
                <w:rFonts w:ascii="Arial" w:cs="Arial" w:eastAsia="Arial" w:hAnsi="Arial"/>
                <w:sz w:val="10"/>
                <w:szCs w:val="10"/>
                <w:color w:val="auto"/>
              </w:rPr>
              <w:t>Cash, cash equivalents and restricted cash - beginning of period</w:t>
            </w:r>
          </w:p>
        </w:tc>
        <w:tc>
          <w:tcPr>
            <w:tcW w:w="116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920" w:type="dxa"/>
            <w:vAlign w:val="bottom"/>
            <w:shd w:val="clear" w:color="auto" w:fill="CFF0FC"/>
          </w:tcPr>
          <w:p>
            <w:pPr>
              <w:jc w:val="right"/>
              <w:spacing w:after="0" w:line="108" w:lineRule="exact"/>
              <w:rPr>
                <w:sz w:val="20"/>
                <w:szCs w:val="20"/>
                <w:color w:val="auto"/>
              </w:rPr>
            </w:pPr>
            <w:r>
              <w:rPr>
                <w:rFonts w:ascii="Arial" w:cs="Arial" w:eastAsia="Arial" w:hAnsi="Arial"/>
                <w:sz w:val="10"/>
                <w:szCs w:val="10"/>
                <w:color w:val="auto"/>
              </w:rPr>
              <w:t>67,081</w:t>
            </w:r>
          </w:p>
        </w:tc>
        <w:tc>
          <w:tcPr>
            <w:tcW w:w="30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900" w:type="dxa"/>
            <w:vAlign w:val="bottom"/>
            <w:shd w:val="clear" w:color="auto" w:fill="CFF0FC"/>
          </w:tcPr>
          <w:p>
            <w:pPr>
              <w:jc w:val="right"/>
              <w:spacing w:after="0" w:line="108" w:lineRule="exact"/>
              <w:rPr>
                <w:sz w:val="20"/>
                <w:szCs w:val="20"/>
                <w:color w:val="auto"/>
              </w:rPr>
            </w:pPr>
            <w:r>
              <w:rPr>
                <w:rFonts w:ascii="Arial" w:cs="Arial" w:eastAsia="Arial" w:hAnsi="Arial"/>
                <w:sz w:val="10"/>
                <w:szCs w:val="10"/>
                <w:color w:val="auto"/>
              </w:rPr>
              <w:t>10,509</w:t>
            </w:r>
          </w:p>
        </w:tc>
        <w:tc>
          <w:tcPr>
            <w:tcW w:w="28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240" w:type="dxa"/>
            <w:vAlign w:val="bottom"/>
            <w:tcBorders>
              <w:right w:val="single" w:sz="8" w:color="auto"/>
            </w:tcBorders>
            <w:gridSpan w:val="2"/>
            <w:shd w:val="clear" w:color="auto" w:fill="CFF0FC"/>
          </w:tcPr>
          <w:p>
            <w:pPr>
              <w:jc w:val="right"/>
              <w:ind w:right="220"/>
              <w:spacing w:after="0" w:line="108" w:lineRule="exact"/>
              <w:rPr>
                <w:sz w:val="20"/>
                <w:szCs w:val="20"/>
                <w:color w:val="auto"/>
              </w:rPr>
            </w:pPr>
            <w:r>
              <w:rPr>
                <w:rFonts w:ascii="Arial" w:cs="Arial" w:eastAsia="Arial" w:hAnsi="Arial"/>
                <w:sz w:val="10"/>
                <w:szCs w:val="10"/>
                <w:color w:val="auto"/>
              </w:rPr>
              <w:t>—</w:t>
            </w:r>
          </w:p>
        </w:tc>
        <w:tc>
          <w:tcPr>
            <w:tcW w:w="6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1040" w:type="dxa"/>
            <w:vAlign w:val="bottom"/>
            <w:shd w:val="clear" w:color="auto" w:fill="CFF0FC"/>
          </w:tcPr>
          <w:p>
            <w:pPr>
              <w:jc w:val="right"/>
              <w:spacing w:after="0" w:line="108" w:lineRule="exact"/>
              <w:rPr>
                <w:sz w:val="20"/>
                <w:szCs w:val="20"/>
                <w:color w:val="auto"/>
              </w:rPr>
            </w:pPr>
            <w:r>
              <w:rPr>
                <w:rFonts w:ascii="Arial" w:cs="Arial" w:eastAsia="Arial" w:hAnsi="Arial"/>
                <w:sz w:val="10"/>
                <w:szCs w:val="10"/>
                <w:color w:val="auto"/>
              </w:rPr>
              <w:t>4,346</w:t>
            </w:r>
          </w:p>
        </w:tc>
        <w:tc>
          <w:tcPr>
            <w:tcW w:w="120" w:type="dxa"/>
            <w:vAlign w:val="bottom"/>
            <w:shd w:val="clear" w:color="auto" w:fill="CFF0FC"/>
          </w:tcPr>
          <w:p>
            <w:pPr>
              <w:spacing w:after="0"/>
              <w:rPr>
                <w:sz w:val="9"/>
                <w:szCs w:val="9"/>
                <w:color w:val="auto"/>
              </w:rPr>
            </w:pPr>
          </w:p>
        </w:tc>
      </w:tr>
      <w:tr>
        <w:trPr>
          <w:trHeight w:val="104"/>
        </w:trPr>
        <w:tc>
          <w:tcPr>
            <w:tcW w:w="4480" w:type="dxa"/>
            <w:vAlign w:val="bottom"/>
            <w:gridSpan w:val="2"/>
          </w:tcPr>
          <w:p>
            <w:pPr>
              <w:spacing w:after="0" w:line="97" w:lineRule="exact"/>
              <w:rPr>
                <w:sz w:val="20"/>
                <w:szCs w:val="20"/>
                <w:color w:val="auto"/>
              </w:rPr>
            </w:pPr>
            <w:r>
              <w:rPr>
                <w:rFonts w:ascii="Arial" w:cs="Arial" w:eastAsia="Arial" w:hAnsi="Arial"/>
                <w:sz w:val="10"/>
                <w:szCs w:val="10"/>
                <w:color w:val="auto"/>
              </w:rPr>
              <w:t>Cash, cash equivalents and restricted cash - end of period</w:t>
            </w:r>
          </w:p>
        </w:tc>
        <w:tc>
          <w:tcPr>
            <w:tcW w:w="1160" w:type="dxa"/>
            <w:vAlign w:val="bottom"/>
          </w:tcPr>
          <w:p>
            <w:pPr>
              <w:spacing w:after="0"/>
              <w:rPr>
                <w:sz w:val="9"/>
                <w:szCs w:val="9"/>
                <w:color w:val="auto"/>
              </w:rPr>
            </w:pPr>
          </w:p>
        </w:tc>
        <w:tc>
          <w:tcPr>
            <w:tcW w:w="280" w:type="dxa"/>
            <w:vAlign w:val="bottom"/>
            <w:tcBorders>
              <w:top w:val="single" w:sz="8" w:color="auto"/>
              <w:bottom w:val="single" w:sz="8" w:color="auto"/>
            </w:tcBorders>
          </w:tcPr>
          <w:p>
            <w:pPr>
              <w:jc w:val="right"/>
              <w:ind w:right="216"/>
              <w:spacing w:after="0"/>
              <w:rPr>
                <w:sz w:val="20"/>
                <w:szCs w:val="20"/>
                <w:color w:val="auto"/>
              </w:rPr>
            </w:pPr>
            <w:r>
              <w:rPr>
                <w:rFonts w:ascii="Arial" w:cs="Arial" w:eastAsia="Arial" w:hAnsi="Arial"/>
                <w:sz w:val="5"/>
                <w:szCs w:val="5"/>
                <w:color w:val="auto"/>
                <w:w w:val="70"/>
              </w:rPr>
              <w:t>$</w:t>
            </w:r>
          </w:p>
        </w:tc>
        <w:tc>
          <w:tcPr>
            <w:tcW w:w="920" w:type="dxa"/>
            <w:vAlign w:val="bottom"/>
            <w:tcBorders>
              <w:top w:val="single" w:sz="8" w:color="auto"/>
              <w:bottom w:val="single" w:sz="8" w:color="auto"/>
            </w:tcBorders>
          </w:tcPr>
          <w:p>
            <w:pPr>
              <w:jc w:val="right"/>
              <w:spacing w:after="0" w:line="97" w:lineRule="exact"/>
              <w:rPr>
                <w:sz w:val="20"/>
                <w:szCs w:val="20"/>
                <w:color w:val="auto"/>
              </w:rPr>
            </w:pPr>
            <w:r>
              <w:rPr>
                <w:rFonts w:ascii="Arial" w:cs="Arial" w:eastAsia="Arial" w:hAnsi="Arial"/>
                <w:sz w:val="10"/>
                <w:szCs w:val="10"/>
                <w:color w:val="auto"/>
              </w:rPr>
              <w:t>132,430</w:t>
            </w:r>
          </w:p>
        </w:tc>
        <w:tc>
          <w:tcPr>
            <w:tcW w:w="300" w:type="dxa"/>
            <w:vAlign w:val="bottom"/>
          </w:tcPr>
          <w:p>
            <w:pPr>
              <w:spacing w:after="0"/>
              <w:rPr>
                <w:sz w:val="9"/>
                <w:szCs w:val="9"/>
                <w:color w:val="auto"/>
              </w:rPr>
            </w:pPr>
          </w:p>
        </w:tc>
        <w:tc>
          <w:tcPr>
            <w:tcW w:w="320" w:type="dxa"/>
            <w:vAlign w:val="bottom"/>
            <w:tcBorders>
              <w:top w:val="single" w:sz="8" w:color="auto"/>
              <w:bottom w:val="single" w:sz="8" w:color="auto"/>
            </w:tcBorders>
          </w:tcPr>
          <w:p>
            <w:pPr>
              <w:jc w:val="right"/>
              <w:ind w:right="212"/>
              <w:spacing w:after="0" w:line="97" w:lineRule="exact"/>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tcPr>
          <w:p>
            <w:pPr>
              <w:jc w:val="right"/>
              <w:spacing w:after="0" w:line="97" w:lineRule="exact"/>
              <w:rPr>
                <w:sz w:val="20"/>
                <w:szCs w:val="20"/>
                <w:color w:val="auto"/>
              </w:rPr>
            </w:pPr>
            <w:r>
              <w:rPr>
                <w:rFonts w:ascii="Arial" w:cs="Arial" w:eastAsia="Arial" w:hAnsi="Arial"/>
                <w:sz w:val="10"/>
                <w:szCs w:val="10"/>
                <w:color w:val="auto"/>
              </w:rPr>
              <w:t>67,081</w:t>
            </w:r>
          </w:p>
        </w:tc>
        <w:tc>
          <w:tcPr>
            <w:tcW w:w="280" w:type="dxa"/>
            <w:vAlign w:val="bottom"/>
          </w:tcPr>
          <w:p>
            <w:pPr>
              <w:spacing w:after="0"/>
              <w:rPr>
                <w:sz w:val="9"/>
                <w:szCs w:val="9"/>
                <w:color w:val="auto"/>
              </w:rPr>
            </w:pPr>
          </w:p>
        </w:tc>
        <w:tc>
          <w:tcPr>
            <w:tcW w:w="200" w:type="dxa"/>
            <w:vAlign w:val="bottom"/>
            <w:tcBorders>
              <w:top w:val="single" w:sz="8" w:color="auto"/>
              <w:bottom w:val="single" w:sz="8" w:color="auto"/>
            </w:tcBorders>
          </w:tcPr>
          <w:p>
            <w:pPr>
              <w:jc w:val="right"/>
              <w:ind w:right="92"/>
              <w:spacing w:after="0" w:line="97" w:lineRule="exact"/>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bottom w:val="single" w:sz="8" w:color="auto"/>
            </w:tcBorders>
          </w:tcPr>
          <w:p>
            <w:pPr>
              <w:jc w:val="right"/>
              <w:spacing w:after="0" w:line="97" w:lineRule="exact"/>
              <w:rPr>
                <w:sz w:val="20"/>
                <w:szCs w:val="20"/>
                <w:color w:val="auto"/>
              </w:rPr>
            </w:pPr>
            <w:r>
              <w:rPr>
                <w:rFonts w:ascii="Arial" w:cs="Arial" w:eastAsia="Arial" w:hAnsi="Arial"/>
                <w:sz w:val="10"/>
                <w:szCs w:val="10"/>
                <w:color w:val="auto"/>
              </w:rPr>
              <w:t>10,509</w:t>
            </w:r>
          </w:p>
        </w:tc>
        <w:tc>
          <w:tcPr>
            <w:tcW w:w="22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Borders>
              <w:top w:val="single" w:sz="8" w:color="auto"/>
              <w:bottom w:val="single" w:sz="8" w:color="auto"/>
            </w:tcBorders>
          </w:tcPr>
          <w:p>
            <w:pPr>
              <w:jc w:val="right"/>
              <w:ind w:right="116"/>
              <w:spacing w:after="0"/>
              <w:rPr>
                <w:sz w:val="20"/>
                <w:szCs w:val="20"/>
                <w:color w:val="auto"/>
              </w:rPr>
            </w:pPr>
            <w:r>
              <w:rPr>
                <w:rFonts w:ascii="Arial" w:cs="Arial" w:eastAsia="Arial" w:hAnsi="Arial"/>
                <w:sz w:val="5"/>
                <w:szCs w:val="5"/>
                <w:color w:val="auto"/>
                <w:w w:val="70"/>
              </w:rPr>
              <w:t>$</w:t>
            </w:r>
          </w:p>
        </w:tc>
        <w:tc>
          <w:tcPr>
            <w:tcW w:w="1040" w:type="dxa"/>
            <w:vAlign w:val="bottom"/>
            <w:tcBorders>
              <w:top w:val="single" w:sz="8" w:color="auto"/>
              <w:bottom w:val="single" w:sz="8" w:color="auto"/>
            </w:tcBorders>
          </w:tcPr>
          <w:p>
            <w:pPr>
              <w:jc w:val="right"/>
              <w:spacing w:after="0" w:line="97" w:lineRule="exact"/>
              <w:rPr>
                <w:sz w:val="20"/>
                <w:szCs w:val="20"/>
                <w:color w:val="auto"/>
              </w:rPr>
            </w:pPr>
            <w:r>
              <w:rPr>
                <w:rFonts w:ascii="Arial" w:cs="Arial" w:eastAsia="Arial" w:hAnsi="Arial"/>
                <w:sz w:val="10"/>
                <w:szCs w:val="10"/>
                <w:color w:val="auto"/>
              </w:rPr>
              <w:t>9,902</w:t>
            </w:r>
          </w:p>
        </w:tc>
        <w:tc>
          <w:tcPr>
            <w:tcW w:w="120" w:type="dxa"/>
            <w:vAlign w:val="bottom"/>
          </w:tcPr>
          <w:p>
            <w:pPr>
              <w:spacing w:after="0"/>
              <w:rPr>
                <w:sz w:val="9"/>
                <w:szCs w:val="9"/>
                <w:color w:val="auto"/>
              </w:rPr>
            </w:pPr>
          </w:p>
        </w:tc>
      </w:tr>
    </w:tbl>
    <w:p>
      <w:pPr>
        <w:spacing w:after="0" w:line="132" w:lineRule="exact"/>
        <w:rPr>
          <w:sz w:val="20"/>
          <w:szCs w:val="20"/>
          <w:color w:val="auto"/>
        </w:rPr>
      </w:pPr>
    </w:p>
    <w:p>
      <w:pPr>
        <w:jc w:val="center"/>
        <w:ind w:right="20"/>
        <w:spacing w:after="0"/>
        <w:rPr>
          <w:sz w:val="20"/>
          <w:szCs w:val="20"/>
          <w:color w:val="auto"/>
        </w:rPr>
      </w:pPr>
      <w:r>
        <w:rPr>
          <w:rFonts w:ascii="Arial" w:cs="Arial" w:eastAsia="Arial" w:hAnsi="Arial"/>
          <w:sz w:val="10"/>
          <w:szCs w:val="10"/>
          <w:color w:val="auto"/>
        </w:rPr>
        <w:t>See accompanying Notes to Consolidated Financial Statements</w:t>
      </w:r>
    </w:p>
    <w:p>
      <w:pPr>
        <w:spacing w:after="0" w:line="132"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17740" cy="3683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ectPr>
          <w:pgSz w:w="11900" w:h="16838" w:orient="portrait"/>
          <w:cols w:equalWidth="0" w:num="1">
            <w:col w:w="11480"/>
          </w:cols>
          <w:pgMar w:left="220" w:top="271" w:right="199" w:bottom="1440" w:gutter="0" w:footer="0" w:header="0"/>
        </w:sectPr>
      </w:pPr>
    </w:p>
    <w:bookmarkStart w:id="72" w:name="page73"/>
    <w:bookmarkEnd w:id="72"/>
    <w:p>
      <w:pPr>
        <w:jc w:val="center"/>
        <w:ind w:right="20"/>
        <w:spacing w:after="0"/>
        <w:rPr>
          <w:sz w:val="20"/>
          <w:szCs w:val="20"/>
          <w:color w:val="auto"/>
        </w:rPr>
      </w:pPr>
      <w:r>
        <w:rPr>
          <w:rFonts w:ascii="Arial" w:cs="Arial" w:eastAsia="Arial" w:hAnsi="Arial"/>
          <w:sz w:val="12"/>
          <w:szCs w:val="12"/>
          <w:b w:val="1"/>
          <w:bCs w:val="1"/>
          <w:color w:val="auto"/>
        </w:rPr>
        <w:t>VERRA MOBILITY CORPORATION</w:t>
      </w:r>
    </w:p>
    <w:p>
      <w:pPr>
        <w:spacing w:after="0" w:line="19"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CONSOLIDATED STATEMENTS OF CASH FLOWS (Continued)</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56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0"/>
                <w:szCs w:val="10"/>
                <w:b w:val="1"/>
                <w:bCs w:val="1"/>
                <w:color w:val="auto"/>
              </w:rPr>
              <w:t>Successor</w:t>
            </w:r>
          </w:p>
        </w:tc>
        <w:tc>
          <w:tcPr>
            <w:tcW w:w="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0"/>
                <w:szCs w:val="10"/>
                <w:b w:val="1"/>
                <w:bCs w:val="1"/>
                <w:color w:val="auto"/>
                <w:w w:val="79"/>
              </w:rPr>
              <w:t>Predecessor</w:t>
            </w:r>
          </w:p>
        </w:tc>
      </w:tr>
      <w:tr>
        <w:trPr>
          <w:trHeight w:val="83"/>
        </w:trPr>
        <w:tc>
          <w:tcPr>
            <w:tcW w:w="5600" w:type="dxa"/>
            <w:vAlign w:val="bottom"/>
          </w:tcPr>
          <w:p>
            <w:pPr>
              <w:spacing w:after="0"/>
              <w:rPr>
                <w:sz w:val="7"/>
                <w:szCs w:val="7"/>
                <w:color w:val="auto"/>
              </w:rPr>
            </w:pPr>
          </w:p>
        </w:tc>
        <w:tc>
          <w:tcPr>
            <w:tcW w:w="820" w:type="dxa"/>
            <w:vAlign w:val="bottom"/>
            <w:tcBorders>
              <w:top w:val="single" w:sz="8" w:color="auto"/>
            </w:tcBorders>
          </w:tcPr>
          <w:p>
            <w:pPr>
              <w:spacing w:after="0"/>
              <w:rPr>
                <w:sz w:val="7"/>
                <w:szCs w:val="7"/>
                <w:color w:val="auto"/>
              </w:rPr>
            </w:pPr>
          </w:p>
        </w:tc>
        <w:tc>
          <w:tcPr>
            <w:tcW w:w="400" w:type="dxa"/>
            <w:vAlign w:val="bottom"/>
            <w:tcBorders>
              <w:top w:val="single" w:sz="8" w:color="auto"/>
            </w:tcBorders>
          </w:tcPr>
          <w:p>
            <w:pPr>
              <w:spacing w:after="0"/>
              <w:rPr>
                <w:sz w:val="7"/>
                <w:szCs w:val="7"/>
                <w:color w:val="auto"/>
              </w:rPr>
            </w:pPr>
          </w:p>
        </w:tc>
        <w:tc>
          <w:tcPr>
            <w:tcW w:w="300" w:type="dxa"/>
            <w:vAlign w:val="bottom"/>
            <w:tcBorders>
              <w:top w:val="single" w:sz="8" w:color="auto"/>
            </w:tcBorders>
          </w:tcPr>
          <w:p>
            <w:pPr>
              <w:spacing w:after="0"/>
              <w:rPr>
                <w:sz w:val="7"/>
                <w:szCs w:val="7"/>
                <w:color w:val="auto"/>
              </w:rPr>
            </w:pPr>
          </w:p>
        </w:tc>
        <w:tc>
          <w:tcPr>
            <w:tcW w:w="340" w:type="dxa"/>
            <w:vAlign w:val="bottom"/>
            <w:tcBorders>
              <w:top w:val="single" w:sz="8" w:color="auto"/>
            </w:tcBorders>
          </w:tcPr>
          <w:p>
            <w:pPr>
              <w:spacing w:after="0"/>
              <w:rPr>
                <w:sz w:val="7"/>
                <w:szCs w:val="7"/>
                <w:color w:val="auto"/>
              </w:rPr>
            </w:pPr>
          </w:p>
        </w:tc>
        <w:tc>
          <w:tcPr>
            <w:tcW w:w="900" w:type="dxa"/>
            <w:vAlign w:val="bottom"/>
            <w:tcBorders>
              <w:top w:val="single" w:sz="8" w:color="auto"/>
            </w:tcBorders>
          </w:tcPr>
          <w:p>
            <w:pPr>
              <w:spacing w:after="0"/>
              <w:rPr>
                <w:sz w:val="7"/>
                <w:szCs w:val="7"/>
                <w:color w:val="auto"/>
              </w:rPr>
            </w:pPr>
          </w:p>
        </w:tc>
        <w:tc>
          <w:tcPr>
            <w:tcW w:w="300" w:type="dxa"/>
            <w:vAlign w:val="bottom"/>
            <w:tcBorders>
              <w:top w:val="single" w:sz="8" w:color="auto"/>
            </w:tcBorders>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1060" w:type="dxa"/>
            <w:vAlign w:val="bottom"/>
            <w:tcBorders>
              <w:top w:val="single" w:sz="8" w:color="auto"/>
            </w:tcBorders>
          </w:tcPr>
          <w:p>
            <w:pPr>
              <w:jc w:val="center"/>
              <w:ind w:right="132"/>
              <w:spacing w:after="0" w:line="83" w:lineRule="exact"/>
              <w:rPr>
                <w:sz w:val="20"/>
                <w:szCs w:val="20"/>
                <w:color w:val="auto"/>
              </w:rPr>
            </w:pPr>
            <w:r>
              <w:rPr>
                <w:rFonts w:ascii="Arial" w:cs="Arial" w:eastAsia="Arial" w:hAnsi="Arial"/>
                <w:sz w:val="8"/>
                <w:szCs w:val="8"/>
                <w:b w:val="1"/>
                <w:bCs w:val="1"/>
                <w:color w:val="auto"/>
              </w:rPr>
              <w:t>Period from</w:t>
            </w:r>
          </w:p>
        </w:tc>
        <w:tc>
          <w:tcPr>
            <w:tcW w:w="220" w:type="dxa"/>
            <w:vAlign w:val="bottom"/>
            <w:tcBorders>
              <w:righ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1060" w:type="dxa"/>
            <w:vAlign w:val="bottom"/>
            <w:tcBorders>
              <w:top w:val="single" w:sz="8" w:color="auto"/>
            </w:tcBorders>
          </w:tcPr>
          <w:p>
            <w:pPr>
              <w:jc w:val="center"/>
              <w:ind w:right="132"/>
              <w:spacing w:after="0" w:line="83" w:lineRule="exact"/>
              <w:rPr>
                <w:sz w:val="20"/>
                <w:szCs w:val="20"/>
                <w:color w:val="auto"/>
              </w:rPr>
            </w:pPr>
            <w:r>
              <w:rPr>
                <w:rFonts w:ascii="Arial" w:cs="Arial" w:eastAsia="Arial" w:hAnsi="Arial"/>
                <w:sz w:val="8"/>
                <w:szCs w:val="8"/>
                <w:b w:val="1"/>
                <w:bCs w:val="1"/>
                <w:color w:val="auto"/>
              </w:rPr>
              <w:t>Period from</w:t>
            </w:r>
          </w:p>
        </w:tc>
        <w:tc>
          <w:tcPr>
            <w:tcW w:w="60" w:type="dxa"/>
            <w:vAlign w:val="bottom"/>
          </w:tcPr>
          <w:p>
            <w:pPr>
              <w:spacing w:after="0"/>
              <w:rPr>
                <w:sz w:val="7"/>
                <w:szCs w:val="7"/>
                <w:color w:val="auto"/>
              </w:rPr>
            </w:pPr>
          </w:p>
        </w:tc>
      </w:tr>
      <w:tr>
        <w:trPr>
          <w:trHeight w:val="99"/>
        </w:trPr>
        <w:tc>
          <w:tcPr>
            <w:tcW w:w="56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40" w:type="dxa"/>
            <w:vAlign w:val="bottom"/>
            <w:gridSpan w:val="3"/>
          </w:tcPr>
          <w:p>
            <w:pPr>
              <w:jc w:val="center"/>
              <w:ind w:left="12"/>
              <w:spacing w:after="0" w:line="99" w:lineRule="exact"/>
              <w:rPr>
                <w:sz w:val="20"/>
                <w:szCs w:val="20"/>
                <w:color w:val="auto"/>
              </w:rPr>
            </w:pPr>
            <w:r>
              <w:rPr>
                <w:rFonts w:ascii="Arial" w:cs="Arial" w:eastAsia="Arial" w:hAnsi="Arial"/>
                <w:sz w:val="10"/>
                <w:szCs w:val="10"/>
                <w:b w:val="1"/>
                <w:bCs w:val="1"/>
                <w:color w:val="auto"/>
                <w:w w:val="89"/>
              </w:rPr>
              <w:t>For the Year Ended</w:t>
            </w:r>
          </w:p>
        </w:tc>
        <w:tc>
          <w:tcPr>
            <w:tcW w:w="9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80" w:type="dxa"/>
            <w:vAlign w:val="bottom"/>
            <w:tcBorders>
              <w:right w:val="single" w:sz="8" w:color="auto"/>
            </w:tcBorders>
            <w:gridSpan w:val="2"/>
          </w:tcPr>
          <w:p>
            <w:pPr>
              <w:jc w:val="center"/>
              <w:ind w:right="400"/>
              <w:spacing w:after="0" w:line="99" w:lineRule="exact"/>
              <w:rPr>
                <w:sz w:val="20"/>
                <w:szCs w:val="20"/>
                <w:color w:val="auto"/>
              </w:rPr>
            </w:pPr>
            <w:r>
              <w:rPr>
                <w:rFonts w:ascii="Arial" w:cs="Arial" w:eastAsia="Arial" w:hAnsi="Arial"/>
                <w:sz w:val="10"/>
                <w:szCs w:val="10"/>
                <w:b w:val="1"/>
                <w:bCs w:val="1"/>
                <w:color w:val="auto"/>
                <w:w w:val="83"/>
              </w:rPr>
              <w:t>June 1, 2017 to</w:t>
            </w: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20" w:type="dxa"/>
            <w:vAlign w:val="bottom"/>
            <w:gridSpan w:val="2"/>
          </w:tcPr>
          <w:p>
            <w:pPr>
              <w:jc w:val="center"/>
              <w:ind w:right="240"/>
              <w:spacing w:after="0" w:line="99" w:lineRule="exact"/>
              <w:rPr>
                <w:sz w:val="20"/>
                <w:szCs w:val="20"/>
                <w:color w:val="auto"/>
              </w:rPr>
            </w:pPr>
            <w:r>
              <w:rPr>
                <w:rFonts w:ascii="Arial" w:cs="Arial" w:eastAsia="Arial" w:hAnsi="Arial"/>
                <w:sz w:val="10"/>
                <w:szCs w:val="10"/>
                <w:b w:val="1"/>
                <w:bCs w:val="1"/>
                <w:color w:val="auto"/>
                <w:w w:val="85"/>
              </w:rPr>
              <w:t>January 1, 2017</w:t>
            </w:r>
          </w:p>
        </w:tc>
      </w:tr>
      <w:tr>
        <w:trPr>
          <w:trHeight w:val="114"/>
        </w:trPr>
        <w:tc>
          <w:tcPr>
            <w:tcW w:w="5600" w:type="dxa"/>
            <w:vAlign w:val="bottom"/>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gridSpan w:val="3"/>
          </w:tcPr>
          <w:p>
            <w:pPr>
              <w:jc w:val="center"/>
              <w:ind w:left="32"/>
              <w:spacing w:after="0" w:line="114" w:lineRule="exact"/>
              <w:rPr>
                <w:sz w:val="20"/>
                <w:szCs w:val="20"/>
                <w:color w:val="auto"/>
              </w:rPr>
            </w:pPr>
            <w:r>
              <w:rPr>
                <w:rFonts w:ascii="Arial" w:cs="Arial" w:eastAsia="Arial" w:hAnsi="Arial"/>
                <w:sz w:val="10"/>
                <w:szCs w:val="10"/>
                <w:b w:val="1"/>
                <w:bCs w:val="1"/>
                <w:color w:val="auto"/>
                <w:w w:val="86"/>
              </w:rPr>
              <w:t>December 31,</w:t>
            </w:r>
          </w:p>
        </w:tc>
        <w:tc>
          <w:tcPr>
            <w:tcW w:w="90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80" w:type="dxa"/>
            <w:vAlign w:val="bottom"/>
            <w:tcBorders>
              <w:right w:val="single" w:sz="8" w:color="auto"/>
            </w:tcBorders>
            <w:gridSpan w:val="2"/>
          </w:tcPr>
          <w:p>
            <w:pPr>
              <w:jc w:val="center"/>
              <w:ind w:right="400"/>
              <w:spacing w:after="0" w:line="114" w:lineRule="exact"/>
              <w:rPr>
                <w:sz w:val="20"/>
                <w:szCs w:val="20"/>
                <w:color w:val="auto"/>
              </w:rPr>
            </w:pPr>
            <w:r>
              <w:rPr>
                <w:rFonts w:ascii="Arial" w:cs="Arial" w:eastAsia="Arial" w:hAnsi="Arial"/>
                <w:sz w:val="10"/>
                <w:szCs w:val="10"/>
                <w:b w:val="1"/>
                <w:bCs w:val="1"/>
                <w:color w:val="auto"/>
                <w:w w:val="86"/>
              </w:rPr>
              <w:t>December 31,</w:t>
            </w: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20" w:type="dxa"/>
            <w:vAlign w:val="bottom"/>
            <w:gridSpan w:val="2"/>
          </w:tcPr>
          <w:p>
            <w:pPr>
              <w:jc w:val="center"/>
              <w:ind w:right="240"/>
              <w:spacing w:after="0" w:line="114" w:lineRule="exact"/>
              <w:rPr>
                <w:sz w:val="20"/>
                <w:szCs w:val="20"/>
                <w:color w:val="auto"/>
              </w:rPr>
            </w:pPr>
            <w:r>
              <w:rPr>
                <w:rFonts w:ascii="Arial" w:cs="Arial" w:eastAsia="Arial" w:hAnsi="Arial"/>
                <w:sz w:val="10"/>
                <w:szCs w:val="10"/>
                <w:b w:val="1"/>
                <w:bCs w:val="1"/>
                <w:color w:val="auto"/>
                <w:w w:val="90"/>
              </w:rPr>
              <w:t>to May 31,</w:t>
            </w:r>
          </w:p>
        </w:tc>
      </w:tr>
      <w:tr>
        <w:trPr>
          <w:trHeight w:val="97"/>
        </w:trPr>
        <w:tc>
          <w:tcPr>
            <w:tcW w:w="5600" w:type="dxa"/>
            <w:vAlign w:val="bottom"/>
            <w:tcBorders>
              <w:bottom w:val="single" w:sz="8" w:color="CFF0FC"/>
            </w:tcBorders>
          </w:tcPr>
          <w:p>
            <w:pPr>
              <w:spacing w:after="0"/>
              <w:rPr>
                <w:sz w:val="8"/>
                <w:szCs w:val="8"/>
                <w:color w:val="auto"/>
              </w:rPr>
            </w:pPr>
          </w:p>
        </w:tc>
        <w:tc>
          <w:tcPr>
            <w:tcW w:w="820" w:type="dxa"/>
            <w:vAlign w:val="bottom"/>
            <w:tcBorders>
              <w:bottom w:val="single" w:sz="8" w:color="auto"/>
            </w:tcBorders>
          </w:tcPr>
          <w:p>
            <w:pPr>
              <w:jc w:val="right"/>
              <w:ind w:right="84"/>
              <w:spacing w:after="0" w:line="97" w:lineRule="exact"/>
              <w:rPr>
                <w:sz w:val="20"/>
                <w:szCs w:val="20"/>
                <w:color w:val="auto"/>
              </w:rPr>
            </w:pPr>
            <w:r>
              <w:rPr>
                <w:rFonts w:ascii="Arial" w:cs="Arial" w:eastAsia="Arial" w:hAnsi="Arial"/>
                <w:sz w:val="10"/>
                <w:szCs w:val="10"/>
                <w:b w:val="1"/>
                <w:bCs w:val="1"/>
                <w:color w:val="auto"/>
              </w:rPr>
              <w:t>2019</w:t>
            </w:r>
          </w:p>
        </w:tc>
        <w:tc>
          <w:tcPr>
            <w:tcW w:w="400" w:type="dxa"/>
            <w:vAlign w:val="bottom"/>
            <w:tcBorders>
              <w:bottom w:val="single" w:sz="8" w:color="auto"/>
            </w:tcBorders>
          </w:tcPr>
          <w:p>
            <w:pPr>
              <w:spacing w:after="0"/>
              <w:rPr>
                <w:sz w:val="8"/>
                <w:szCs w:val="8"/>
                <w:color w:val="auto"/>
              </w:rPr>
            </w:pPr>
          </w:p>
        </w:tc>
        <w:tc>
          <w:tcPr>
            <w:tcW w:w="300" w:type="dxa"/>
            <w:vAlign w:val="bottom"/>
            <w:tcBorders>
              <w:bottom w:val="single" w:sz="8" w:color="CFF0FC"/>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jc w:val="right"/>
              <w:ind w:right="472"/>
              <w:spacing w:after="0" w:line="97" w:lineRule="exact"/>
              <w:rPr>
                <w:sz w:val="20"/>
                <w:szCs w:val="20"/>
                <w:color w:val="auto"/>
              </w:rPr>
            </w:pPr>
            <w:r>
              <w:rPr>
                <w:rFonts w:ascii="Arial" w:cs="Arial" w:eastAsia="Arial" w:hAnsi="Arial"/>
                <w:sz w:val="10"/>
                <w:szCs w:val="10"/>
                <w:b w:val="1"/>
                <w:bCs w:val="1"/>
                <w:color w:val="auto"/>
              </w:rPr>
              <w:t>2018</w:t>
            </w:r>
          </w:p>
        </w:tc>
        <w:tc>
          <w:tcPr>
            <w:tcW w:w="300" w:type="dxa"/>
            <w:vAlign w:val="bottom"/>
            <w:tcBorders>
              <w:bottom w:val="single" w:sz="8" w:color="CFF0FC"/>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jc w:val="center"/>
              <w:ind w:right="132"/>
              <w:spacing w:after="0" w:line="97" w:lineRule="exact"/>
              <w:rPr>
                <w:sz w:val="20"/>
                <w:szCs w:val="20"/>
                <w:color w:val="auto"/>
              </w:rPr>
            </w:pPr>
            <w:r>
              <w:rPr>
                <w:rFonts w:ascii="Arial" w:cs="Arial" w:eastAsia="Arial" w:hAnsi="Arial"/>
                <w:sz w:val="10"/>
                <w:szCs w:val="10"/>
                <w:b w:val="1"/>
                <w:bCs w:val="1"/>
                <w:color w:val="auto"/>
                <w:w w:val="89"/>
              </w:rPr>
              <w:t>2017</w:t>
            </w:r>
          </w:p>
        </w:tc>
        <w:tc>
          <w:tcPr>
            <w:tcW w:w="220" w:type="dxa"/>
            <w:vAlign w:val="bottom"/>
            <w:tcBorders>
              <w:bottom w:val="single" w:sz="8" w:color="CFF0FC"/>
              <w:right w:val="single" w:sz="8" w:color="auto"/>
            </w:tcBorders>
          </w:tcPr>
          <w:p>
            <w:pPr>
              <w:spacing w:after="0"/>
              <w:rPr>
                <w:sz w:val="8"/>
                <w:szCs w:val="8"/>
                <w:color w:val="auto"/>
              </w:rPr>
            </w:pPr>
          </w:p>
        </w:tc>
        <w:tc>
          <w:tcPr>
            <w:tcW w:w="100" w:type="dxa"/>
            <w:vAlign w:val="bottom"/>
            <w:tcBorders>
              <w:bottom w:val="single" w:sz="8" w:color="CFF0FC"/>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jc w:val="center"/>
              <w:ind w:right="132"/>
              <w:spacing w:after="0" w:line="97" w:lineRule="exact"/>
              <w:rPr>
                <w:sz w:val="20"/>
                <w:szCs w:val="20"/>
                <w:color w:val="auto"/>
              </w:rPr>
            </w:pPr>
            <w:r>
              <w:rPr>
                <w:rFonts w:ascii="Arial" w:cs="Arial" w:eastAsia="Arial" w:hAnsi="Arial"/>
                <w:sz w:val="10"/>
                <w:szCs w:val="10"/>
                <w:b w:val="1"/>
                <w:bCs w:val="1"/>
                <w:color w:val="auto"/>
                <w:w w:val="89"/>
              </w:rPr>
              <w:t>2017</w:t>
            </w:r>
          </w:p>
        </w:tc>
        <w:tc>
          <w:tcPr>
            <w:tcW w:w="60" w:type="dxa"/>
            <w:vAlign w:val="bottom"/>
            <w:tcBorders>
              <w:bottom w:val="single" w:sz="8" w:color="CFF0FC"/>
            </w:tcBorders>
          </w:tcPr>
          <w:p>
            <w:pPr>
              <w:spacing w:after="0"/>
              <w:rPr>
                <w:sz w:val="8"/>
                <w:szCs w:val="8"/>
                <w:color w:val="auto"/>
              </w:rPr>
            </w:pPr>
          </w:p>
        </w:tc>
      </w:tr>
      <w:tr>
        <w:trPr>
          <w:trHeight w:val="97"/>
        </w:trPr>
        <w:tc>
          <w:tcPr>
            <w:tcW w:w="5600" w:type="dxa"/>
            <w:vAlign w:val="bottom"/>
            <w:shd w:val="clear" w:color="auto" w:fill="CFF0FC"/>
          </w:tcPr>
          <w:p>
            <w:pPr>
              <w:spacing w:after="0" w:line="97" w:lineRule="exact"/>
              <w:rPr>
                <w:sz w:val="20"/>
                <w:szCs w:val="20"/>
                <w:color w:val="auto"/>
              </w:rPr>
            </w:pPr>
            <w:r>
              <w:rPr>
                <w:rFonts w:ascii="Arial" w:cs="Arial" w:eastAsia="Arial" w:hAnsi="Arial"/>
                <w:sz w:val="10"/>
                <w:szCs w:val="10"/>
                <w:color w:val="auto"/>
              </w:rPr>
              <w:t>Supplemental cash flow information:</w:t>
            </w:r>
          </w:p>
        </w:tc>
        <w:tc>
          <w:tcPr>
            <w:tcW w:w="820" w:type="dxa"/>
            <w:vAlign w:val="bottom"/>
            <w:shd w:val="clear" w:color="auto" w:fill="CFF0FC"/>
          </w:tcPr>
          <w:p>
            <w:pPr>
              <w:spacing w:after="0"/>
              <w:rPr>
                <w:sz w:val="8"/>
                <w:szCs w:val="8"/>
                <w:color w:val="auto"/>
              </w:rPr>
            </w:pPr>
          </w:p>
        </w:tc>
        <w:tc>
          <w:tcPr>
            <w:tcW w:w="400" w:type="dxa"/>
            <w:vAlign w:val="bottom"/>
            <w:shd w:val="clear" w:color="auto" w:fill="CFF0FC"/>
          </w:tcPr>
          <w:p>
            <w:pPr>
              <w:spacing w:after="0"/>
              <w:rPr>
                <w:sz w:val="8"/>
                <w:szCs w:val="8"/>
                <w:color w:val="auto"/>
              </w:rPr>
            </w:pPr>
          </w:p>
        </w:tc>
        <w:tc>
          <w:tcPr>
            <w:tcW w:w="300" w:type="dxa"/>
            <w:vAlign w:val="bottom"/>
            <w:shd w:val="clear" w:color="auto" w:fill="CFF0FC"/>
          </w:tcPr>
          <w:p>
            <w:pPr>
              <w:spacing w:after="0"/>
              <w:rPr>
                <w:sz w:val="8"/>
                <w:szCs w:val="8"/>
                <w:color w:val="auto"/>
              </w:rPr>
            </w:pPr>
          </w:p>
        </w:tc>
        <w:tc>
          <w:tcPr>
            <w:tcW w:w="340" w:type="dxa"/>
            <w:vAlign w:val="bottom"/>
            <w:shd w:val="clear" w:color="auto" w:fill="CFF0FC"/>
          </w:tcPr>
          <w:p>
            <w:pPr>
              <w:spacing w:after="0"/>
              <w:rPr>
                <w:sz w:val="8"/>
                <w:szCs w:val="8"/>
                <w:color w:val="auto"/>
              </w:rPr>
            </w:pPr>
          </w:p>
        </w:tc>
        <w:tc>
          <w:tcPr>
            <w:tcW w:w="900" w:type="dxa"/>
            <w:vAlign w:val="bottom"/>
            <w:shd w:val="clear" w:color="auto" w:fill="CFF0FC"/>
          </w:tcPr>
          <w:p>
            <w:pPr>
              <w:spacing w:after="0"/>
              <w:rPr>
                <w:sz w:val="8"/>
                <w:szCs w:val="8"/>
                <w:color w:val="auto"/>
              </w:rPr>
            </w:pPr>
          </w:p>
        </w:tc>
        <w:tc>
          <w:tcPr>
            <w:tcW w:w="300" w:type="dxa"/>
            <w:vAlign w:val="bottom"/>
            <w:shd w:val="clear" w:color="auto" w:fill="CFF0FC"/>
          </w:tcPr>
          <w:p>
            <w:pPr>
              <w:spacing w:after="0"/>
              <w:rPr>
                <w:sz w:val="8"/>
                <w:szCs w:val="8"/>
                <w:color w:val="auto"/>
              </w:rPr>
            </w:pPr>
          </w:p>
        </w:tc>
        <w:tc>
          <w:tcPr>
            <w:tcW w:w="160" w:type="dxa"/>
            <w:vAlign w:val="bottom"/>
            <w:shd w:val="clear" w:color="auto" w:fill="CFF0FC"/>
          </w:tcPr>
          <w:p>
            <w:pPr>
              <w:spacing w:after="0"/>
              <w:rPr>
                <w:sz w:val="8"/>
                <w:szCs w:val="8"/>
                <w:color w:val="auto"/>
              </w:rPr>
            </w:pPr>
          </w:p>
        </w:tc>
        <w:tc>
          <w:tcPr>
            <w:tcW w:w="1060" w:type="dxa"/>
            <w:vAlign w:val="bottom"/>
            <w:shd w:val="clear" w:color="auto" w:fill="CFF0FC"/>
          </w:tcPr>
          <w:p>
            <w:pPr>
              <w:spacing w:after="0"/>
              <w:rPr>
                <w:sz w:val="8"/>
                <w:szCs w:val="8"/>
                <w:color w:val="auto"/>
              </w:rPr>
            </w:pPr>
          </w:p>
        </w:tc>
        <w:tc>
          <w:tcPr>
            <w:tcW w:w="220" w:type="dxa"/>
            <w:vAlign w:val="bottom"/>
            <w:tcBorders>
              <w:right w:val="single" w:sz="8" w:color="auto"/>
            </w:tcBorders>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60" w:type="dxa"/>
            <w:vAlign w:val="bottom"/>
            <w:shd w:val="clear" w:color="auto" w:fill="CFF0FC"/>
          </w:tcPr>
          <w:p>
            <w:pPr>
              <w:spacing w:after="0"/>
              <w:rPr>
                <w:sz w:val="8"/>
                <w:szCs w:val="8"/>
                <w:color w:val="auto"/>
              </w:rPr>
            </w:pPr>
          </w:p>
        </w:tc>
        <w:tc>
          <w:tcPr>
            <w:tcW w:w="106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r>
      <w:tr>
        <w:trPr>
          <w:trHeight w:val="108"/>
        </w:trPr>
        <w:tc>
          <w:tcPr>
            <w:tcW w:w="5600" w:type="dxa"/>
            <w:vAlign w:val="bottom"/>
          </w:tcPr>
          <w:p>
            <w:pPr>
              <w:ind w:left="80"/>
              <w:spacing w:after="0" w:line="108" w:lineRule="exact"/>
              <w:rPr>
                <w:sz w:val="20"/>
                <w:szCs w:val="20"/>
                <w:color w:val="auto"/>
              </w:rPr>
            </w:pPr>
            <w:r>
              <w:rPr>
                <w:rFonts w:ascii="Arial" w:cs="Arial" w:eastAsia="Arial" w:hAnsi="Arial"/>
                <w:sz w:val="10"/>
                <w:szCs w:val="10"/>
                <w:color w:val="auto"/>
              </w:rPr>
              <w:t>Interest paid</w:t>
            </w:r>
          </w:p>
        </w:tc>
        <w:tc>
          <w:tcPr>
            <w:tcW w:w="820" w:type="dxa"/>
            <w:vAlign w:val="bottom"/>
          </w:tcPr>
          <w:p>
            <w:pPr>
              <w:jc w:val="right"/>
              <w:ind w:right="744"/>
              <w:spacing w:after="0"/>
              <w:rPr>
                <w:sz w:val="20"/>
                <w:szCs w:val="20"/>
                <w:color w:val="auto"/>
              </w:rPr>
            </w:pPr>
            <w:r>
              <w:rPr>
                <w:rFonts w:ascii="Arial" w:cs="Arial" w:eastAsia="Arial" w:hAnsi="Arial"/>
                <w:sz w:val="5"/>
                <w:szCs w:val="5"/>
                <w:color w:val="auto"/>
                <w:w w:val="70"/>
              </w:rPr>
              <w:t>$</w:t>
            </w:r>
          </w:p>
        </w:tc>
        <w:tc>
          <w:tcPr>
            <w:tcW w:w="400" w:type="dxa"/>
            <w:vAlign w:val="bottom"/>
          </w:tcPr>
          <w:p>
            <w:pPr>
              <w:jc w:val="right"/>
              <w:spacing w:after="0" w:line="108" w:lineRule="exact"/>
              <w:rPr>
                <w:sz w:val="20"/>
                <w:szCs w:val="20"/>
                <w:color w:val="auto"/>
              </w:rPr>
            </w:pPr>
            <w:r>
              <w:rPr>
                <w:rFonts w:ascii="Arial" w:cs="Arial" w:eastAsia="Arial" w:hAnsi="Arial"/>
                <w:sz w:val="10"/>
                <w:szCs w:val="10"/>
                <w:color w:val="auto"/>
              </w:rPr>
              <w:t>55,197</w:t>
            </w:r>
          </w:p>
        </w:tc>
        <w:tc>
          <w:tcPr>
            <w:tcW w:w="300" w:type="dxa"/>
            <w:vAlign w:val="bottom"/>
          </w:tcPr>
          <w:p>
            <w:pPr>
              <w:spacing w:after="0"/>
              <w:rPr>
                <w:sz w:val="9"/>
                <w:szCs w:val="9"/>
                <w:color w:val="auto"/>
              </w:rPr>
            </w:pPr>
          </w:p>
        </w:tc>
        <w:tc>
          <w:tcPr>
            <w:tcW w:w="340" w:type="dxa"/>
            <w:vAlign w:val="bottom"/>
          </w:tcPr>
          <w:p>
            <w:pPr>
              <w:jc w:val="right"/>
              <w:ind w:right="232"/>
              <w:spacing w:after="0" w:line="108" w:lineRule="exact"/>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line="108" w:lineRule="exact"/>
              <w:rPr>
                <w:sz w:val="20"/>
                <w:szCs w:val="20"/>
                <w:color w:val="auto"/>
              </w:rPr>
            </w:pPr>
            <w:r>
              <w:rPr>
                <w:rFonts w:ascii="Arial" w:cs="Arial" w:eastAsia="Arial" w:hAnsi="Arial"/>
                <w:sz w:val="10"/>
                <w:szCs w:val="10"/>
                <w:color w:val="auto"/>
              </w:rPr>
              <w:t>60,441</w:t>
            </w:r>
          </w:p>
        </w:tc>
        <w:tc>
          <w:tcPr>
            <w:tcW w:w="300" w:type="dxa"/>
            <w:vAlign w:val="bottom"/>
          </w:tcPr>
          <w:p>
            <w:pPr>
              <w:spacing w:after="0"/>
              <w:rPr>
                <w:sz w:val="9"/>
                <w:szCs w:val="9"/>
                <w:color w:val="auto"/>
              </w:rPr>
            </w:pPr>
          </w:p>
        </w:tc>
        <w:tc>
          <w:tcPr>
            <w:tcW w:w="160" w:type="dxa"/>
            <w:vAlign w:val="bottom"/>
          </w:tcPr>
          <w:p>
            <w:pPr>
              <w:jc w:val="right"/>
              <w:ind w:right="96"/>
              <w:spacing w:after="0"/>
              <w:rPr>
                <w:sz w:val="20"/>
                <w:szCs w:val="20"/>
                <w:color w:val="auto"/>
              </w:rPr>
            </w:pPr>
            <w:r>
              <w:rPr>
                <w:rFonts w:ascii="Arial" w:cs="Arial" w:eastAsia="Arial" w:hAnsi="Arial"/>
                <w:sz w:val="5"/>
                <w:szCs w:val="5"/>
                <w:color w:val="auto"/>
                <w:w w:val="70"/>
              </w:rPr>
              <w:t>$</w:t>
            </w:r>
          </w:p>
        </w:tc>
        <w:tc>
          <w:tcPr>
            <w:tcW w:w="1060" w:type="dxa"/>
            <w:vAlign w:val="bottom"/>
          </w:tcPr>
          <w:p>
            <w:pPr>
              <w:jc w:val="right"/>
              <w:spacing w:after="0" w:line="108" w:lineRule="exact"/>
              <w:rPr>
                <w:sz w:val="20"/>
                <w:szCs w:val="20"/>
                <w:color w:val="auto"/>
              </w:rPr>
            </w:pPr>
            <w:r>
              <w:rPr>
                <w:rFonts w:ascii="Arial" w:cs="Arial" w:eastAsia="Arial" w:hAnsi="Arial"/>
                <w:sz w:val="10"/>
                <w:szCs w:val="10"/>
                <w:color w:val="auto"/>
              </w:rPr>
              <w:t>18,628</w:t>
            </w:r>
          </w:p>
        </w:tc>
        <w:tc>
          <w:tcPr>
            <w:tcW w:w="22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jc w:val="right"/>
              <w:ind w:right="96"/>
              <w:spacing w:after="0"/>
              <w:rPr>
                <w:sz w:val="20"/>
                <w:szCs w:val="20"/>
                <w:color w:val="auto"/>
              </w:rPr>
            </w:pPr>
            <w:r>
              <w:rPr>
                <w:rFonts w:ascii="Arial" w:cs="Arial" w:eastAsia="Arial" w:hAnsi="Arial"/>
                <w:sz w:val="5"/>
                <w:szCs w:val="5"/>
                <w:color w:val="auto"/>
                <w:w w:val="70"/>
              </w:rPr>
              <w:t>$</w:t>
            </w:r>
          </w:p>
        </w:tc>
        <w:tc>
          <w:tcPr>
            <w:tcW w:w="1060" w:type="dxa"/>
            <w:vAlign w:val="bottom"/>
          </w:tcPr>
          <w:p>
            <w:pPr>
              <w:jc w:val="right"/>
              <w:spacing w:after="0" w:line="108" w:lineRule="exact"/>
              <w:rPr>
                <w:sz w:val="20"/>
                <w:szCs w:val="20"/>
                <w:color w:val="auto"/>
              </w:rPr>
            </w:pPr>
            <w:r>
              <w:rPr>
                <w:rFonts w:ascii="Arial" w:cs="Arial" w:eastAsia="Arial" w:hAnsi="Arial"/>
                <w:sz w:val="10"/>
                <w:szCs w:val="10"/>
                <w:color w:val="auto"/>
              </w:rPr>
              <w:t>836</w:t>
            </w:r>
          </w:p>
        </w:tc>
        <w:tc>
          <w:tcPr>
            <w:tcW w:w="60" w:type="dxa"/>
            <w:vAlign w:val="bottom"/>
          </w:tcPr>
          <w:p>
            <w:pPr>
              <w:spacing w:after="0"/>
              <w:rPr>
                <w:sz w:val="9"/>
                <w:szCs w:val="9"/>
                <w:color w:val="auto"/>
              </w:rPr>
            </w:pPr>
          </w:p>
        </w:tc>
      </w:tr>
      <w:tr>
        <w:trPr>
          <w:trHeight w:val="108"/>
        </w:trPr>
        <w:tc>
          <w:tcPr>
            <w:tcW w:w="5600" w:type="dxa"/>
            <w:vAlign w:val="bottom"/>
            <w:shd w:val="clear" w:color="auto" w:fill="CFF0FC"/>
          </w:tcPr>
          <w:p>
            <w:pPr>
              <w:ind w:left="80"/>
              <w:spacing w:after="0" w:line="108" w:lineRule="exact"/>
              <w:rPr>
                <w:sz w:val="20"/>
                <w:szCs w:val="20"/>
                <w:color w:val="auto"/>
              </w:rPr>
            </w:pPr>
            <w:r>
              <w:rPr>
                <w:rFonts w:ascii="Arial" w:cs="Arial" w:eastAsia="Arial" w:hAnsi="Arial"/>
                <w:sz w:val="10"/>
                <w:szCs w:val="10"/>
                <w:color w:val="auto"/>
              </w:rPr>
              <w:t>Income taxes paid (refunded), net</w:t>
            </w:r>
          </w:p>
        </w:tc>
        <w:tc>
          <w:tcPr>
            <w:tcW w:w="820" w:type="dxa"/>
            <w:vAlign w:val="bottom"/>
            <w:shd w:val="clear" w:color="auto" w:fill="CFF0FC"/>
          </w:tcPr>
          <w:p>
            <w:pPr>
              <w:spacing w:after="0"/>
              <w:rPr>
                <w:sz w:val="9"/>
                <w:szCs w:val="9"/>
                <w:color w:val="auto"/>
              </w:rPr>
            </w:pPr>
          </w:p>
        </w:tc>
        <w:tc>
          <w:tcPr>
            <w:tcW w:w="400" w:type="dxa"/>
            <w:vAlign w:val="bottom"/>
            <w:shd w:val="clear" w:color="auto" w:fill="CFF0FC"/>
          </w:tcPr>
          <w:p>
            <w:pPr>
              <w:jc w:val="right"/>
              <w:spacing w:after="0" w:line="108" w:lineRule="exact"/>
              <w:rPr>
                <w:sz w:val="20"/>
                <w:szCs w:val="20"/>
                <w:color w:val="auto"/>
              </w:rPr>
            </w:pPr>
            <w:r>
              <w:rPr>
                <w:rFonts w:ascii="Arial" w:cs="Arial" w:eastAsia="Arial" w:hAnsi="Arial"/>
                <w:sz w:val="10"/>
                <w:szCs w:val="10"/>
                <w:color w:val="auto"/>
              </w:rPr>
              <w:t>24,357</w:t>
            </w:r>
          </w:p>
        </w:tc>
        <w:tc>
          <w:tcPr>
            <w:tcW w:w="300" w:type="dxa"/>
            <w:vAlign w:val="bottom"/>
            <w:shd w:val="clear" w:color="auto" w:fill="CFF0FC"/>
          </w:tcPr>
          <w:p>
            <w:pPr>
              <w:spacing w:after="0"/>
              <w:rPr>
                <w:sz w:val="9"/>
                <w:szCs w:val="9"/>
                <w:color w:val="auto"/>
              </w:rPr>
            </w:pPr>
          </w:p>
        </w:tc>
        <w:tc>
          <w:tcPr>
            <w:tcW w:w="340" w:type="dxa"/>
            <w:vAlign w:val="bottom"/>
            <w:shd w:val="clear" w:color="auto" w:fill="CFF0FC"/>
          </w:tcPr>
          <w:p>
            <w:pPr>
              <w:spacing w:after="0"/>
              <w:rPr>
                <w:sz w:val="9"/>
                <w:szCs w:val="9"/>
                <w:color w:val="auto"/>
              </w:rPr>
            </w:pPr>
          </w:p>
        </w:tc>
        <w:tc>
          <w:tcPr>
            <w:tcW w:w="900" w:type="dxa"/>
            <w:vAlign w:val="bottom"/>
            <w:shd w:val="clear" w:color="auto" w:fill="CFF0FC"/>
          </w:tcPr>
          <w:p>
            <w:pPr>
              <w:jc w:val="right"/>
              <w:spacing w:after="0" w:line="108" w:lineRule="exact"/>
              <w:rPr>
                <w:sz w:val="20"/>
                <w:szCs w:val="20"/>
                <w:color w:val="auto"/>
              </w:rPr>
            </w:pPr>
            <w:r>
              <w:rPr>
                <w:rFonts w:ascii="Arial" w:cs="Arial" w:eastAsia="Arial" w:hAnsi="Arial"/>
                <w:sz w:val="10"/>
                <w:szCs w:val="10"/>
                <w:color w:val="auto"/>
              </w:rPr>
              <w:t>762</w:t>
            </w:r>
          </w:p>
        </w:tc>
        <w:tc>
          <w:tcPr>
            <w:tcW w:w="30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1060" w:type="dxa"/>
            <w:vAlign w:val="bottom"/>
            <w:shd w:val="clear" w:color="auto" w:fill="CFF0FC"/>
          </w:tcPr>
          <w:p>
            <w:pPr>
              <w:jc w:val="right"/>
              <w:spacing w:after="0" w:line="108" w:lineRule="exact"/>
              <w:rPr>
                <w:sz w:val="20"/>
                <w:szCs w:val="20"/>
                <w:color w:val="auto"/>
              </w:rPr>
            </w:pPr>
            <w:r>
              <w:rPr>
                <w:rFonts w:ascii="Arial" w:cs="Arial" w:eastAsia="Arial" w:hAnsi="Arial"/>
                <w:sz w:val="10"/>
                <w:szCs w:val="10"/>
                <w:color w:val="auto"/>
              </w:rPr>
              <w:t>8,551</w:t>
            </w:r>
          </w:p>
        </w:tc>
        <w:tc>
          <w:tcPr>
            <w:tcW w:w="220" w:type="dxa"/>
            <w:vAlign w:val="bottom"/>
            <w:tcBorders>
              <w:right w:val="single" w:sz="8" w:color="auto"/>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1120" w:type="dxa"/>
            <w:vAlign w:val="bottom"/>
            <w:gridSpan w:val="2"/>
            <w:shd w:val="clear" w:color="auto" w:fill="CFF0FC"/>
          </w:tcPr>
          <w:p>
            <w:pPr>
              <w:jc w:val="right"/>
              <w:ind w:right="40"/>
              <w:spacing w:after="0" w:line="108" w:lineRule="exact"/>
              <w:rPr>
                <w:sz w:val="20"/>
                <w:szCs w:val="20"/>
                <w:color w:val="auto"/>
              </w:rPr>
            </w:pPr>
            <w:r>
              <w:rPr>
                <w:rFonts w:ascii="Arial" w:cs="Arial" w:eastAsia="Arial" w:hAnsi="Arial"/>
                <w:sz w:val="10"/>
                <w:szCs w:val="10"/>
                <w:color w:val="auto"/>
              </w:rPr>
              <w:t>(211)</w:t>
            </w:r>
          </w:p>
        </w:tc>
      </w:tr>
      <w:tr>
        <w:trPr>
          <w:trHeight w:val="108"/>
        </w:trPr>
        <w:tc>
          <w:tcPr>
            <w:tcW w:w="5600" w:type="dxa"/>
            <w:vAlign w:val="bottom"/>
          </w:tcPr>
          <w:p>
            <w:pPr>
              <w:spacing w:after="0" w:line="108" w:lineRule="exact"/>
              <w:rPr>
                <w:sz w:val="20"/>
                <w:szCs w:val="20"/>
                <w:color w:val="auto"/>
              </w:rPr>
            </w:pPr>
            <w:r>
              <w:rPr>
                <w:rFonts w:ascii="Arial" w:cs="Arial" w:eastAsia="Arial" w:hAnsi="Arial"/>
                <w:sz w:val="10"/>
                <w:szCs w:val="10"/>
                <w:color w:val="auto"/>
              </w:rPr>
              <w:t>Supplemental non-cash investing and financing activities:</w:t>
            </w:r>
          </w:p>
        </w:tc>
        <w:tc>
          <w:tcPr>
            <w:tcW w:w="820" w:type="dxa"/>
            <w:vAlign w:val="bottom"/>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40" w:type="dxa"/>
            <w:vAlign w:val="bottom"/>
          </w:tcPr>
          <w:p>
            <w:pPr>
              <w:spacing w:after="0"/>
              <w:rPr>
                <w:sz w:val="9"/>
                <w:szCs w:val="9"/>
                <w:color w:val="auto"/>
              </w:rPr>
            </w:pPr>
          </w:p>
        </w:tc>
        <w:tc>
          <w:tcPr>
            <w:tcW w:w="9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2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108"/>
        </w:trPr>
        <w:tc>
          <w:tcPr>
            <w:tcW w:w="5600" w:type="dxa"/>
            <w:vAlign w:val="bottom"/>
            <w:shd w:val="clear" w:color="auto" w:fill="CFF0FC"/>
          </w:tcPr>
          <w:p>
            <w:pPr>
              <w:ind w:left="80"/>
              <w:spacing w:after="0" w:line="108" w:lineRule="exact"/>
              <w:rPr>
                <w:sz w:val="20"/>
                <w:szCs w:val="20"/>
                <w:color w:val="auto"/>
              </w:rPr>
            </w:pPr>
            <w:r>
              <w:rPr>
                <w:rFonts w:ascii="Arial" w:cs="Arial" w:eastAsia="Arial" w:hAnsi="Arial"/>
                <w:sz w:val="10"/>
                <w:szCs w:val="10"/>
                <w:color w:val="auto"/>
              </w:rPr>
              <w:t>Reduction to tax receivable agreement liability</w:t>
            </w:r>
          </w:p>
        </w:tc>
        <w:tc>
          <w:tcPr>
            <w:tcW w:w="820" w:type="dxa"/>
            <w:vAlign w:val="bottom"/>
            <w:shd w:val="clear" w:color="auto" w:fill="CFF0FC"/>
          </w:tcPr>
          <w:p>
            <w:pPr>
              <w:spacing w:after="0"/>
              <w:rPr>
                <w:sz w:val="9"/>
                <w:szCs w:val="9"/>
                <w:color w:val="auto"/>
              </w:rPr>
            </w:pPr>
          </w:p>
        </w:tc>
        <w:tc>
          <w:tcPr>
            <w:tcW w:w="400" w:type="dxa"/>
            <w:vAlign w:val="bottom"/>
            <w:shd w:val="clear" w:color="auto" w:fill="CFF0FC"/>
          </w:tcPr>
          <w:p>
            <w:pPr>
              <w:jc w:val="right"/>
              <w:spacing w:after="0" w:line="108" w:lineRule="exact"/>
              <w:rPr>
                <w:sz w:val="20"/>
                <w:szCs w:val="20"/>
                <w:color w:val="auto"/>
              </w:rPr>
            </w:pPr>
            <w:r>
              <w:rPr>
                <w:rFonts w:ascii="Arial" w:cs="Arial" w:eastAsia="Arial" w:hAnsi="Arial"/>
                <w:sz w:val="10"/>
                <w:szCs w:val="10"/>
                <w:color w:val="auto"/>
              </w:rPr>
              <w:t>2,940</w:t>
            </w:r>
          </w:p>
        </w:tc>
        <w:tc>
          <w:tcPr>
            <w:tcW w:w="300" w:type="dxa"/>
            <w:vAlign w:val="bottom"/>
            <w:shd w:val="clear" w:color="auto" w:fill="CFF0FC"/>
          </w:tcPr>
          <w:p>
            <w:pPr>
              <w:spacing w:after="0"/>
              <w:rPr>
                <w:sz w:val="9"/>
                <w:szCs w:val="9"/>
                <w:color w:val="auto"/>
              </w:rPr>
            </w:pPr>
          </w:p>
        </w:tc>
        <w:tc>
          <w:tcPr>
            <w:tcW w:w="340" w:type="dxa"/>
            <w:vAlign w:val="bottom"/>
            <w:shd w:val="clear" w:color="auto" w:fill="CFF0FC"/>
          </w:tcPr>
          <w:p>
            <w:pPr>
              <w:spacing w:after="0"/>
              <w:rPr>
                <w:sz w:val="9"/>
                <w:szCs w:val="9"/>
                <w:color w:val="auto"/>
              </w:rPr>
            </w:pPr>
          </w:p>
        </w:tc>
        <w:tc>
          <w:tcPr>
            <w:tcW w:w="1200" w:type="dxa"/>
            <w:vAlign w:val="bottom"/>
            <w:gridSpan w:val="2"/>
            <w:shd w:val="clear" w:color="auto" w:fill="CFF0FC"/>
          </w:tcPr>
          <w:p>
            <w:pPr>
              <w:jc w:val="right"/>
              <w:ind w:right="300"/>
              <w:spacing w:after="0" w:line="108" w:lineRule="exact"/>
              <w:rPr>
                <w:sz w:val="20"/>
                <w:szCs w:val="20"/>
                <w:color w:val="auto"/>
              </w:rPr>
            </w:pPr>
            <w:r>
              <w:rPr>
                <w:rFonts w:ascii="Arial" w:cs="Arial" w:eastAsia="Arial" w:hAnsi="Arial"/>
                <w:sz w:val="10"/>
                <w:szCs w:val="10"/>
                <w:color w:val="auto"/>
              </w:rPr>
              <w:t>—</w:t>
            </w:r>
          </w:p>
        </w:tc>
        <w:tc>
          <w:tcPr>
            <w:tcW w:w="160" w:type="dxa"/>
            <w:vAlign w:val="bottom"/>
            <w:shd w:val="clear" w:color="auto" w:fill="CFF0FC"/>
          </w:tcPr>
          <w:p>
            <w:pPr>
              <w:spacing w:after="0"/>
              <w:rPr>
                <w:sz w:val="9"/>
                <w:szCs w:val="9"/>
                <w:color w:val="auto"/>
              </w:rPr>
            </w:pPr>
          </w:p>
        </w:tc>
        <w:tc>
          <w:tcPr>
            <w:tcW w:w="1280" w:type="dxa"/>
            <w:vAlign w:val="bottom"/>
            <w:tcBorders>
              <w:right w:val="single" w:sz="8" w:color="auto"/>
            </w:tcBorders>
            <w:gridSpan w:val="2"/>
            <w:shd w:val="clear" w:color="auto" w:fill="CFF0FC"/>
          </w:tcPr>
          <w:p>
            <w:pPr>
              <w:jc w:val="right"/>
              <w:ind w:right="240"/>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1120" w:type="dxa"/>
            <w:vAlign w:val="bottom"/>
            <w:gridSpan w:val="2"/>
            <w:shd w:val="clear" w:color="auto" w:fill="CFF0FC"/>
          </w:tcPr>
          <w:p>
            <w:pPr>
              <w:jc w:val="right"/>
              <w:ind w:right="80"/>
              <w:spacing w:after="0" w:line="108" w:lineRule="exact"/>
              <w:rPr>
                <w:sz w:val="20"/>
                <w:szCs w:val="20"/>
                <w:color w:val="auto"/>
              </w:rPr>
            </w:pPr>
            <w:r>
              <w:rPr>
                <w:rFonts w:ascii="Arial" w:cs="Arial" w:eastAsia="Arial" w:hAnsi="Arial"/>
                <w:sz w:val="10"/>
                <w:szCs w:val="10"/>
                <w:color w:val="auto"/>
              </w:rPr>
              <w:t>—</w:t>
            </w:r>
          </w:p>
        </w:tc>
      </w:tr>
      <w:tr>
        <w:trPr>
          <w:trHeight w:val="108"/>
        </w:trPr>
        <w:tc>
          <w:tcPr>
            <w:tcW w:w="5600" w:type="dxa"/>
            <w:vAlign w:val="bottom"/>
          </w:tcPr>
          <w:p>
            <w:pPr>
              <w:ind w:left="80"/>
              <w:spacing w:after="0" w:line="108" w:lineRule="exact"/>
              <w:rPr>
                <w:sz w:val="20"/>
                <w:szCs w:val="20"/>
                <w:color w:val="auto"/>
              </w:rPr>
            </w:pPr>
            <w:r>
              <w:rPr>
                <w:rFonts w:ascii="Arial" w:cs="Arial" w:eastAsia="Arial" w:hAnsi="Arial"/>
                <w:sz w:val="10"/>
                <w:szCs w:val="10"/>
                <w:color w:val="auto"/>
              </w:rPr>
              <w:t>Earn-out shares issued to Platinum Stockholder</w:t>
            </w:r>
          </w:p>
        </w:tc>
        <w:tc>
          <w:tcPr>
            <w:tcW w:w="820" w:type="dxa"/>
            <w:vAlign w:val="bottom"/>
          </w:tcPr>
          <w:p>
            <w:pPr>
              <w:spacing w:after="0"/>
              <w:rPr>
                <w:sz w:val="9"/>
                <w:szCs w:val="9"/>
                <w:color w:val="auto"/>
              </w:rPr>
            </w:pPr>
          </w:p>
        </w:tc>
        <w:tc>
          <w:tcPr>
            <w:tcW w:w="400" w:type="dxa"/>
            <w:vAlign w:val="bottom"/>
          </w:tcPr>
          <w:p>
            <w:pPr>
              <w:jc w:val="right"/>
              <w:spacing w:after="0" w:line="108" w:lineRule="exact"/>
              <w:rPr>
                <w:sz w:val="20"/>
                <w:szCs w:val="20"/>
                <w:color w:val="auto"/>
              </w:rPr>
            </w:pPr>
            <w:r>
              <w:rPr>
                <w:rFonts w:ascii="Arial" w:cs="Arial" w:eastAsia="Arial" w:hAnsi="Arial"/>
                <w:sz w:val="10"/>
                <w:szCs w:val="10"/>
                <w:color w:val="auto"/>
              </w:rPr>
              <w:t>18,288</w:t>
            </w:r>
          </w:p>
        </w:tc>
        <w:tc>
          <w:tcPr>
            <w:tcW w:w="3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w:t>
            </w:r>
          </w:p>
        </w:tc>
        <w:tc>
          <w:tcPr>
            <w:tcW w:w="160" w:type="dxa"/>
            <w:vAlign w:val="bottom"/>
          </w:tcPr>
          <w:p>
            <w:pPr>
              <w:spacing w:after="0"/>
              <w:rPr>
                <w:sz w:val="9"/>
                <w:szCs w:val="9"/>
                <w:color w:val="auto"/>
              </w:rPr>
            </w:pPr>
          </w:p>
        </w:tc>
        <w:tc>
          <w:tcPr>
            <w:tcW w:w="1280" w:type="dxa"/>
            <w:vAlign w:val="bottom"/>
            <w:tcBorders>
              <w:right w:val="single" w:sz="8" w:color="auto"/>
            </w:tcBorders>
            <w:gridSpan w:val="2"/>
          </w:tcPr>
          <w:p>
            <w:pPr>
              <w:jc w:val="right"/>
              <w:ind w:right="240"/>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20" w:type="dxa"/>
            <w:vAlign w:val="bottom"/>
            <w:gridSpan w:val="2"/>
          </w:tcPr>
          <w:p>
            <w:pPr>
              <w:jc w:val="right"/>
              <w:ind w:right="80"/>
              <w:spacing w:after="0" w:line="108" w:lineRule="exact"/>
              <w:rPr>
                <w:sz w:val="20"/>
                <w:szCs w:val="20"/>
                <w:color w:val="auto"/>
              </w:rPr>
            </w:pPr>
            <w:r>
              <w:rPr>
                <w:rFonts w:ascii="Arial" w:cs="Arial" w:eastAsia="Arial" w:hAnsi="Arial"/>
                <w:sz w:val="10"/>
                <w:szCs w:val="10"/>
                <w:color w:val="auto"/>
              </w:rPr>
              <w:t>—</w:t>
            </w:r>
          </w:p>
        </w:tc>
      </w:tr>
      <w:tr>
        <w:trPr>
          <w:trHeight w:val="108"/>
        </w:trPr>
        <w:tc>
          <w:tcPr>
            <w:tcW w:w="5600" w:type="dxa"/>
            <w:vAlign w:val="bottom"/>
            <w:shd w:val="clear" w:color="auto" w:fill="CFF0FC"/>
          </w:tcPr>
          <w:p>
            <w:pPr>
              <w:ind w:left="80"/>
              <w:spacing w:after="0" w:line="108" w:lineRule="exact"/>
              <w:rPr>
                <w:sz w:val="20"/>
                <w:szCs w:val="20"/>
                <w:color w:val="auto"/>
              </w:rPr>
            </w:pPr>
            <w:r>
              <w:rPr>
                <w:rFonts w:ascii="Arial" w:cs="Arial" w:eastAsia="Arial" w:hAnsi="Arial"/>
                <w:sz w:val="10"/>
                <w:szCs w:val="10"/>
                <w:color w:val="auto"/>
              </w:rPr>
              <w:t>Additions (reductions) to ARO, property and equipment, and other</w:t>
            </w:r>
          </w:p>
        </w:tc>
        <w:tc>
          <w:tcPr>
            <w:tcW w:w="820" w:type="dxa"/>
            <w:vAlign w:val="bottom"/>
            <w:shd w:val="clear" w:color="auto" w:fill="CFF0FC"/>
          </w:tcPr>
          <w:p>
            <w:pPr>
              <w:spacing w:after="0"/>
              <w:rPr>
                <w:sz w:val="9"/>
                <w:szCs w:val="9"/>
                <w:color w:val="auto"/>
              </w:rPr>
            </w:pPr>
          </w:p>
        </w:tc>
        <w:tc>
          <w:tcPr>
            <w:tcW w:w="400" w:type="dxa"/>
            <w:vAlign w:val="bottom"/>
            <w:shd w:val="clear" w:color="auto" w:fill="CFF0FC"/>
          </w:tcPr>
          <w:p>
            <w:pPr>
              <w:jc w:val="right"/>
              <w:spacing w:after="0" w:line="108" w:lineRule="exact"/>
              <w:rPr>
                <w:sz w:val="20"/>
                <w:szCs w:val="20"/>
                <w:color w:val="auto"/>
              </w:rPr>
            </w:pPr>
            <w:r>
              <w:rPr>
                <w:rFonts w:ascii="Arial" w:cs="Arial" w:eastAsia="Arial" w:hAnsi="Arial"/>
                <w:sz w:val="10"/>
                <w:szCs w:val="10"/>
                <w:color w:val="auto"/>
              </w:rPr>
              <w:t>230</w:t>
            </w:r>
          </w:p>
        </w:tc>
        <w:tc>
          <w:tcPr>
            <w:tcW w:w="300" w:type="dxa"/>
            <w:vAlign w:val="bottom"/>
            <w:shd w:val="clear" w:color="auto" w:fill="CFF0FC"/>
          </w:tcPr>
          <w:p>
            <w:pPr>
              <w:spacing w:after="0"/>
              <w:rPr>
                <w:sz w:val="9"/>
                <w:szCs w:val="9"/>
                <w:color w:val="auto"/>
              </w:rPr>
            </w:pPr>
          </w:p>
        </w:tc>
        <w:tc>
          <w:tcPr>
            <w:tcW w:w="340" w:type="dxa"/>
            <w:vAlign w:val="bottom"/>
            <w:shd w:val="clear" w:color="auto" w:fill="CFF0FC"/>
          </w:tcPr>
          <w:p>
            <w:pPr>
              <w:spacing w:after="0"/>
              <w:rPr>
                <w:sz w:val="9"/>
                <w:szCs w:val="9"/>
                <w:color w:val="auto"/>
              </w:rPr>
            </w:pPr>
          </w:p>
        </w:tc>
        <w:tc>
          <w:tcPr>
            <w:tcW w:w="900" w:type="dxa"/>
            <w:vAlign w:val="bottom"/>
            <w:shd w:val="clear" w:color="auto" w:fill="CFF0FC"/>
          </w:tcPr>
          <w:p>
            <w:pPr>
              <w:jc w:val="right"/>
              <w:spacing w:after="0" w:line="108" w:lineRule="exact"/>
              <w:rPr>
                <w:sz w:val="20"/>
                <w:szCs w:val="20"/>
                <w:color w:val="auto"/>
              </w:rPr>
            </w:pPr>
            <w:r>
              <w:rPr>
                <w:rFonts w:ascii="Arial" w:cs="Arial" w:eastAsia="Arial" w:hAnsi="Arial"/>
                <w:sz w:val="10"/>
                <w:szCs w:val="10"/>
                <w:color w:val="auto"/>
              </w:rPr>
              <w:t>147</w:t>
            </w:r>
          </w:p>
        </w:tc>
        <w:tc>
          <w:tcPr>
            <w:tcW w:w="30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1280" w:type="dxa"/>
            <w:vAlign w:val="bottom"/>
            <w:tcBorders>
              <w:right w:val="single" w:sz="8" w:color="auto"/>
            </w:tcBorders>
            <w:gridSpan w:val="2"/>
            <w:shd w:val="clear" w:color="auto" w:fill="CFF0FC"/>
          </w:tcPr>
          <w:p>
            <w:pPr>
              <w:jc w:val="right"/>
              <w:ind w:right="200"/>
              <w:spacing w:after="0" w:line="108" w:lineRule="exact"/>
              <w:rPr>
                <w:sz w:val="20"/>
                <w:szCs w:val="20"/>
                <w:color w:val="auto"/>
              </w:rPr>
            </w:pPr>
            <w:r>
              <w:rPr>
                <w:rFonts w:ascii="Arial" w:cs="Arial" w:eastAsia="Arial" w:hAnsi="Arial"/>
                <w:sz w:val="10"/>
                <w:szCs w:val="10"/>
                <w:color w:val="auto"/>
              </w:rPr>
              <w:t>(324)</w:t>
            </w:r>
          </w:p>
        </w:tc>
        <w:tc>
          <w:tcPr>
            <w:tcW w:w="10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1060" w:type="dxa"/>
            <w:vAlign w:val="bottom"/>
            <w:shd w:val="clear" w:color="auto" w:fill="CFF0FC"/>
          </w:tcPr>
          <w:p>
            <w:pPr>
              <w:jc w:val="right"/>
              <w:spacing w:after="0" w:line="108" w:lineRule="exact"/>
              <w:rPr>
                <w:sz w:val="20"/>
                <w:szCs w:val="20"/>
                <w:color w:val="auto"/>
              </w:rPr>
            </w:pPr>
            <w:r>
              <w:rPr>
                <w:rFonts w:ascii="Arial" w:cs="Arial" w:eastAsia="Arial" w:hAnsi="Arial"/>
                <w:sz w:val="10"/>
                <w:szCs w:val="10"/>
                <w:color w:val="auto"/>
              </w:rPr>
              <w:t>211</w:t>
            </w:r>
          </w:p>
        </w:tc>
        <w:tc>
          <w:tcPr>
            <w:tcW w:w="60" w:type="dxa"/>
            <w:vAlign w:val="bottom"/>
            <w:shd w:val="clear" w:color="auto" w:fill="CFF0FC"/>
          </w:tcPr>
          <w:p>
            <w:pPr>
              <w:spacing w:after="0"/>
              <w:rPr>
                <w:sz w:val="9"/>
                <w:szCs w:val="9"/>
                <w:color w:val="auto"/>
              </w:rPr>
            </w:pPr>
          </w:p>
        </w:tc>
      </w:tr>
      <w:tr>
        <w:trPr>
          <w:trHeight w:val="108"/>
        </w:trPr>
        <w:tc>
          <w:tcPr>
            <w:tcW w:w="5600" w:type="dxa"/>
            <w:vAlign w:val="bottom"/>
          </w:tcPr>
          <w:p>
            <w:pPr>
              <w:ind w:left="80"/>
              <w:spacing w:after="0" w:line="108" w:lineRule="exact"/>
              <w:rPr>
                <w:sz w:val="20"/>
                <w:szCs w:val="20"/>
                <w:color w:val="auto"/>
              </w:rPr>
            </w:pPr>
            <w:r>
              <w:rPr>
                <w:rFonts w:ascii="Arial" w:cs="Arial" w:eastAsia="Arial" w:hAnsi="Arial"/>
                <w:sz w:val="10"/>
                <w:szCs w:val="10"/>
                <w:color w:val="auto"/>
                <w:w w:val="98"/>
              </w:rPr>
              <w:t>Purchases of installation and service parts and property and equipment in accounts payable and accrued liabilities at year-end</w:t>
            </w:r>
          </w:p>
        </w:tc>
        <w:tc>
          <w:tcPr>
            <w:tcW w:w="820" w:type="dxa"/>
            <w:vAlign w:val="bottom"/>
          </w:tcPr>
          <w:p>
            <w:pPr>
              <w:spacing w:after="0"/>
              <w:rPr>
                <w:sz w:val="9"/>
                <w:szCs w:val="9"/>
                <w:color w:val="auto"/>
              </w:rPr>
            </w:pPr>
          </w:p>
        </w:tc>
        <w:tc>
          <w:tcPr>
            <w:tcW w:w="400" w:type="dxa"/>
            <w:vAlign w:val="bottom"/>
          </w:tcPr>
          <w:p>
            <w:pPr>
              <w:jc w:val="right"/>
              <w:spacing w:after="0" w:line="108" w:lineRule="exact"/>
              <w:rPr>
                <w:sz w:val="20"/>
                <w:szCs w:val="20"/>
                <w:color w:val="auto"/>
              </w:rPr>
            </w:pPr>
            <w:r>
              <w:rPr>
                <w:rFonts w:ascii="Arial" w:cs="Arial" w:eastAsia="Arial" w:hAnsi="Arial"/>
                <w:sz w:val="10"/>
                <w:szCs w:val="10"/>
                <w:color w:val="auto"/>
              </w:rPr>
              <w:t>4,204</w:t>
            </w:r>
          </w:p>
        </w:tc>
        <w:tc>
          <w:tcPr>
            <w:tcW w:w="300" w:type="dxa"/>
            <w:vAlign w:val="bottom"/>
          </w:tcPr>
          <w:p>
            <w:pPr>
              <w:spacing w:after="0"/>
              <w:rPr>
                <w:sz w:val="9"/>
                <w:szCs w:val="9"/>
                <w:color w:val="auto"/>
              </w:rPr>
            </w:pPr>
          </w:p>
        </w:tc>
        <w:tc>
          <w:tcPr>
            <w:tcW w:w="340" w:type="dxa"/>
            <w:vAlign w:val="bottom"/>
          </w:tcPr>
          <w:p>
            <w:pPr>
              <w:spacing w:after="0"/>
              <w:rPr>
                <w:sz w:val="9"/>
                <w:szCs w:val="9"/>
                <w:color w:val="auto"/>
              </w:rPr>
            </w:pPr>
          </w:p>
        </w:tc>
        <w:tc>
          <w:tcPr>
            <w:tcW w:w="900" w:type="dxa"/>
            <w:vAlign w:val="bottom"/>
          </w:tcPr>
          <w:p>
            <w:pPr>
              <w:jc w:val="right"/>
              <w:spacing w:after="0" w:line="108" w:lineRule="exact"/>
              <w:rPr>
                <w:sz w:val="20"/>
                <w:szCs w:val="20"/>
                <w:color w:val="auto"/>
              </w:rPr>
            </w:pPr>
            <w:r>
              <w:rPr>
                <w:rFonts w:ascii="Arial" w:cs="Arial" w:eastAsia="Arial" w:hAnsi="Arial"/>
                <w:sz w:val="10"/>
                <w:szCs w:val="10"/>
                <w:color w:val="auto"/>
              </w:rPr>
              <w:t>3,179</w:t>
            </w: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60" w:type="dxa"/>
            <w:vAlign w:val="bottom"/>
          </w:tcPr>
          <w:p>
            <w:pPr>
              <w:jc w:val="right"/>
              <w:spacing w:after="0" w:line="108" w:lineRule="exact"/>
              <w:rPr>
                <w:sz w:val="20"/>
                <w:szCs w:val="20"/>
                <w:color w:val="auto"/>
              </w:rPr>
            </w:pPr>
            <w:r>
              <w:rPr>
                <w:rFonts w:ascii="Arial" w:cs="Arial" w:eastAsia="Arial" w:hAnsi="Arial"/>
                <w:sz w:val="10"/>
                <w:szCs w:val="10"/>
                <w:color w:val="auto"/>
              </w:rPr>
              <w:t>3,095</w:t>
            </w:r>
          </w:p>
        </w:tc>
        <w:tc>
          <w:tcPr>
            <w:tcW w:w="22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60" w:type="dxa"/>
            <w:vAlign w:val="bottom"/>
          </w:tcPr>
          <w:p>
            <w:pPr>
              <w:jc w:val="right"/>
              <w:spacing w:after="0" w:line="108" w:lineRule="exact"/>
              <w:rPr>
                <w:sz w:val="20"/>
                <w:szCs w:val="20"/>
                <w:color w:val="auto"/>
              </w:rPr>
            </w:pPr>
            <w:r>
              <w:rPr>
                <w:rFonts w:ascii="Arial" w:cs="Arial" w:eastAsia="Arial" w:hAnsi="Arial"/>
                <w:sz w:val="10"/>
                <w:szCs w:val="10"/>
                <w:color w:val="auto"/>
              </w:rPr>
              <w:t>2,794</w:t>
            </w:r>
          </w:p>
        </w:tc>
        <w:tc>
          <w:tcPr>
            <w:tcW w:w="60" w:type="dxa"/>
            <w:vAlign w:val="bottom"/>
          </w:tcPr>
          <w:p>
            <w:pPr>
              <w:spacing w:after="0"/>
              <w:rPr>
                <w:sz w:val="9"/>
                <w:szCs w:val="9"/>
                <w:color w:val="auto"/>
              </w:rPr>
            </w:pPr>
          </w:p>
        </w:tc>
      </w:tr>
      <w:tr>
        <w:trPr>
          <w:trHeight w:val="108"/>
        </w:trPr>
        <w:tc>
          <w:tcPr>
            <w:tcW w:w="5600" w:type="dxa"/>
            <w:vAlign w:val="bottom"/>
            <w:shd w:val="clear" w:color="auto" w:fill="CFF0FC"/>
          </w:tcPr>
          <w:p>
            <w:pPr>
              <w:ind w:left="80"/>
              <w:spacing w:after="0" w:line="108" w:lineRule="exact"/>
              <w:rPr>
                <w:sz w:val="20"/>
                <w:szCs w:val="20"/>
                <w:color w:val="auto"/>
              </w:rPr>
            </w:pPr>
            <w:r>
              <w:rPr>
                <w:rFonts w:ascii="Arial" w:cs="Arial" w:eastAsia="Arial" w:hAnsi="Arial"/>
                <w:sz w:val="10"/>
                <w:szCs w:val="10"/>
                <w:color w:val="auto"/>
              </w:rPr>
              <w:t>Tenant improvement allowance included in property and equipment</w:t>
            </w:r>
          </w:p>
        </w:tc>
        <w:tc>
          <w:tcPr>
            <w:tcW w:w="820" w:type="dxa"/>
            <w:vAlign w:val="bottom"/>
            <w:shd w:val="clear" w:color="auto" w:fill="CFF0FC"/>
          </w:tcPr>
          <w:p>
            <w:pPr>
              <w:spacing w:after="0"/>
              <w:rPr>
                <w:sz w:val="9"/>
                <w:szCs w:val="9"/>
                <w:color w:val="auto"/>
              </w:rPr>
            </w:pPr>
          </w:p>
        </w:tc>
        <w:tc>
          <w:tcPr>
            <w:tcW w:w="400" w:type="dxa"/>
            <w:vAlign w:val="bottom"/>
            <w:shd w:val="clear" w:color="auto" w:fill="CFF0FC"/>
          </w:tcPr>
          <w:p>
            <w:pPr>
              <w:jc w:val="right"/>
              <w:spacing w:after="0" w:line="108" w:lineRule="exact"/>
              <w:rPr>
                <w:sz w:val="20"/>
                <w:szCs w:val="20"/>
                <w:color w:val="auto"/>
              </w:rPr>
            </w:pPr>
            <w:r>
              <w:rPr>
                <w:rFonts w:ascii="Arial" w:cs="Arial" w:eastAsia="Arial" w:hAnsi="Arial"/>
                <w:sz w:val="10"/>
                <w:szCs w:val="10"/>
                <w:color w:val="auto"/>
              </w:rPr>
              <w:t>581</w:t>
            </w:r>
          </w:p>
        </w:tc>
        <w:tc>
          <w:tcPr>
            <w:tcW w:w="300" w:type="dxa"/>
            <w:vAlign w:val="bottom"/>
            <w:shd w:val="clear" w:color="auto" w:fill="CFF0FC"/>
          </w:tcPr>
          <w:p>
            <w:pPr>
              <w:spacing w:after="0"/>
              <w:rPr>
                <w:sz w:val="9"/>
                <w:szCs w:val="9"/>
                <w:color w:val="auto"/>
              </w:rPr>
            </w:pPr>
          </w:p>
        </w:tc>
        <w:tc>
          <w:tcPr>
            <w:tcW w:w="340" w:type="dxa"/>
            <w:vAlign w:val="bottom"/>
            <w:shd w:val="clear" w:color="auto" w:fill="CFF0FC"/>
          </w:tcPr>
          <w:p>
            <w:pPr>
              <w:spacing w:after="0"/>
              <w:rPr>
                <w:sz w:val="9"/>
                <w:szCs w:val="9"/>
                <w:color w:val="auto"/>
              </w:rPr>
            </w:pPr>
          </w:p>
        </w:tc>
        <w:tc>
          <w:tcPr>
            <w:tcW w:w="1200" w:type="dxa"/>
            <w:vAlign w:val="bottom"/>
            <w:gridSpan w:val="2"/>
            <w:shd w:val="clear" w:color="auto" w:fill="CFF0FC"/>
          </w:tcPr>
          <w:p>
            <w:pPr>
              <w:jc w:val="right"/>
              <w:ind w:right="300"/>
              <w:spacing w:after="0" w:line="108" w:lineRule="exact"/>
              <w:rPr>
                <w:sz w:val="20"/>
                <w:szCs w:val="20"/>
                <w:color w:val="auto"/>
              </w:rPr>
            </w:pPr>
            <w:r>
              <w:rPr>
                <w:rFonts w:ascii="Arial" w:cs="Arial" w:eastAsia="Arial" w:hAnsi="Arial"/>
                <w:sz w:val="10"/>
                <w:szCs w:val="10"/>
                <w:color w:val="auto"/>
              </w:rPr>
              <w:t>—</w:t>
            </w:r>
          </w:p>
        </w:tc>
        <w:tc>
          <w:tcPr>
            <w:tcW w:w="160" w:type="dxa"/>
            <w:vAlign w:val="bottom"/>
            <w:shd w:val="clear" w:color="auto" w:fill="CFF0FC"/>
          </w:tcPr>
          <w:p>
            <w:pPr>
              <w:spacing w:after="0"/>
              <w:rPr>
                <w:sz w:val="9"/>
                <w:szCs w:val="9"/>
                <w:color w:val="auto"/>
              </w:rPr>
            </w:pPr>
          </w:p>
        </w:tc>
        <w:tc>
          <w:tcPr>
            <w:tcW w:w="1280" w:type="dxa"/>
            <w:vAlign w:val="bottom"/>
            <w:tcBorders>
              <w:right w:val="single" w:sz="8" w:color="auto"/>
            </w:tcBorders>
            <w:gridSpan w:val="2"/>
            <w:shd w:val="clear" w:color="auto" w:fill="CFF0FC"/>
          </w:tcPr>
          <w:p>
            <w:pPr>
              <w:jc w:val="right"/>
              <w:ind w:right="240"/>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1120" w:type="dxa"/>
            <w:vAlign w:val="bottom"/>
            <w:gridSpan w:val="2"/>
            <w:shd w:val="clear" w:color="auto" w:fill="CFF0FC"/>
          </w:tcPr>
          <w:p>
            <w:pPr>
              <w:jc w:val="right"/>
              <w:ind w:right="80"/>
              <w:spacing w:after="0" w:line="108" w:lineRule="exact"/>
              <w:rPr>
                <w:sz w:val="20"/>
                <w:szCs w:val="20"/>
                <w:color w:val="auto"/>
              </w:rPr>
            </w:pPr>
            <w:r>
              <w:rPr>
                <w:rFonts w:ascii="Arial" w:cs="Arial" w:eastAsia="Arial" w:hAnsi="Arial"/>
                <w:sz w:val="10"/>
                <w:szCs w:val="10"/>
                <w:color w:val="auto"/>
              </w:rPr>
              <w:t>—</w:t>
            </w:r>
          </w:p>
        </w:tc>
      </w:tr>
      <w:tr>
        <w:trPr>
          <w:trHeight w:val="108"/>
        </w:trPr>
        <w:tc>
          <w:tcPr>
            <w:tcW w:w="5600" w:type="dxa"/>
            <w:vAlign w:val="bottom"/>
          </w:tcPr>
          <w:p>
            <w:pPr>
              <w:ind w:left="80"/>
              <w:spacing w:after="0" w:line="108" w:lineRule="exact"/>
              <w:rPr>
                <w:sz w:val="20"/>
                <w:szCs w:val="20"/>
                <w:color w:val="auto"/>
              </w:rPr>
            </w:pPr>
            <w:r>
              <w:rPr>
                <w:rFonts w:ascii="Arial" w:cs="Arial" w:eastAsia="Arial" w:hAnsi="Arial"/>
                <w:sz w:val="10"/>
                <w:szCs w:val="10"/>
                <w:color w:val="auto"/>
              </w:rPr>
              <w:t>Capital contributions received in Parent common stock</w:t>
            </w:r>
          </w:p>
        </w:tc>
        <w:tc>
          <w:tcPr>
            <w:tcW w:w="820" w:type="dxa"/>
            <w:vAlign w:val="bottom"/>
          </w:tcPr>
          <w:p>
            <w:pPr>
              <w:spacing w:after="0"/>
              <w:rPr>
                <w:sz w:val="9"/>
                <w:szCs w:val="9"/>
                <w:color w:val="auto"/>
              </w:rPr>
            </w:pPr>
          </w:p>
        </w:tc>
        <w:tc>
          <w:tcPr>
            <w:tcW w:w="70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w:t>
            </w:r>
          </w:p>
        </w:tc>
        <w:tc>
          <w:tcPr>
            <w:tcW w:w="340" w:type="dxa"/>
            <w:vAlign w:val="bottom"/>
          </w:tcPr>
          <w:p>
            <w:pPr>
              <w:spacing w:after="0"/>
              <w:rPr>
                <w:sz w:val="9"/>
                <w:szCs w:val="9"/>
                <w:color w:val="auto"/>
              </w:rPr>
            </w:pPr>
          </w:p>
        </w:tc>
        <w:tc>
          <w:tcPr>
            <w:tcW w:w="900" w:type="dxa"/>
            <w:vAlign w:val="bottom"/>
          </w:tcPr>
          <w:p>
            <w:pPr>
              <w:jc w:val="right"/>
              <w:spacing w:after="0" w:line="108" w:lineRule="exact"/>
              <w:rPr>
                <w:sz w:val="20"/>
                <w:szCs w:val="20"/>
                <w:color w:val="auto"/>
              </w:rPr>
            </w:pPr>
            <w:r>
              <w:rPr>
                <w:rFonts w:ascii="Arial" w:cs="Arial" w:eastAsia="Arial" w:hAnsi="Arial"/>
                <w:sz w:val="10"/>
                <w:szCs w:val="10"/>
                <w:color w:val="auto"/>
              </w:rPr>
              <w:t>117,555</w:t>
            </w: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80" w:type="dxa"/>
            <w:vAlign w:val="bottom"/>
            <w:tcBorders>
              <w:right w:val="single" w:sz="8" w:color="auto"/>
            </w:tcBorders>
            <w:gridSpan w:val="2"/>
          </w:tcPr>
          <w:p>
            <w:pPr>
              <w:jc w:val="right"/>
              <w:ind w:right="240"/>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20" w:type="dxa"/>
            <w:vAlign w:val="bottom"/>
            <w:gridSpan w:val="2"/>
          </w:tcPr>
          <w:p>
            <w:pPr>
              <w:jc w:val="right"/>
              <w:ind w:right="80"/>
              <w:spacing w:after="0" w:line="108" w:lineRule="exact"/>
              <w:rPr>
                <w:sz w:val="20"/>
                <w:szCs w:val="20"/>
                <w:color w:val="auto"/>
              </w:rPr>
            </w:pPr>
            <w:r>
              <w:rPr>
                <w:rFonts w:ascii="Arial" w:cs="Arial" w:eastAsia="Arial" w:hAnsi="Arial"/>
                <w:sz w:val="10"/>
                <w:szCs w:val="10"/>
                <w:color w:val="auto"/>
              </w:rPr>
              <w:t>—</w:t>
            </w:r>
          </w:p>
        </w:tc>
      </w:tr>
      <w:tr>
        <w:trPr>
          <w:trHeight w:val="108"/>
        </w:trPr>
        <w:tc>
          <w:tcPr>
            <w:tcW w:w="5600" w:type="dxa"/>
            <w:vAlign w:val="bottom"/>
            <w:shd w:val="clear" w:color="auto" w:fill="CFF0FC"/>
          </w:tcPr>
          <w:p>
            <w:pPr>
              <w:ind w:left="80"/>
              <w:spacing w:after="0" w:line="108" w:lineRule="exact"/>
              <w:rPr>
                <w:sz w:val="20"/>
                <w:szCs w:val="20"/>
                <w:color w:val="auto"/>
              </w:rPr>
            </w:pPr>
            <w:r>
              <w:rPr>
                <w:rFonts w:ascii="Arial" w:cs="Arial" w:eastAsia="Arial" w:hAnsi="Arial"/>
                <w:sz w:val="10"/>
                <w:szCs w:val="10"/>
                <w:color w:val="auto"/>
              </w:rPr>
              <w:t>Tax receivable agreement established upon merger</w:t>
            </w:r>
          </w:p>
        </w:tc>
        <w:tc>
          <w:tcPr>
            <w:tcW w:w="820" w:type="dxa"/>
            <w:vAlign w:val="bottom"/>
            <w:shd w:val="clear" w:color="auto" w:fill="CFF0FC"/>
          </w:tcPr>
          <w:p>
            <w:pPr>
              <w:spacing w:after="0"/>
              <w:rPr>
                <w:sz w:val="9"/>
                <w:szCs w:val="9"/>
                <w:color w:val="auto"/>
              </w:rPr>
            </w:pPr>
          </w:p>
        </w:tc>
        <w:tc>
          <w:tcPr>
            <w:tcW w:w="700" w:type="dxa"/>
            <w:vAlign w:val="bottom"/>
            <w:gridSpan w:val="2"/>
            <w:shd w:val="clear" w:color="auto" w:fill="CFF0FC"/>
          </w:tcPr>
          <w:p>
            <w:pPr>
              <w:jc w:val="right"/>
              <w:ind w:right="300"/>
              <w:spacing w:after="0" w:line="108" w:lineRule="exact"/>
              <w:rPr>
                <w:sz w:val="20"/>
                <w:szCs w:val="20"/>
                <w:color w:val="auto"/>
              </w:rPr>
            </w:pPr>
            <w:r>
              <w:rPr>
                <w:rFonts w:ascii="Arial" w:cs="Arial" w:eastAsia="Arial" w:hAnsi="Arial"/>
                <w:sz w:val="10"/>
                <w:szCs w:val="10"/>
                <w:color w:val="auto"/>
              </w:rPr>
              <w:t>—</w:t>
            </w:r>
          </w:p>
        </w:tc>
        <w:tc>
          <w:tcPr>
            <w:tcW w:w="340" w:type="dxa"/>
            <w:vAlign w:val="bottom"/>
            <w:shd w:val="clear" w:color="auto" w:fill="CFF0FC"/>
          </w:tcPr>
          <w:p>
            <w:pPr>
              <w:spacing w:after="0"/>
              <w:rPr>
                <w:sz w:val="9"/>
                <w:szCs w:val="9"/>
                <w:color w:val="auto"/>
              </w:rPr>
            </w:pPr>
          </w:p>
        </w:tc>
        <w:tc>
          <w:tcPr>
            <w:tcW w:w="900" w:type="dxa"/>
            <w:vAlign w:val="bottom"/>
            <w:shd w:val="clear" w:color="auto" w:fill="CFF0FC"/>
          </w:tcPr>
          <w:p>
            <w:pPr>
              <w:jc w:val="right"/>
              <w:spacing w:after="0" w:line="108" w:lineRule="exact"/>
              <w:rPr>
                <w:sz w:val="20"/>
                <w:szCs w:val="20"/>
                <w:color w:val="auto"/>
              </w:rPr>
            </w:pPr>
            <w:r>
              <w:rPr>
                <w:rFonts w:ascii="Arial" w:cs="Arial" w:eastAsia="Arial" w:hAnsi="Arial"/>
                <w:sz w:val="10"/>
                <w:szCs w:val="10"/>
                <w:color w:val="auto"/>
              </w:rPr>
              <w:t>69,996</w:t>
            </w:r>
          </w:p>
        </w:tc>
        <w:tc>
          <w:tcPr>
            <w:tcW w:w="30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1280" w:type="dxa"/>
            <w:vAlign w:val="bottom"/>
            <w:tcBorders>
              <w:right w:val="single" w:sz="8" w:color="auto"/>
            </w:tcBorders>
            <w:gridSpan w:val="2"/>
            <w:shd w:val="clear" w:color="auto" w:fill="CFF0FC"/>
          </w:tcPr>
          <w:p>
            <w:pPr>
              <w:jc w:val="right"/>
              <w:ind w:right="240"/>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1120" w:type="dxa"/>
            <w:vAlign w:val="bottom"/>
            <w:gridSpan w:val="2"/>
            <w:shd w:val="clear" w:color="auto" w:fill="CFF0FC"/>
          </w:tcPr>
          <w:p>
            <w:pPr>
              <w:jc w:val="right"/>
              <w:ind w:right="80"/>
              <w:spacing w:after="0" w:line="108" w:lineRule="exact"/>
              <w:rPr>
                <w:sz w:val="20"/>
                <w:szCs w:val="20"/>
                <w:color w:val="auto"/>
              </w:rPr>
            </w:pPr>
            <w:r>
              <w:rPr>
                <w:rFonts w:ascii="Arial" w:cs="Arial" w:eastAsia="Arial" w:hAnsi="Arial"/>
                <w:sz w:val="10"/>
                <w:szCs w:val="10"/>
                <w:color w:val="auto"/>
              </w:rPr>
              <w:t>—</w:t>
            </w:r>
          </w:p>
        </w:tc>
      </w:tr>
    </w:tbl>
    <w:p>
      <w:pPr>
        <w:spacing w:after="0" w:line="132" w:lineRule="exact"/>
        <w:rPr>
          <w:sz w:val="20"/>
          <w:szCs w:val="20"/>
          <w:color w:val="auto"/>
        </w:rPr>
      </w:pPr>
    </w:p>
    <w:p>
      <w:pPr>
        <w:jc w:val="center"/>
        <w:ind w:right="20"/>
        <w:spacing w:after="0"/>
        <w:rPr>
          <w:sz w:val="20"/>
          <w:szCs w:val="20"/>
          <w:color w:val="auto"/>
        </w:rPr>
      </w:pPr>
      <w:r>
        <w:rPr>
          <w:rFonts w:ascii="Arial" w:cs="Arial" w:eastAsia="Arial" w:hAnsi="Arial"/>
          <w:sz w:val="10"/>
          <w:szCs w:val="10"/>
          <w:color w:val="auto"/>
        </w:rPr>
        <w:t>See accompanying Notes to Consolidated Financial Statements</w:t>
      </w:r>
    </w:p>
    <w:p>
      <w:pPr>
        <w:spacing w:after="0" w:line="132"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17740" cy="3683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ectPr>
          <w:pgSz w:w="11900" w:h="16838" w:orient="portrait"/>
          <w:cols w:equalWidth="0" w:num="1">
            <w:col w:w="11480"/>
          </w:cols>
          <w:pgMar w:left="220" w:top="271" w:right="199" w:bottom="1440" w:gutter="0" w:footer="0" w:header="0"/>
        </w:sectPr>
      </w:pPr>
    </w:p>
    <w:bookmarkStart w:id="73" w:name="page74"/>
    <w:bookmarkEnd w:id="73"/>
    <w:p>
      <w:pPr>
        <w:jc w:val="center"/>
        <w:ind w:right="-7"/>
        <w:spacing w:after="0"/>
        <w:rPr>
          <w:sz w:val="20"/>
          <w:szCs w:val="20"/>
          <w:color w:val="auto"/>
        </w:rPr>
      </w:pPr>
      <w:r>
        <w:rPr>
          <w:rFonts w:ascii="Arial" w:cs="Arial" w:eastAsia="Arial" w:hAnsi="Arial"/>
          <w:sz w:val="12"/>
          <w:szCs w:val="12"/>
          <w:b w:val="1"/>
          <w:bCs w:val="1"/>
          <w:color w:val="auto"/>
        </w:rPr>
        <w:t>VERRA MOBILITY CORPORATION</w:t>
      </w:r>
    </w:p>
    <w:p>
      <w:pPr>
        <w:spacing w:after="0" w:line="19"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164" w:lineRule="exact"/>
        <w:rPr>
          <w:sz w:val="20"/>
          <w:szCs w:val="20"/>
          <w:color w:val="auto"/>
        </w:rPr>
      </w:pPr>
    </w:p>
    <w:p>
      <w:pPr>
        <w:ind w:left="588" w:hanging="588"/>
        <w:spacing w:after="0"/>
        <w:tabs>
          <w:tab w:leader="none" w:pos="588" w:val="left"/>
        </w:tabs>
        <w:numPr>
          <w:ilvl w:val="0"/>
          <w:numId w:val="24"/>
        </w:numPr>
        <w:rPr>
          <w:rFonts w:ascii="Arial" w:cs="Arial" w:eastAsia="Arial" w:hAnsi="Arial"/>
          <w:sz w:val="12"/>
          <w:szCs w:val="12"/>
          <w:b w:val="1"/>
          <w:bCs w:val="1"/>
          <w:color w:val="auto"/>
        </w:rPr>
      </w:pPr>
      <w:r>
        <w:rPr>
          <w:rFonts w:ascii="Arial" w:cs="Arial" w:eastAsia="Arial" w:hAnsi="Arial"/>
          <w:sz w:val="12"/>
          <w:szCs w:val="12"/>
          <w:b w:val="1"/>
          <w:bCs w:val="1"/>
          <w:color w:val="auto"/>
        </w:rPr>
        <w:t>Basis of Presentation and Description of Business</w:t>
      </w:r>
    </w:p>
    <w:p>
      <w:pPr>
        <w:spacing w:after="0" w:line="82"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Basis of Presentation</w:t>
      </w:r>
    </w:p>
    <w:p>
      <w:pPr>
        <w:spacing w:after="0" w:line="78" w:lineRule="exact"/>
        <w:rPr>
          <w:sz w:val="20"/>
          <w:szCs w:val="20"/>
          <w:color w:val="auto"/>
        </w:rPr>
      </w:pPr>
    </w:p>
    <w:p>
      <w:pPr>
        <w:jc w:val="both"/>
        <w:ind w:left="8" w:right="260" w:firstLine="602"/>
        <w:spacing w:after="0" w:line="298" w:lineRule="auto"/>
        <w:rPr>
          <w:sz w:val="20"/>
          <w:szCs w:val="20"/>
          <w:color w:val="auto"/>
        </w:rPr>
      </w:pPr>
      <w:r>
        <w:rPr>
          <w:rFonts w:ascii="Arial" w:cs="Arial" w:eastAsia="Arial" w:hAnsi="Arial"/>
          <w:sz w:val="11"/>
          <w:szCs w:val="11"/>
          <w:color w:val="auto"/>
        </w:rPr>
        <w:t>Verra Mobility Corporation (collectively with its subsidiaries, the “</w:t>
      </w:r>
      <w:r>
        <w:rPr>
          <w:rFonts w:ascii="Arial" w:cs="Arial" w:eastAsia="Arial" w:hAnsi="Arial"/>
          <w:sz w:val="11"/>
          <w:szCs w:val="11"/>
          <w:b w:val="1"/>
          <w:bCs w:val="1"/>
          <w:i w:val="1"/>
          <w:iCs w:val="1"/>
          <w:color w:val="auto"/>
        </w:rPr>
        <w:t>Company</w:t>
      </w:r>
      <w:r>
        <w:rPr>
          <w:rFonts w:ascii="Arial" w:cs="Arial" w:eastAsia="Arial" w:hAnsi="Arial"/>
          <w:sz w:val="11"/>
          <w:szCs w:val="11"/>
          <w:color w:val="auto"/>
        </w:rPr>
        <w:t>” or “</w:t>
      </w:r>
      <w:r>
        <w:rPr>
          <w:rFonts w:ascii="Arial" w:cs="Arial" w:eastAsia="Arial" w:hAnsi="Arial"/>
          <w:sz w:val="11"/>
          <w:szCs w:val="11"/>
          <w:b w:val="1"/>
          <w:bCs w:val="1"/>
          <w:i w:val="1"/>
          <w:iCs w:val="1"/>
          <w:color w:val="auto"/>
        </w:rPr>
        <w:t>Verra Mobility</w:t>
      </w:r>
      <w:r>
        <w:rPr>
          <w:rFonts w:ascii="Arial" w:cs="Arial" w:eastAsia="Arial" w:hAnsi="Arial"/>
          <w:sz w:val="11"/>
          <w:szCs w:val="11"/>
          <w:color w:val="auto"/>
        </w:rPr>
        <w:t>”), formerly known as Gores Holdings II, Inc. (“</w:t>
      </w:r>
      <w:r>
        <w:rPr>
          <w:rFonts w:ascii="Arial" w:cs="Arial" w:eastAsia="Arial" w:hAnsi="Arial"/>
          <w:sz w:val="11"/>
          <w:szCs w:val="11"/>
          <w:b w:val="1"/>
          <w:bCs w:val="1"/>
          <w:i w:val="1"/>
          <w:iCs w:val="1"/>
          <w:color w:val="auto"/>
        </w:rPr>
        <w:t>Gores</w:t>
      </w:r>
      <w:r>
        <w:rPr>
          <w:rFonts w:ascii="Arial" w:cs="Arial" w:eastAsia="Arial" w:hAnsi="Arial"/>
          <w:sz w:val="11"/>
          <w:szCs w:val="11"/>
          <w:color w:val="auto"/>
        </w:rPr>
        <w:t>”), was originally incorporated in Delaware on August 15, 2016 as a special purpose acquisition company formed for the purpose of effecting a merger, capital stock exchange, asset acquisition, stock purchase, reorganization, or other similar business combination with one or more target businesses. On January 19, 2017, the Company consummated its initial public offering (the “</w:t>
      </w:r>
      <w:r>
        <w:rPr>
          <w:rFonts w:ascii="Arial" w:cs="Arial" w:eastAsia="Arial" w:hAnsi="Arial"/>
          <w:sz w:val="11"/>
          <w:szCs w:val="11"/>
          <w:b w:val="1"/>
          <w:bCs w:val="1"/>
          <w:i w:val="1"/>
          <w:iCs w:val="1"/>
          <w:color w:val="auto"/>
        </w:rPr>
        <w:t>IPO</w:t>
      </w:r>
      <w:r>
        <w:rPr>
          <w:rFonts w:ascii="Arial" w:cs="Arial" w:eastAsia="Arial" w:hAnsi="Arial"/>
          <w:sz w:val="11"/>
          <w:szCs w:val="11"/>
          <w:color w:val="auto"/>
        </w:rPr>
        <w:t>”), following which its shares began trading on the Nasdaq Capital Market (“</w:t>
      </w:r>
      <w:r>
        <w:rPr>
          <w:rFonts w:ascii="Arial" w:cs="Arial" w:eastAsia="Arial" w:hAnsi="Arial"/>
          <w:sz w:val="11"/>
          <w:szCs w:val="11"/>
          <w:b w:val="1"/>
          <w:bCs w:val="1"/>
          <w:i w:val="1"/>
          <w:iCs w:val="1"/>
          <w:color w:val="auto"/>
        </w:rPr>
        <w:t>Nasdaq</w:t>
      </w:r>
      <w:r>
        <w:rPr>
          <w:rFonts w:ascii="Arial" w:cs="Arial" w:eastAsia="Arial" w:hAnsi="Arial"/>
          <w:sz w:val="11"/>
          <w:szCs w:val="11"/>
          <w:color w:val="auto"/>
        </w:rPr>
        <w:t>”).</w:t>
      </w:r>
    </w:p>
    <w:p>
      <w:pPr>
        <w:spacing w:after="0" w:line="105" w:lineRule="exact"/>
        <w:rPr>
          <w:sz w:val="20"/>
          <w:szCs w:val="20"/>
          <w:color w:val="auto"/>
        </w:rPr>
      </w:pPr>
    </w:p>
    <w:p>
      <w:pPr>
        <w:ind w:left="8" w:right="80" w:firstLine="602"/>
        <w:spacing w:after="0" w:line="286" w:lineRule="auto"/>
        <w:rPr>
          <w:sz w:val="20"/>
          <w:szCs w:val="20"/>
          <w:color w:val="auto"/>
        </w:rPr>
      </w:pPr>
      <w:r>
        <w:rPr>
          <w:rFonts w:ascii="Arial" w:cs="Arial" w:eastAsia="Arial" w:hAnsi="Arial"/>
          <w:sz w:val="11"/>
          <w:szCs w:val="11"/>
          <w:color w:val="auto"/>
        </w:rPr>
        <w:t>On June 21, 2018, Gores, AM Merger Sub I, Inc., a direct, wholly-owned subsidiary of Gores (“</w:t>
      </w:r>
      <w:r>
        <w:rPr>
          <w:rFonts w:ascii="Arial" w:cs="Arial" w:eastAsia="Arial" w:hAnsi="Arial"/>
          <w:sz w:val="11"/>
          <w:szCs w:val="11"/>
          <w:b w:val="1"/>
          <w:bCs w:val="1"/>
          <w:i w:val="1"/>
          <w:iCs w:val="1"/>
          <w:color w:val="auto"/>
        </w:rPr>
        <w:t>First Merger Sub</w:t>
      </w:r>
      <w:r>
        <w:rPr>
          <w:rFonts w:ascii="Arial" w:cs="Arial" w:eastAsia="Arial" w:hAnsi="Arial"/>
          <w:sz w:val="11"/>
          <w:szCs w:val="11"/>
          <w:color w:val="auto"/>
        </w:rPr>
        <w:t>”), AM Merger Sub II, LLC, a direct, wholly-owned subsidiary of Gores (“</w:t>
      </w:r>
      <w:r>
        <w:rPr>
          <w:rFonts w:ascii="Arial" w:cs="Arial" w:eastAsia="Arial" w:hAnsi="Arial"/>
          <w:sz w:val="11"/>
          <w:szCs w:val="11"/>
          <w:b w:val="1"/>
          <w:bCs w:val="1"/>
          <w:i w:val="1"/>
          <w:iCs w:val="1"/>
          <w:color w:val="auto"/>
        </w:rPr>
        <w:t>Second Merger Sub</w:t>
      </w:r>
      <w:r>
        <w:rPr>
          <w:rFonts w:ascii="Arial" w:cs="Arial" w:eastAsia="Arial" w:hAnsi="Arial"/>
          <w:sz w:val="11"/>
          <w:szCs w:val="11"/>
          <w:color w:val="auto"/>
        </w:rPr>
        <w:t>”), Greenlight Holding II Corporation (“</w:t>
      </w:r>
      <w:r>
        <w:rPr>
          <w:rFonts w:ascii="Arial" w:cs="Arial" w:eastAsia="Arial" w:hAnsi="Arial"/>
          <w:sz w:val="11"/>
          <w:szCs w:val="11"/>
          <w:b w:val="1"/>
          <w:bCs w:val="1"/>
          <w:i w:val="1"/>
          <w:iCs w:val="1"/>
          <w:color w:val="auto"/>
        </w:rPr>
        <w:t>Greenlight</w:t>
      </w:r>
      <w:r>
        <w:rPr>
          <w:rFonts w:ascii="Arial" w:cs="Arial" w:eastAsia="Arial" w:hAnsi="Arial"/>
          <w:sz w:val="11"/>
          <w:szCs w:val="11"/>
          <w:color w:val="auto"/>
        </w:rPr>
        <w:t>”), and PE Greenlight Holdings, LLC entered into an Agreement and Plan of Merger as amended on August 23, 2018 by that certain Amendment No. 1 to Agreement and Plan of Merger (as amended, the “</w:t>
      </w:r>
      <w:r>
        <w:rPr>
          <w:rFonts w:ascii="Arial" w:cs="Arial" w:eastAsia="Arial" w:hAnsi="Arial"/>
          <w:sz w:val="11"/>
          <w:szCs w:val="11"/>
          <w:b w:val="1"/>
          <w:bCs w:val="1"/>
          <w:i w:val="1"/>
          <w:iCs w:val="1"/>
          <w:color w:val="auto"/>
        </w:rPr>
        <w:t>Merger Agreement</w:t>
      </w:r>
      <w:r>
        <w:rPr>
          <w:rFonts w:ascii="Arial" w:cs="Arial" w:eastAsia="Arial" w:hAnsi="Arial"/>
          <w:sz w:val="11"/>
          <w:szCs w:val="11"/>
          <w:color w:val="auto"/>
        </w:rPr>
        <w:t>”), which provided for, among other things, (i) the merger of First Merger Sub with and into Greenlight, with Greenlight continuing as the surviving corporation (the “</w:t>
      </w:r>
      <w:r>
        <w:rPr>
          <w:rFonts w:ascii="Arial" w:cs="Arial" w:eastAsia="Arial" w:hAnsi="Arial"/>
          <w:sz w:val="11"/>
          <w:szCs w:val="11"/>
          <w:b w:val="1"/>
          <w:bCs w:val="1"/>
          <w:i w:val="1"/>
          <w:iCs w:val="1"/>
          <w:color w:val="auto"/>
        </w:rPr>
        <w:t>First Merger</w:t>
      </w:r>
      <w:r>
        <w:rPr>
          <w:rFonts w:ascii="Arial" w:cs="Arial" w:eastAsia="Arial" w:hAnsi="Arial"/>
          <w:sz w:val="11"/>
          <w:szCs w:val="11"/>
          <w:color w:val="auto"/>
        </w:rPr>
        <w:t>”) and (ii) immediately following the First Merger and as part of the same overall transaction as the First Merger, the merger of Greenlight with and into Second Merger Sub, with Second Merger Sub continuing as the surviving entity (the “</w:t>
      </w:r>
      <w:r>
        <w:rPr>
          <w:rFonts w:ascii="Arial" w:cs="Arial" w:eastAsia="Arial" w:hAnsi="Arial"/>
          <w:sz w:val="11"/>
          <w:szCs w:val="11"/>
          <w:b w:val="1"/>
          <w:bCs w:val="1"/>
          <w:i w:val="1"/>
          <w:iCs w:val="1"/>
          <w:color w:val="auto"/>
        </w:rPr>
        <w:t>Second Merger</w:t>
      </w:r>
      <w:r>
        <w:rPr>
          <w:rFonts w:ascii="Arial" w:cs="Arial" w:eastAsia="Arial" w:hAnsi="Arial"/>
          <w:sz w:val="11"/>
          <w:szCs w:val="11"/>
          <w:color w:val="auto"/>
        </w:rPr>
        <w:t>” and, together with the First Merger, the “</w:t>
      </w:r>
      <w:r>
        <w:rPr>
          <w:rFonts w:ascii="Arial" w:cs="Arial" w:eastAsia="Arial" w:hAnsi="Arial"/>
          <w:sz w:val="11"/>
          <w:szCs w:val="11"/>
          <w:b w:val="1"/>
          <w:bCs w:val="1"/>
          <w:i w:val="1"/>
          <w:iCs w:val="1"/>
          <w:color w:val="auto"/>
        </w:rPr>
        <w:t>Merger</w:t>
      </w:r>
      <w:r>
        <w:rPr>
          <w:rFonts w:ascii="Arial" w:cs="Arial" w:eastAsia="Arial" w:hAnsi="Arial"/>
          <w:sz w:val="11"/>
          <w:szCs w:val="11"/>
          <w:color w:val="auto"/>
        </w:rPr>
        <w:t>” and, together with the other transactions contemplated by the Merger Agreement, the “</w:t>
      </w:r>
      <w:r>
        <w:rPr>
          <w:rFonts w:ascii="Arial" w:cs="Arial" w:eastAsia="Arial" w:hAnsi="Arial"/>
          <w:sz w:val="11"/>
          <w:szCs w:val="11"/>
          <w:b w:val="1"/>
          <w:bCs w:val="1"/>
          <w:i w:val="1"/>
          <w:iCs w:val="1"/>
          <w:color w:val="auto"/>
        </w:rPr>
        <w:t>Business Combination</w:t>
      </w:r>
      <w:r>
        <w:rPr>
          <w:rFonts w:ascii="Arial" w:cs="Arial" w:eastAsia="Arial" w:hAnsi="Arial"/>
          <w:sz w:val="11"/>
          <w:szCs w:val="11"/>
          <w:color w:val="auto"/>
        </w:rPr>
        <w:t>”).</w:t>
      </w:r>
    </w:p>
    <w:p>
      <w:pPr>
        <w:spacing w:after="0" w:line="111" w:lineRule="exact"/>
        <w:rPr>
          <w:sz w:val="20"/>
          <w:szCs w:val="20"/>
          <w:color w:val="auto"/>
        </w:rPr>
      </w:pPr>
    </w:p>
    <w:p>
      <w:pPr>
        <w:ind w:left="8" w:right="60" w:firstLine="602"/>
        <w:spacing w:after="0" w:line="286" w:lineRule="auto"/>
        <w:rPr>
          <w:sz w:val="20"/>
          <w:szCs w:val="20"/>
          <w:color w:val="auto"/>
        </w:rPr>
      </w:pPr>
      <w:r>
        <w:rPr>
          <w:rFonts w:ascii="Arial" w:cs="Arial" w:eastAsia="Arial" w:hAnsi="Arial"/>
          <w:sz w:val="11"/>
          <w:szCs w:val="11"/>
          <w:color w:val="auto"/>
        </w:rPr>
        <w:t>In connection with the closing of the Business Combination on October 17, 2018 (the “</w:t>
      </w:r>
      <w:r>
        <w:rPr>
          <w:rFonts w:ascii="Arial" w:cs="Arial" w:eastAsia="Arial" w:hAnsi="Arial"/>
          <w:sz w:val="11"/>
          <w:szCs w:val="11"/>
          <w:b w:val="1"/>
          <w:bCs w:val="1"/>
          <w:i w:val="1"/>
          <w:iCs w:val="1"/>
          <w:color w:val="auto"/>
        </w:rPr>
        <w:t>Closing Date</w:t>
      </w:r>
      <w:r>
        <w:rPr>
          <w:rFonts w:ascii="Arial" w:cs="Arial" w:eastAsia="Arial" w:hAnsi="Arial"/>
          <w:sz w:val="11"/>
          <w:szCs w:val="11"/>
          <w:color w:val="auto"/>
        </w:rPr>
        <w:t>”), Gores changed its name from Gores Holdings II, Inc. to Verra Mobility Corporation, changed its trading symbols on Nasdaq from “GSHT,” and “GSHTW,” to “VRRM” and “VRRMW,” and Second Merger Sub changed its name from AM Merger Sub II, LLC to Verra Mobility Holdings, LLC. As a result of the Business Combination, Verra Mobility Corporation became the owner, directly or indirectly, of all of the equity interests of Verra Mobility Holdings, LLC and its subsidiaries. The Business Combination is treated as a reverse acquisition and recapitalization in which Greenlight is treated as the accounting acquirer (and legal acquiree) and Gores is treated as the accounting acquiree (and legal acquirer). Accordingly, as of the Closing Date, Greenlight’s historical results of operations replaced Gores’ historical results of operations for periods prior to the Business Combination, and the results of operations of both companies are included in the accompanying consolidated financial statements for periods following the Merger (see Note 3).</w:t>
      </w:r>
    </w:p>
    <w:p>
      <w:pPr>
        <w:spacing w:after="0" w:line="111" w:lineRule="exact"/>
        <w:rPr>
          <w:sz w:val="20"/>
          <w:szCs w:val="20"/>
          <w:color w:val="auto"/>
        </w:rPr>
      </w:pPr>
    </w:p>
    <w:p>
      <w:pPr>
        <w:ind w:left="8" w:right="320" w:firstLine="602"/>
        <w:spacing w:after="0" w:line="298" w:lineRule="auto"/>
        <w:rPr>
          <w:sz w:val="20"/>
          <w:szCs w:val="20"/>
          <w:color w:val="auto"/>
        </w:rPr>
      </w:pPr>
      <w:r>
        <w:rPr>
          <w:rFonts w:ascii="Arial" w:cs="Arial" w:eastAsia="Arial" w:hAnsi="Arial"/>
          <w:sz w:val="11"/>
          <w:szCs w:val="11"/>
          <w:color w:val="auto"/>
        </w:rPr>
        <w:t>On May 31, 2017, Greenlight Acquisition Corporation (“</w:t>
      </w:r>
      <w:r>
        <w:rPr>
          <w:rFonts w:ascii="Arial" w:cs="Arial" w:eastAsia="Arial" w:hAnsi="Arial"/>
          <w:sz w:val="11"/>
          <w:szCs w:val="11"/>
          <w:b w:val="1"/>
          <w:bCs w:val="1"/>
          <w:i w:val="1"/>
          <w:iCs w:val="1"/>
          <w:color w:val="auto"/>
        </w:rPr>
        <w:t>Parent</w:t>
      </w:r>
      <w:r>
        <w:rPr>
          <w:rFonts w:ascii="Arial" w:cs="Arial" w:eastAsia="Arial" w:hAnsi="Arial"/>
          <w:sz w:val="11"/>
          <w:szCs w:val="11"/>
          <w:color w:val="auto"/>
        </w:rPr>
        <w:t>”) acquired ATS Consolidated Inc. (“</w:t>
      </w:r>
      <w:r>
        <w:rPr>
          <w:rFonts w:ascii="Arial" w:cs="Arial" w:eastAsia="Arial" w:hAnsi="Arial"/>
          <w:sz w:val="11"/>
          <w:szCs w:val="11"/>
          <w:b w:val="1"/>
          <w:bCs w:val="1"/>
          <w:i w:val="1"/>
          <w:iCs w:val="1"/>
          <w:color w:val="auto"/>
        </w:rPr>
        <w:t>ATS</w:t>
      </w:r>
      <w:r>
        <w:rPr>
          <w:rFonts w:ascii="Arial" w:cs="Arial" w:eastAsia="Arial" w:hAnsi="Arial"/>
          <w:sz w:val="11"/>
          <w:szCs w:val="11"/>
          <w:color w:val="auto"/>
        </w:rPr>
        <w:t>”) pursuant to the Agreement and Plan of Merger, dated April 15, 2017 by and among ATS, Greenlight Merger Corporation, a wholly-owned subsidiary of Parent (“</w:t>
      </w:r>
      <w:r>
        <w:rPr>
          <w:rFonts w:ascii="Arial" w:cs="Arial" w:eastAsia="Arial" w:hAnsi="Arial"/>
          <w:sz w:val="11"/>
          <w:szCs w:val="11"/>
          <w:b w:val="1"/>
          <w:bCs w:val="1"/>
          <w:i w:val="1"/>
          <w:iCs w:val="1"/>
          <w:color w:val="auto"/>
        </w:rPr>
        <w:t>ATS Merger Sub</w:t>
      </w:r>
      <w:r>
        <w:rPr>
          <w:rFonts w:ascii="Arial" w:cs="Arial" w:eastAsia="Arial" w:hAnsi="Arial"/>
          <w:sz w:val="11"/>
          <w:szCs w:val="11"/>
          <w:color w:val="auto"/>
        </w:rPr>
        <w:t>”) and Parent whereby ATS merged with and into ATS Merger Sub with the former surviving (the “</w:t>
      </w:r>
      <w:r>
        <w:rPr>
          <w:rFonts w:ascii="Arial" w:cs="Arial" w:eastAsia="Arial" w:hAnsi="Arial"/>
          <w:sz w:val="11"/>
          <w:szCs w:val="11"/>
          <w:b w:val="1"/>
          <w:bCs w:val="1"/>
          <w:i w:val="1"/>
          <w:iCs w:val="1"/>
          <w:color w:val="auto"/>
        </w:rPr>
        <w:t>ATS Merger</w:t>
      </w:r>
      <w:r>
        <w:rPr>
          <w:rFonts w:ascii="Arial" w:cs="Arial" w:eastAsia="Arial" w:hAnsi="Arial"/>
          <w:sz w:val="11"/>
          <w:szCs w:val="11"/>
          <w:color w:val="auto"/>
        </w:rPr>
        <w:t>”). Prior to the Business Combination, Parent was ultimately owned by Greenlight, which in turn was owned by certain private equity investment vehicles sponsored by Platinum Equity, LLC (collectively, “</w:t>
      </w:r>
      <w:r>
        <w:rPr>
          <w:rFonts w:ascii="Arial" w:cs="Arial" w:eastAsia="Arial" w:hAnsi="Arial"/>
          <w:sz w:val="11"/>
          <w:szCs w:val="11"/>
          <w:b w:val="1"/>
          <w:bCs w:val="1"/>
          <w:i w:val="1"/>
          <w:iCs w:val="1"/>
          <w:color w:val="auto"/>
        </w:rPr>
        <w:t>Platinum</w:t>
      </w:r>
      <w:r>
        <w:rPr>
          <w:rFonts w:ascii="Arial" w:cs="Arial" w:eastAsia="Arial" w:hAnsi="Arial"/>
          <w:sz w:val="11"/>
          <w:szCs w:val="11"/>
          <w:color w:val="auto"/>
        </w:rPr>
        <w:t>”) (see Note 3).</w:t>
      </w:r>
    </w:p>
    <w:p>
      <w:pPr>
        <w:spacing w:after="0" w:line="105" w:lineRule="exact"/>
        <w:rPr>
          <w:sz w:val="20"/>
          <w:szCs w:val="20"/>
          <w:color w:val="auto"/>
        </w:rPr>
      </w:pPr>
    </w:p>
    <w:p>
      <w:pPr>
        <w:ind w:left="8" w:firstLine="602"/>
        <w:spacing w:after="0" w:line="320" w:lineRule="auto"/>
        <w:rPr>
          <w:sz w:val="20"/>
          <w:szCs w:val="20"/>
          <w:color w:val="auto"/>
        </w:rPr>
      </w:pPr>
      <w:r>
        <w:rPr>
          <w:rFonts w:ascii="Arial" w:cs="Arial" w:eastAsia="Arial" w:hAnsi="Arial"/>
          <w:sz w:val="10"/>
          <w:szCs w:val="10"/>
          <w:color w:val="auto"/>
        </w:rPr>
        <w:t>Pursuant to the ATS Merger, a new basis of accounting at fair value was established in accordance with U.S. generally accepted accounting principles (“</w:t>
      </w:r>
      <w:r>
        <w:rPr>
          <w:rFonts w:ascii="Arial" w:cs="Arial" w:eastAsia="Arial" w:hAnsi="Arial"/>
          <w:sz w:val="10"/>
          <w:szCs w:val="10"/>
          <w:b w:val="1"/>
          <w:bCs w:val="1"/>
          <w:i w:val="1"/>
          <w:iCs w:val="1"/>
          <w:color w:val="auto"/>
        </w:rPr>
        <w:t>U.S. GAAP</w:t>
      </w:r>
      <w:r>
        <w:rPr>
          <w:rFonts w:ascii="Arial" w:cs="Arial" w:eastAsia="Arial" w:hAnsi="Arial"/>
          <w:sz w:val="10"/>
          <w:szCs w:val="10"/>
          <w:color w:val="auto"/>
        </w:rPr>
        <w:t>”) under Accounting Standards Codification (“</w:t>
      </w:r>
      <w:r>
        <w:rPr>
          <w:rFonts w:ascii="Arial" w:cs="Arial" w:eastAsia="Arial" w:hAnsi="Arial"/>
          <w:sz w:val="10"/>
          <w:szCs w:val="10"/>
          <w:b w:val="1"/>
          <w:bCs w:val="1"/>
          <w:i w:val="1"/>
          <w:iCs w:val="1"/>
          <w:color w:val="auto"/>
        </w:rPr>
        <w:t>ASC</w:t>
      </w:r>
      <w:r>
        <w:rPr>
          <w:rFonts w:ascii="Arial" w:cs="Arial" w:eastAsia="Arial" w:hAnsi="Arial"/>
          <w:sz w:val="10"/>
          <w:szCs w:val="10"/>
          <w:color w:val="auto"/>
        </w:rPr>
        <w:t xml:space="preserve">”) Topic 805, </w:t>
      </w:r>
      <w:r>
        <w:rPr>
          <w:rFonts w:ascii="Arial" w:cs="Arial" w:eastAsia="Arial" w:hAnsi="Arial"/>
          <w:sz w:val="10"/>
          <w:szCs w:val="10"/>
          <w:i w:val="1"/>
          <w:iCs w:val="1"/>
          <w:color w:val="auto"/>
        </w:rPr>
        <w:t>Business Combinations</w:t>
      </w:r>
      <w:r>
        <w:rPr>
          <w:rFonts w:ascii="Arial" w:cs="Arial" w:eastAsia="Arial" w:hAnsi="Arial"/>
          <w:sz w:val="10"/>
          <w:szCs w:val="10"/>
          <w:color w:val="auto"/>
        </w:rPr>
        <w:t xml:space="preserve"> (“</w:t>
      </w:r>
      <w:r>
        <w:rPr>
          <w:rFonts w:ascii="Arial" w:cs="Arial" w:eastAsia="Arial" w:hAnsi="Arial"/>
          <w:sz w:val="10"/>
          <w:szCs w:val="10"/>
          <w:b w:val="1"/>
          <w:bCs w:val="1"/>
          <w:i w:val="1"/>
          <w:iCs w:val="1"/>
          <w:color w:val="auto"/>
        </w:rPr>
        <w:t>ASC 805</w:t>
      </w:r>
      <w:r>
        <w:rPr>
          <w:rFonts w:ascii="Arial" w:cs="Arial" w:eastAsia="Arial" w:hAnsi="Arial"/>
          <w:sz w:val="10"/>
          <w:szCs w:val="10"/>
          <w:color w:val="auto"/>
        </w:rPr>
        <w:t>”). The new stepped-up basis was pushed down by Parent to Greenlight. The consolidated financial statements and footnotes contained herein are presented in distinct periods to indicate the application of two different bases of accounting between the periods presented. All periods presented up to, and including May 31, 2017 have been labeled (“</w:t>
      </w:r>
      <w:r>
        <w:rPr>
          <w:rFonts w:ascii="Arial" w:cs="Arial" w:eastAsia="Arial" w:hAnsi="Arial"/>
          <w:sz w:val="10"/>
          <w:szCs w:val="10"/>
          <w:b w:val="1"/>
          <w:bCs w:val="1"/>
          <w:i w:val="1"/>
          <w:iCs w:val="1"/>
          <w:color w:val="auto"/>
        </w:rPr>
        <w:t>Predecessor</w:t>
      </w:r>
      <w:r>
        <w:rPr>
          <w:rFonts w:ascii="Arial" w:cs="Arial" w:eastAsia="Arial" w:hAnsi="Arial"/>
          <w:sz w:val="10"/>
          <w:szCs w:val="10"/>
          <w:color w:val="auto"/>
        </w:rPr>
        <w:t>” or “</w:t>
      </w:r>
      <w:r>
        <w:rPr>
          <w:rFonts w:ascii="Arial" w:cs="Arial" w:eastAsia="Arial" w:hAnsi="Arial"/>
          <w:sz w:val="10"/>
          <w:szCs w:val="10"/>
          <w:b w:val="1"/>
          <w:bCs w:val="1"/>
          <w:i w:val="1"/>
          <w:iCs w:val="1"/>
          <w:color w:val="auto"/>
        </w:rPr>
        <w:t>2017 Predecessor Period</w:t>
      </w:r>
      <w:r>
        <w:rPr>
          <w:rFonts w:ascii="Arial" w:cs="Arial" w:eastAsia="Arial" w:hAnsi="Arial"/>
          <w:sz w:val="10"/>
          <w:szCs w:val="10"/>
          <w:color w:val="auto"/>
        </w:rPr>
        <w:t>”) and have been prepared using the historical basis of accounting of the Predecessor. The period from June 1, 2017 to December 31, 2017 (“</w:t>
      </w:r>
      <w:r>
        <w:rPr>
          <w:rFonts w:ascii="Arial" w:cs="Arial" w:eastAsia="Arial" w:hAnsi="Arial"/>
          <w:sz w:val="10"/>
          <w:szCs w:val="10"/>
          <w:b w:val="1"/>
          <w:bCs w:val="1"/>
          <w:i w:val="1"/>
          <w:iCs w:val="1"/>
          <w:color w:val="auto"/>
        </w:rPr>
        <w:t>2017 Successor Period</w:t>
      </w:r>
      <w:r>
        <w:rPr>
          <w:rFonts w:ascii="Arial" w:cs="Arial" w:eastAsia="Arial" w:hAnsi="Arial"/>
          <w:sz w:val="10"/>
          <w:szCs w:val="10"/>
          <w:color w:val="auto"/>
        </w:rPr>
        <w:t>”) and periods after have been labeled (“</w:t>
      </w:r>
      <w:r>
        <w:rPr>
          <w:rFonts w:ascii="Arial" w:cs="Arial" w:eastAsia="Arial" w:hAnsi="Arial"/>
          <w:sz w:val="10"/>
          <w:szCs w:val="10"/>
          <w:b w:val="1"/>
          <w:bCs w:val="1"/>
          <w:i w:val="1"/>
          <w:iCs w:val="1"/>
          <w:color w:val="auto"/>
        </w:rPr>
        <w:t>Successor</w:t>
      </w:r>
      <w:r>
        <w:rPr>
          <w:rFonts w:ascii="Arial" w:cs="Arial" w:eastAsia="Arial" w:hAnsi="Arial"/>
          <w:sz w:val="10"/>
          <w:szCs w:val="10"/>
          <w:color w:val="auto"/>
        </w:rPr>
        <w:t>”). The accompanying consolidated financial statements and footnotes include a black line division separating the Predecessor period from the Successor period. As a result of purchase accounting, the pre-ATS Merger and post-ATS Merger consolidated financial statements are not comparable.</w:t>
      </w:r>
    </w:p>
    <w:p>
      <w:pPr>
        <w:spacing w:after="0" w:line="98"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42545</wp:posOffset>
            </wp:positionV>
            <wp:extent cx="7317740" cy="3683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ectPr>
          <w:pgSz w:w="11900" w:h="16838" w:orient="portrait"/>
          <w:cols w:equalWidth="0" w:num="1">
            <w:col w:w="11468"/>
          </w:cols>
          <w:pgMar w:left="212" w:top="271" w:right="219" w:bottom="1440" w:gutter="0" w:footer="0" w:header="0"/>
        </w:sectPr>
      </w:pPr>
    </w:p>
    <w:bookmarkStart w:id="74" w:name="page75"/>
    <w:bookmarkEnd w:id="74"/>
    <w:p>
      <w:pPr>
        <w:ind w:left="8"/>
        <w:spacing w:after="0"/>
        <w:rPr>
          <w:sz w:val="20"/>
          <w:szCs w:val="20"/>
          <w:color w:val="auto"/>
        </w:rPr>
      </w:pPr>
      <w:r>
        <w:rPr>
          <w:rFonts w:ascii="Arial" w:cs="Arial" w:eastAsia="Arial" w:hAnsi="Arial"/>
          <w:sz w:val="12"/>
          <w:szCs w:val="12"/>
          <w:b w:val="1"/>
          <w:bCs w:val="1"/>
          <w:i w:val="1"/>
          <w:iCs w:val="1"/>
          <w:color w:val="auto"/>
        </w:rPr>
        <w:t>Description of Business</w:t>
      </w:r>
    </w:p>
    <w:p>
      <w:pPr>
        <w:spacing w:after="0" w:line="78" w:lineRule="exact"/>
        <w:rPr>
          <w:sz w:val="20"/>
          <w:szCs w:val="20"/>
          <w:color w:val="auto"/>
        </w:rPr>
      </w:pPr>
    </w:p>
    <w:p>
      <w:pPr>
        <w:ind w:left="8" w:right="200" w:firstLine="602"/>
        <w:spacing w:after="0" w:line="276" w:lineRule="auto"/>
        <w:rPr>
          <w:sz w:val="20"/>
          <w:szCs w:val="20"/>
          <w:color w:val="auto"/>
        </w:rPr>
      </w:pPr>
      <w:r>
        <w:rPr>
          <w:rFonts w:ascii="Arial" w:cs="Arial" w:eastAsia="Arial" w:hAnsi="Arial"/>
          <w:sz w:val="12"/>
          <w:szCs w:val="12"/>
          <w:color w:val="auto"/>
        </w:rPr>
        <w:t>Verra Mobility offers integrated technology solutions and services to commercial fleets, rental car companies and state and local governments. The Company has customers located throughout the United States, Canada and Europe. The Company is organized into two operating divisions: Commercial Services and Government Solutions (see Note 18).</w:t>
      </w:r>
    </w:p>
    <w:p>
      <w:pPr>
        <w:spacing w:after="0" w:line="115" w:lineRule="exact"/>
        <w:rPr>
          <w:sz w:val="20"/>
          <w:szCs w:val="20"/>
          <w:color w:val="auto"/>
        </w:rPr>
      </w:pPr>
    </w:p>
    <w:p>
      <w:pPr>
        <w:ind w:left="8" w:right="80" w:firstLine="602"/>
        <w:spacing w:after="0" w:line="257" w:lineRule="auto"/>
        <w:rPr>
          <w:sz w:val="20"/>
          <w:szCs w:val="20"/>
          <w:color w:val="auto"/>
        </w:rPr>
      </w:pPr>
      <w:r>
        <w:rPr>
          <w:rFonts w:ascii="Arial" w:cs="Arial" w:eastAsia="Arial" w:hAnsi="Arial"/>
          <w:sz w:val="12"/>
          <w:szCs w:val="12"/>
          <w:color w:val="auto"/>
        </w:rPr>
        <w:t>The Commercial Services division offers toll and violation management solutions for the commercial fleet and rental car industries by partnering with the leading fleet management and rental car companies in North America. Electronic toll payment services enable fleet drivers and rental car customers to use high-speed cashless toll lanes or all-electronic cashless toll roads. The service helps commercial fleets reduce toll management costs, while it provides rental car companies with a revenue-generating, value-added service for their customers. Electronic violation processing services reduce the cost and risk associated with vehicle-issued violations, such as toll, parking or camera-enforced tickets. Title and registration services offer title and registration processing for individuals, rental car companies and fleet management companies. In Europe, the Company provides violations processing through Euro Parking Collection plc (“</w:t>
      </w:r>
      <w:r>
        <w:rPr>
          <w:rFonts w:ascii="Arial" w:cs="Arial" w:eastAsia="Arial" w:hAnsi="Arial"/>
          <w:sz w:val="12"/>
          <w:szCs w:val="12"/>
          <w:b w:val="1"/>
          <w:bCs w:val="1"/>
          <w:i w:val="1"/>
          <w:iCs w:val="1"/>
          <w:color w:val="auto"/>
        </w:rPr>
        <w:t>EPC</w:t>
      </w:r>
      <w:r>
        <w:rPr>
          <w:rFonts w:ascii="Arial" w:cs="Arial" w:eastAsia="Arial" w:hAnsi="Arial"/>
          <w:sz w:val="12"/>
          <w:szCs w:val="12"/>
          <w:color w:val="auto"/>
        </w:rPr>
        <w:t>”) and tolling services through Pagatelia S.L (“</w:t>
      </w:r>
      <w:r>
        <w:rPr>
          <w:rFonts w:ascii="Arial" w:cs="Arial" w:eastAsia="Arial" w:hAnsi="Arial"/>
          <w:sz w:val="12"/>
          <w:szCs w:val="12"/>
          <w:b w:val="1"/>
          <w:bCs w:val="1"/>
          <w:i w:val="1"/>
          <w:iCs w:val="1"/>
          <w:color w:val="auto"/>
        </w:rPr>
        <w:t>Pagatelia</w:t>
      </w:r>
      <w:r>
        <w:rPr>
          <w:rFonts w:ascii="Arial" w:cs="Arial" w:eastAsia="Arial" w:hAnsi="Arial"/>
          <w:sz w:val="12"/>
          <w:szCs w:val="12"/>
          <w:color w:val="auto"/>
        </w:rPr>
        <w:t>”).</w:t>
      </w:r>
    </w:p>
    <w:p>
      <w:pPr>
        <w:spacing w:after="0" w:line="126" w:lineRule="exact"/>
        <w:rPr>
          <w:sz w:val="20"/>
          <w:szCs w:val="20"/>
          <w:color w:val="auto"/>
        </w:rPr>
      </w:pPr>
    </w:p>
    <w:p>
      <w:pPr>
        <w:ind w:left="8" w:right="240" w:firstLine="602"/>
        <w:spacing w:after="0" w:line="276" w:lineRule="auto"/>
        <w:rPr>
          <w:sz w:val="20"/>
          <w:szCs w:val="20"/>
          <w:color w:val="auto"/>
        </w:rPr>
      </w:pPr>
      <w:r>
        <w:rPr>
          <w:rFonts w:ascii="Arial" w:cs="Arial" w:eastAsia="Arial" w:hAnsi="Arial"/>
          <w:sz w:val="12"/>
          <w:szCs w:val="12"/>
          <w:color w:val="auto"/>
        </w:rPr>
        <w:t>The Government Solutions division provides complete, end-to-end red-light, speed, school bus stop arm and bus lane enforcement solutions. The Company’s programs are designed to reduce traffic violations and resulting collisions, injuries, and fatalities. The Company implements and administers traffic safety programs for municipalities, counties, school districts and law enforcement agencies of all sizes.</w:t>
      </w:r>
    </w:p>
    <w:p>
      <w:pPr>
        <w:spacing w:after="0" w:line="183" w:lineRule="exact"/>
        <w:rPr>
          <w:sz w:val="20"/>
          <w:szCs w:val="20"/>
          <w:color w:val="auto"/>
        </w:rPr>
      </w:pPr>
    </w:p>
    <w:p>
      <w:pPr>
        <w:ind w:left="588" w:hanging="588"/>
        <w:spacing w:after="0"/>
        <w:tabs>
          <w:tab w:leader="none" w:pos="588" w:val="left"/>
        </w:tabs>
        <w:numPr>
          <w:ilvl w:val="0"/>
          <w:numId w:val="25"/>
        </w:numPr>
        <w:rPr>
          <w:rFonts w:ascii="Arial" w:cs="Arial" w:eastAsia="Arial" w:hAnsi="Arial"/>
          <w:sz w:val="12"/>
          <w:szCs w:val="12"/>
          <w:b w:val="1"/>
          <w:bCs w:val="1"/>
          <w:color w:val="auto"/>
        </w:rPr>
      </w:pPr>
      <w:r>
        <w:rPr>
          <w:rFonts w:ascii="Arial" w:cs="Arial" w:eastAsia="Arial" w:hAnsi="Arial"/>
          <w:sz w:val="12"/>
          <w:szCs w:val="12"/>
          <w:b w:val="1"/>
          <w:bCs w:val="1"/>
          <w:color w:val="auto"/>
        </w:rPr>
        <w:t>Significant Accounting Policies</w:t>
      </w:r>
    </w:p>
    <w:p>
      <w:pPr>
        <w:spacing w:after="0" w:line="82"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Principles of Consolidation</w:t>
      </w:r>
    </w:p>
    <w:p>
      <w:pPr>
        <w:spacing w:after="0" w:line="78" w:lineRule="exact"/>
        <w:rPr>
          <w:sz w:val="20"/>
          <w:szCs w:val="20"/>
          <w:color w:val="auto"/>
        </w:rPr>
      </w:pPr>
    </w:p>
    <w:p>
      <w:pPr>
        <w:ind w:left="8" w:right="200" w:firstLine="602"/>
        <w:spacing w:after="0" w:line="323" w:lineRule="auto"/>
        <w:rPr>
          <w:sz w:val="20"/>
          <w:szCs w:val="20"/>
          <w:color w:val="auto"/>
        </w:rPr>
      </w:pPr>
      <w:r>
        <w:rPr>
          <w:rFonts w:ascii="Arial" w:cs="Arial" w:eastAsia="Arial" w:hAnsi="Arial"/>
          <w:sz w:val="11"/>
          <w:szCs w:val="11"/>
          <w:color w:val="auto"/>
        </w:rPr>
        <w:t>The accompanying consolidated financial statements include the accounts of the Company prepared in accordance with U.S. GAAP. All intercompany balances and transactions have been eliminated in consolidation. In the opinion of the Company’s management, the consolidated financial statements reflect all adjustments, which are normal and recurring in nature, necessary for fair financial statement presentation.</w:t>
      </w:r>
    </w:p>
    <w:p>
      <w:pPr>
        <w:spacing w:after="0" w:line="164"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Use of Estimates</w:t>
      </w:r>
    </w:p>
    <w:p>
      <w:pPr>
        <w:spacing w:after="0" w:line="78" w:lineRule="exact"/>
        <w:rPr>
          <w:sz w:val="20"/>
          <w:szCs w:val="20"/>
          <w:color w:val="auto"/>
        </w:rPr>
      </w:pPr>
    </w:p>
    <w:p>
      <w:pPr>
        <w:ind w:left="8" w:firstLine="602"/>
        <w:spacing w:after="0" w:line="259" w:lineRule="auto"/>
        <w:rPr>
          <w:sz w:val="20"/>
          <w:szCs w:val="20"/>
          <w:color w:val="auto"/>
        </w:rPr>
      </w:pPr>
      <w:r>
        <w:rPr>
          <w:rFonts w:ascii="Arial" w:cs="Arial" w:eastAsia="Arial" w:hAnsi="Arial"/>
          <w:sz w:val="12"/>
          <w:szCs w:val="12"/>
          <w:color w:val="auto"/>
        </w:rPr>
        <w:t>The preparation of consolidated financial statements in conformity with U.S. GAAP requires management to make estimates and assumptions that affect the amounts reported in the consolidated financial statements and accompanying notes. Significant items subject to such estimates and assumptions include the fair values assigned to net assets acquired (including identifiable intangibles) in business combinations, the carrying amounts of long-lived assets and goodwill, the carrying amount of installation and service parts, the allowance for doubtful accounts, valuation allowances on deferred tax assets, asset retirement obligations, contingent consideration and the recognition and measurement of loss contingencies.</w:t>
      </w:r>
    </w:p>
    <w:p>
      <w:pPr>
        <w:spacing w:after="0" w:line="125" w:lineRule="exact"/>
        <w:rPr>
          <w:sz w:val="20"/>
          <w:szCs w:val="20"/>
          <w:color w:val="auto"/>
        </w:rPr>
      </w:pPr>
    </w:p>
    <w:p>
      <w:pPr>
        <w:ind w:left="608"/>
        <w:spacing w:after="0"/>
        <w:rPr>
          <w:sz w:val="20"/>
          <w:szCs w:val="20"/>
          <w:color w:val="auto"/>
        </w:rPr>
      </w:pPr>
      <w:r>
        <w:rPr>
          <w:rFonts w:ascii="Arial" w:cs="Arial" w:eastAsia="Arial" w:hAnsi="Arial"/>
          <w:sz w:val="12"/>
          <w:szCs w:val="12"/>
          <w:color w:val="auto"/>
        </w:rPr>
        <w:t>Management believes that its estimates and assumptions are reasonable in the circumstances; however, actual results could differ materially from those estimates.</w:t>
      </w:r>
    </w:p>
    <w:p>
      <w:pPr>
        <w:spacing w:after="0" w:line="249"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Prior Period Reclassifications</w:t>
      </w:r>
    </w:p>
    <w:p>
      <w:pPr>
        <w:spacing w:after="0" w:line="78" w:lineRule="exact"/>
        <w:rPr>
          <w:sz w:val="20"/>
          <w:szCs w:val="20"/>
          <w:color w:val="auto"/>
        </w:rPr>
      </w:pPr>
    </w:p>
    <w:p>
      <w:pPr>
        <w:ind w:left="608"/>
        <w:spacing w:after="0"/>
        <w:rPr>
          <w:sz w:val="20"/>
          <w:szCs w:val="20"/>
          <w:color w:val="auto"/>
        </w:rPr>
      </w:pPr>
      <w:r>
        <w:rPr>
          <w:rFonts w:ascii="Arial" w:cs="Arial" w:eastAsia="Arial" w:hAnsi="Arial"/>
          <w:sz w:val="12"/>
          <w:szCs w:val="12"/>
          <w:color w:val="auto"/>
        </w:rPr>
        <w:t>Certain prior period amounts in the consolidated statements of operations have been reclassified to conform to the current presentation.</w:t>
      </w:r>
    </w:p>
    <w:p>
      <w:pPr>
        <w:spacing w:after="0" w:line="222"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Cash and Cash Equivalents</w:t>
      </w:r>
    </w:p>
    <w:p>
      <w:pPr>
        <w:spacing w:after="0" w:line="78" w:lineRule="exact"/>
        <w:rPr>
          <w:sz w:val="20"/>
          <w:szCs w:val="20"/>
          <w:color w:val="auto"/>
        </w:rPr>
      </w:pPr>
    </w:p>
    <w:p>
      <w:pPr>
        <w:ind w:left="608"/>
        <w:spacing w:after="0"/>
        <w:rPr>
          <w:sz w:val="20"/>
          <w:szCs w:val="20"/>
          <w:color w:val="auto"/>
        </w:rPr>
      </w:pPr>
      <w:r>
        <w:rPr>
          <w:rFonts w:ascii="Arial" w:cs="Arial" w:eastAsia="Arial" w:hAnsi="Arial"/>
          <w:sz w:val="12"/>
          <w:szCs w:val="12"/>
          <w:color w:val="auto"/>
        </w:rPr>
        <w:t>The Company considers all highly liquid investments purchased with a remaining maturity of three months or less when acquired to be cash equivalents.</w:t>
      </w:r>
    </w:p>
    <w:p>
      <w:pPr>
        <w:spacing w:after="0" w:line="150"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42545</wp:posOffset>
            </wp:positionV>
            <wp:extent cx="7317740" cy="3683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ectPr>
          <w:pgSz w:w="11900" w:h="16838" w:orient="portrait"/>
          <w:cols w:equalWidth="0" w:num="1">
            <w:col w:w="11468"/>
          </w:cols>
          <w:pgMar w:left="212" w:top="491" w:right="219" w:bottom="1440" w:gutter="0" w:footer="0" w:header="0"/>
        </w:sectPr>
      </w:pPr>
    </w:p>
    <w:bookmarkStart w:id="75" w:name="page76"/>
    <w:bookmarkEnd w:id="75"/>
    <w:p>
      <w:pPr>
        <w:spacing w:after="0"/>
        <w:rPr>
          <w:sz w:val="20"/>
          <w:szCs w:val="20"/>
          <w:color w:val="auto"/>
        </w:rPr>
      </w:pPr>
      <w:r>
        <w:rPr>
          <w:rFonts w:ascii="Arial" w:cs="Arial" w:eastAsia="Arial" w:hAnsi="Arial"/>
          <w:sz w:val="12"/>
          <w:szCs w:val="12"/>
          <w:b w:val="1"/>
          <w:bCs w:val="1"/>
          <w:i w:val="1"/>
          <w:iCs w:val="1"/>
          <w:color w:val="auto"/>
        </w:rPr>
        <w:t>Restricted Cash</w:t>
      </w:r>
    </w:p>
    <w:p>
      <w:pPr>
        <w:spacing w:after="0" w:line="78" w:lineRule="exact"/>
        <w:rPr>
          <w:sz w:val="20"/>
          <w:szCs w:val="20"/>
          <w:color w:val="auto"/>
        </w:rPr>
      </w:pPr>
    </w:p>
    <w:p>
      <w:pPr>
        <w:ind w:right="120" w:firstLine="602"/>
        <w:spacing w:after="0" w:line="323" w:lineRule="auto"/>
        <w:rPr>
          <w:sz w:val="20"/>
          <w:szCs w:val="20"/>
          <w:color w:val="auto"/>
        </w:rPr>
      </w:pPr>
      <w:r>
        <w:rPr>
          <w:rFonts w:ascii="Arial" w:cs="Arial" w:eastAsia="Arial" w:hAnsi="Arial"/>
          <w:sz w:val="11"/>
          <w:szCs w:val="11"/>
          <w:color w:val="auto"/>
        </w:rPr>
        <w:t>The Company collects citation fees for customers under certain contracts, which it deposits daily into Company bank accounts and transfers to customer-owned bank accounts on a continuous basis. Restricted cash represents customer cash collected but not yet remitted to the customer. Restricted cash is classified as a current asset and the corresponding liability due to customers is classified in current liabilities.</w:t>
      </w:r>
    </w:p>
    <w:p>
      <w:pPr>
        <w:spacing w:after="0" w:line="16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Concentration of Credit Risk</w:t>
      </w:r>
    </w:p>
    <w:p>
      <w:pPr>
        <w:spacing w:after="0" w:line="78" w:lineRule="exact"/>
        <w:rPr>
          <w:sz w:val="20"/>
          <w:szCs w:val="20"/>
          <w:color w:val="auto"/>
        </w:rPr>
      </w:pPr>
    </w:p>
    <w:p>
      <w:pPr>
        <w:ind w:right="100" w:firstLine="602"/>
        <w:spacing w:after="0" w:line="276" w:lineRule="auto"/>
        <w:rPr>
          <w:sz w:val="20"/>
          <w:szCs w:val="20"/>
          <w:color w:val="auto"/>
        </w:rPr>
      </w:pPr>
      <w:r>
        <w:rPr>
          <w:rFonts w:ascii="Arial" w:cs="Arial" w:eastAsia="Arial" w:hAnsi="Arial"/>
          <w:sz w:val="12"/>
          <w:szCs w:val="12"/>
          <w:color w:val="auto"/>
        </w:rPr>
        <w:t>Financial instruments that potentially subject the Company to concentrations of credit risk are primarily cash and cash equivalents, accounts receivable and unbilled receivables. The Company limits cash and cash equivalents to highly rated financial institutions.</w:t>
      </w:r>
    </w:p>
    <w:p>
      <w:pPr>
        <w:spacing w:after="0" w:line="142" w:lineRule="exact"/>
        <w:rPr>
          <w:sz w:val="20"/>
          <w:szCs w:val="20"/>
          <w:color w:val="auto"/>
        </w:rPr>
      </w:pPr>
    </w:p>
    <w:p>
      <w:pPr>
        <w:ind w:right="120" w:firstLine="602"/>
        <w:spacing w:after="0" w:line="323" w:lineRule="auto"/>
        <w:rPr>
          <w:sz w:val="20"/>
          <w:szCs w:val="20"/>
          <w:color w:val="auto"/>
        </w:rPr>
      </w:pPr>
      <w:r>
        <w:rPr>
          <w:rFonts w:ascii="Arial" w:cs="Arial" w:eastAsia="Arial" w:hAnsi="Arial"/>
          <w:sz w:val="11"/>
          <w:szCs w:val="11"/>
          <w:color w:val="auto"/>
        </w:rPr>
        <w:t>Significant customers are those which represent more than 10% of the Company’s total revenue. Revenue from one of the Government Solutions customers, the City of New York Department of Transportation, accounted for 14.6% of total revenue for fiscal year 2019, and 13.9% for both the 2017 Successor Period and the 2017 Predecessor Period. This customer did not meet the revenue criteria above for fiscal year 2018.</w:t>
      </w:r>
    </w:p>
    <w:p>
      <w:pPr>
        <w:spacing w:after="0" w:line="92" w:lineRule="exact"/>
        <w:rPr>
          <w:sz w:val="20"/>
          <w:szCs w:val="20"/>
          <w:color w:val="auto"/>
        </w:rPr>
      </w:pPr>
    </w:p>
    <w:p>
      <w:pPr>
        <w:ind w:right="140" w:firstLine="602"/>
        <w:spacing w:after="0" w:line="259" w:lineRule="auto"/>
        <w:rPr>
          <w:sz w:val="20"/>
          <w:szCs w:val="20"/>
          <w:color w:val="auto"/>
        </w:rPr>
      </w:pPr>
      <w:r>
        <w:rPr>
          <w:rFonts w:ascii="Arial" w:cs="Arial" w:eastAsia="Arial" w:hAnsi="Arial"/>
          <w:sz w:val="12"/>
          <w:szCs w:val="12"/>
          <w:color w:val="auto"/>
        </w:rPr>
        <w:t>Revenue generated through one of the Company’s Commercial Services partners, the Hertz Corporation, accounted for 18.7%, 19.3%, 24.3% and 23.4% of total revenue for the year ended December 31, 2019, December 31, 2018, the 2017 Successor Period and the 2017 Predecessor Period, respectively. Additionally, revenue generated through two of the Company’s Commercial Services partners, Avis Budget Group, Inc. and Enterprise Holdings, Inc., accounted for 14.5% and 13.5%, respectively, of total revenue for the year ended December 31, 2019. These two customers are part of the Company’s 2018 acquisition of Highway Toll Administration, LLC and Canada Highway Toll Administration (See Note 3).</w:t>
      </w:r>
    </w:p>
    <w:p>
      <w:pPr>
        <w:spacing w:after="0" w:line="19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Allowance for Doubtful Accounts</w:t>
      </w:r>
    </w:p>
    <w:p>
      <w:pPr>
        <w:spacing w:after="0" w:line="78" w:lineRule="exact"/>
        <w:rPr>
          <w:sz w:val="20"/>
          <w:szCs w:val="20"/>
          <w:color w:val="auto"/>
        </w:rPr>
      </w:pPr>
    </w:p>
    <w:p>
      <w:pPr>
        <w:ind w:right="20" w:firstLine="602"/>
        <w:spacing w:after="0" w:line="323" w:lineRule="auto"/>
        <w:rPr>
          <w:sz w:val="20"/>
          <w:szCs w:val="20"/>
          <w:color w:val="auto"/>
        </w:rPr>
      </w:pPr>
      <w:r>
        <w:rPr>
          <w:rFonts w:ascii="Arial" w:cs="Arial" w:eastAsia="Arial" w:hAnsi="Arial"/>
          <w:sz w:val="11"/>
          <w:szCs w:val="11"/>
          <w:color w:val="auto"/>
        </w:rPr>
        <w:t>Accounts receivable and unbilled receivables are uncollateralized customer obligations due from the sale of products or services. Accounts receivable and unbilled receivables have normal trade terms less than one year and are stated at the amounts billed to the customers. Unbilled receivables are recorded when the revenue has been earned but not billed. No interest or late fees are charged on delinquent accounts.</w:t>
      </w:r>
    </w:p>
    <w:p>
      <w:pPr>
        <w:spacing w:after="0" w:line="92" w:lineRule="exact"/>
        <w:rPr>
          <w:sz w:val="20"/>
          <w:szCs w:val="20"/>
          <w:color w:val="auto"/>
        </w:rPr>
      </w:pPr>
    </w:p>
    <w:p>
      <w:pPr>
        <w:ind w:firstLine="602"/>
        <w:spacing w:after="0" w:line="263" w:lineRule="auto"/>
        <w:rPr>
          <w:sz w:val="20"/>
          <w:szCs w:val="20"/>
          <w:color w:val="auto"/>
        </w:rPr>
      </w:pPr>
      <w:r>
        <w:rPr>
          <w:rFonts w:ascii="Arial" w:cs="Arial" w:eastAsia="Arial" w:hAnsi="Arial"/>
          <w:sz w:val="12"/>
          <w:szCs w:val="12"/>
          <w:color w:val="auto"/>
        </w:rPr>
        <w:t>The Company records an allowance for potentially uncollectible accounts. Estimates are used in determining the allowance for doubtful accounts and are based on historical collection experience, the condition of receivables and current trends. Actual receivables are written-off against the allowance when the Company has determined the balance will not be collected. The allowance for doubtful accounts as of December 31, 2019 and 2018 was $7.6 million and $6.2 million, respectively.</w:t>
      </w:r>
    </w:p>
    <w:p>
      <w:pPr>
        <w:spacing w:after="0" w:line="19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Fair Value of Financial Instruments</w:t>
      </w:r>
    </w:p>
    <w:p>
      <w:pPr>
        <w:spacing w:after="0" w:line="78" w:lineRule="exact"/>
        <w:rPr>
          <w:sz w:val="20"/>
          <w:szCs w:val="20"/>
          <w:color w:val="auto"/>
        </w:rPr>
      </w:pPr>
    </w:p>
    <w:p>
      <w:pPr>
        <w:ind w:right="120" w:firstLine="602"/>
        <w:spacing w:after="0" w:line="323" w:lineRule="auto"/>
        <w:rPr>
          <w:sz w:val="20"/>
          <w:szCs w:val="20"/>
          <w:color w:val="auto"/>
        </w:rPr>
      </w:pPr>
      <w:r>
        <w:rPr>
          <w:rFonts w:ascii="Arial" w:cs="Arial" w:eastAsia="Arial" w:hAnsi="Arial"/>
          <w:sz w:val="11"/>
          <w:szCs w:val="11"/>
          <w:color w:val="auto"/>
        </w:rPr>
        <w:t xml:space="preserve">ASC Topic 820, </w:t>
      </w:r>
      <w:r>
        <w:rPr>
          <w:rFonts w:ascii="Arial" w:cs="Arial" w:eastAsia="Arial" w:hAnsi="Arial"/>
          <w:sz w:val="11"/>
          <w:szCs w:val="11"/>
          <w:i w:val="1"/>
          <w:iCs w:val="1"/>
          <w:color w:val="auto"/>
        </w:rPr>
        <w:t>Fair Value Measurement</w:t>
      </w:r>
      <w:r>
        <w:rPr>
          <w:rFonts w:ascii="Arial" w:cs="Arial" w:eastAsia="Arial" w:hAnsi="Arial"/>
          <w:sz w:val="11"/>
          <w:szCs w:val="11"/>
          <w:color w:val="auto"/>
        </w:rPr>
        <w:t xml:space="preserve"> includes a single definition of fair value to be used for financial reporting purposes, provides a framework for applying this definition and for measuring fair value under U.S. GAAP, and establishes a fair value hierarchy that categorizes into three levels the inputs to valuation techniques used to measure fair value. The three levels of the fair value hierarchy are summarized as follows:</w:t>
      </w:r>
    </w:p>
    <w:p>
      <w:pPr>
        <w:spacing w:after="0" w:line="20" w:lineRule="exact"/>
        <w:rPr>
          <w:sz w:val="20"/>
          <w:szCs w:val="20"/>
          <w:color w:val="auto"/>
        </w:rPr>
      </w:pPr>
    </w:p>
    <w:p>
      <w:pPr>
        <w:ind w:left="600"/>
        <w:spacing w:after="0"/>
        <w:rPr>
          <w:sz w:val="20"/>
          <w:szCs w:val="20"/>
          <w:color w:val="auto"/>
        </w:rPr>
      </w:pPr>
      <w:r>
        <w:rPr>
          <w:rFonts w:ascii="Arial" w:cs="Arial" w:eastAsia="Arial" w:hAnsi="Arial"/>
          <w:sz w:val="12"/>
          <w:szCs w:val="12"/>
          <w:i w:val="1"/>
          <w:iCs w:val="1"/>
          <w:color w:val="auto"/>
        </w:rPr>
        <w:t xml:space="preserve">Level 1 </w:t>
      </w:r>
      <w:r>
        <w:rPr>
          <w:rFonts w:ascii="Arial" w:cs="Arial" w:eastAsia="Arial" w:hAnsi="Arial"/>
          <w:sz w:val="12"/>
          <w:szCs w:val="12"/>
          <w:color w:val="auto"/>
        </w:rPr>
        <w:t>– Fair value is based on observable inputs such as quoted prices for identical assets or liabilities in active markets.</w:t>
      </w:r>
    </w:p>
    <w:p>
      <w:pPr>
        <w:spacing w:after="0" w:line="78" w:lineRule="exact"/>
        <w:rPr>
          <w:sz w:val="20"/>
          <w:szCs w:val="20"/>
          <w:color w:val="auto"/>
        </w:rPr>
      </w:pPr>
    </w:p>
    <w:p>
      <w:pPr>
        <w:ind w:left="600" w:right="180"/>
        <w:spacing w:after="0" w:line="276" w:lineRule="auto"/>
        <w:rPr>
          <w:sz w:val="20"/>
          <w:szCs w:val="20"/>
          <w:color w:val="auto"/>
        </w:rPr>
      </w:pPr>
      <w:r>
        <w:rPr>
          <w:rFonts w:ascii="Arial" w:cs="Arial" w:eastAsia="Arial" w:hAnsi="Arial"/>
          <w:sz w:val="12"/>
          <w:szCs w:val="12"/>
          <w:i w:val="1"/>
          <w:iCs w:val="1"/>
          <w:color w:val="auto"/>
        </w:rPr>
        <w:t xml:space="preserve">Level 2 </w:t>
      </w:r>
      <w:r>
        <w:rPr>
          <w:rFonts w:ascii="Arial" w:cs="Arial" w:eastAsia="Arial" w:hAnsi="Arial"/>
          <w:sz w:val="12"/>
          <w:szCs w:val="12"/>
          <w:color w:val="auto"/>
        </w:rPr>
        <w:t>– Fair value is determined using quoted prices for similar assets or liabilities in active markets, quoted prices for identical or similar assets or liabilities in markets that are not active or inputs other than quoted prices</w:t>
      </w:r>
      <w:r>
        <w:rPr>
          <w:rFonts w:ascii="Arial" w:cs="Arial" w:eastAsia="Arial" w:hAnsi="Arial"/>
          <w:sz w:val="12"/>
          <w:szCs w:val="12"/>
          <w:i w:val="1"/>
          <w:iCs w:val="1"/>
          <w:color w:val="auto"/>
        </w:rPr>
        <w:t xml:space="preserve"> </w:t>
      </w:r>
      <w:r>
        <w:rPr>
          <w:rFonts w:ascii="Arial" w:cs="Arial" w:eastAsia="Arial" w:hAnsi="Arial"/>
          <w:sz w:val="12"/>
          <w:szCs w:val="12"/>
          <w:color w:val="auto"/>
        </w:rPr>
        <w:t>that are directly or indirectly observable.</w:t>
      </w:r>
    </w:p>
    <w:p>
      <w:pPr>
        <w:spacing w:after="0" w:line="43" w:lineRule="exact"/>
        <w:rPr>
          <w:sz w:val="20"/>
          <w:szCs w:val="20"/>
          <w:color w:val="auto"/>
        </w:rPr>
      </w:pPr>
    </w:p>
    <w:p>
      <w:pPr>
        <w:jc w:val="center"/>
        <w:ind w:right="460"/>
        <w:spacing w:after="0"/>
        <w:rPr>
          <w:sz w:val="20"/>
          <w:szCs w:val="20"/>
          <w:color w:val="auto"/>
        </w:rPr>
      </w:pPr>
      <w:r>
        <w:rPr>
          <w:rFonts w:ascii="Arial" w:cs="Arial" w:eastAsia="Arial" w:hAnsi="Arial"/>
          <w:sz w:val="12"/>
          <w:szCs w:val="12"/>
          <w:i w:val="1"/>
          <w:iCs w:val="1"/>
          <w:color w:val="auto"/>
        </w:rPr>
        <w:t xml:space="preserve">Level 3 </w:t>
      </w:r>
      <w:r>
        <w:rPr>
          <w:rFonts w:ascii="Arial" w:cs="Arial" w:eastAsia="Arial" w:hAnsi="Arial"/>
          <w:sz w:val="12"/>
          <w:szCs w:val="12"/>
          <w:color w:val="auto"/>
        </w:rPr>
        <w:t>– Fair value is determined using one or more significant inputs that are unobservable in active markets at the measurement date, such as a pricing model, discounted cash flow, or similar technique.</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17740" cy="3683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ectPr>
          <w:pgSz w:w="11900" w:h="16838" w:orient="portrait"/>
          <w:cols w:equalWidth="0" w:num="1">
            <w:col w:w="11460"/>
          </w:cols>
          <w:pgMar w:left="220" w:top="491" w:right="219" w:bottom="1440" w:gutter="0" w:footer="0" w:header="0"/>
        </w:sectPr>
      </w:pPr>
    </w:p>
    <w:bookmarkStart w:id="76" w:name="page77"/>
    <w:bookmarkEnd w:id="76"/>
    <w:p>
      <w:pPr>
        <w:ind w:right="60" w:firstLine="602"/>
        <w:spacing w:after="0" w:line="263" w:lineRule="auto"/>
        <w:rPr>
          <w:sz w:val="20"/>
          <w:szCs w:val="20"/>
          <w:color w:val="auto"/>
        </w:rPr>
      </w:pPr>
      <w:r>
        <w:rPr>
          <w:rFonts w:ascii="Arial" w:cs="Arial" w:eastAsia="Arial" w:hAnsi="Arial"/>
          <w:sz w:val="12"/>
          <w:szCs w:val="12"/>
          <w:color w:val="auto"/>
        </w:rPr>
        <w:t>The carrying amounts reported in the Company’s consolidated balance sheets for cash, accounts receivable, accounts payable and accrued expenses approximate fair value due to the immediate to short-term maturity of these financial instruments. The estimated fair value of the Company’s First Lien Term Loan as of December 31, 2019 and 2018 was categorized in Level 2 of the fair value hierarchy and was calculated based upon available market information. The carrying value and fair value of debt is as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40" w:type="dxa"/>
            <w:vAlign w:val="bottom"/>
          </w:tcPr>
          <w:p>
            <w:pPr>
              <w:spacing w:after="0"/>
              <w:rPr>
                <w:sz w:val="10"/>
                <w:szCs w:val="10"/>
                <w:color w:val="auto"/>
              </w:rPr>
            </w:pPr>
          </w:p>
        </w:tc>
        <w:tc>
          <w:tcPr>
            <w:tcW w:w="5020" w:type="dxa"/>
            <w:vAlign w:val="bottom"/>
          </w:tcPr>
          <w:p>
            <w:pPr>
              <w:spacing w:after="0"/>
              <w:rPr>
                <w:sz w:val="10"/>
                <w:szCs w:val="10"/>
                <w:color w:val="auto"/>
              </w:rPr>
            </w:pPr>
          </w:p>
        </w:tc>
        <w:tc>
          <w:tcPr>
            <w:tcW w:w="120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w w:val="85"/>
              </w:rPr>
              <w:t>Level in</w:t>
            </w:r>
          </w:p>
        </w:tc>
        <w:tc>
          <w:tcPr>
            <w:tcW w:w="180" w:type="dxa"/>
            <w:vAlign w:val="bottom"/>
          </w:tcPr>
          <w:p>
            <w:pPr>
              <w:spacing w:after="0"/>
              <w:rPr>
                <w:sz w:val="10"/>
                <w:szCs w:val="10"/>
                <w:color w:val="auto"/>
              </w:rPr>
            </w:pPr>
          </w:p>
        </w:tc>
        <w:tc>
          <w:tcPr>
            <w:tcW w:w="1960" w:type="dxa"/>
            <w:vAlign w:val="bottom"/>
            <w:gridSpan w:val="4"/>
          </w:tcPr>
          <w:p>
            <w:pPr>
              <w:jc w:val="right"/>
              <w:ind w:right="648"/>
              <w:spacing w:after="0"/>
              <w:rPr>
                <w:sz w:val="20"/>
                <w:szCs w:val="20"/>
                <w:color w:val="auto"/>
              </w:rPr>
            </w:pPr>
            <w:r>
              <w:rPr>
                <w:rFonts w:ascii="Arial" w:cs="Arial" w:eastAsia="Arial" w:hAnsi="Arial"/>
                <w:sz w:val="10"/>
                <w:szCs w:val="10"/>
                <w:b w:val="1"/>
                <w:bCs w:val="1"/>
                <w:color w:val="auto"/>
              </w:rPr>
              <w:t>December 31, 2019</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80" w:type="dxa"/>
            <w:vAlign w:val="bottom"/>
            <w:gridSpan w:val="5"/>
          </w:tcPr>
          <w:p>
            <w:pPr>
              <w:ind w:left="500"/>
              <w:spacing w:after="0"/>
              <w:rPr>
                <w:sz w:val="20"/>
                <w:szCs w:val="20"/>
                <w:color w:val="auto"/>
              </w:rPr>
            </w:pPr>
            <w:r>
              <w:rPr>
                <w:rFonts w:ascii="Arial" w:cs="Arial" w:eastAsia="Arial" w:hAnsi="Arial"/>
                <w:sz w:val="10"/>
                <w:szCs w:val="10"/>
                <w:b w:val="1"/>
                <w:bCs w:val="1"/>
                <w:color w:val="auto"/>
              </w:rPr>
              <w:t>December 31, 2018</w:t>
            </w:r>
          </w:p>
        </w:tc>
      </w:tr>
      <w:tr>
        <w:trPr>
          <w:trHeight w:val="92"/>
        </w:trPr>
        <w:tc>
          <w:tcPr>
            <w:tcW w:w="640" w:type="dxa"/>
            <w:vAlign w:val="bottom"/>
          </w:tcPr>
          <w:p>
            <w:pPr>
              <w:spacing w:after="0"/>
              <w:rPr>
                <w:sz w:val="7"/>
                <w:szCs w:val="7"/>
                <w:color w:val="auto"/>
              </w:rPr>
            </w:pPr>
          </w:p>
        </w:tc>
        <w:tc>
          <w:tcPr>
            <w:tcW w:w="5020" w:type="dxa"/>
            <w:vAlign w:val="bottom"/>
          </w:tcPr>
          <w:p>
            <w:pPr>
              <w:spacing w:after="0"/>
              <w:rPr>
                <w:sz w:val="7"/>
                <w:szCs w:val="7"/>
                <w:color w:val="auto"/>
              </w:rPr>
            </w:pPr>
          </w:p>
        </w:tc>
        <w:tc>
          <w:tcPr>
            <w:tcW w:w="1200" w:type="dxa"/>
            <w:vAlign w:val="bottom"/>
            <w:gridSpan w:val="2"/>
          </w:tcPr>
          <w:p>
            <w:pPr>
              <w:jc w:val="center"/>
              <w:ind w:right="120"/>
              <w:spacing w:after="0" w:line="92" w:lineRule="exact"/>
              <w:rPr>
                <w:sz w:val="20"/>
                <w:szCs w:val="20"/>
                <w:color w:val="auto"/>
              </w:rPr>
            </w:pPr>
            <w:r>
              <w:rPr>
                <w:rFonts w:ascii="Arial" w:cs="Arial" w:eastAsia="Arial" w:hAnsi="Arial"/>
                <w:sz w:val="10"/>
                <w:szCs w:val="10"/>
                <w:b w:val="1"/>
                <w:bCs w:val="1"/>
                <w:color w:val="auto"/>
                <w:w w:val="91"/>
              </w:rPr>
              <w:t>Fair Value</w:t>
            </w:r>
          </w:p>
        </w:tc>
        <w:tc>
          <w:tcPr>
            <w:tcW w:w="180" w:type="dxa"/>
            <w:vAlign w:val="bottom"/>
            <w:tcBorders>
              <w:top w:val="single" w:sz="8" w:color="auto"/>
            </w:tcBorders>
          </w:tcPr>
          <w:p>
            <w:pPr>
              <w:spacing w:after="0"/>
              <w:rPr>
                <w:sz w:val="7"/>
                <w:szCs w:val="7"/>
                <w:color w:val="auto"/>
              </w:rPr>
            </w:pPr>
          </w:p>
        </w:tc>
        <w:tc>
          <w:tcPr>
            <w:tcW w:w="780" w:type="dxa"/>
            <w:vAlign w:val="bottom"/>
            <w:tcBorders>
              <w:top w:val="single" w:sz="8" w:color="auto"/>
            </w:tcBorders>
          </w:tcPr>
          <w:p>
            <w:pPr>
              <w:jc w:val="center"/>
              <w:ind w:right="149"/>
              <w:spacing w:after="0" w:line="92" w:lineRule="exact"/>
              <w:rPr>
                <w:sz w:val="20"/>
                <w:szCs w:val="20"/>
                <w:color w:val="auto"/>
              </w:rPr>
            </w:pPr>
            <w:r>
              <w:rPr>
                <w:rFonts w:ascii="Arial" w:cs="Arial" w:eastAsia="Arial" w:hAnsi="Arial"/>
                <w:sz w:val="10"/>
                <w:szCs w:val="10"/>
                <w:b w:val="1"/>
                <w:bCs w:val="1"/>
                <w:color w:val="auto"/>
                <w:w w:val="92"/>
              </w:rPr>
              <w:t>Carrying</w:t>
            </w:r>
          </w:p>
        </w:tc>
        <w:tc>
          <w:tcPr>
            <w:tcW w:w="220" w:type="dxa"/>
            <w:vAlign w:val="bottom"/>
            <w:tcBorders>
              <w:top w:val="single" w:sz="8" w:color="auto"/>
            </w:tcBorders>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800" w:type="dxa"/>
            <w:vAlign w:val="bottom"/>
            <w:tcBorders>
              <w:top w:val="single" w:sz="8" w:color="auto"/>
            </w:tcBorders>
          </w:tcPr>
          <w:p>
            <w:pPr>
              <w:ind w:left="100"/>
              <w:spacing w:after="0" w:line="92" w:lineRule="exact"/>
              <w:rPr>
                <w:sz w:val="20"/>
                <w:szCs w:val="20"/>
                <w:color w:val="auto"/>
              </w:rPr>
            </w:pPr>
            <w:r>
              <w:rPr>
                <w:rFonts w:ascii="Arial" w:cs="Arial" w:eastAsia="Arial" w:hAnsi="Arial"/>
                <w:sz w:val="10"/>
                <w:szCs w:val="10"/>
                <w:b w:val="1"/>
                <w:bCs w:val="1"/>
                <w:color w:val="auto"/>
              </w:rPr>
              <w:t>Estimated</w:t>
            </w:r>
          </w:p>
        </w:tc>
        <w:tc>
          <w:tcPr>
            <w:tcW w:w="220" w:type="dxa"/>
            <w:vAlign w:val="bottom"/>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1000" w:type="dxa"/>
            <w:vAlign w:val="bottom"/>
            <w:tcBorders>
              <w:top w:val="single" w:sz="8" w:color="auto"/>
            </w:tcBorders>
            <w:gridSpan w:val="2"/>
          </w:tcPr>
          <w:p>
            <w:pPr>
              <w:jc w:val="center"/>
              <w:ind w:right="420"/>
              <w:spacing w:after="0" w:line="92" w:lineRule="exact"/>
              <w:rPr>
                <w:sz w:val="20"/>
                <w:szCs w:val="20"/>
                <w:color w:val="auto"/>
              </w:rPr>
            </w:pPr>
            <w:r>
              <w:rPr>
                <w:rFonts w:ascii="Arial" w:cs="Arial" w:eastAsia="Arial" w:hAnsi="Arial"/>
                <w:sz w:val="10"/>
                <w:szCs w:val="10"/>
                <w:b w:val="1"/>
                <w:bCs w:val="1"/>
                <w:color w:val="auto"/>
                <w:w w:val="92"/>
              </w:rPr>
              <w:t>Carrying</w:t>
            </w:r>
          </w:p>
        </w:tc>
        <w:tc>
          <w:tcPr>
            <w:tcW w:w="160" w:type="dxa"/>
            <w:vAlign w:val="bottom"/>
            <w:tcBorders>
              <w:top w:val="single" w:sz="8" w:color="auto"/>
            </w:tcBorders>
          </w:tcPr>
          <w:p>
            <w:pPr>
              <w:spacing w:after="0"/>
              <w:rPr>
                <w:sz w:val="7"/>
                <w:szCs w:val="7"/>
                <w:color w:val="auto"/>
              </w:rPr>
            </w:pPr>
          </w:p>
        </w:tc>
        <w:tc>
          <w:tcPr>
            <w:tcW w:w="800" w:type="dxa"/>
            <w:vAlign w:val="bottom"/>
            <w:tcBorders>
              <w:top w:val="single" w:sz="8" w:color="auto"/>
            </w:tcBorders>
          </w:tcPr>
          <w:p>
            <w:pPr>
              <w:ind w:left="120"/>
              <w:spacing w:after="0" w:line="92" w:lineRule="exact"/>
              <w:rPr>
                <w:sz w:val="20"/>
                <w:szCs w:val="20"/>
                <w:color w:val="auto"/>
              </w:rPr>
            </w:pPr>
            <w:r>
              <w:rPr>
                <w:rFonts w:ascii="Arial" w:cs="Arial" w:eastAsia="Arial" w:hAnsi="Arial"/>
                <w:sz w:val="10"/>
                <w:szCs w:val="10"/>
                <w:b w:val="1"/>
                <w:bCs w:val="1"/>
                <w:color w:val="auto"/>
              </w:rPr>
              <w:t>Estimated</w:t>
            </w:r>
          </w:p>
        </w:tc>
        <w:tc>
          <w:tcPr>
            <w:tcW w:w="120" w:type="dxa"/>
            <w:vAlign w:val="bottom"/>
          </w:tcPr>
          <w:p>
            <w:pPr>
              <w:spacing w:after="0"/>
              <w:rPr>
                <w:sz w:val="7"/>
                <w:szCs w:val="7"/>
                <w:color w:val="auto"/>
              </w:rPr>
            </w:pPr>
          </w:p>
        </w:tc>
      </w:tr>
      <w:tr>
        <w:trPr>
          <w:trHeight w:val="125"/>
        </w:trPr>
        <w:tc>
          <w:tcPr>
            <w:tcW w:w="5660" w:type="dxa"/>
            <w:vAlign w:val="bottom"/>
            <w:gridSpan w:val="2"/>
          </w:tcPr>
          <w:p>
            <w:pPr>
              <w:spacing w:after="0" w:line="105" w:lineRule="exact"/>
              <w:rPr>
                <w:sz w:val="20"/>
                <w:szCs w:val="20"/>
                <w:color w:val="auto"/>
              </w:rPr>
            </w:pPr>
            <w:r>
              <w:rPr>
                <w:rFonts w:ascii="Arial" w:cs="Arial" w:eastAsia="Arial" w:hAnsi="Arial"/>
                <w:sz w:val="10"/>
                <w:szCs w:val="10"/>
                <w:b w:val="1"/>
                <w:bCs w:val="1"/>
                <w:u w:val="single" w:color="auto"/>
                <w:color w:val="auto"/>
              </w:rPr>
              <w:t>(</w:t>
            </w:r>
            <w:r>
              <w:rPr>
                <w:rFonts w:ascii="Arial" w:cs="Arial" w:eastAsia="Arial" w:hAnsi="Arial"/>
                <w:sz w:val="10"/>
                <w:szCs w:val="10"/>
                <w:b w:val="1"/>
                <w:bCs w:val="1"/>
                <w:color w:val="auto"/>
              </w:rPr>
              <w:t>$ in thousands)</w:t>
            </w:r>
          </w:p>
        </w:tc>
        <w:tc>
          <w:tcPr>
            <w:tcW w:w="1200" w:type="dxa"/>
            <w:vAlign w:val="bottom"/>
            <w:gridSpan w:val="2"/>
          </w:tcPr>
          <w:p>
            <w:pPr>
              <w:jc w:val="center"/>
              <w:ind w:right="140"/>
              <w:spacing w:after="0" w:line="105" w:lineRule="exact"/>
              <w:rPr>
                <w:sz w:val="20"/>
                <w:szCs w:val="20"/>
                <w:color w:val="auto"/>
              </w:rPr>
            </w:pPr>
            <w:r>
              <w:rPr>
                <w:rFonts w:ascii="Arial" w:cs="Arial" w:eastAsia="Arial" w:hAnsi="Arial"/>
                <w:sz w:val="10"/>
                <w:szCs w:val="10"/>
                <w:b w:val="1"/>
                <w:bCs w:val="1"/>
                <w:color w:val="auto"/>
                <w:w w:val="90"/>
              </w:rPr>
              <w:t>Hierarchy</w:t>
            </w:r>
          </w:p>
        </w:tc>
        <w:tc>
          <w:tcPr>
            <w:tcW w:w="180" w:type="dxa"/>
            <w:vAlign w:val="bottom"/>
          </w:tcPr>
          <w:p>
            <w:pPr>
              <w:spacing w:after="0"/>
              <w:rPr>
                <w:sz w:val="10"/>
                <w:szCs w:val="10"/>
                <w:color w:val="auto"/>
              </w:rPr>
            </w:pPr>
          </w:p>
        </w:tc>
        <w:tc>
          <w:tcPr>
            <w:tcW w:w="780" w:type="dxa"/>
            <w:vAlign w:val="bottom"/>
          </w:tcPr>
          <w:p>
            <w:pPr>
              <w:jc w:val="center"/>
              <w:ind w:right="149"/>
              <w:spacing w:after="0" w:line="105" w:lineRule="exact"/>
              <w:rPr>
                <w:sz w:val="20"/>
                <w:szCs w:val="20"/>
                <w:color w:val="auto"/>
              </w:rPr>
            </w:pPr>
            <w:r>
              <w:rPr>
                <w:rFonts w:ascii="Arial" w:cs="Arial" w:eastAsia="Arial" w:hAnsi="Arial"/>
                <w:sz w:val="10"/>
                <w:szCs w:val="10"/>
                <w:b w:val="1"/>
                <w:bCs w:val="1"/>
                <w:color w:val="auto"/>
                <w:w w:val="89"/>
              </w:rPr>
              <w:t>Amount</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ind w:left="100"/>
              <w:spacing w:after="0" w:line="105" w:lineRule="exact"/>
              <w:rPr>
                <w:sz w:val="20"/>
                <w:szCs w:val="20"/>
                <w:color w:val="auto"/>
              </w:rPr>
            </w:pPr>
            <w:r>
              <w:rPr>
                <w:rFonts w:ascii="Arial" w:cs="Arial" w:eastAsia="Arial" w:hAnsi="Arial"/>
                <w:sz w:val="10"/>
                <w:szCs w:val="10"/>
                <w:b w:val="1"/>
                <w:bCs w:val="1"/>
                <w:color w:val="auto"/>
              </w:rPr>
              <w:t>Fair Value</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0" w:type="dxa"/>
            <w:vAlign w:val="bottom"/>
            <w:gridSpan w:val="2"/>
          </w:tcPr>
          <w:p>
            <w:pPr>
              <w:jc w:val="center"/>
              <w:ind w:right="420"/>
              <w:spacing w:after="0" w:line="105" w:lineRule="exact"/>
              <w:rPr>
                <w:sz w:val="20"/>
                <w:szCs w:val="20"/>
                <w:color w:val="auto"/>
              </w:rPr>
            </w:pPr>
            <w:r>
              <w:rPr>
                <w:rFonts w:ascii="Arial" w:cs="Arial" w:eastAsia="Arial" w:hAnsi="Arial"/>
                <w:sz w:val="10"/>
                <w:szCs w:val="10"/>
                <w:b w:val="1"/>
                <w:bCs w:val="1"/>
                <w:color w:val="auto"/>
                <w:w w:val="89"/>
              </w:rPr>
              <w:t>Amount</w:t>
            </w:r>
          </w:p>
        </w:tc>
        <w:tc>
          <w:tcPr>
            <w:tcW w:w="160" w:type="dxa"/>
            <w:vAlign w:val="bottom"/>
          </w:tcPr>
          <w:p>
            <w:pPr>
              <w:spacing w:after="0"/>
              <w:rPr>
                <w:sz w:val="10"/>
                <w:szCs w:val="10"/>
                <w:color w:val="auto"/>
              </w:rPr>
            </w:pPr>
          </w:p>
        </w:tc>
        <w:tc>
          <w:tcPr>
            <w:tcW w:w="920" w:type="dxa"/>
            <w:vAlign w:val="bottom"/>
            <w:gridSpan w:val="2"/>
          </w:tcPr>
          <w:p>
            <w:pPr>
              <w:ind w:left="100"/>
              <w:spacing w:after="0" w:line="105" w:lineRule="exact"/>
              <w:rPr>
                <w:sz w:val="20"/>
                <w:szCs w:val="20"/>
                <w:color w:val="auto"/>
              </w:rPr>
            </w:pPr>
            <w:r>
              <w:rPr>
                <w:rFonts w:ascii="Arial" w:cs="Arial" w:eastAsia="Arial" w:hAnsi="Arial"/>
                <w:sz w:val="10"/>
                <w:szCs w:val="10"/>
                <w:b w:val="1"/>
                <w:bCs w:val="1"/>
                <w:color w:val="auto"/>
              </w:rPr>
              <w:t>Fair Value</w:t>
            </w:r>
          </w:p>
        </w:tc>
      </w:tr>
      <w:tr>
        <w:trPr>
          <w:trHeight w:val="131"/>
        </w:trPr>
        <w:tc>
          <w:tcPr>
            <w:tcW w:w="640" w:type="dxa"/>
            <w:vAlign w:val="bottom"/>
            <w:tcBorders>
              <w:top w:val="single" w:sz="8" w:color="auto"/>
            </w:tcBorders>
            <w:shd w:val="clear" w:color="auto" w:fill="CFF0FC"/>
          </w:tcPr>
          <w:p>
            <w:pPr>
              <w:spacing w:after="0" w:line="132" w:lineRule="exact"/>
              <w:rPr>
                <w:sz w:val="20"/>
                <w:szCs w:val="20"/>
                <w:color w:val="auto"/>
              </w:rPr>
            </w:pPr>
            <w:r>
              <w:rPr>
                <w:rFonts w:ascii="Arial" w:cs="Arial" w:eastAsia="Arial" w:hAnsi="Arial"/>
                <w:sz w:val="12"/>
                <w:szCs w:val="12"/>
                <w:color w:val="auto"/>
              </w:rPr>
              <w:t>Total debt</w:t>
            </w:r>
          </w:p>
        </w:tc>
        <w:tc>
          <w:tcPr>
            <w:tcW w:w="5020" w:type="dxa"/>
            <w:vAlign w:val="bottom"/>
            <w:tcBorders>
              <w:top w:val="single" w:sz="8" w:color="CFF0FC"/>
            </w:tcBorders>
            <w:shd w:val="clear" w:color="auto" w:fill="CFF0FC"/>
          </w:tcPr>
          <w:p>
            <w:pPr>
              <w:spacing w:after="0"/>
              <w:rPr>
                <w:sz w:val="11"/>
                <w:szCs w:val="11"/>
                <w:color w:val="auto"/>
              </w:rPr>
            </w:pPr>
          </w:p>
        </w:tc>
        <w:tc>
          <w:tcPr>
            <w:tcW w:w="1080" w:type="dxa"/>
            <w:vAlign w:val="bottom"/>
            <w:tcBorders>
              <w:top w:val="single" w:sz="8" w:color="auto"/>
            </w:tcBorders>
            <w:shd w:val="clear" w:color="auto" w:fill="CFF0FC"/>
          </w:tcPr>
          <w:p>
            <w:pPr>
              <w:jc w:val="center"/>
              <w:spacing w:after="0" w:line="132" w:lineRule="exact"/>
              <w:rPr>
                <w:sz w:val="20"/>
                <w:szCs w:val="20"/>
                <w:color w:val="auto"/>
              </w:rPr>
            </w:pPr>
            <w:r>
              <w:rPr>
                <w:rFonts w:ascii="Arial" w:cs="Arial" w:eastAsia="Arial" w:hAnsi="Arial"/>
                <w:sz w:val="12"/>
                <w:szCs w:val="12"/>
                <w:color w:val="auto"/>
                <w:w w:val="89"/>
              </w:rPr>
              <w:t>2</w:t>
            </w:r>
          </w:p>
        </w:tc>
        <w:tc>
          <w:tcPr>
            <w:tcW w:w="120" w:type="dxa"/>
            <w:vAlign w:val="bottom"/>
            <w:tcBorders>
              <w:top w:val="single" w:sz="8" w:color="CFF0FC"/>
            </w:tcBorders>
            <w:shd w:val="clear" w:color="auto" w:fill="CFF0FC"/>
          </w:tcPr>
          <w:p>
            <w:pPr>
              <w:spacing w:after="0"/>
              <w:rPr>
                <w:sz w:val="11"/>
                <w:szCs w:val="11"/>
                <w:color w:val="auto"/>
              </w:rPr>
            </w:pPr>
          </w:p>
        </w:tc>
        <w:tc>
          <w:tcPr>
            <w:tcW w:w="18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tcBorders>
            <w:shd w:val="clear" w:color="auto" w:fill="CFF0FC"/>
          </w:tcPr>
          <w:p>
            <w:pPr>
              <w:jc w:val="right"/>
              <w:spacing w:after="0" w:line="132" w:lineRule="exact"/>
              <w:rPr>
                <w:sz w:val="20"/>
                <w:szCs w:val="20"/>
                <w:color w:val="auto"/>
              </w:rPr>
            </w:pPr>
            <w:r>
              <w:rPr>
                <w:rFonts w:ascii="Arial" w:cs="Arial" w:eastAsia="Arial" w:hAnsi="Arial"/>
                <w:sz w:val="12"/>
                <w:szCs w:val="12"/>
                <w:color w:val="auto"/>
              </w:rPr>
              <w:t>866,465</w:t>
            </w:r>
          </w:p>
        </w:tc>
        <w:tc>
          <w:tcPr>
            <w:tcW w:w="220" w:type="dxa"/>
            <w:vAlign w:val="bottom"/>
            <w:tcBorders>
              <w:top w:val="single" w:sz="8" w:color="CFF0FC"/>
            </w:tcBorders>
            <w:shd w:val="clear" w:color="auto" w:fill="CFF0FC"/>
          </w:tcPr>
          <w:p>
            <w:pPr>
              <w:spacing w:after="0"/>
              <w:rPr>
                <w:sz w:val="11"/>
                <w:szCs w:val="11"/>
                <w:color w:val="auto"/>
              </w:rPr>
            </w:pPr>
          </w:p>
        </w:tc>
        <w:tc>
          <w:tcPr>
            <w:tcW w:w="16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tcBorders>
            <w:shd w:val="clear" w:color="auto" w:fill="CFF0FC"/>
          </w:tcPr>
          <w:p>
            <w:pPr>
              <w:jc w:val="right"/>
              <w:spacing w:after="0" w:line="132" w:lineRule="exact"/>
              <w:rPr>
                <w:sz w:val="20"/>
                <w:szCs w:val="20"/>
                <w:color w:val="auto"/>
              </w:rPr>
            </w:pPr>
            <w:r>
              <w:rPr>
                <w:rFonts w:ascii="Arial" w:cs="Arial" w:eastAsia="Arial" w:hAnsi="Arial"/>
                <w:sz w:val="12"/>
                <w:szCs w:val="12"/>
                <w:color w:val="auto"/>
              </w:rPr>
              <w:t>905,601</w:t>
            </w:r>
          </w:p>
        </w:tc>
        <w:tc>
          <w:tcPr>
            <w:tcW w:w="220" w:type="dxa"/>
            <w:vAlign w:val="bottom"/>
            <w:tcBorders>
              <w:top w:val="single" w:sz="8" w:color="CFF0FC"/>
            </w:tcBorders>
            <w:shd w:val="clear" w:color="auto" w:fill="CFF0FC"/>
          </w:tcPr>
          <w:p>
            <w:pPr>
              <w:spacing w:after="0"/>
              <w:rPr>
                <w:sz w:val="11"/>
                <w:szCs w:val="11"/>
                <w:color w:val="auto"/>
              </w:rPr>
            </w:pPr>
          </w:p>
        </w:tc>
        <w:tc>
          <w:tcPr>
            <w:tcW w:w="18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tcBorders>
            <w:shd w:val="clear" w:color="auto" w:fill="CFF0FC"/>
          </w:tcPr>
          <w:p>
            <w:pPr>
              <w:jc w:val="right"/>
              <w:spacing w:after="0" w:line="132" w:lineRule="exact"/>
              <w:rPr>
                <w:sz w:val="20"/>
                <w:szCs w:val="20"/>
                <w:color w:val="auto"/>
              </w:rPr>
            </w:pPr>
            <w:r>
              <w:rPr>
                <w:rFonts w:ascii="Arial" w:cs="Arial" w:eastAsia="Arial" w:hAnsi="Arial"/>
                <w:sz w:val="12"/>
                <w:szCs w:val="12"/>
                <w:color w:val="auto"/>
              </w:rPr>
              <w:t>869,353</w:t>
            </w:r>
          </w:p>
        </w:tc>
        <w:tc>
          <w:tcPr>
            <w:tcW w:w="240" w:type="dxa"/>
            <w:vAlign w:val="bottom"/>
            <w:tcBorders>
              <w:top w:val="single" w:sz="8" w:color="CFF0FC"/>
            </w:tcBorders>
            <w:shd w:val="clear" w:color="auto" w:fill="CFF0FC"/>
          </w:tcPr>
          <w:p>
            <w:pPr>
              <w:spacing w:after="0"/>
              <w:rPr>
                <w:sz w:val="11"/>
                <w:szCs w:val="11"/>
                <w:color w:val="auto"/>
              </w:rPr>
            </w:pPr>
          </w:p>
        </w:tc>
        <w:tc>
          <w:tcPr>
            <w:tcW w:w="16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tcBorders>
            <w:shd w:val="clear" w:color="auto" w:fill="CFF0FC"/>
          </w:tcPr>
          <w:p>
            <w:pPr>
              <w:jc w:val="right"/>
              <w:spacing w:after="0" w:line="132" w:lineRule="exact"/>
              <w:rPr>
                <w:sz w:val="20"/>
                <w:szCs w:val="20"/>
                <w:color w:val="auto"/>
              </w:rPr>
            </w:pPr>
            <w:r>
              <w:rPr>
                <w:rFonts w:ascii="Arial" w:cs="Arial" w:eastAsia="Arial" w:hAnsi="Arial"/>
                <w:sz w:val="12"/>
                <w:szCs w:val="12"/>
                <w:color w:val="auto"/>
              </w:rPr>
              <w:t>889,971</w:t>
            </w:r>
          </w:p>
        </w:tc>
        <w:tc>
          <w:tcPr>
            <w:tcW w:w="120" w:type="dxa"/>
            <w:vAlign w:val="bottom"/>
            <w:tcBorders>
              <w:top w:val="single" w:sz="8" w:color="CFF0FC"/>
            </w:tcBorders>
            <w:shd w:val="clear" w:color="auto" w:fill="CFF0FC"/>
          </w:tcPr>
          <w:p>
            <w:pPr>
              <w:spacing w:after="0"/>
              <w:rPr>
                <w:sz w:val="11"/>
                <w:szCs w:val="11"/>
                <w:color w:val="auto"/>
              </w:rPr>
            </w:pPr>
          </w:p>
        </w:tc>
      </w:tr>
    </w:tbl>
    <w:p>
      <w:pPr>
        <w:spacing w:after="0" w:line="23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Installation and Service Parts</w:t>
      </w:r>
    </w:p>
    <w:p>
      <w:pPr>
        <w:spacing w:after="0" w:line="78" w:lineRule="exact"/>
        <w:rPr>
          <w:sz w:val="20"/>
          <w:szCs w:val="20"/>
          <w:color w:val="auto"/>
        </w:rPr>
      </w:pPr>
    </w:p>
    <w:p>
      <w:pPr>
        <w:ind w:right="40" w:firstLine="602"/>
        <w:spacing w:after="0" w:line="327" w:lineRule="auto"/>
        <w:rPr>
          <w:sz w:val="20"/>
          <w:szCs w:val="20"/>
          <w:color w:val="auto"/>
        </w:rPr>
      </w:pPr>
      <w:r>
        <w:rPr>
          <w:rFonts w:ascii="Arial" w:cs="Arial" w:eastAsia="Arial" w:hAnsi="Arial"/>
          <w:sz w:val="10"/>
          <w:szCs w:val="10"/>
          <w:color w:val="auto"/>
        </w:rPr>
        <w:t>Installation and service parts consist of components used in the construction and maintenance of red-light camera and speed enforcement systems. Installation and service parts are stated at the lower of cost or market and are reclassified to property and equipment upon initiation of construction. Installation and service parts used in repairs and maintenance are recorded in operating expenses. The Company writes down installation and service parts to estimated market value based on assumptions regarding future usage. Such write-downs establish a new cost basis for the items. In estimating excess and obsolete reserves, the Company primarily evaluates estimates of usage over a 12-month period and generally provides reserves for installation and service parts on hand in excess of the estimated 12-month usage. The allowance for obsolescence as of December 31, 2019 and 2018 was $1.7 million and $1.0 million,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Property and Equipment</w:t>
      </w:r>
    </w:p>
    <w:p>
      <w:pPr>
        <w:spacing w:after="0" w:line="78" w:lineRule="exact"/>
        <w:rPr>
          <w:sz w:val="20"/>
          <w:szCs w:val="20"/>
          <w:color w:val="auto"/>
        </w:rPr>
      </w:pPr>
    </w:p>
    <w:p>
      <w:pPr>
        <w:ind w:right="40" w:firstLine="602"/>
        <w:spacing w:after="0" w:line="276" w:lineRule="auto"/>
        <w:rPr>
          <w:sz w:val="20"/>
          <w:szCs w:val="20"/>
          <w:color w:val="auto"/>
        </w:rPr>
      </w:pPr>
      <w:r>
        <w:rPr>
          <w:rFonts w:ascii="Arial" w:cs="Arial" w:eastAsia="Arial" w:hAnsi="Arial"/>
          <w:sz w:val="12"/>
          <w:szCs w:val="12"/>
          <w:color w:val="auto"/>
        </w:rPr>
        <w:t>Property and equipment are stated at cost less accumulated depreciation. All repairs and maintenance costs are expensed as incurred. Depreciation is recorded on a straight-line basis over the estimated useful lives of the related assets as follows: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4360" w:type="dxa"/>
            <w:vAlign w:val="bottom"/>
            <w:shd w:val="clear" w:color="auto" w:fill="CFF0FC"/>
          </w:tcPr>
          <w:p>
            <w:pPr>
              <w:spacing w:after="0"/>
              <w:rPr>
                <w:sz w:val="20"/>
                <w:szCs w:val="20"/>
                <w:color w:val="auto"/>
              </w:rPr>
            </w:pPr>
            <w:r>
              <w:rPr>
                <w:rFonts w:ascii="Arial" w:cs="Arial" w:eastAsia="Arial" w:hAnsi="Arial"/>
                <w:sz w:val="12"/>
                <w:szCs w:val="12"/>
                <w:color w:val="auto"/>
              </w:rPr>
              <w:t>Building</w:t>
            </w:r>
          </w:p>
        </w:tc>
        <w:tc>
          <w:tcPr>
            <w:tcW w:w="7120" w:type="dxa"/>
            <w:vAlign w:val="bottom"/>
            <w:shd w:val="clear" w:color="auto" w:fill="CFF0FC"/>
          </w:tcPr>
          <w:p>
            <w:pPr>
              <w:ind w:left="2580"/>
              <w:spacing w:after="0"/>
              <w:rPr>
                <w:sz w:val="20"/>
                <w:szCs w:val="20"/>
                <w:color w:val="auto"/>
              </w:rPr>
            </w:pPr>
            <w:r>
              <w:rPr>
                <w:rFonts w:ascii="Arial" w:cs="Arial" w:eastAsia="Arial" w:hAnsi="Arial"/>
                <w:sz w:val="12"/>
                <w:szCs w:val="12"/>
                <w:color w:val="auto"/>
              </w:rPr>
              <w:t>39 years</w:t>
            </w:r>
          </w:p>
        </w:tc>
      </w:tr>
      <w:tr>
        <w:trPr>
          <w:trHeight w:val="153"/>
        </w:trPr>
        <w:tc>
          <w:tcPr>
            <w:tcW w:w="4360" w:type="dxa"/>
            <w:vAlign w:val="bottom"/>
          </w:tcPr>
          <w:p>
            <w:pPr>
              <w:spacing w:after="0"/>
              <w:rPr>
                <w:sz w:val="20"/>
                <w:szCs w:val="20"/>
                <w:color w:val="auto"/>
              </w:rPr>
            </w:pPr>
            <w:r>
              <w:rPr>
                <w:rFonts w:ascii="Arial" w:cs="Arial" w:eastAsia="Arial" w:hAnsi="Arial"/>
                <w:sz w:val="12"/>
                <w:szCs w:val="12"/>
                <w:color w:val="auto"/>
              </w:rPr>
              <w:t>Equipment installed at customer sites</w:t>
            </w:r>
          </w:p>
        </w:tc>
        <w:tc>
          <w:tcPr>
            <w:tcW w:w="7120" w:type="dxa"/>
            <w:vAlign w:val="bottom"/>
          </w:tcPr>
          <w:p>
            <w:pPr>
              <w:ind w:left="2580"/>
              <w:spacing w:after="0"/>
              <w:rPr>
                <w:sz w:val="20"/>
                <w:szCs w:val="20"/>
                <w:color w:val="auto"/>
              </w:rPr>
            </w:pPr>
            <w:r>
              <w:rPr>
                <w:rFonts w:ascii="Arial" w:cs="Arial" w:eastAsia="Arial" w:hAnsi="Arial"/>
                <w:sz w:val="12"/>
                <w:szCs w:val="12"/>
                <w:color w:val="auto"/>
              </w:rPr>
              <w:t>3-7 years</w:t>
            </w:r>
          </w:p>
        </w:tc>
      </w:tr>
      <w:tr>
        <w:trPr>
          <w:trHeight w:val="153"/>
        </w:trPr>
        <w:tc>
          <w:tcPr>
            <w:tcW w:w="4360" w:type="dxa"/>
            <w:vAlign w:val="bottom"/>
            <w:shd w:val="clear" w:color="auto" w:fill="CFF0FC"/>
          </w:tcPr>
          <w:p>
            <w:pPr>
              <w:spacing w:after="0"/>
              <w:rPr>
                <w:sz w:val="20"/>
                <w:szCs w:val="20"/>
                <w:color w:val="auto"/>
              </w:rPr>
            </w:pPr>
            <w:r>
              <w:rPr>
                <w:rFonts w:ascii="Arial" w:cs="Arial" w:eastAsia="Arial" w:hAnsi="Arial"/>
                <w:sz w:val="12"/>
                <w:szCs w:val="12"/>
                <w:color w:val="auto"/>
              </w:rPr>
              <w:t>Computer equipment</w:t>
            </w:r>
          </w:p>
        </w:tc>
        <w:tc>
          <w:tcPr>
            <w:tcW w:w="7120" w:type="dxa"/>
            <w:vAlign w:val="bottom"/>
            <w:shd w:val="clear" w:color="auto" w:fill="CFF0FC"/>
          </w:tcPr>
          <w:p>
            <w:pPr>
              <w:ind w:left="2580"/>
              <w:spacing w:after="0"/>
              <w:rPr>
                <w:sz w:val="20"/>
                <w:szCs w:val="20"/>
                <w:color w:val="auto"/>
              </w:rPr>
            </w:pPr>
            <w:r>
              <w:rPr>
                <w:rFonts w:ascii="Arial" w:cs="Arial" w:eastAsia="Arial" w:hAnsi="Arial"/>
                <w:sz w:val="12"/>
                <w:szCs w:val="12"/>
                <w:color w:val="auto"/>
              </w:rPr>
              <w:t>3-5 years</w:t>
            </w:r>
          </w:p>
        </w:tc>
      </w:tr>
      <w:tr>
        <w:trPr>
          <w:trHeight w:val="153"/>
        </w:trPr>
        <w:tc>
          <w:tcPr>
            <w:tcW w:w="4360" w:type="dxa"/>
            <w:vAlign w:val="bottom"/>
          </w:tcPr>
          <w:p>
            <w:pPr>
              <w:spacing w:after="0"/>
              <w:rPr>
                <w:sz w:val="20"/>
                <w:szCs w:val="20"/>
                <w:color w:val="auto"/>
              </w:rPr>
            </w:pPr>
            <w:r>
              <w:rPr>
                <w:rFonts w:ascii="Arial" w:cs="Arial" w:eastAsia="Arial" w:hAnsi="Arial"/>
                <w:sz w:val="12"/>
                <w:szCs w:val="12"/>
                <w:color w:val="auto"/>
              </w:rPr>
              <w:t>Furniture</w:t>
            </w:r>
          </w:p>
        </w:tc>
        <w:tc>
          <w:tcPr>
            <w:tcW w:w="7120" w:type="dxa"/>
            <w:vAlign w:val="bottom"/>
          </w:tcPr>
          <w:p>
            <w:pPr>
              <w:ind w:left="2580"/>
              <w:spacing w:after="0"/>
              <w:rPr>
                <w:sz w:val="20"/>
                <w:szCs w:val="20"/>
                <w:color w:val="auto"/>
              </w:rPr>
            </w:pPr>
            <w:r>
              <w:rPr>
                <w:rFonts w:ascii="Arial" w:cs="Arial" w:eastAsia="Arial" w:hAnsi="Arial"/>
                <w:sz w:val="12"/>
                <w:szCs w:val="12"/>
                <w:color w:val="auto"/>
              </w:rPr>
              <w:t>5-10 years</w:t>
            </w:r>
          </w:p>
        </w:tc>
      </w:tr>
      <w:tr>
        <w:trPr>
          <w:trHeight w:val="153"/>
        </w:trPr>
        <w:tc>
          <w:tcPr>
            <w:tcW w:w="4360" w:type="dxa"/>
            <w:vAlign w:val="bottom"/>
            <w:shd w:val="clear" w:color="auto" w:fill="CFF0FC"/>
          </w:tcPr>
          <w:p>
            <w:pPr>
              <w:spacing w:after="0"/>
              <w:rPr>
                <w:sz w:val="20"/>
                <w:szCs w:val="20"/>
                <w:color w:val="auto"/>
              </w:rPr>
            </w:pPr>
            <w:r>
              <w:rPr>
                <w:rFonts w:ascii="Arial" w:cs="Arial" w:eastAsia="Arial" w:hAnsi="Arial"/>
                <w:sz w:val="12"/>
                <w:szCs w:val="12"/>
                <w:color w:val="auto"/>
              </w:rPr>
              <w:t>Automobiles</w:t>
            </w:r>
          </w:p>
        </w:tc>
        <w:tc>
          <w:tcPr>
            <w:tcW w:w="7120" w:type="dxa"/>
            <w:vAlign w:val="bottom"/>
            <w:shd w:val="clear" w:color="auto" w:fill="CFF0FC"/>
          </w:tcPr>
          <w:p>
            <w:pPr>
              <w:ind w:left="2580"/>
              <w:spacing w:after="0"/>
              <w:rPr>
                <w:sz w:val="20"/>
                <w:szCs w:val="20"/>
                <w:color w:val="auto"/>
              </w:rPr>
            </w:pPr>
            <w:r>
              <w:rPr>
                <w:rFonts w:ascii="Arial" w:cs="Arial" w:eastAsia="Arial" w:hAnsi="Arial"/>
                <w:sz w:val="12"/>
                <w:szCs w:val="12"/>
                <w:color w:val="auto"/>
              </w:rPr>
              <w:t>5-6 years</w:t>
            </w:r>
          </w:p>
        </w:tc>
      </w:tr>
      <w:tr>
        <w:trPr>
          <w:trHeight w:val="153"/>
        </w:trPr>
        <w:tc>
          <w:tcPr>
            <w:tcW w:w="4360" w:type="dxa"/>
            <w:vAlign w:val="bottom"/>
          </w:tcPr>
          <w:p>
            <w:pPr>
              <w:spacing w:after="0"/>
              <w:rPr>
                <w:sz w:val="20"/>
                <w:szCs w:val="20"/>
                <w:color w:val="auto"/>
              </w:rPr>
            </w:pPr>
            <w:r>
              <w:rPr>
                <w:rFonts w:ascii="Arial" w:cs="Arial" w:eastAsia="Arial" w:hAnsi="Arial"/>
                <w:sz w:val="12"/>
                <w:szCs w:val="12"/>
                <w:color w:val="auto"/>
              </w:rPr>
              <w:t>Software</w:t>
            </w:r>
          </w:p>
        </w:tc>
        <w:tc>
          <w:tcPr>
            <w:tcW w:w="7120" w:type="dxa"/>
            <w:vAlign w:val="bottom"/>
          </w:tcPr>
          <w:p>
            <w:pPr>
              <w:ind w:left="2580"/>
              <w:spacing w:after="0"/>
              <w:rPr>
                <w:sz w:val="20"/>
                <w:szCs w:val="20"/>
                <w:color w:val="auto"/>
              </w:rPr>
            </w:pPr>
            <w:r>
              <w:rPr>
                <w:rFonts w:ascii="Arial" w:cs="Arial" w:eastAsia="Arial" w:hAnsi="Arial"/>
                <w:sz w:val="12"/>
                <w:szCs w:val="12"/>
                <w:color w:val="auto"/>
              </w:rPr>
              <w:t>3-5 years</w:t>
            </w:r>
          </w:p>
        </w:tc>
      </w:tr>
      <w:tr>
        <w:trPr>
          <w:trHeight w:val="153"/>
        </w:trPr>
        <w:tc>
          <w:tcPr>
            <w:tcW w:w="4360" w:type="dxa"/>
            <w:vAlign w:val="bottom"/>
            <w:shd w:val="clear" w:color="auto" w:fill="CFF0FC"/>
          </w:tcPr>
          <w:p>
            <w:pPr>
              <w:spacing w:after="0"/>
              <w:rPr>
                <w:sz w:val="20"/>
                <w:szCs w:val="20"/>
                <w:color w:val="auto"/>
              </w:rPr>
            </w:pPr>
            <w:r>
              <w:rPr>
                <w:rFonts w:ascii="Arial" w:cs="Arial" w:eastAsia="Arial" w:hAnsi="Arial"/>
                <w:sz w:val="12"/>
                <w:szCs w:val="12"/>
                <w:color w:val="auto"/>
              </w:rPr>
              <w:t>Leasehold improvements</w:t>
            </w:r>
          </w:p>
        </w:tc>
        <w:tc>
          <w:tcPr>
            <w:tcW w:w="7120" w:type="dxa"/>
            <w:vAlign w:val="bottom"/>
            <w:shd w:val="clear" w:color="auto" w:fill="CFF0FC"/>
          </w:tcPr>
          <w:p>
            <w:pPr>
              <w:ind w:left="2580"/>
              <w:spacing w:after="0"/>
              <w:rPr>
                <w:sz w:val="20"/>
                <w:szCs w:val="20"/>
                <w:color w:val="auto"/>
              </w:rPr>
            </w:pPr>
            <w:r>
              <w:rPr>
                <w:rFonts w:ascii="Arial" w:cs="Arial" w:eastAsia="Arial" w:hAnsi="Arial"/>
                <w:sz w:val="12"/>
                <w:szCs w:val="12"/>
                <w:color w:val="auto"/>
              </w:rPr>
              <w:t>Shorter of lease term or estimated useful life</w:t>
            </w:r>
          </w:p>
        </w:tc>
      </w:tr>
    </w:tbl>
    <w:p>
      <w:pPr>
        <w:spacing w:after="0" w:line="153" w:lineRule="exact"/>
        <w:rPr>
          <w:sz w:val="20"/>
          <w:szCs w:val="20"/>
          <w:color w:val="auto"/>
        </w:rPr>
      </w:pPr>
    </w:p>
    <w:p>
      <w:pPr>
        <w:ind w:right="200" w:firstLine="602"/>
        <w:spacing w:after="0" w:line="259" w:lineRule="auto"/>
        <w:rPr>
          <w:sz w:val="20"/>
          <w:szCs w:val="20"/>
          <w:color w:val="auto"/>
        </w:rPr>
      </w:pPr>
      <w:r>
        <w:rPr>
          <w:rFonts w:ascii="Arial" w:cs="Arial" w:eastAsia="Arial" w:hAnsi="Arial"/>
          <w:sz w:val="12"/>
          <w:szCs w:val="12"/>
          <w:color w:val="auto"/>
        </w:rPr>
        <w:t>Equipment installed at customer sites includes certain installation costs that qualify for capitalization. Software costs include certain internal and external costs associated with the development of software that are incurred subsequent to the development stage. In addition, a modification or upgrade to existing software is capitalized only to the extent it results in additional functionality to existing software. Software maintenance and training costs are expensed as incurred. The Company capitalized internally developed software costs of $2.1 million, $2.2 million, $1.9 million, and $0.8 million for fiscal year 2019, fiscal year 2018, the 2017 Successor Period and the 2017 Predecessor Period, respectively.</w:t>
      </w:r>
    </w:p>
    <w:p>
      <w:pPr>
        <w:spacing w:after="0" w:line="22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Goodwill</w:t>
      </w:r>
    </w:p>
    <w:p>
      <w:pPr>
        <w:spacing w:after="0" w:line="78" w:lineRule="exact"/>
        <w:rPr>
          <w:sz w:val="20"/>
          <w:szCs w:val="20"/>
          <w:color w:val="auto"/>
        </w:rPr>
      </w:pPr>
    </w:p>
    <w:p>
      <w:pPr>
        <w:ind w:right="40" w:firstLine="602"/>
        <w:spacing w:after="0" w:line="255" w:lineRule="auto"/>
        <w:rPr>
          <w:sz w:val="20"/>
          <w:szCs w:val="20"/>
          <w:color w:val="auto"/>
        </w:rPr>
      </w:pPr>
      <w:r>
        <w:rPr>
          <w:rFonts w:ascii="Arial" w:cs="Arial" w:eastAsia="Arial" w:hAnsi="Arial"/>
          <w:sz w:val="12"/>
          <w:szCs w:val="12"/>
          <w:color w:val="auto"/>
        </w:rPr>
        <w:t>Goodwill represents the excess of the purchase price over the estimated fair value of net tangible and identifiable intangible assets acquired in business combinations. Goodwill is not amortized to earnings but assessed for impairment at least annually at the reporting unit level or more frequently if events or changes in circumstances indicate the carrying value may not be recoverable. If, based on qualitative analysis, it is determined more-likely-than-not that the fair value of the reporting unit is less than its carrying amount, a two-step goodwill impairment test is performed. Application of the goodwill impairment test requires judgment, including the identification of reporting units, the assignment of assets (including goodwill) to those reporting units and the determination of the fair value of each reporting unit. The date of the Company’s annual impairment analysis is October 1. As described in Note 18, the Company has two operating segments, which are also the Company’s reporting units. As of December 31, 2019 and 2018, the Company completed its impairment test of goodwill using a qualitative analysis and determined there were no indicators of impairment for either reporting unit.</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17740" cy="3683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ectPr>
          <w:pgSz w:w="11900" w:h="16838" w:orient="portrait"/>
          <w:cols w:equalWidth="0" w:num="1">
            <w:col w:w="11480"/>
          </w:cols>
          <w:pgMar w:left="220" w:top="419" w:right="199" w:bottom="1440" w:gutter="0" w:footer="0" w:header="0"/>
        </w:sectPr>
      </w:pPr>
    </w:p>
    <w:bookmarkStart w:id="77" w:name="page78"/>
    <w:bookmarkEnd w:id="77"/>
    <w:p>
      <w:pPr>
        <w:spacing w:after="0"/>
        <w:rPr>
          <w:sz w:val="20"/>
          <w:szCs w:val="20"/>
          <w:color w:val="auto"/>
        </w:rPr>
      </w:pPr>
      <w:r>
        <w:rPr>
          <w:rFonts w:ascii="Arial" w:cs="Arial" w:eastAsia="Arial" w:hAnsi="Arial"/>
          <w:sz w:val="12"/>
          <w:szCs w:val="12"/>
          <w:b w:val="1"/>
          <w:bCs w:val="1"/>
          <w:i w:val="1"/>
          <w:iCs w:val="1"/>
          <w:color w:val="auto"/>
        </w:rPr>
        <w:t>Intangible Assets</w:t>
      </w:r>
    </w:p>
    <w:p>
      <w:pPr>
        <w:spacing w:after="0" w:line="78" w:lineRule="exact"/>
        <w:rPr>
          <w:sz w:val="20"/>
          <w:szCs w:val="20"/>
          <w:color w:val="auto"/>
        </w:rPr>
      </w:pPr>
    </w:p>
    <w:p>
      <w:pPr>
        <w:ind w:right="160" w:firstLine="602"/>
        <w:spacing w:after="0" w:line="380" w:lineRule="auto"/>
        <w:rPr>
          <w:sz w:val="20"/>
          <w:szCs w:val="20"/>
          <w:color w:val="auto"/>
        </w:rPr>
      </w:pPr>
      <w:r>
        <w:rPr>
          <w:rFonts w:ascii="Arial" w:cs="Arial" w:eastAsia="Arial" w:hAnsi="Arial"/>
          <w:sz w:val="10"/>
          <w:szCs w:val="10"/>
          <w:color w:val="auto"/>
        </w:rPr>
        <w:t>Intangible assets represent existing customer relationships, trademarks, developed technology and non-compete agreements. Intangible assets are amortized over their respective estimated useful lives on a straight-line basis, which approximates the utilization of their expected future benefits. Amortization of intangible assets is included in Depreciation, amortization and (gain) loss on disposal of assets, net in the consolidated statements of operations.</w:t>
      </w:r>
    </w:p>
    <w:p>
      <w:pPr>
        <w:spacing w:after="0" w:line="68" w:lineRule="exact"/>
        <w:rPr>
          <w:sz w:val="20"/>
          <w:szCs w:val="20"/>
          <w:color w:val="auto"/>
        </w:rPr>
      </w:pPr>
    </w:p>
    <w:p>
      <w:pPr>
        <w:ind w:left="600"/>
        <w:spacing w:after="0"/>
        <w:rPr>
          <w:sz w:val="20"/>
          <w:szCs w:val="20"/>
          <w:color w:val="auto"/>
        </w:rPr>
      </w:pPr>
      <w:r>
        <w:rPr>
          <w:rFonts w:ascii="Arial" w:cs="Arial" w:eastAsia="Arial" w:hAnsi="Arial"/>
          <w:sz w:val="11"/>
          <w:szCs w:val="11"/>
          <w:color w:val="auto"/>
        </w:rPr>
        <w:t>The Company annually evaluates the estimated remaining useful lives of its intangible assets to determine whether events or changes in circumstances warrant a revision to the remaining period of amortization.</w:t>
      </w:r>
    </w:p>
    <w:p>
      <w:pPr>
        <w:spacing w:after="0" w:line="23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Impairment of Long-Lived Assets and Finite-Lived Intangible Assets</w:t>
      </w:r>
    </w:p>
    <w:p>
      <w:pPr>
        <w:spacing w:after="0" w:line="78" w:lineRule="exact"/>
        <w:rPr>
          <w:sz w:val="20"/>
          <w:szCs w:val="20"/>
          <w:color w:val="auto"/>
        </w:rPr>
      </w:pPr>
    </w:p>
    <w:p>
      <w:pPr>
        <w:ind w:right="220" w:firstLine="602"/>
        <w:spacing w:after="0" w:line="263" w:lineRule="auto"/>
        <w:rPr>
          <w:sz w:val="20"/>
          <w:szCs w:val="20"/>
          <w:color w:val="auto"/>
        </w:rPr>
      </w:pPr>
      <w:r>
        <w:rPr>
          <w:rFonts w:ascii="Arial" w:cs="Arial" w:eastAsia="Arial" w:hAnsi="Arial"/>
          <w:sz w:val="12"/>
          <w:szCs w:val="12"/>
          <w:color w:val="auto"/>
        </w:rPr>
        <w:t>The Company reviews its long-lived assets for impairment annually or whenever events or circumstances indicate that the carrying amount of an asset may not be fully recoverable. The Company assesses recoverability by comparing the estimated undiscounted future cash flows expected to be generated by the assets with their carrying value. If the carrying value of the assets exceeds the estimated undiscounted future cash flows, an impairment loss is recognized for the difference between the estimated fair value and the carrying value.</w:t>
      </w:r>
    </w:p>
    <w:p>
      <w:pPr>
        <w:spacing w:after="0" w:line="123" w:lineRule="exact"/>
        <w:rPr>
          <w:sz w:val="20"/>
          <w:szCs w:val="20"/>
          <w:color w:val="auto"/>
        </w:rPr>
      </w:pPr>
    </w:p>
    <w:p>
      <w:pPr>
        <w:ind w:right="180" w:firstLine="602"/>
        <w:spacing w:after="0" w:line="257" w:lineRule="auto"/>
        <w:rPr>
          <w:sz w:val="20"/>
          <w:szCs w:val="20"/>
          <w:color w:val="auto"/>
        </w:rPr>
      </w:pPr>
      <w:r>
        <w:rPr>
          <w:rFonts w:ascii="Arial" w:cs="Arial" w:eastAsia="Arial" w:hAnsi="Arial"/>
          <w:sz w:val="12"/>
          <w:szCs w:val="12"/>
          <w:color w:val="auto"/>
        </w:rPr>
        <w:t>The state of Texas passed legislation as of June 1, 2019 to ban red-light photo enforcement programs across the state, with certain carve-outs for some existing programs. The Company considered this event an indicator for potential impairment and, as such, evaluated the recoverability of property and equipment used in the operations of red-light photo enforcement programs in Texas. As a result, the Company recognized an impairment charge in the Government Solutions segment of $5.9 million for fiscal year 2019, which is included in Impairment of property and equipment in the consolidated statements of operations. For the year ended December 31, 2018, the 2017 Successor Period and the 2017 Predecessor Period, there were no losses of impairment recognized. The Company believes the carrying amounts of its remaining long-lived assets at December 31, 2019 are fully realizable and does not believe any additional impairment losses are necessary.</w:t>
      </w:r>
    </w:p>
    <w:p>
      <w:pPr>
        <w:spacing w:after="0" w:line="19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Self-Insurance</w:t>
      </w:r>
    </w:p>
    <w:p>
      <w:pPr>
        <w:spacing w:after="0" w:line="78" w:lineRule="exact"/>
        <w:rPr>
          <w:sz w:val="20"/>
          <w:szCs w:val="20"/>
          <w:color w:val="auto"/>
        </w:rPr>
      </w:pPr>
    </w:p>
    <w:p>
      <w:pPr>
        <w:ind w:firstLine="602"/>
        <w:spacing w:after="0" w:line="263" w:lineRule="auto"/>
        <w:rPr>
          <w:sz w:val="20"/>
          <w:szCs w:val="20"/>
          <w:color w:val="auto"/>
        </w:rPr>
      </w:pPr>
      <w:r>
        <w:rPr>
          <w:rFonts w:ascii="Arial" w:cs="Arial" w:eastAsia="Arial" w:hAnsi="Arial"/>
          <w:sz w:val="12"/>
          <w:szCs w:val="12"/>
          <w:color w:val="auto"/>
        </w:rPr>
        <w:t>The Company is self-insured for medical costs and has stop-loss insurance policies to limit its exposure to individual and aggregate claims made. Liabilities for these programs are estimated based on outstanding claims and claims estimated to be incurred but not yet reported using historical loss experience. These estimates are subject to variability due to changes in trends of losses for outstanding claims and incurred but not reported claims, including external factors such as the number, and cost of, claims, benefit level changes and claim settlement patterns.</w:t>
      </w:r>
    </w:p>
    <w:p>
      <w:pPr>
        <w:spacing w:after="0" w:line="19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Asset Retirement Obligations</w:t>
      </w:r>
    </w:p>
    <w:p>
      <w:pPr>
        <w:spacing w:after="0" w:line="78" w:lineRule="exact"/>
        <w:rPr>
          <w:sz w:val="20"/>
          <w:szCs w:val="20"/>
          <w:color w:val="auto"/>
        </w:rPr>
      </w:pPr>
    </w:p>
    <w:p>
      <w:pPr>
        <w:ind w:right="340" w:firstLine="602"/>
        <w:spacing w:after="0" w:line="340" w:lineRule="auto"/>
        <w:rPr>
          <w:sz w:val="20"/>
          <w:szCs w:val="20"/>
          <w:color w:val="auto"/>
        </w:rPr>
      </w:pPr>
      <w:r>
        <w:rPr>
          <w:rFonts w:ascii="Arial" w:cs="Arial" w:eastAsia="Arial" w:hAnsi="Arial"/>
          <w:sz w:val="10"/>
          <w:szCs w:val="10"/>
          <w:color w:val="auto"/>
        </w:rPr>
        <w:t>The Company records obligations to perform certain retirement activities on camera and speed enforcement systems in the period that the related assets are placed in service. Asset retirement obligations are contractual obligations to restore property to its initial state. These obligations, which are initially estimated based on discounted cash flow estimates, are accreted to full value over time through charges to operating expenses in the consolidated statements of operations and comprehensive income (loss). The associated asset retirement obligation is capitalized as part of the related asset’s carrying value and is depreciated over the asset’s estimated remaining useful life.</w:t>
      </w:r>
    </w:p>
    <w:p>
      <w:pPr>
        <w:spacing w:after="0" w:line="16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Deferred Financing Costs</w:t>
      </w:r>
    </w:p>
    <w:p>
      <w:pPr>
        <w:spacing w:after="0" w:line="78" w:lineRule="exact"/>
        <w:rPr>
          <w:sz w:val="20"/>
          <w:szCs w:val="20"/>
          <w:color w:val="auto"/>
        </w:rPr>
      </w:pPr>
    </w:p>
    <w:p>
      <w:pPr>
        <w:jc w:val="both"/>
        <w:ind w:right="180" w:firstLine="602"/>
        <w:spacing w:after="0" w:line="263" w:lineRule="auto"/>
        <w:rPr>
          <w:sz w:val="20"/>
          <w:szCs w:val="20"/>
          <w:color w:val="auto"/>
        </w:rPr>
      </w:pPr>
      <w:r>
        <w:rPr>
          <w:rFonts w:ascii="Arial" w:cs="Arial" w:eastAsia="Arial" w:hAnsi="Arial"/>
          <w:sz w:val="12"/>
          <w:szCs w:val="12"/>
          <w:color w:val="auto"/>
        </w:rPr>
        <w:t>Deferred financing costs consist of the costs incurred to obtain long-term financing, including the Company’s credit agreement (See Note 9). These costs, which are a reduction to long-term debt on the consolidated balance sheets, are amortized over the term of the related debt, using the effective interest method for term debt and the straight-line method for revolving credit facilities. Amortization of deferred financing costs for fiscal year 2019, fiscal year 2018, the 2017 Successor Period and the 2017 Predecessor Period was $6.6 million, $9.2 million, $2.0 million, and $0.1 million, respectively.</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17740" cy="3683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ectPr>
          <w:pgSz w:w="11900" w:h="16838" w:orient="portrait"/>
          <w:cols w:equalWidth="0" w:num="1">
            <w:col w:w="11460"/>
          </w:cols>
          <w:pgMar w:left="220" w:top="491" w:right="219" w:bottom="1440" w:gutter="0" w:footer="0" w:header="0"/>
        </w:sectPr>
      </w:pPr>
    </w:p>
    <w:bookmarkStart w:id="78" w:name="page79"/>
    <w:bookmarkEnd w:id="78"/>
    <w:p>
      <w:pPr>
        <w:spacing w:after="0"/>
        <w:rPr>
          <w:sz w:val="20"/>
          <w:szCs w:val="20"/>
          <w:color w:val="auto"/>
        </w:rPr>
      </w:pPr>
      <w:r>
        <w:rPr>
          <w:rFonts w:ascii="Arial" w:cs="Arial" w:eastAsia="Arial" w:hAnsi="Arial"/>
          <w:sz w:val="12"/>
          <w:szCs w:val="12"/>
          <w:b w:val="1"/>
          <w:bCs w:val="1"/>
          <w:i w:val="1"/>
          <w:iCs w:val="1"/>
          <w:color w:val="auto"/>
        </w:rPr>
        <w:t>Income Taxes</w:t>
      </w:r>
    </w:p>
    <w:p>
      <w:pPr>
        <w:spacing w:after="0" w:line="78" w:lineRule="exact"/>
        <w:rPr>
          <w:sz w:val="20"/>
          <w:szCs w:val="20"/>
          <w:color w:val="auto"/>
        </w:rPr>
      </w:pPr>
    </w:p>
    <w:p>
      <w:pPr>
        <w:ind w:firstLine="602"/>
        <w:spacing w:after="0" w:line="281" w:lineRule="auto"/>
        <w:rPr>
          <w:sz w:val="20"/>
          <w:szCs w:val="20"/>
          <w:color w:val="auto"/>
        </w:rPr>
      </w:pPr>
      <w:r>
        <w:rPr>
          <w:rFonts w:ascii="Arial" w:cs="Arial" w:eastAsia="Arial" w:hAnsi="Arial"/>
          <w:sz w:val="11"/>
          <w:szCs w:val="11"/>
          <w:color w:val="auto"/>
        </w:rPr>
        <w:t>The Company accounts for income taxes under the asset and liability method. This approach requires the recognition of deferred tax assets and liabilities for the expected future tax consequences of differences between the tax basis of assets or liabilities and their carrying amounts in the financial statements. Deferred tax assets generally represent items that can be used as a tax deduction or credit in tax return in future years, while deferred tax liabilities generally represent items that generate a future tax liability for items where deductions have been accelerated for tax purposes. The Company provides a valuation allowance for deferred tax assets if it is more likely than not that some portion or all of the tax assets will not be realized. The Company calculates the valuation allowance in accordance with the authoritative guidance relating to income taxes, which requires an assessment of both positive and negative evidence regarding the realizability of these deferred tax assets when measuring the need for a valuation allowance. Significant judgment is required in determining any valuation allowance against deferred tax assets. The realization of deferred tax assets can be affected by, among other things, the nature, frequency, and severity of current and cumulative losses, forecasts of future profitability, the length of statutory carryforward periods, our experience with utilizing operating losses and tax credit carryforwards by jurisdiction and tax planning alternatives and strategies that may be available.</w:t>
      </w:r>
    </w:p>
    <w:p>
      <w:pPr>
        <w:spacing w:after="0" w:line="116" w:lineRule="exact"/>
        <w:rPr>
          <w:sz w:val="20"/>
          <w:szCs w:val="20"/>
          <w:color w:val="auto"/>
        </w:rPr>
      </w:pPr>
    </w:p>
    <w:p>
      <w:pPr>
        <w:ind w:right="60" w:firstLine="602"/>
        <w:spacing w:after="0" w:line="286" w:lineRule="auto"/>
        <w:rPr>
          <w:sz w:val="20"/>
          <w:szCs w:val="20"/>
          <w:color w:val="auto"/>
        </w:rPr>
      </w:pPr>
      <w:r>
        <w:rPr>
          <w:rFonts w:ascii="Arial" w:cs="Arial" w:eastAsia="Arial" w:hAnsi="Arial"/>
          <w:sz w:val="11"/>
          <w:szCs w:val="11"/>
          <w:color w:val="auto"/>
        </w:rPr>
        <w:t>The Company’s effective tax rate is based on income, statutory tax rates, differences in the deductibility of certain expenses and inclusion of certain income items between financial statement and tax return purposes, and tax planning opportunities available to it in the various jurisdictions in which it operates. Under U.S. GAAP, if the Company determines that a tax position is more likely than not of being sustained upon audit, based solely on the technical merits of the position, the Company recognizes the benefit. Tax code and regulations require certain items to be included in the tax return at different times than when those items are required to be recorded in the consolidated financial statements. As a result, the effective tax rate reflected in its consolidated financial statements is different from that reported in its tax returns. Some of these differences are permanent, such as meals and entertainment expenses that are not fully deductible on the Company’s tax returns, and some are temporary differences, such as depreciation expense. Temporary differences create deferred tax assets and liabilities.</w:t>
      </w:r>
    </w:p>
    <w:p>
      <w:pPr>
        <w:spacing w:after="0" w:line="111" w:lineRule="exact"/>
        <w:rPr>
          <w:sz w:val="20"/>
          <w:szCs w:val="20"/>
          <w:color w:val="auto"/>
        </w:rPr>
      </w:pPr>
    </w:p>
    <w:p>
      <w:pPr>
        <w:ind w:right="300" w:firstLine="602"/>
        <w:spacing w:after="0" w:line="276" w:lineRule="auto"/>
        <w:rPr>
          <w:sz w:val="20"/>
          <w:szCs w:val="20"/>
          <w:color w:val="auto"/>
        </w:rPr>
      </w:pPr>
      <w:r>
        <w:rPr>
          <w:rFonts w:ascii="Arial" w:cs="Arial" w:eastAsia="Arial" w:hAnsi="Arial"/>
          <w:sz w:val="12"/>
          <w:szCs w:val="12"/>
          <w:color w:val="auto"/>
        </w:rPr>
        <w:t>The Company recognizes benefits of uncertain tax positions if it is more likely than not that such positions will be sustained upon examination based solely on their technical merits. The Company’s policy is to recognize interest and penalties related to the underpayment of income taxes as a component of income tax expense or benefit.</w:t>
      </w:r>
    </w:p>
    <w:p>
      <w:pPr>
        <w:spacing w:after="0" w:line="18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Stock-based Compensation</w:t>
      </w:r>
    </w:p>
    <w:p>
      <w:pPr>
        <w:spacing w:after="0" w:line="78" w:lineRule="exact"/>
        <w:rPr>
          <w:sz w:val="20"/>
          <w:szCs w:val="20"/>
          <w:color w:val="auto"/>
        </w:rPr>
      </w:pPr>
    </w:p>
    <w:p>
      <w:pPr>
        <w:ind w:left="600"/>
        <w:spacing w:after="0"/>
        <w:rPr>
          <w:sz w:val="20"/>
          <w:szCs w:val="20"/>
          <w:color w:val="auto"/>
        </w:rPr>
      </w:pPr>
      <w:r>
        <w:rPr>
          <w:rFonts w:ascii="Arial" w:cs="Arial" w:eastAsia="Arial" w:hAnsi="Arial"/>
          <w:sz w:val="11"/>
          <w:szCs w:val="11"/>
          <w:color w:val="auto"/>
        </w:rPr>
        <w:t>On July 6, 2017, Greenlight implemented the 2017 participation plan (the “</w:t>
      </w:r>
      <w:r>
        <w:rPr>
          <w:rFonts w:ascii="Arial" w:cs="Arial" w:eastAsia="Arial" w:hAnsi="Arial"/>
          <w:sz w:val="11"/>
          <w:szCs w:val="11"/>
          <w:b w:val="1"/>
          <w:bCs w:val="1"/>
          <w:i w:val="1"/>
          <w:iCs w:val="1"/>
          <w:color w:val="auto"/>
        </w:rPr>
        <w:t>2017 Plan</w:t>
      </w:r>
      <w:r>
        <w:rPr>
          <w:rFonts w:ascii="Arial" w:cs="Arial" w:eastAsia="Arial" w:hAnsi="Arial"/>
          <w:sz w:val="11"/>
          <w:szCs w:val="11"/>
          <w:color w:val="auto"/>
        </w:rPr>
        <w:t>”), under which participants in the plan may have been entitled to receive compensation upon the occurrence of certain qualifying events.</w:t>
      </w:r>
    </w:p>
    <w:p>
      <w:pPr>
        <w:spacing w:after="0" w:line="26" w:lineRule="exact"/>
        <w:rPr>
          <w:sz w:val="20"/>
          <w:szCs w:val="20"/>
          <w:color w:val="auto"/>
        </w:rPr>
      </w:pPr>
    </w:p>
    <w:p>
      <w:pPr>
        <w:spacing w:after="0"/>
        <w:rPr>
          <w:sz w:val="20"/>
          <w:szCs w:val="20"/>
          <w:color w:val="auto"/>
        </w:rPr>
      </w:pPr>
      <w:r>
        <w:rPr>
          <w:rFonts w:ascii="Arial" w:cs="Arial" w:eastAsia="Arial" w:hAnsi="Arial"/>
          <w:sz w:val="12"/>
          <w:szCs w:val="12"/>
          <w:color w:val="auto"/>
        </w:rPr>
        <w:t>The 2017 Plan was terminated concurrent with the closing of the Business Combination.</w:t>
      </w:r>
    </w:p>
    <w:p>
      <w:pPr>
        <w:spacing w:after="0" w:line="141" w:lineRule="exact"/>
        <w:rPr>
          <w:sz w:val="20"/>
          <w:szCs w:val="20"/>
          <w:color w:val="auto"/>
        </w:rPr>
      </w:pPr>
    </w:p>
    <w:p>
      <w:pPr>
        <w:ind w:right="60" w:firstLine="602"/>
        <w:spacing w:after="0" w:line="263" w:lineRule="auto"/>
        <w:rPr>
          <w:sz w:val="20"/>
          <w:szCs w:val="20"/>
          <w:color w:val="auto"/>
        </w:rPr>
      </w:pPr>
      <w:r>
        <w:rPr>
          <w:rFonts w:ascii="Arial" w:cs="Arial" w:eastAsia="Arial" w:hAnsi="Arial"/>
          <w:sz w:val="12"/>
          <w:szCs w:val="12"/>
          <w:color w:val="auto"/>
        </w:rPr>
        <w:t>In October 2018, the Company established the Verra Mobility 2018 Equity Incentive Plan (the “</w:t>
      </w:r>
      <w:r>
        <w:rPr>
          <w:rFonts w:ascii="Arial" w:cs="Arial" w:eastAsia="Arial" w:hAnsi="Arial"/>
          <w:sz w:val="12"/>
          <w:szCs w:val="12"/>
          <w:b w:val="1"/>
          <w:bCs w:val="1"/>
          <w:i w:val="1"/>
          <w:iCs w:val="1"/>
          <w:color w:val="auto"/>
        </w:rPr>
        <w:t>2018 Plan</w:t>
      </w:r>
      <w:r>
        <w:rPr>
          <w:rFonts w:ascii="Arial" w:cs="Arial" w:eastAsia="Arial" w:hAnsi="Arial"/>
          <w:sz w:val="12"/>
          <w:szCs w:val="12"/>
          <w:color w:val="auto"/>
        </w:rPr>
        <w:t>”) which provides for a variety of stock-based awards to employees, consultants and directors. Stock-based compensation expense for all share-based payment awards granted is determined based on the grant-date fair value. The Company recognizes these compensation costs on a straight-line basis over the requisite service period of the award, which is generally the vesting term of the share-based payment award. Forfeitures are accounted for as they occur.</w:t>
      </w:r>
    </w:p>
    <w:p>
      <w:pPr>
        <w:spacing w:after="0" w:line="19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Revenue Recognition</w:t>
      </w:r>
    </w:p>
    <w:p>
      <w:pPr>
        <w:spacing w:after="0" w:line="78" w:lineRule="exact"/>
        <w:rPr>
          <w:sz w:val="20"/>
          <w:szCs w:val="20"/>
          <w:color w:val="auto"/>
        </w:rPr>
      </w:pPr>
    </w:p>
    <w:p>
      <w:pPr>
        <w:ind w:left="600"/>
        <w:spacing w:after="0"/>
        <w:rPr>
          <w:sz w:val="20"/>
          <w:szCs w:val="20"/>
          <w:color w:val="auto"/>
        </w:rPr>
      </w:pPr>
      <w:r>
        <w:rPr>
          <w:rFonts w:ascii="Arial" w:cs="Arial" w:eastAsia="Arial" w:hAnsi="Arial"/>
          <w:sz w:val="11"/>
          <w:szCs w:val="11"/>
          <w:color w:val="auto"/>
        </w:rPr>
        <w:t>On January 1, 2019, the Company adopted ASU 2014-09</w:t>
      </w:r>
      <w:r>
        <w:rPr>
          <w:rFonts w:ascii="Arial" w:cs="Arial" w:eastAsia="Arial" w:hAnsi="Arial"/>
          <w:sz w:val="11"/>
          <w:szCs w:val="11"/>
          <w:i w:val="1"/>
          <w:iCs w:val="1"/>
          <w:color w:val="auto"/>
        </w:rPr>
        <w:t>, Revenue from Contracts with Customers</w:t>
      </w:r>
      <w:r>
        <w:rPr>
          <w:rFonts w:ascii="Arial" w:cs="Arial" w:eastAsia="Arial" w:hAnsi="Arial"/>
          <w:sz w:val="11"/>
          <w:szCs w:val="11"/>
          <w:color w:val="auto"/>
        </w:rPr>
        <w:t xml:space="preserve">, Topic 606. Refer to the </w:t>
      </w:r>
      <w:r>
        <w:rPr>
          <w:rFonts w:ascii="Arial" w:cs="Arial" w:eastAsia="Arial" w:hAnsi="Arial"/>
          <w:sz w:val="11"/>
          <w:szCs w:val="11"/>
          <w:i w:val="1"/>
          <w:iCs w:val="1"/>
          <w:color w:val="auto"/>
        </w:rPr>
        <w:t>Recent Accounting Pronouncements</w:t>
      </w:r>
      <w:r>
        <w:rPr>
          <w:rFonts w:ascii="Arial" w:cs="Arial" w:eastAsia="Arial" w:hAnsi="Arial"/>
          <w:sz w:val="11"/>
          <w:szCs w:val="11"/>
          <w:color w:val="auto"/>
        </w:rPr>
        <w:t xml:space="preserve"> section below for information related to the adoption of this</w:t>
      </w:r>
    </w:p>
    <w:p>
      <w:pPr>
        <w:spacing w:after="0" w:line="26" w:lineRule="exact"/>
        <w:rPr>
          <w:sz w:val="20"/>
          <w:szCs w:val="20"/>
          <w:color w:val="auto"/>
        </w:rPr>
      </w:pPr>
    </w:p>
    <w:p>
      <w:pPr>
        <w:spacing w:after="0"/>
        <w:rPr>
          <w:sz w:val="20"/>
          <w:szCs w:val="20"/>
          <w:color w:val="auto"/>
        </w:rPr>
      </w:pPr>
      <w:r>
        <w:rPr>
          <w:rFonts w:ascii="Arial" w:cs="Arial" w:eastAsia="Arial" w:hAnsi="Arial"/>
          <w:sz w:val="12"/>
          <w:szCs w:val="12"/>
          <w:color w:val="auto"/>
        </w:rPr>
        <w:t>standard.</w:t>
      </w:r>
    </w:p>
    <w:p>
      <w:pPr>
        <w:spacing w:after="0" w:line="21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Credit Card Rebates</w:t>
      </w:r>
    </w:p>
    <w:p>
      <w:pPr>
        <w:spacing w:after="0" w:line="78" w:lineRule="exact"/>
        <w:rPr>
          <w:sz w:val="20"/>
          <w:szCs w:val="20"/>
          <w:color w:val="auto"/>
        </w:rPr>
      </w:pPr>
    </w:p>
    <w:p>
      <w:pPr>
        <w:ind w:right="200" w:firstLine="602"/>
        <w:spacing w:after="0" w:line="276" w:lineRule="auto"/>
        <w:rPr>
          <w:sz w:val="20"/>
          <w:szCs w:val="20"/>
          <w:color w:val="auto"/>
        </w:rPr>
      </w:pPr>
      <w:r>
        <w:rPr>
          <w:rFonts w:ascii="Arial" w:cs="Arial" w:eastAsia="Arial" w:hAnsi="Arial"/>
          <w:sz w:val="12"/>
          <w:szCs w:val="12"/>
          <w:color w:val="auto"/>
        </w:rPr>
        <w:t>The Company earns credit card rebates as purchases occur and recognizes the benefit in Other income, net in the consolidated statements of operations. For the year ended December 31, 2019, December 31, 2018, the 2017 Successor Period and the 2017 Predecessor Period, the Company recorded $11.8 million, $8.9 million, $2.1 million and $1.3 million respectively, related to rebates.</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17740" cy="3683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ectPr>
          <w:pgSz w:w="11900" w:h="16838" w:orient="portrait"/>
          <w:cols w:equalWidth="0" w:num="1">
            <w:col w:w="11440"/>
          </w:cols>
          <w:pgMar w:left="220" w:top="491" w:right="239" w:bottom="1440" w:gutter="0" w:footer="0" w:header="0"/>
        </w:sectPr>
      </w:pPr>
    </w:p>
    <w:bookmarkStart w:id="79" w:name="page80"/>
    <w:bookmarkEnd w:id="79"/>
    <w:p>
      <w:pPr>
        <w:spacing w:after="0"/>
        <w:rPr>
          <w:sz w:val="20"/>
          <w:szCs w:val="20"/>
          <w:color w:val="auto"/>
        </w:rPr>
      </w:pPr>
      <w:r>
        <w:rPr>
          <w:rFonts w:ascii="Arial" w:cs="Arial" w:eastAsia="Arial" w:hAnsi="Arial"/>
          <w:sz w:val="12"/>
          <w:szCs w:val="12"/>
          <w:b w:val="1"/>
          <w:bCs w:val="1"/>
          <w:i w:val="1"/>
          <w:iCs w:val="1"/>
          <w:color w:val="auto"/>
        </w:rPr>
        <w:t>Advertising Costs</w:t>
      </w:r>
    </w:p>
    <w:p>
      <w:pPr>
        <w:spacing w:after="0" w:line="78" w:lineRule="exact"/>
        <w:rPr>
          <w:sz w:val="20"/>
          <w:szCs w:val="20"/>
          <w:color w:val="auto"/>
        </w:rPr>
      </w:pPr>
    </w:p>
    <w:p>
      <w:pPr>
        <w:ind w:right="60" w:firstLine="602"/>
        <w:spacing w:after="0" w:line="276" w:lineRule="auto"/>
        <w:rPr>
          <w:sz w:val="20"/>
          <w:szCs w:val="20"/>
          <w:color w:val="auto"/>
        </w:rPr>
      </w:pPr>
      <w:r>
        <w:rPr>
          <w:rFonts w:ascii="Arial" w:cs="Arial" w:eastAsia="Arial" w:hAnsi="Arial"/>
          <w:sz w:val="12"/>
          <w:szCs w:val="12"/>
          <w:color w:val="auto"/>
        </w:rPr>
        <w:t>The Company expenses advertising costs as incurred. Advertising costs for the year ended December 31, 2019, December 31, 2018, the 2017 Successor Period and the 2017 Predecessor Period were $2.3 million, $1.4 million, $0.4 million and $0.4 million, respectively and were included in Selling, general, and administrative expenses in the consolidated statements of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Foreign Currency</w:t>
      </w:r>
    </w:p>
    <w:p>
      <w:pPr>
        <w:spacing w:after="0" w:line="78" w:lineRule="exact"/>
        <w:rPr>
          <w:sz w:val="20"/>
          <w:szCs w:val="20"/>
          <w:color w:val="auto"/>
        </w:rPr>
      </w:pPr>
    </w:p>
    <w:p>
      <w:pPr>
        <w:ind w:firstLine="602"/>
        <w:spacing w:after="0" w:line="276" w:lineRule="auto"/>
        <w:rPr>
          <w:sz w:val="20"/>
          <w:szCs w:val="20"/>
          <w:color w:val="auto"/>
        </w:rPr>
      </w:pPr>
      <w:r>
        <w:rPr>
          <w:rFonts w:ascii="Arial" w:cs="Arial" w:eastAsia="Arial" w:hAnsi="Arial"/>
          <w:sz w:val="12"/>
          <w:szCs w:val="12"/>
          <w:color w:val="auto"/>
        </w:rPr>
        <w:t>The assets and liabilities of our foreign subsidiaries whose functional currency is not the U.S. dollar are translated into U.S. dollars at current exchange rates while revenue and expenses are translated from functional currencies at average monthly exchange rates. The resulting translation adjustments are recorded in Accumulated other comprehensive loss in stockholders’ equity.</w:t>
      </w:r>
    </w:p>
    <w:p>
      <w:pPr>
        <w:spacing w:after="0" w:line="115" w:lineRule="exact"/>
        <w:rPr>
          <w:sz w:val="20"/>
          <w:szCs w:val="20"/>
          <w:color w:val="auto"/>
        </w:rPr>
      </w:pPr>
    </w:p>
    <w:p>
      <w:pPr>
        <w:ind w:right="40" w:firstLine="602"/>
        <w:spacing w:after="0" w:line="263" w:lineRule="auto"/>
        <w:rPr>
          <w:sz w:val="20"/>
          <w:szCs w:val="20"/>
          <w:color w:val="auto"/>
        </w:rPr>
      </w:pPr>
      <w:r>
        <w:rPr>
          <w:rFonts w:ascii="Arial" w:cs="Arial" w:eastAsia="Arial" w:hAnsi="Arial"/>
          <w:sz w:val="12"/>
          <w:szCs w:val="12"/>
          <w:color w:val="auto"/>
        </w:rPr>
        <w:t>Certain assets and liabilities denominated in foreign currencies that differ from their functional currencies are re-measured at the exchange rate on the balance sheet date. The foreign currency effect of the re-measurement of these assets and liabilities is included in Other income, net in the consolidated statements of operations. The impact of foreign currency re-measurements was $0.6 million and $0.1 million for the years ended December 31, 2019 and 2018, respectively, and less than $0.1 million for the 2017 Successor Period and the 2017 Predecessor Period.</w:t>
      </w:r>
    </w:p>
    <w:p>
      <w:pPr>
        <w:spacing w:after="0" w:line="19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Business Combinations</w:t>
      </w:r>
    </w:p>
    <w:p>
      <w:pPr>
        <w:spacing w:after="0" w:line="78" w:lineRule="exact"/>
        <w:rPr>
          <w:sz w:val="20"/>
          <w:szCs w:val="20"/>
          <w:color w:val="auto"/>
        </w:rPr>
      </w:pPr>
    </w:p>
    <w:p>
      <w:pPr>
        <w:ind w:right="420" w:firstLine="602"/>
        <w:spacing w:after="0" w:line="276" w:lineRule="auto"/>
        <w:rPr>
          <w:sz w:val="20"/>
          <w:szCs w:val="20"/>
          <w:color w:val="auto"/>
        </w:rPr>
      </w:pPr>
      <w:r>
        <w:rPr>
          <w:rFonts w:ascii="Arial" w:cs="Arial" w:eastAsia="Arial" w:hAnsi="Arial"/>
          <w:sz w:val="12"/>
          <w:szCs w:val="12"/>
          <w:color w:val="auto"/>
        </w:rPr>
        <w:t>The Company applies the asset acquisition method to account for business acquisitions. The Company allocates the fair value of the purchase price consideration to assets acquired and liabilities assumed based on their estimated fair values. The excess of the fair value of the purchase consideration over the fair value of the identifiable assets and liabilities is recorded as goodwill.</w:t>
      </w:r>
    </w:p>
    <w:p>
      <w:pPr>
        <w:spacing w:after="0" w:line="115" w:lineRule="exact"/>
        <w:rPr>
          <w:sz w:val="20"/>
          <w:szCs w:val="20"/>
          <w:color w:val="auto"/>
        </w:rPr>
      </w:pPr>
    </w:p>
    <w:p>
      <w:pPr>
        <w:ind w:right="20" w:firstLine="602"/>
        <w:spacing w:after="0" w:line="263" w:lineRule="auto"/>
        <w:rPr>
          <w:sz w:val="20"/>
          <w:szCs w:val="20"/>
          <w:color w:val="auto"/>
        </w:rPr>
      </w:pPr>
      <w:r>
        <w:rPr>
          <w:rFonts w:ascii="Arial" w:cs="Arial" w:eastAsia="Arial" w:hAnsi="Arial"/>
          <w:sz w:val="12"/>
          <w:szCs w:val="12"/>
          <w:color w:val="auto"/>
        </w:rPr>
        <w:t>The determination and allocation of fair values to the identifiable assets acquired and liabilities assumed is based on various assumptions and valuation methodologies requiring considerable management judgment, and include the use of independent valuation specialists to assist the Company in estimating fair values of acquired tangible and/or intangible assets. Although the Company believes that the assumptions applied in the determination are reasonable based on information available at the date of acquisition, actual results may differ from estimates.</w:t>
      </w:r>
    </w:p>
    <w:p>
      <w:pPr>
        <w:spacing w:after="0" w:line="19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Segment Information</w:t>
      </w:r>
    </w:p>
    <w:p>
      <w:pPr>
        <w:spacing w:after="0" w:line="78" w:lineRule="exact"/>
        <w:rPr>
          <w:sz w:val="20"/>
          <w:szCs w:val="20"/>
          <w:color w:val="auto"/>
        </w:rPr>
      </w:pPr>
    </w:p>
    <w:p>
      <w:pPr>
        <w:ind w:right="40" w:firstLine="602"/>
        <w:spacing w:after="0" w:line="263" w:lineRule="auto"/>
        <w:rPr>
          <w:sz w:val="20"/>
          <w:szCs w:val="20"/>
          <w:color w:val="auto"/>
        </w:rPr>
      </w:pPr>
      <w:r>
        <w:rPr>
          <w:rFonts w:ascii="Arial" w:cs="Arial" w:eastAsia="Arial" w:hAnsi="Arial"/>
          <w:sz w:val="12"/>
          <w:szCs w:val="12"/>
          <w:color w:val="auto"/>
        </w:rPr>
        <w:t>The Company determined it has two operating and reportable segments (Commercial Services and Government Solutions) for which discrete financial information is available and is regularly reviewed by the Company’s chief operating decision maker function (“</w:t>
      </w:r>
      <w:r>
        <w:rPr>
          <w:rFonts w:ascii="Arial" w:cs="Arial" w:eastAsia="Arial" w:hAnsi="Arial"/>
          <w:sz w:val="12"/>
          <w:szCs w:val="12"/>
          <w:b w:val="1"/>
          <w:bCs w:val="1"/>
          <w:i w:val="1"/>
          <w:iCs w:val="1"/>
          <w:color w:val="auto"/>
        </w:rPr>
        <w:t>CODM</w:t>
      </w:r>
      <w:r>
        <w:rPr>
          <w:rFonts w:ascii="Arial" w:cs="Arial" w:eastAsia="Arial" w:hAnsi="Arial"/>
          <w:sz w:val="12"/>
          <w:szCs w:val="12"/>
          <w:color w:val="auto"/>
        </w:rPr>
        <w:t>”) to assess performance and make decisions about the allocation of resources. As of December 31, 2019, the CODM consists of the Company’s Chief Executive Officer and certain defined representatives of the Company’s executive management team (See Note 18 for additional information on segment reporting).</w:t>
      </w:r>
    </w:p>
    <w:p>
      <w:pPr>
        <w:spacing w:after="0" w:line="19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Recent Accounting Pronouncements</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i w:val="1"/>
          <w:iCs w:val="1"/>
          <w:u w:val="single" w:color="auto"/>
          <w:color w:val="auto"/>
        </w:rPr>
        <w:t>Accounting Standards Adopted</w:t>
      </w:r>
    </w:p>
    <w:p>
      <w:pPr>
        <w:spacing w:after="0" w:line="78" w:lineRule="exact"/>
        <w:rPr>
          <w:sz w:val="20"/>
          <w:szCs w:val="20"/>
          <w:color w:val="auto"/>
        </w:rPr>
      </w:pPr>
    </w:p>
    <w:p>
      <w:pPr>
        <w:ind w:right="40" w:firstLine="602"/>
        <w:spacing w:after="0" w:line="255" w:lineRule="auto"/>
        <w:rPr>
          <w:sz w:val="20"/>
          <w:szCs w:val="20"/>
          <w:color w:val="auto"/>
        </w:rPr>
      </w:pPr>
      <w:r>
        <w:rPr>
          <w:rFonts w:ascii="Arial" w:cs="Arial" w:eastAsia="Arial" w:hAnsi="Arial"/>
          <w:sz w:val="12"/>
          <w:szCs w:val="12"/>
          <w:color w:val="auto"/>
        </w:rPr>
        <w:t>In January 2016, the Financial Accounting Standards Board (“</w:t>
      </w:r>
      <w:r>
        <w:rPr>
          <w:rFonts w:ascii="Arial" w:cs="Arial" w:eastAsia="Arial" w:hAnsi="Arial"/>
          <w:sz w:val="12"/>
          <w:szCs w:val="12"/>
          <w:b w:val="1"/>
          <w:bCs w:val="1"/>
          <w:i w:val="1"/>
          <w:iCs w:val="1"/>
          <w:color w:val="auto"/>
        </w:rPr>
        <w:t>FASB</w:t>
      </w:r>
      <w:r>
        <w:rPr>
          <w:rFonts w:ascii="Arial" w:cs="Arial" w:eastAsia="Arial" w:hAnsi="Arial"/>
          <w:sz w:val="12"/>
          <w:szCs w:val="12"/>
          <w:color w:val="auto"/>
        </w:rPr>
        <w:t>”) issued Accounting Standards Update (“</w:t>
      </w:r>
      <w:r>
        <w:rPr>
          <w:rFonts w:ascii="Arial" w:cs="Arial" w:eastAsia="Arial" w:hAnsi="Arial"/>
          <w:sz w:val="12"/>
          <w:szCs w:val="12"/>
          <w:b w:val="1"/>
          <w:bCs w:val="1"/>
          <w:i w:val="1"/>
          <w:iCs w:val="1"/>
          <w:color w:val="auto"/>
        </w:rPr>
        <w:t>ASU</w:t>
      </w:r>
      <w:r>
        <w:rPr>
          <w:rFonts w:ascii="Arial" w:cs="Arial" w:eastAsia="Arial" w:hAnsi="Arial"/>
          <w:sz w:val="12"/>
          <w:szCs w:val="12"/>
          <w:color w:val="auto"/>
        </w:rPr>
        <w:t xml:space="preserve">”) 2016-01, </w:t>
      </w:r>
      <w:r>
        <w:rPr>
          <w:rFonts w:ascii="Arial" w:cs="Arial" w:eastAsia="Arial" w:hAnsi="Arial"/>
          <w:sz w:val="12"/>
          <w:szCs w:val="12"/>
          <w:i w:val="1"/>
          <w:iCs w:val="1"/>
          <w:color w:val="auto"/>
        </w:rPr>
        <w:t>Financial Instruments—Overall (Subtopic 825-10): Recognition and Measurement of Financial</w:t>
      </w:r>
      <w:r>
        <w:rPr>
          <w:rFonts w:ascii="Arial" w:cs="Arial" w:eastAsia="Arial" w:hAnsi="Arial"/>
          <w:sz w:val="12"/>
          <w:szCs w:val="12"/>
          <w:color w:val="auto"/>
        </w:rPr>
        <w:t xml:space="preserve"> </w:t>
      </w:r>
      <w:r>
        <w:rPr>
          <w:rFonts w:ascii="Arial" w:cs="Arial" w:eastAsia="Arial" w:hAnsi="Arial"/>
          <w:sz w:val="12"/>
          <w:szCs w:val="12"/>
          <w:i w:val="1"/>
          <w:iCs w:val="1"/>
          <w:color w:val="auto"/>
        </w:rPr>
        <w:t xml:space="preserve">Assets and Financial Liabilities, </w:t>
      </w:r>
      <w:r>
        <w:rPr>
          <w:rFonts w:ascii="Arial" w:cs="Arial" w:eastAsia="Arial" w:hAnsi="Arial"/>
          <w:sz w:val="12"/>
          <w:szCs w:val="12"/>
          <w:color w:val="auto"/>
        </w:rPr>
        <w:t>and issued an amendment within ASU 2019-04</w:t>
      </w:r>
      <w:r>
        <w:rPr>
          <w:rFonts w:ascii="Arial" w:cs="Arial" w:eastAsia="Arial" w:hAnsi="Arial"/>
          <w:sz w:val="12"/>
          <w:szCs w:val="12"/>
          <w:i w:val="1"/>
          <w:iCs w:val="1"/>
          <w:color w:val="auto"/>
        </w:rPr>
        <w:t xml:space="preserve">, </w:t>
      </w:r>
      <w:r>
        <w:rPr>
          <w:rFonts w:ascii="Arial" w:cs="Arial" w:eastAsia="Arial" w:hAnsi="Arial"/>
          <w:sz w:val="12"/>
          <w:szCs w:val="12"/>
          <w:color w:val="auto"/>
        </w:rPr>
        <w:t>collectively Topic 825. The main objective of the updates is to enhance the reporting model for financial instruments to provide users of financial statements</w:t>
      </w:r>
      <w:r>
        <w:rPr>
          <w:rFonts w:ascii="Arial" w:cs="Arial" w:eastAsia="Arial" w:hAnsi="Arial"/>
          <w:sz w:val="12"/>
          <w:szCs w:val="12"/>
          <w:i w:val="1"/>
          <w:iCs w:val="1"/>
          <w:color w:val="auto"/>
        </w:rPr>
        <w:t xml:space="preserve"> </w:t>
      </w:r>
      <w:r>
        <w:rPr>
          <w:rFonts w:ascii="Arial" w:cs="Arial" w:eastAsia="Arial" w:hAnsi="Arial"/>
          <w:sz w:val="12"/>
          <w:szCs w:val="12"/>
          <w:color w:val="auto"/>
        </w:rPr>
        <w:t>with more decision-useful information. The new guidance addresses certain aspects of recognition, measurement, presentation, and disclosure of financial instruments. Most notably, ASU 2016-01 requires the change in fair value of available for sale securities to be recognized in net income. The pronouncement also requires the use of the exit price notion, the separate presentation of financial assets and liabilities by measurement category and form of asset, and the separate presentation in other comprehensive income of changes in fair value resulting from a change in the instrument-specific credit risk. The Company adopted the new standard as of July 1, 2019 which did not have a material effect on the Company’s financial position, results of operations or cash flows and disclosures.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17740" cy="3683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ectPr>
          <w:pgSz w:w="11900" w:h="16838" w:orient="portrait"/>
          <w:cols w:equalWidth="0" w:num="1">
            <w:col w:w="11460"/>
          </w:cols>
          <w:pgMar w:left="220" w:top="491" w:right="219" w:bottom="1440" w:gutter="0" w:footer="0" w:header="0"/>
        </w:sectPr>
      </w:pPr>
    </w:p>
    <w:bookmarkStart w:id="80" w:name="page81"/>
    <w:bookmarkEnd w:id="80"/>
    <w:p>
      <w:pPr>
        <w:spacing w:after="0"/>
        <w:rPr>
          <w:sz w:val="20"/>
          <w:szCs w:val="20"/>
          <w:color w:val="auto"/>
        </w:rPr>
      </w:pPr>
      <w:r>
        <w:rPr>
          <w:rFonts w:ascii="Arial" w:cs="Arial" w:eastAsia="Arial" w:hAnsi="Arial"/>
          <w:sz w:val="12"/>
          <w:szCs w:val="12"/>
          <w:i w:val="1"/>
          <w:iCs w:val="1"/>
          <w:color w:val="auto"/>
        </w:rPr>
        <w:t>Adoption of the Revenue Recognition Standard</w:t>
      </w:r>
    </w:p>
    <w:p>
      <w:pPr>
        <w:spacing w:after="0" w:line="78" w:lineRule="exact"/>
        <w:rPr>
          <w:sz w:val="20"/>
          <w:szCs w:val="20"/>
          <w:color w:val="auto"/>
        </w:rPr>
      </w:pPr>
    </w:p>
    <w:p>
      <w:pPr>
        <w:ind w:right="60" w:firstLine="602"/>
        <w:spacing w:after="0" w:line="276" w:lineRule="auto"/>
        <w:rPr>
          <w:sz w:val="20"/>
          <w:szCs w:val="20"/>
          <w:color w:val="auto"/>
        </w:rPr>
      </w:pPr>
      <w:r>
        <w:rPr>
          <w:rFonts w:ascii="Arial" w:cs="Arial" w:eastAsia="Arial" w:hAnsi="Arial"/>
          <w:sz w:val="12"/>
          <w:szCs w:val="12"/>
          <w:color w:val="auto"/>
        </w:rPr>
        <w:t>On January 1, 2019, the Company adopted ASU 2014-09</w:t>
      </w:r>
      <w:r>
        <w:rPr>
          <w:rFonts w:ascii="Arial" w:cs="Arial" w:eastAsia="Arial" w:hAnsi="Arial"/>
          <w:sz w:val="12"/>
          <w:szCs w:val="12"/>
          <w:i w:val="1"/>
          <w:iCs w:val="1"/>
          <w:color w:val="auto"/>
        </w:rPr>
        <w:t>, Revenue from Contracts with Customers</w:t>
      </w:r>
      <w:r>
        <w:rPr>
          <w:rFonts w:ascii="Arial" w:cs="Arial" w:eastAsia="Arial" w:hAnsi="Arial"/>
          <w:sz w:val="12"/>
          <w:szCs w:val="12"/>
          <w:color w:val="auto"/>
        </w:rPr>
        <w:t>, Topic 606 (“</w:t>
      </w:r>
      <w:r>
        <w:rPr>
          <w:rFonts w:ascii="Arial" w:cs="Arial" w:eastAsia="Arial" w:hAnsi="Arial"/>
          <w:sz w:val="12"/>
          <w:szCs w:val="12"/>
          <w:b w:val="1"/>
          <w:bCs w:val="1"/>
          <w:i w:val="1"/>
          <w:iCs w:val="1"/>
          <w:color w:val="auto"/>
        </w:rPr>
        <w:t>ASC 606</w:t>
      </w:r>
      <w:r>
        <w:rPr>
          <w:rFonts w:ascii="Arial" w:cs="Arial" w:eastAsia="Arial" w:hAnsi="Arial"/>
          <w:sz w:val="12"/>
          <w:szCs w:val="12"/>
          <w:color w:val="auto"/>
        </w:rPr>
        <w:t xml:space="preserve">”) using the modified retrospective method applied to those contracts that were not completed as of the adoption date. Results for 2019 are presented under ASC 606, while prior periods were not adjusted and are reported under ASC Topic 605, </w:t>
      </w:r>
      <w:r>
        <w:rPr>
          <w:rFonts w:ascii="Arial" w:cs="Arial" w:eastAsia="Arial" w:hAnsi="Arial"/>
          <w:sz w:val="12"/>
          <w:szCs w:val="12"/>
          <w:i w:val="1"/>
          <w:iCs w:val="1"/>
          <w:color w:val="auto"/>
        </w:rPr>
        <w:t>Revenue Recognition</w:t>
      </w:r>
      <w:r>
        <w:rPr>
          <w:rFonts w:ascii="Arial" w:cs="Arial" w:eastAsia="Arial" w:hAnsi="Arial"/>
          <w:sz w:val="12"/>
          <w:szCs w:val="12"/>
          <w:color w:val="auto"/>
        </w:rPr>
        <w:t xml:space="preserve"> (“</w:t>
      </w:r>
      <w:r>
        <w:rPr>
          <w:rFonts w:ascii="Arial" w:cs="Arial" w:eastAsia="Arial" w:hAnsi="Arial"/>
          <w:sz w:val="12"/>
          <w:szCs w:val="12"/>
          <w:b w:val="1"/>
          <w:bCs w:val="1"/>
          <w:i w:val="1"/>
          <w:iCs w:val="1"/>
          <w:color w:val="auto"/>
        </w:rPr>
        <w:t>ASC 605</w:t>
      </w:r>
      <w:r>
        <w:rPr>
          <w:rFonts w:ascii="Arial" w:cs="Arial" w:eastAsia="Arial" w:hAnsi="Arial"/>
          <w:sz w:val="12"/>
          <w:szCs w:val="12"/>
          <w:color w:val="auto"/>
        </w:rPr>
        <w:t>”).</w:t>
      </w:r>
    </w:p>
    <w:p>
      <w:pPr>
        <w:spacing w:after="0" w:line="133" w:lineRule="exact"/>
        <w:rPr>
          <w:sz w:val="20"/>
          <w:szCs w:val="20"/>
          <w:color w:val="auto"/>
        </w:rPr>
      </w:pPr>
    </w:p>
    <w:p>
      <w:pPr>
        <w:ind w:right="20" w:firstLine="602"/>
        <w:spacing w:after="0" w:line="259" w:lineRule="auto"/>
        <w:rPr>
          <w:sz w:val="20"/>
          <w:szCs w:val="20"/>
          <w:color w:val="auto"/>
        </w:rPr>
      </w:pPr>
      <w:r>
        <w:rPr>
          <w:rFonts w:ascii="Arial" w:cs="Arial" w:eastAsia="Arial" w:hAnsi="Arial"/>
          <w:sz w:val="12"/>
          <w:szCs w:val="12"/>
          <w:color w:val="auto"/>
        </w:rPr>
        <w:t>Under ASC 606, the Company recognizes revenue when it satisfies its performance obligations to customers, including, for some of its contracts, the processing of the violation on the customer’s behalf. The primary difference under ASC 606 compared to ASC 605 within the Government Solutions segment is the deferral of revenue related to certain variable price contracts until citation payment. The Company recorded a $0.3 million reduction to opening retained earnings as of January 1, 2019 for the cumulative impact of adoption related to the recognition of revenue in its Government Solutions segment. There was no cumulative impact of adoption related to the Commercial Services segment.</w:t>
      </w:r>
    </w:p>
    <w:p>
      <w:pPr>
        <w:spacing w:after="0" w:line="125" w:lineRule="exact"/>
        <w:rPr>
          <w:sz w:val="20"/>
          <w:szCs w:val="20"/>
          <w:color w:val="auto"/>
        </w:rPr>
      </w:pPr>
    </w:p>
    <w:p>
      <w:pPr>
        <w:ind w:left="600"/>
        <w:spacing w:after="0"/>
        <w:rPr>
          <w:sz w:val="20"/>
          <w:szCs w:val="20"/>
          <w:color w:val="auto"/>
        </w:rPr>
      </w:pPr>
      <w:r>
        <w:rPr>
          <w:rFonts w:ascii="Arial" w:cs="Arial" w:eastAsia="Arial" w:hAnsi="Arial"/>
          <w:sz w:val="12"/>
          <w:szCs w:val="12"/>
          <w:color w:val="auto"/>
        </w:rPr>
        <w:t>There was no material impact upon adoption related to the costs of obtaining or fulfilling a contract.</w:t>
      </w:r>
    </w:p>
    <w:p>
      <w:pPr>
        <w:spacing w:after="0" w:line="222"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Nature of Goods and Services</w:t>
      </w:r>
    </w:p>
    <w:p>
      <w:pPr>
        <w:spacing w:after="0" w:line="78" w:lineRule="exact"/>
        <w:rPr>
          <w:sz w:val="20"/>
          <w:szCs w:val="20"/>
          <w:color w:val="auto"/>
        </w:rPr>
      </w:pPr>
    </w:p>
    <w:p>
      <w:pPr>
        <w:ind w:left="600"/>
        <w:spacing w:after="0"/>
        <w:rPr>
          <w:sz w:val="20"/>
          <w:szCs w:val="20"/>
          <w:color w:val="auto"/>
        </w:rPr>
      </w:pPr>
      <w:r>
        <w:rPr>
          <w:rFonts w:ascii="Arial" w:cs="Arial" w:eastAsia="Arial" w:hAnsi="Arial"/>
          <w:sz w:val="12"/>
          <w:szCs w:val="12"/>
          <w:color w:val="auto"/>
        </w:rPr>
        <w:t>The following is a description of principal activities – separated by reportable segments – from which the Company generates revenue:</w:t>
      </w:r>
    </w:p>
    <w:p>
      <w:pPr>
        <w:spacing w:after="0" w:line="78" w:lineRule="exact"/>
        <w:rPr>
          <w:sz w:val="20"/>
          <w:szCs w:val="20"/>
          <w:color w:val="auto"/>
        </w:rPr>
      </w:pPr>
    </w:p>
    <w:p>
      <w:pPr>
        <w:ind w:left="1180" w:hanging="593"/>
        <w:spacing w:after="0" w:line="259" w:lineRule="auto"/>
        <w:tabs>
          <w:tab w:leader="none" w:pos="1180" w:val="left"/>
        </w:tabs>
        <w:numPr>
          <w:ilvl w:val="0"/>
          <w:numId w:val="26"/>
        </w:numPr>
        <w:rPr>
          <w:rFonts w:ascii="Arial" w:cs="Arial" w:eastAsia="Arial" w:hAnsi="Arial"/>
          <w:sz w:val="12"/>
          <w:szCs w:val="12"/>
          <w:color w:val="auto"/>
        </w:rPr>
      </w:pPr>
      <w:r>
        <w:rPr>
          <w:rFonts w:ascii="Arial" w:cs="Arial" w:eastAsia="Arial" w:hAnsi="Arial"/>
          <w:sz w:val="12"/>
          <w:szCs w:val="12"/>
          <w:color w:val="auto"/>
        </w:rPr>
        <w:t>Commercial Services segment: The Commercial Services segment offers toll and violation management solutions for the commercial fleet and rental car industries by partnering with the leading fleet management and rental car companies in North America. The Company determined its performance obligation is a distinct stand-ready obligation, as there is an unspecified quantity of services provided that does not diminish, and the customer is being charged only when it uses the Company’s services, such as toll payment, title and registration, etc. Payment terms for contracts with commercial fleet and rental car companies vary, but are usually billed as services are performed.</w:t>
      </w:r>
    </w:p>
    <w:p>
      <w:pPr>
        <w:spacing w:after="0" w:line="52" w:lineRule="exact"/>
        <w:rPr>
          <w:rFonts w:ascii="Arial" w:cs="Arial" w:eastAsia="Arial" w:hAnsi="Arial"/>
          <w:sz w:val="12"/>
          <w:szCs w:val="12"/>
          <w:color w:val="auto"/>
        </w:rPr>
      </w:pPr>
    </w:p>
    <w:p>
      <w:pPr>
        <w:ind w:left="1180" w:right="20" w:hanging="593"/>
        <w:spacing w:after="0" w:line="259" w:lineRule="auto"/>
        <w:tabs>
          <w:tab w:leader="none" w:pos="1180" w:val="left"/>
        </w:tabs>
        <w:numPr>
          <w:ilvl w:val="0"/>
          <w:numId w:val="26"/>
        </w:numPr>
        <w:rPr>
          <w:rFonts w:ascii="Arial" w:cs="Arial" w:eastAsia="Arial" w:hAnsi="Arial"/>
          <w:sz w:val="12"/>
          <w:szCs w:val="12"/>
          <w:color w:val="auto"/>
        </w:rPr>
      </w:pPr>
      <w:r>
        <w:rPr>
          <w:rFonts w:ascii="Arial" w:cs="Arial" w:eastAsia="Arial" w:hAnsi="Arial"/>
          <w:sz w:val="12"/>
          <w:szCs w:val="12"/>
          <w:color w:val="auto"/>
        </w:rPr>
        <w:t>Government Solutions segment: The Government Solutions segment principally generates revenue from providing complete, end-to-end red-light, speed, school bus stop arm, and bus lane enforcement solutions. Products, when sold, are typically sold together with services in a bundle. The average initial term of a contract is 3 to 5 years. Payment terms for contracts with government agencies vary depending on whether the consideration is fixed or variable. Payment terms for contracts with fixed consideration are usually based on equal installments over the duration of the contract. Payment terms for contracts with variable consideration are usually billed and collected as citations are issued or paid.</w:t>
      </w:r>
    </w:p>
    <w:p>
      <w:pPr>
        <w:spacing w:after="0" w:line="125" w:lineRule="exact"/>
        <w:rPr>
          <w:sz w:val="20"/>
          <w:szCs w:val="20"/>
          <w:color w:val="auto"/>
        </w:rPr>
      </w:pPr>
    </w:p>
    <w:p>
      <w:pPr>
        <w:ind w:firstLine="602"/>
        <w:spacing w:after="0" w:line="263" w:lineRule="auto"/>
        <w:rPr>
          <w:sz w:val="20"/>
          <w:szCs w:val="20"/>
          <w:color w:val="auto"/>
        </w:rPr>
      </w:pPr>
      <w:r>
        <w:rPr>
          <w:rFonts w:ascii="Arial" w:cs="Arial" w:eastAsia="Arial" w:hAnsi="Arial"/>
          <w:sz w:val="12"/>
          <w:szCs w:val="12"/>
          <w:color w:val="auto"/>
        </w:rPr>
        <w:t>For bundled packages, the Company accounts for individual products and services separately if they are distinct – i.e., if a product or service is separately identifiable from other items in the bundle and if a customer can benefit from it as a stand-alone item. The consideration is allocated between separate products and services in a bundle based on their stand-alone selling prices (“</w:t>
      </w:r>
      <w:r>
        <w:rPr>
          <w:rFonts w:ascii="Arial" w:cs="Arial" w:eastAsia="Arial" w:hAnsi="Arial"/>
          <w:sz w:val="12"/>
          <w:szCs w:val="12"/>
          <w:b w:val="1"/>
          <w:bCs w:val="1"/>
          <w:i w:val="1"/>
          <w:iCs w:val="1"/>
          <w:color w:val="auto"/>
        </w:rPr>
        <w:t>SSP</w:t>
      </w:r>
      <w:r>
        <w:rPr>
          <w:rFonts w:ascii="Arial" w:cs="Arial" w:eastAsia="Arial" w:hAnsi="Arial"/>
          <w:sz w:val="12"/>
          <w:szCs w:val="12"/>
          <w:color w:val="auto"/>
        </w:rPr>
        <w:t>”). The Company estimates the SSP of its services based upon observable evidence, market conditions and other relevant inputs.</w:t>
      </w:r>
    </w:p>
    <w:p>
      <w:pPr>
        <w:spacing w:after="0" w:line="51" w:lineRule="exact"/>
        <w:rPr>
          <w:sz w:val="20"/>
          <w:szCs w:val="20"/>
          <w:color w:val="auto"/>
        </w:rPr>
      </w:pPr>
    </w:p>
    <w:p>
      <w:pPr>
        <w:ind w:left="1180" w:right="20" w:hanging="593"/>
        <w:spacing w:after="0" w:line="276" w:lineRule="auto"/>
        <w:tabs>
          <w:tab w:leader="none" w:pos="1180" w:val="left"/>
        </w:tabs>
        <w:numPr>
          <w:ilvl w:val="0"/>
          <w:numId w:val="27"/>
        </w:numPr>
        <w:rPr>
          <w:rFonts w:ascii="Arial" w:cs="Arial" w:eastAsia="Arial" w:hAnsi="Arial"/>
          <w:sz w:val="12"/>
          <w:szCs w:val="12"/>
          <w:color w:val="auto"/>
        </w:rPr>
      </w:pPr>
      <w:r>
        <w:rPr>
          <w:rFonts w:ascii="Arial" w:cs="Arial" w:eastAsia="Arial" w:hAnsi="Arial"/>
          <w:sz w:val="12"/>
          <w:szCs w:val="12"/>
          <w:color w:val="auto"/>
        </w:rPr>
        <w:t>Product sales (sale of camera and installation) – The Company recognizes revenue when the installation process is completed and the camera is ready to perform the services as expected by the customer. Generally, it occurs at site acceptance or first citation. The Company recognizes revenue for the sale of the camera and installation services at a point in time.</w:t>
      </w:r>
    </w:p>
    <w:p>
      <w:pPr>
        <w:spacing w:after="0" w:line="42" w:lineRule="exact"/>
        <w:rPr>
          <w:rFonts w:ascii="Arial" w:cs="Arial" w:eastAsia="Arial" w:hAnsi="Arial"/>
          <w:sz w:val="12"/>
          <w:szCs w:val="12"/>
          <w:color w:val="auto"/>
        </w:rPr>
      </w:pPr>
    </w:p>
    <w:p>
      <w:pPr>
        <w:ind w:left="1180" w:right="40" w:hanging="593"/>
        <w:spacing w:after="0" w:line="259" w:lineRule="auto"/>
        <w:tabs>
          <w:tab w:leader="none" w:pos="1180" w:val="left"/>
        </w:tabs>
        <w:numPr>
          <w:ilvl w:val="0"/>
          <w:numId w:val="27"/>
        </w:numPr>
        <w:rPr>
          <w:rFonts w:ascii="Arial" w:cs="Arial" w:eastAsia="Arial" w:hAnsi="Arial"/>
          <w:sz w:val="12"/>
          <w:szCs w:val="12"/>
          <w:color w:val="auto"/>
        </w:rPr>
      </w:pPr>
      <w:r>
        <w:rPr>
          <w:rFonts w:ascii="Arial" w:cs="Arial" w:eastAsia="Arial" w:hAnsi="Arial"/>
          <w:sz w:val="12"/>
          <w:szCs w:val="12"/>
          <w:color w:val="auto"/>
        </w:rPr>
        <w:t>Service revenue – The Company determined its performance obligation is to provide a complete end-to-end safety and enforcement solution. Promises include providing a system to capture images, processing images taken by the camera, forwarding eligible images to the local police department and processing payments on behalf of the municipality. The Company determined that certain of the promises to its customers are capable of being distinct, as they may provide some measure of benefit to the customer either on their own or together with other resources that are readily available to the customer. However, the Company determined that the promises to its customers do not meet the criterion of being distinct</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17740" cy="3683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ectPr>
          <w:pgSz w:w="11900" w:h="16838" w:orient="portrait"/>
          <w:cols w:equalWidth="0" w:num="1">
            <w:col w:w="11460"/>
          </w:cols>
          <w:pgMar w:left="220" w:top="518" w:right="219" w:bottom="1440" w:gutter="0" w:footer="0" w:header="0"/>
        </w:sectPr>
      </w:pPr>
    </w:p>
    <w:bookmarkStart w:id="81" w:name="page82"/>
    <w:bookmarkEnd w:id="81"/>
    <w:p>
      <w:pPr>
        <w:ind w:left="1180" w:right="40"/>
        <w:spacing w:after="0" w:line="259" w:lineRule="auto"/>
        <w:rPr>
          <w:sz w:val="20"/>
          <w:szCs w:val="20"/>
          <w:color w:val="auto"/>
        </w:rPr>
      </w:pPr>
      <w:r>
        <w:rPr>
          <w:rFonts w:ascii="Arial" w:cs="Arial" w:eastAsia="Arial" w:hAnsi="Arial"/>
          <w:sz w:val="12"/>
          <w:szCs w:val="12"/>
          <w:color w:val="auto"/>
        </w:rPr>
        <w:t>within the context of its contracts. The Company would not be able to fulfill its promises individually, as its customers could not obtain the intended benefit from the contract without the Company fulfilling all promises. Accordingly, the Company concluded that each contract represents one service offering and is a single performance obligation to our customer. Further, the Company accounts for all the services as a single continuous service. The Company applies the series guidance for those services as it stands ready to deliver those services over the contract period. The Company recognizes revenue from services over time, as they are performed.</w:t>
      </w:r>
    </w:p>
    <w:p>
      <w:pPr>
        <w:spacing w:after="0" w:line="197"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Remaining Performance Obligations</w:t>
      </w:r>
    </w:p>
    <w:p>
      <w:pPr>
        <w:spacing w:after="0" w:line="78" w:lineRule="exact"/>
        <w:rPr>
          <w:sz w:val="20"/>
          <w:szCs w:val="20"/>
          <w:color w:val="auto"/>
        </w:rPr>
      </w:pPr>
    </w:p>
    <w:p>
      <w:pPr>
        <w:ind w:firstLine="602"/>
        <w:spacing w:after="0" w:line="263" w:lineRule="auto"/>
        <w:rPr>
          <w:sz w:val="20"/>
          <w:szCs w:val="20"/>
          <w:color w:val="auto"/>
        </w:rPr>
      </w:pPr>
      <w:r>
        <w:rPr>
          <w:rFonts w:ascii="Arial" w:cs="Arial" w:eastAsia="Arial" w:hAnsi="Arial"/>
          <w:sz w:val="12"/>
          <w:szCs w:val="12"/>
          <w:color w:val="auto"/>
        </w:rPr>
        <w:t>As of December 31, 2019, the Company had approximately $0.2 million of remaining performance obligations in the Government Solutions segment, which include amounts that will be invoiced and recognized in future periods. The remaining performance obligations are limited only to arrangements that meet the definition of a contract under ASC 606 as of December 31, 2019. As these amounts relate to the initial deferral of revenue under a contract, the Company expects to recognize these amounts over a two month period at the end of the contract.</w:t>
      </w:r>
    </w:p>
    <w:p>
      <w:pPr>
        <w:spacing w:after="0" w:line="123" w:lineRule="exact"/>
        <w:rPr>
          <w:sz w:val="20"/>
          <w:szCs w:val="20"/>
          <w:color w:val="auto"/>
        </w:rPr>
      </w:pPr>
    </w:p>
    <w:p>
      <w:pPr>
        <w:ind w:right="320" w:firstLine="602"/>
        <w:spacing w:after="0" w:line="323" w:lineRule="auto"/>
        <w:rPr>
          <w:sz w:val="20"/>
          <w:szCs w:val="20"/>
          <w:color w:val="auto"/>
        </w:rPr>
      </w:pPr>
      <w:r>
        <w:rPr>
          <w:rFonts w:ascii="Arial" w:cs="Arial" w:eastAsia="Arial" w:hAnsi="Arial"/>
          <w:sz w:val="11"/>
          <w:szCs w:val="11"/>
          <w:color w:val="auto"/>
        </w:rPr>
        <w:t>The Company applies the practical expedient in paragraph 606-10-50-14A of ASC 606 and does not disclose variable consideration allocated entirely to wholly unsatisfied stand-ready performance obligations for certain Government Solutions and Commercial Services contracts as part of the information about remaining performance obligations. The duration for these contracts ranges between 3 and 5 years for new contracts.</w:t>
      </w:r>
    </w:p>
    <w:p>
      <w:pPr>
        <w:spacing w:after="0" w:line="164"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Significant Judgments</w:t>
      </w:r>
    </w:p>
    <w:p>
      <w:pPr>
        <w:spacing w:after="0" w:line="78" w:lineRule="exact"/>
        <w:rPr>
          <w:sz w:val="20"/>
          <w:szCs w:val="20"/>
          <w:color w:val="auto"/>
        </w:rPr>
      </w:pPr>
    </w:p>
    <w:p>
      <w:pPr>
        <w:ind w:right="40" w:firstLine="602"/>
        <w:spacing w:after="0" w:line="290" w:lineRule="auto"/>
        <w:rPr>
          <w:sz w:val="20"/>
          <w:szCs w:val="20"/>
          <w:color w:val="auto"/>
        </w:rPr>
      </w:pPr>
      <w:r>
        <w:rPr>
          <w:rFonts w:ascii="Arial" w:cs="Arial" w:eastAsia="Arial" w:hAnsi="Arial"/>
          <w:sz w:val="11"/>
          <w:szCs w:val="11"/>
          <w:color w:val="auto"/>
        </w:rPr>
        <w:t>Under the new revenue standard, significant judgments are required in order to identify contracts with customers and estimate transaction prices. Additional judgments are required for the identification of distinct performance obligations, the estimation of stand-alone selling prices and the allocation of the transaction price by relative stand-alone selling prices. Assumptions regarding timing of when control transfers to the customer requires significant judgment in order to recognize revenue. The Company makes significant judgments related to identifying the performance obligation and determining whether the services provided are able to be distinct, determining the transaction price, specifically as it is related to the different variable consideration structures identified in the Company’s contracts, and in determining the timing of revenue recognition.</w:t>
      </w:r>
    </w:p>
    <w:p>
      <w:pPr>
        <w:spacing w:after="0" w:line="181"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Adoption of the Leases Standard</w:t>
      </w:r>
    </w:p>
    <w:p>
      <w:pPr>
        <w:spacing w:after="0" w:line="78" w:lineRule="exact"/>
        <w:rPr>
          <w:sz w:val="20"/>
          <w:szCs w:val="20"/>
          <w:color w:val="auto"/>
        </w:rPr>
      </w:pPr>
    </w:p>
    <w:p>
      <w:pPr>
        <w:ind w:right="20" w:firstLine="602"/>
        <w:spacing w:after="0" w:line="255" w:lineRule="auto"/>
        <w:rPr>
          <w:sz w:val="20"/>
          <w:szCs w:val="20"/>
          <w:color w:val="auto"/>
        </w:rPr>
      </w:pPr>
      <w:r>
        <w:rPr>
          <w:rFonts w:ascii="Arial" w:cs="Arial" w:eastAsia="Arial" w:hAnsi="Arial"/>
          <w:sz w:val="12"/>
          <w:szCs w:val="12"/>
          <w:color w:val="auto"/>
        </w:rPr>
        <w:t xml:space="preserve">In February 2016, the FASB issued ASU 2016-02, </w:t>
      </w:r>
      <w:r>
        <w:rPr>
          <w:rFonts w:ascii="Arial" w:cs="Arial" w:eastAsia="Arial" w:hAnsi="Arial"/>
          <w:sz w:val="12"/>
          <w:szCs w:val="12"/>
          <w:i w:val="1"/>
          <w:iCs w:val="1"/>
          <w:color w:val="auto"/>
        </w:rPr>
        <w:t>Leases (Topic 842)</w:t>
      </w:r>
      <w:r>
        <w:rPr>
          <w:rFonts w:ascii="Arial" w:cs="Arial" w:eastAsia="Arial" w:hAnsi="Arial"/>
          <w:sz w:val="12"/>
          <w:szCs w:val="12"/>
          <w:color w:val="auto"/>
        </w:rPr>
        <w:t xml:space="preserve"> and issued certain amendments within ASU 2018-01, 2018-10, 2018-11 and ASU 2019-01, respectively and collectively “</w:t>
      </w:r>
      <w:r>
        <w:rPr>
          <w:rFonts w:ascii="Arial" w:cs="Arial" w:eastAsia="Arial" w:hAnsi="Arial"/>
          <w:sz w:val="12"/>
          <w:szCs w:val="12"/>
          <w:b w:val="1"/>
          <w:bCs w:val="1"/>
          <w:i w:val="1"/>
          <w:iCs w:val="1"/>
          <w:color w:val="auto"/>
        </w:rPr>
        <w:t>ASU 842</w:t>
      </w:r>
      <w:r>
        <w:rPr>
          <w:rFonts w:ascii="Arial" w:cs="Arial" w:eastAsia="Arial" w:hAnsi="Arial"/>
          <w:sz w:val="12"/>
          <w:szCs w:val="12"/>
          <w:color w:val="auto"/>
        </w:rPr>
        <w:t>”. The Company lost its emerging growth company (“</w:t>
      </w:r>
      <w:r>
        <w:rPr>
          <w:rFonts w:ascii="Arial" w:cs="Arial" w:eastAsia="Arial" w:hAnsi="Arial"/>
          <w:sz w:val="12"/>
          <w:szCs w:val="12"/>
          <w:b w:val="1"/>
          <w:bCs w:val="1"/>
          <w:i w:val="1"/>
          <w:iCs w:val="1"/>
          <w:color w:val="auto"/>
        </w:rPr>
        <w:t>EGC</w:t>
      </w:r>
      <w:r>
        <w:rPr>
          <w:rFonts w:ascii="Arial" w:cs="Arial" w:eastAsia="Arial" w:hAnsi="Arial"/>
          <w:sz w:val="12"/>
          <w:szCs w:val="12"/>
          <w:color w:val="auto"/>
        </w:rPr>
        <w:t>”) status upon becoming a large accelerated filer on December 31, 2019 and became subject to non-EGC new accounting pronouncement effective dates. Accordingly, on January 1, 2019, the Company adopted ASU 842 using the modified retrospective transition method, first presented on December 31, 2019. There was no cumulative-effect adjustment to beginning retained earnings (the effective date method). Under the effective date method, comparative period financial information is not adjusted. The new standard requires lessees to recognize a right-of-use (“</w:t>
      </w:r>
      <w:r>
        <w:rPr>
          <w:rFonts w:ascii="Arial" w:cs="Arial" w:eastAsia="Arial" w:hAnsi="Arial"/>
          <w:sz w:val="12"/>
          <w:szCs w:val="12"/>
          <w:b w:val="1"/>
          <w:bCs w:val="1"/>
          <w:i w:val="1"/>
          <w:iCs w:val="1"/>
          <w:color w:val="auto"/>
        </w:rPr>
        <w:t>ROU</w:t>
      </w:r>
      <w:r>
        <w:rPr>
          <w:rFonts w:ascii="Arial" w:cs="Arial" w:eastAsia="Arial" w:hAnsi="Arial"/>
          <w:sz w:val="12"/>
          <w:szCs w:val="12"/>
          <w:color w:val="auto"/>
        </w:rPr>
        <w:t>”) asset and lease liability on the balance sheet for operating leases while the accounting for finance leases is substantially unchanged. The Company recognized $33.6 million of operating lease assets and $34.0 million of operating lease liabilities upon adoption of the new standard. The impact to deferred taxes was immaterial. The Company does not have any finance leases.</w:t>
      </w:r>
    </w:p>
    <w:p>
      <w:pPr>
        <w:spacing w:after="0" w:line="129" w:lineRule="exact"/>
        <w:rPr>
          <w:sz w:val="20"/>
          <w:szCs w:val="20"/>
          <w:color w:val="auto"/>
        </w:rPr>
      </w:pPr>
    </w:p>
    <w:p>
      <w:pPr>
        <w:ind w:left="600"/>
        <w:spacing w:after="0"/>
        <w:rPr>
          <w:sz w:val="20"/>
          <w:szCs w:val="20"/>
          <w:color w:val="auto"/>
        </w:rPr>
      </w:pPr>
      <w:r>
        <w:rPr>
          <w:rFonts w:ascii="Arial" w:cs="Arial" w:eastAsia="Arial" w:hAnsi="Arial"/>
          <w:sz w:val="12"/>
          <w:szCs w:val="12"/>
          <w:color w:val="auto"/>
        </w:rPr>
        <w:t>The increases to assets and liabilities resulted from the recognition of ROU operating assets and lease liabilities and de-recognition of existing assets and liabilities related to leases.</w:t>
      </w:r>
    </w:p>
    <w:p>
      <w:pPr>
        <w:spacing w:after="0" w:line="150" w:lineRule="exact"/>
        <w:rPr>
          <w:sz w:val="20"/>
          <w:szCs w:val="20"/>
          <w:color w:val="auto"/>
        </w:rPr>
      </w:pPr>
    </w:p>
    <w:p>
      <w:pPr>
        <w:ind w:right="180" w:firstLine="602"/>
        <w:spacing w:after="0" w:line="276" w:lineRule="auto"/>
        <w:rPr>
          <w:sz w:val="20"/>
          <w:szCs w:val="20"/>
          <w:color w:val="auto"/>
        </w:rPr>
      </w:pPr>
      <w:r>
        <w:rPr>
          <w:rFonts w:ascii="Arial" w:cs="Arial" w:eastAsia="Arial" w:hAnsi="Arial"/>
          <w:sz w:val="12"/>
          <w:szCs w:val="12"/>
          <w:color w:val="auto"/>
        </w:rPr>
        <w:t>The Company adopted the package of practical expedients which allows us to not reassess prior conclusions related to contracts containing leases, lease classification and initial direct costs. Adoption of this standard did not have a material impact on the Company’s consolidated statements of operations or cash flows.</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17740" cy="3683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ectPr>
          <w:pgSz w:w="11900" w:h="16838" w:orient="portrait"/>
          <w:cols w:equalWidth="0" w:num="1">
            <w:col w:w="11460"/>
          </w:cols>
          <w:pgMar w:left="220" w:top="347" w:right="219" w:bottom="1440" w:gutter="0" w:footer="0" w:header="0"/>
        </w:sectPr>
      </w:pPr>
    </w:p>
    <w:bookmarkStart w:id="82" w:name="page83"/>
    <w:bookmarkEnd w:id="82"/>
    <w:p>
      <w:pPr>
        <w:ind w:right="20" w:firstLine="602"/>
        <w:spacing w:after="0" w:line="313" w:lineRule="auto"/>
        <w:rPr>
          <w:sz w:val="20"/>
          <w:szCs w:val="20"/>
          <w:color w:val="auto"/>
        </w:rPr>
      </w:pPr>
      <w:r>
        <w:rPr>
          <w:rFonts w:ascii="Arial" w:cs="Arial" w:eastAsia="Arial" w:hAnsi="Arial"/>
          <w:sz w:val="10"/>
          <w:szCs w:val="10"/>
          <w:color w:val="auto"/>
        </w:rPr>
        <w:t>The Company determines whether a contract contains a lease at contract inception. The Company has lease agreements with lease and non-lease components and has elected the practical expedient to account for such components as a single lease component. This election is required to be made by class of underlying asset and was elected for the Company’s leases of office and data center space. The Company initially recognizes and measures contracts containing a lease and determine lease classification at commencement. ROU operating assets and lease liabilities are measured based on the estimated present value of lease payments over the lease term. In determining the present value of lease payments, the Company used its estimated incremental borrowing rate when the rate implicit in the lease cannot be readily determined. The estimated incremental borrowing rate is based upon information available at lease commencement including publicly available data for debt instruments. The lease term includes periods covered by options to extend when it is reasonably certain the Company will exercise such options as well as periods subsequent to an option to terminate the lease if it is reasonably certain the Company will not exercise the termination option. Operating lease costs are recognized on a straight-line basis over the lease term. Variable lease costs are recognized as incurred. Assets and liabilities associated with operating leases are included within Operating lease assets, Accrued liabilities, and Operating lease liabilities, net of current portion in the Company’s consolidated balance sheets.</w:t>
      </w:r>
    </w:p>
    <w:p>
      <w:pPr>
        <w:spacing w:after="0" w:line="103" w:lineRule="exact"/>
        <w:rPr>
          <w:sz w:val="20"/>
          <w:szCs w:val="20"/>
          <w:color w:val="auto"/>
        </w:rPr>
      </w:pPr>
    </w:p>
    <w:p>
      <w:pPr>
        <w:ind w:left="600"/>
        <w:spacing w:after="0"/>
        <w:rPr>
          <w:sz w:val="20"/>
          <w:szCs w:val="20"/>
          <w:color w:val="auto"/>
        </w:rPr>
      </w:pPr>
      <w:r>
        <w:rPr>
          <w:rFonts w:ascii="Arial" w:cs="Arial" w:eastAsia="Arial" w:hAnsi="Arial"/>
          <w:sz w:val="12"/>
          <w:szCs w:val="12"/>
          <w:color w:val="auto"/>
        </w:rPr>
        <w:t xml:space="preserve">See Note 10, </w:t>
      </w:r>
      <w:r>
        <w:rPr>
          <w:rFonts w:ascii="Arial" w:cs="Arial" w:eastAsia="Arial" w:hAnsi="Arial"/>
          <w:sz w:val="12"/>
          <w:szCs w:val="12"/>
          <w:i w:val="1"/>
          <w:iCs w:val="1"/>
          <w:color w:val="auto"/>
        </w:rPr>
        <w:t>Leases</w:t>
      </w:r>
      <w:r>
        <w:rPr>
          <w:rFonts w:ascii="Arial" w:cs="Arial" w:eastAsia="Arial" w:hAnsi="Arial"/>
          <w:sz w:val="12"/>
          <w:szCs w:val="12"/>
          <w:color w:val="auto"/>
        </w:rPr>
        <w:t>, for additional information.</w:t>
      </w:r>
    </w:p>
    <w:p>
      <w:pPr>
        <w:spacing w:after="0" w:line="222" w:lineRule="exact"/>
        <w:rPr>
          <w:sz w:val="20"/>
          <w:szCs w:val="20"/>
          <w:color w:val="auto"/>
        </w:rPr>
      </w:pPr>
    </w:p>
    <w:p>
      <w:pPr>
        <w:spacing w:after="0"/>
        <w:rPr>
          <w:sz w:val="20"/>
          <w:szCs w:val="20"/>
          <w:color w:val="auto"/>
        </w:rPr>
      </w:pPr>
      <w:r>
        <w:rPr>
          <w:rFonts w:ascii="Arial" w:cs="Arial" w:eastAsia="Arial" w:hAnsi="Arial"/>
          <w:sz w:val="12"/>
          <w:szCs w:val="12"/>
          <w:i w:val="1"/>
          <w:iCs w:val="1"/>
          <w:u w:val="single" w:color="auto"/>
          <w:color w:val="auto"/>
        </w:rPr>
        <w:t>Accounting Standards Not Yet Adopted</w:t>
      </w:r>
    </w:p>
    <w:p>
      <w:pPr>
        <w:spacing w:after="0" w:line="78" w:lineRule="exact"/>
        <w:rPr>
          <w:sz w:val="20"/>
          <w:szCs w:val="20"/>
          <w:color w:val="auto"/>
        </w:rPr>
      </w:pPr>
    </w:p>
    <w:p>
      <w:pPr>
        <w:ind w:firstLine="602"/>
        <w:spacing w:after="0" w:line="290" w:lineRule="auto"/>
        <w:rPr>
          <w:sz w:val="20"/>
          <w:szCs w:val="20"/>
          <w:color w:val="auto"/>
        </w:rPr>
      </w:pPr>
      <w:r>
        <w:rPr>
          <w:rFonts w:ascii="Arial" w:cs="Arial" w:eastAsia="Arial" w:hAnsi="Arial"/>
          <w:sz w:val="11"/>
          <w:szCs w:val="11"/>
          <w:color w:val="auto"/>
        </w:rPr>
        <w:t xml:space="preserve">In June 2016, the FASB issued ASU 2016-13, </w:t>
      </w:r>
      <w:r>
        <w:rPr>
          <w:rFonts w:ascii="Arial" w:cs="Arial" w:eastAsia="Arial" w:hAnsi="Arial"/>
          <w:sz w:val="11"/>
          <w:szCs w:val="11"/>
          <w:i w:val="1"/>
          <w:iCs w:val="1"/>
          <w:color w:val="auto"/>
        </w:rPr>
        <w:t>Financial Instruments—Credit Losses (Topic 326),</w:t>
      </w:r>
      <w:r>
        <w:rPr>
          <w:rFonts w:ascii="Arial" w:cs="Arial" w:eastAsia="Arial" w:hAnsi="Arial"/>
          <w:sz w:val="11"/>
          <w:szCs w:val="11"/>
          <w:color w:val="auto"/>
        </w:rPr>
        <w:t xml:space="preserve"> and issued certain amendments within ASU 2019-04, ASU 2019-05 and ASU 2019-11, respectively and collectively Topic 326, which require companies to present assets held at amortized cost and available for sale debt securities net of the amount expected to be collected. The guidance requires the measurement of expected credit losses to be based on relevant information from past events, including historical experiences, current conditions and reasonable and supportable forecasts that affect collectability. The guidance will be effective for the Company beginning January 1, 2020. Different components of the guidance require modified retrospective or prospective adoption. The impact of the implementation of this standard is still being determined by the Company.</w:t>
      </w:r>
    </w:p>
    <w:p>
      <w:pPr>
        <w:spacing w:after="0" w:line="109" w:lineRule="exact"/>
        <w:rPr>
          <w:sz w:val="20"/>
          <w:szCs w:val="20"/>
          <w:color w:val="auto"/>
        </w:rPr>
      </w:pPr>
    </w:p>
    <w:p>
      <w:pPr>
        <w:ind w:right="40" w:firstLine="602"/>
        <w:spacing w:after="0" w:line="290" w:lineRule="auto"/>
        <w:rPr>
          <w:sz w:val="20"/>
          <w:szCs w:val="20"/>
          <w:color w:val="auto"/>
        </w:rPr>
      </w:pPr>
      <w:r>
        <w:rPr>
          <w:rFonts w:ascii="Arial" w:cs="Arial" w:eastAsia="Arial" w:hAnsi="Arial"/>
          <w:sz w:val="11"/>
          <w:szCs w:val="11"/>
          <w:color w:val="auto"/>
        </w:rPr>
        <w:t xml:space="preserve">In January 2017, the FASB issued ASU 2017-04, </w:t>
      </w:r>
      <w:r>
        <w:rPr>
          <w:rFonts w:ascii="Arial" w:cs="Arial" w:eastAsia="Arial" w:hAnsi="Arial"/>
          <w:sz w:val="11"/>
          <w:szCs w:val="11"/>
          <w:i w:val="1"/>
          <w:iCs w:val="1"/>
          <w:color w:val="auto"/>
        </w:rPr>
        <w:t>Intangibles—Goodwill and Other (Topic 350)</w:t>
      </w:r>
      <w:r>
        <w:rPr>
          <w:rFonts w:ascii="Arial" w:cs="Arial" w:eastAsia="Arial" w:hAnsi="Arial"/>
          <w:sz w:val="11"/>
          <w:szCs w:val="11"/>
          <w:color w:val="auto"/>
        </w:rPr>
        <w:t>. ASU 2017-04 simplifies the accounting for goodwill impairment and removes Step 2 of the goodwill impairment test. Goodwill impairment will now be the amount by which a reporting unit’s carrying value exceeds its fair value limited to the total amount of goodwill allocated to that reporting unit. Entities will continue to have the option to perform a qualitative assessment to determine if a quantitative impairment test is necessary. The same one-step impairment test will be applied to goodwill at all reporting units, even those with zero or negative carrying amounts. The amendments in this ASU are effective for goodwill impairment tests in fiscal years beginning after December 15, 2019. The impact of the implementation of this standard is still being determined by the Company.</w:t>
      </w:r>
    </w:p>
    <w:p>
      <w:pPr>
        <w:spacing w:after="0" w:line="109" w:lineRule="exact"/>
        <w:rPr>
          <w:sz w:val="20"/>
          <w:szCs w:val="20"/>
          <w:color w:val="auto"/>
        </w:rPr>
      </w:pPr>
    </w:p>
    <w:p>
      <w:pPr>
        <w:ind w:right="20" w:firstLine="602"/>
        <w:spacing w:after="0" w:line="286" w:lineRule="auto"/>
        <w:rPr>
          <w:sz w:val="20"/>
          <w:szCs w:val="20"/>
          <w:color w:val="auto"/>
        </w:rPr>
      </w:pPr>
      <w:r>
        <w:rPr>
          <w:rFonts w:ascii="Arial" w:cs="Arial" w:eastAsia="Arial" w:hAnsi="Arial"/>
          <w:sz w:val="11"/>
          <w:szCs w:val="11"/>
          <w:color w:val="auto"/>
        </w:rPr>
        <w:t xml:space="preserve">In December 2019, the FASB issued ASU 2019-12, </w:t>
      </w:r>
      <w:r>
        <w:rPr>
          <w:rFonts w:ascii="Arial" w:cs="Arial" w:eastAsia="Arial" w:hAnsi="Arial"/>
          <w:sz w:val="11"/>
          <w:szCs w:val="11"/>
          <w:i w:val="1"/>
          <w:iCs w:val="1"/>
          <w:color w:val="auto"/>
        </w:rPr>
        <w:t>Income Taxes (Topic 740): Simplifying the Accounting for Income Taxes.</w:t>
      </w:r>
      <w:r>
        <w:rPr>
          <w:rFonts w:ascii="Arial" w:cs="Arial" w:eastAsia="Arial" w:hAnsi="Arial"/>
          <w:sz w:val="11"/>
          <w:szCs w:val="11"/>
          <w:color w:val="auto"/>
        </w:rPr>
        <w:t xml:space="preserve"> The ASU removes specific exceptions to the general principles in Topic 740 in U.S. GAAP including the exception to the incremental approach for intra-period tax allocation, exceptions to accounting for basis differences when there are ownership changes in foreign investments, and the exception in interim period income tax accounting for year-to-date losses that exceed anticipated losses. The ASU also simplifies current guidance in relation to franchise taxes that are partially based on income, transactions with a government that result in a step-up in tax basis of goodwill, separate financial statements of legal entities that are not subject to tax, and enacted changes in tax laws in interim periods. ASU 2019-12 is effective for fiscal years beginning after December 15, 2020 and interim periods within those fiscal years. Early adoption is permitted. The impact of the implementation of this standard is still being determined by the Company.</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17740" cy="3683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ectPr>
          <w:pgSz w:w="11900" w:h="16838" w:orient="portrait"/>
          <w:cols w:equalWidth="0" w:num="1">
            <w:col w:w="11440"/>
          </w:cols>
          <w:pgMar w:left="220" w:top="419" w:right="239" w:bottom="1440" w:gutter="0" w:footer="0" w:header="0"/>
        </w:sectPr>
      </w:pPr>
    </w:p>
    <w:bookmarkStart w:id="83" w:name="page84"/>
    <w:bookmarkEnd w:id="83"/>
    <w:p>
      <w:pPr>
        <w:ind w:left="588" w:hanging="588"/>
        <w:spacing w:after="0"/>
        <w:tabs>
          <w:tab w:leader="none" w:pos="588" w:val="left"/>
        </w:tabs>
        <w:numPr>
          <w:ilvl w:val="0"/>
          <w:numId w:val="28"/>
        </w:numPr>
        <w:rPr>
          <w:rFonts w:ascii="Arial" w:cs="Arial" w:eastAsia="Arial" w:hAnsi="Arial"/>
          <w:sz w:val="12"/>
          <w:szCs w:val="12"/>
          <w:b w:val="1"/>
          <w:bCs w:val="1"/>
          <w:color w:val="auto"/>
        </w:rPr>
      </w:pPr>
      <w:r>
        <w:rPr>
          <w:rFonts w:ascii="Arial" w:cs="Arial" w:eastAsia="Arial" w:hAnsi="Arial"/>
          <w:sz w:val="12"/>
          <w:szCs w:val="12"/>
          <w:b w:val="1"/>
          <w:bCs w:val="1"/>
          <w:color w:val="auto"/>
        </w:rPr>
        <w:t>Mergers and Acquisitions</w:t>
      </w:r>
    </w:p>
    <w:p>
      <w:pPr>
        <w:spacing w:after="0" w:line="82"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Verra Mobility Merger</w:t>
      </w:r>
    </w:p>
    <w:p>
      <w:pPr>
        <w:spacing w:after="0" w:line="78" w:lineRule="exact"/>
        <w:rPr>
          <w:sz w:val="20"/>
          <w:szCs w:val="20"/>
          <w:color w:val="auto"/>
        </w:rPr>
      </w:pPr>
    </w:p>
    <w:p>
      <w:pPr>
        <w:ind w:left="8" w:firstLine="602"/>
        <w:spacing w:after="0" w:line="280" w:lineRule="auto"/>
        <w:rPr>
          <w:sz w:val="20"/>
          <w:szCs w:val="20"/>
          <w:color w:val="auto"/>
        </w:rPr>
      </w:pPr>
      <w:r>
        <w:rPr>
          <w:rFonts w:ascii="Arial" w:cs="Arial" w:eastAsia="Arial" w:hAnsi="Arial"/>
          <w:sz w:val="11"/>
          <w:szCs w:val="11"/>
          <w:color w:val="auto"/>
        </w:rPr>
        <w:t>As described in Note 1, Gores and Greenlight consummated the Business Combination on October 17, 2018. Pursuant to ASC 805, the Business Combination qualified as a reverse acquisition because immediately following completion of the transaction the stockholders of Greenlight immediately prior to the Business Combination maintained effective control of Verra Mobility, the post-combination company. For accounting purposes, Greenlight is deemed the accounting acquirer in the transaction and, consequently, the transaction is treated as recapitalization of Greenlight (i.e. a capital transaction involving the issuance of stock by Greenlight in exchange for the payment of cash by Gores to the selling shareholders of Greenlight). Accordingly, the consolidated assets, liabilities and results of operations of Greenlight are the historical financial statements of Verra Mobility and the Gores assets, liabilities and results of operations are consolidated with Greenlight beginning on the acquisition date. No step-up in basis of intangible assets or goodwill was recorded for this transaction. The Company effected this treatment through opening stockholders’ equity by adjusting the number of common shares outstanding. Other than underwriting and professional fees paid to consummate the transaction, the Business Combination primarily involved the exchange of cash and equity between Gores, Greenlight and the stockholders of the respective companies. During fiscal year 2019, the Company recorded a $7.0 million decrease to the Additional paid-in capital account for a payable to Platinum, a related party, for the recapitalization related to the working capital adjustment required by the merger agreements. This amount was paid during the fourth quarter of fiscal 2019.</w:t>
      </w:r>
    </w:p>
    <w:p>
      <w:pPr>
        <w:spacing w:after="0" w:line="216"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ATS Merger</w:t>
      </w:r>
    </w:p>
    <w:p>
      <w:pPr>
        <w:spacing w:after="0" w:line="78" w:lineRule="exact"/>
        <w:rPr>
          <w:sz w:val="20"/>
          <w:szCs w:val="20"/>
          <w:color w:val="auto"/>
        </w:rPr>
      </w:pPr>
    </w:p>
    <w:p>
      <w:pPr>
        <w:ind w:left="608"/>
        <w:spacing w:after="0"/>
        <w:rPr>
          <w:sz w:val="20"/>
          <w:szCs w:val="20"/>
          <w:color w:val="auto"/>
        </w:rPr>
      </w:pPr>
      <w:r>
        <w:rPr>
          <w:rFonts w:ascii="Arial" w:cs="Arial" w:eastAsia="Arial" w:hAnsi="Arial"/>
          <w:sz w:val="11"/>
          <w:szCs w:val="11"/>
          <w:color w:val="auto"/>
        </w:rPr>
        <w:t>On May 31, 2017, ATS was acquired by Parent through the merger of ATS Merger Sub with and into ATS for a total purchase price of $548.2 million ($550.0 million less adjustments set forth in the ATS Merger agreement).</w:t>
      </w:r>
    </w:p>
    <w:p>
      <w:pPr>
        <w:spacing w:after="0" w:line="162" w:lineRule="exact"/>
        <w:rPr>
          <w:sz w:val="20"/>
          <w:szCs w:val="20"/>
          <w:color w:val="auto"/>
        </w:rPr>
      </w:pPr>
    </w:p>
    <w:p>
      <w:pPr>
        <w:ind w:left="8" w:firstLine="602"/>
        <w:spacing w:after="0" w:line="276" w:lineRule="auto"/>
        <w:rPr>
          <w:sz w:val="20"/>
          <w:szCs w:val="20"/>
          <w:color w:val="auto"/>
        </w:rPr>
      </w:pPr>
      <w:r>
        <w:rPr>
          <w:rFonts w:ascii="Arial" w:cs="Arial" w:eastAsia="Arial" w:hAnsi="Arial"/>
          <w:sz w:val="12"/>
          <w:szCs w:val="12"/>
          <w:color w:val="auto"/>
        </w:rPr>
        <w:t>On May 31, 2017, ATS Merger Sub obtained debt financing pursuant to a credit agreement entered into with a syndicate of lenders. ATS Merger Sub was merged with and into ATS on the same date, effectively making ATS the sole borrower (see Note 9).</w:t>
      </w:r>
    </w:p>
    <w:p>
      <w:pPr>
        <w:spacing w:after="0" w:line="115" w:lineRule="exact"/>
        <w:rPr>
          <w:sz w:val="20"/>
          <w:szCs w:val="20"/>
          <w:color w:val="auto"/>
        </w:rPr>
      </w:pPr>
    </w:p>
    <w:p>
      <w:pPr>
        <w:ind w:left="8" w:right="80" w:firstLine="602"/>
        <w:spacing w:after="0" w:line="323" w:lineRule="auto"/>
        <w:rPr>
          <w:sz w:val="20"/>
          <w:szCs w:val="20"/>
          <w:color w:val="auto"/>
        </w:rPr>
      </w:pPr>
      <w:r>
        <w:rPr>
          <w:rFonts w:ascii="Arial" w:cs="Arial" w:eastAsia="Arial" w:hAnsi="Arial"/>
          <w:sz w:val="11"/>
          <w:szCs w:val="11"/>
          <w:color w:val="auto"/>
        </w:rPr>
        <w:t>The Company employed the push down basis of accounting and allocated the consideration paid by the acquirer in connection with the ATS Merger to the Company’s assets and liabilities based on their estimated fair values at the date of the ATS Merger as presented in the table below. The excess of the cost of the ATS Merger over the net amounts assigned to the fair value of the assets acquired and liabilities assumed was recorded as goodwill.</w:t>
      </w:r>
    </w:p>
    <w:p>
      <w:pPr>
        <w:spacing w:after="0" w:line="140" w:lineRule="exact"/>
        <w:rPr>
          <w:sz w:val="20"/>
          <w:szCs w:val="20"/>
          <w:color w:val="auto"/>
        </w:rPr>
      </w:pPr>
    </w:p>
    <w:p>
      <w:pPr>
        <w:ind w:left="8"/>
        <w:spacing w:after="0"/>
        <w:rPr>
          <w:sz w:val="20"/>
          <w:szCs w:val="20"/>
          <w:color w:val="auto"/>
        </w:rPr>
      </w:pPr>
      <w:r>
        <w:rPr>
          <w:rFonts w:ascii="Arial" w:cs="Arial" w:eastAsia="Arial" w:hAnsi="Arial"/>
          <w:sz w:val="10"/>
          <w:szCs w:val="10"/>
          <w:b w:val="1"/>
          <w:bCs w:val="1"/>
          <w:u w:val="single" w:color="auto"/>
          <w:color w:val="auto"/>
        </w:rPr>
        <w:t>($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0</wp:posOffset>
            </wp:positionV>
            <wp:extent cx="7292340" cy="971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92340" cy="97155"/>
                    </a:xfrm>
                    <a:prstGeom prst="rect">
                      <a:avLst/>
                    </a:prstGeom>
                    <a:noFill/>
                  </pic:spPr>
                </pic:pic>
              </a:graphicData>
            </a:graphic>
          </wp:anchor>
        </w:drawing>
      </w:r>
    </w:p>
    <w:p>
      <w:pPr>
        <w:ind w:left="8"/>
        <w:spacing w:after="0"/>
        <w:rPr>
          <w:sz w:val="20"/>
          <w:szCs w:val="20"/>
          <w:color w:val="auto"/>
        </w:rPr>
      </w:pPr>
      <w:r>
        <w:rPr>
          <w:rFonts w:ascii="Arial" w:cs="Arial" w:eastAsia="Arial" w:hAnsi="Arial"/>
          <w:sz w:val="12"/>
          <w:szCs w:val="12"/>
          <w:color w:val="auto"/>
        </w:rPr>
        <w:t>Assets acquired</w:t>
      </w:r>
    </w:p>
    <w:p>
      <w:pPr>
        <w:spacing w:after="0" w:line="5" w:lineRule="exact"/>
        <w:rPr>
          <w:sz w:val="20"/>
          <w:szCs w:val="20"/>
          <w:color w:val="auto"/>
        </w:rPr>
      </w:pPr>
    </w:p>
    <w:tbl>
      <w:tblPr>
        <w:tblLayout w:type="fixed"/>
        <w:tblInd w:w="8" w:type="dxa"/>
        <w:tblCellMar>
          <w:top w:w="0" w:type="dxa"/>
          <w:left w:w="0" w:type="dxa"/>
          <w:bottom w:w="0" w:type="dxa"/>
          <w:right w:w="0" w:type="dxa"/>
        </w:tblCellMar>
      </w:tblPr>
      <w:tr>
        <w:trPr>
          <w:trHeight w:val="153"/>
        </w:trPr>
        <w:tc>
          <w:tcPr>
            <w:tcW w:w="3920" w:type="dxa"/>
            <w:vAlign w:val="bottom"/>
          </w:tcPr>
          <w:p>
            <w:pPr>
              <w:ind w:left="160"/>
              <w:spacing w:after="0"/>
              <w:rPr>
                <w:sz w:val="20"/>
                <w:szCs w:val="20"/>
                <w:color w:val="auto"/>
              </w:rPr>
            </w:pPr>
            <w:r>
              <w:rPr>
                <w:rFonts w:ascii="Arial" w:cs="Arial" w:eastAsia="Arial" w:hAnsi="Arial"/>
                <w:sz w:val="12"/>
                <w:szCs w:val="12"/>
                <w:color w:val="auto"/>
              </w:rPr>
              <w:t>Cash</w:t>
            </w:r>
          </w:p>
        </w:tc>
        <w:tc>
          <w:tcPr>
            <w:tcW w:w="6320" w:type="dxa"/>
            <w:vAlign w:val="bottom"/>
            <w:gridSpan w:val="2"/>
          </w:tcPr>
          <w:p>
            <w:pPr>
              <w:jc w:val="right"/>
              <w:ind w:right="740"/>
              <w:spacing w:after="0"/>
              <w:rPr>
                <w:sz w:val="20"/>
                <w:szCs w:val="20"/>
                <w:color w:val="auto"/>
              </w:rPr>
            </w:pPr>
            <w:r>
              <w:rPr>
                <w:rFonts w:ascii="Arial" w:cs="Arial" w:eastAsia="Arial" w:hAnsi="Arial"/>
                <w:sz w:val="12"/>
                <w:szCs w:val="12"/>
                <w:color w:val="auto"/>
              </w:rPr>
              <w:t>$</w:t>
            </w:r>
          </w:p>
        </w:tc>
        <w:tc>
          <w:tcPr>
            <w:tcW w:w="1120" w:type="dxa"/>
            <w:vAlign w:val="bottom"/>
          </w:tcPr>
          <w:p>
            <w:pPr>
              <w:jc w:val="right"/>
              <w:spacing w:after="0"/>
              <w:rPr>
                <w:sz w:val="20"/>
                <w:szCs w:val="20"/>
                <w:color w:val="auto"/>
              </w:rPr>
            </w:pPr>
            <w:r>
              <w:rPr>
                <w:rFonts w:ascii="Arial" w:cs="Arial" w:eastAsia="Arial" w:hAnsi="Arial"/>
                <w:sz w:val="12"/>
                <w:szCs w:val="12"/>
                <w:color w:val="auto"/>
              </w:rPr>
              <w:t>9,112</w:t>
            </w:r>
          </w:p>
        </w:tc>
        <w:tc>
          <w:tcPr>
            <w:tcW w:w="120" w:type="dxa"/>
            <w:vAlign w:val="bottom"/>
          </w:tcPr>
          <w:p>
            <w:pPr>
              <w:spacing w:after="0"/>
              <w:rPr>
                <w:sz w:val="13"/>
                <w:szCs w:val="13"/>
                <w:color w:val="auto"/>
              </w:rPr>
            </w:pPr>
          </w:p>
        </w:tc>
      </w:tr>
      <w:tr>
        <w:trPr>
          <w:trHeight w:val="153"/>
        </w:trPr>
        <w:tc>
          <w:tcPr>
            <w:tcW w:w="3920" w:type="dxa"/>
            <w:vAlign w:val="bottom"/>
            <w:shd w:val="clear" w:color="auto" w:fill="CFF0FC"/>
          </w:tcPr>
          <w:p>
            <w:pPr>
              <w:ind w:left="160"/>
              <w:spacing w:after="0"/>
              <w:rPr>
                <w:sz w:val="20"/>
                <w:szCs w:val="20"/>
                <w:color w:val="auto"/>
              </w:rPr>
            </w:pPr>
            <w:r>
              <w:rPr>
                <w:rFonts w:ascii="Arial" w:cs="Arial" w:eastAsia="Arial" w:hAnsi="Arial"/>
                <w:sz w:val="12"/>
                <w:szCs w:val="12"/>
                <w:color w:val="auto"/>
              </w:rPr>
              <w:t>Restricted cash</w:t>
            </w:r>
          </w:p>
        </w:tc>
        <w:tc>
          <w:tcPr>
            <w:tcW w:w="552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1,229</w:t>
            </w:r>
          </w:p>
        </w:tc>
        <w:tc>
          <w:tcPr>
            <w:tcW w:w="120" w:type="dxa"/>
            <w:vAlign w:val="bottom"/>
            <w:shd w:val="clear" w:color="auto" w:fill="CFF0FC"/>
          </w:tcPr>
          <w:p>
            <w:pPr>
              <w:spacing w:after="0"/>
              <w:rPr>
                <w:sz w:val="13"/>
                <w:szCs w:val="13"/>
                <w:color w:val="auto"/>
              </w:rPr>
            </w:pPr>
          </w:p>
        </w:tc>
      </w:tr>
      <w:tr>
        <w:trPr>
          <w:trHeight w:val="153"/>
        </w:trPr>
        <w:tc>
          <w:tcPr>
            <w:tcW w:w="3920" w:type="dxa"/>
            <w:vAlign w:val="bottom"/>
          </w:tcPr>
          <w:p>
            <w:pPr>
              <w:ind w:left="160"/>
              <w:spacing w:after="0"/>
              <w:rPr>
                <w:sz w:val="20"/>
                <w:szCs w:val="20"/>
                <w:color w:val="auto"/>
              </w:rPr>
            </w:pPr>
            <w:r>
              <w:rPr>
                <w:rFonts w:ascii="Arial" w:cs="Arial" w:eastAsia="Arial" w:hAnsi="Arial"/>
                <w:sz w:val="12"/>
                <w:szCs w:val="12"/>
                <w:color w:val="auto"/>
              </w:rPr>
              <w:t>Accounts receivable</w:t>
            </w:r>
          </w:p>
        </w:tc>
        <w:tc>
          <w:tcPr>
            <w:tcW w:w="55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50,909</w:t>
            </w:r>
          </w:p>
        </w:tc>
        <w:tc>
          <w:tcPr>
            <w:tcW w:w="120" w:type="dxa"/>
            <w:vAlign w:val="bottom"/>
          </w:tcPr>
          <w:p>
            <w:pPr>
              <w:spacing w:after="0"/>
              <w:rPr>
                <w:sz w:val="13"/>
                <w:szCs w:val="13"/>
                <w:color w:val="auto"/>
              </w:rPr>
            </w:pPr>
          </w:p>
        </w:tc>
      </w:tr>
      <w:tr>
        <w:trPr>
          <w:trHeight w:val="153"/>
        </w:trPr>
        <w:tc>
          <w:tcPr>
            <w:tcW w:w="3920" w:type="dxa"/>
            <w:vAlign w:val="bottom"/>
            <w:shd w:val="clear" w:color="auto" w:fill="CFF0FC"/>
          </w:tcPr>
          <w:p>
            <w:pPr>
              <w:ind w:left="160"/>
              <w:spacing w:after="0"/>
              <w:rPr>
                <w:sz w:val="20"/>
                <w:szCs w:val="20"/>
                <w:color w:val="auto"/>
              </w:rPr>
            </w:pPr>
            <w:r>
              <w:rPr>
                <w:rFonts w:ascii="Arial" w:cs="Arial" w:eastAsia="Arial" w:hAnsi="Arial"/>
                <w:sz w:val="12"/>
                <w:szCs w:val="12"/>
                <w:color w:val="auto"/>
              </w:rPr>
              <w:t>Prepaid expenses and other current assets</w:t>
            </w:r>
          </w:p>
        </w:tc>
        <w:tc>
          <w:tcPr>
            <w:tcW w:w="552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7,764</w:t>
            </w:r>
          </w:p>
        </w:tc>
        <w:tc>
          <w:tcPr>
            <w:tcW w:w="120" w:type="dxa"/>
            <w:vAlign w:val="bottom"/>
            <w:shd w:val="clear" w:color="auto" w:fill="CFF0FC"/>
          </w:tcPr>
          <w:p>
            <w:pPr>
              <w:spacing w:after="0"/>
              <w:rPr>
                <w:sz w:val="13"/>
                <w:szCs w:val="13"/>
                <w:color w:val="auto"/>
              </w:rPr>
            </w:pPr>
          </w:p>
        </w:tc>
      </w:tr>
      <w:tr>
        <w:trPr>
          <w:trHeight w:val="153"/>
        </w:trPr>
        <w:tc>
          <w:tcPr>
            <w:tcW w:w="3920" w:type="dxa"/>
            <w:vAlign w:val="bottom"/>
          </w:tcPr>
          <w:p>
            <w:pPr>
              <w:ind w:left="160"/>
              <w:spacing w:after="0"/>
              <w:rPr>
                <w:sz w:val="20"/>
                <w:szCs w:val="20"/>
                <w:color w:val="auto"/>
              </w:rPr>
            </w:pPr>
            <w:r>
              <w:rPr>
                <w:rFonts w:ascii="Arial" w:cs="Arial" w:eastAsia="Arial" w:hAnsi="Arial"/>
                <w:sz w:val="12"/>
                <w:szCs w:val="12"/>
                <w:color w:val="auto"/>
              </w:rPr>
              <w:t>Installation and service parts</w:t>
            </w:r>
          </w:p>
        </w:tc>
        <w:tc>
          <w:tcPr>
            <w:tcW w:w="55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9,110</w:t>
            </w:r>
          </w:p>
        </w:tc>
        <w:tc>
          <w:tcPr>
            <w:tcW w:w="120" w:type="dxa"/>
            <w:vAlign w:val="bottom"/>
          </w:tcPr>
          <w:p>
            <w:pPr>
              <w:spacing w:after="0"/>
              <w:rPr>
                <w:sz w:val="13"/>
                <w:szCs w:val="13"/>
                <w:color w:val="auto"/>
              </w:rPr>
            </w:pPr>
          </w:p>
        </w:tc>
      </w:tr>
      <w:tr>
        <w:trPr>
          <w:trHeight w:val="153"/>
        </w:trPr>
        <w:tc>
          <w:tcPr>
            <w:tcW w:w="3920" w:type="dxa"/>
            <w:vAlign w:val="bottom"/>
            <w:shd w:val="clear" w:color="auto" w:fill="CFF0FC"/>
          </w:tcPr>
          <w:p>
            <w:pPr>
              <w:ind w:left="160"/>
              <w:spacing w:after="0"/>
              <w:rPr>
                <w:sz w:val="20"/>
                <w:szCs w:val="20"/>
                <w:color w:val="auto"/>
              </w:rPr>
            </w:pPr>
            <w:r>
              <w:rPr>
                <w:rFonts w:ascii="Arial" w:cs="Arial" w:eastAsia="Arial" w:hAnsi="Arial"/>
                <w:sz w:val="12"/>
                <w:szCs w:val="12"/>
                <w:color w:val="auto"/>
              </w:rPr>
              <w:t>Property and equipment</w:t>
            </w:r>
          </w:p>
        </w:tc>
        <w:tc>
          <w:tcPr>
            <w:tcW w:w="552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64,597</w:t>
            </w:r>
          </w:p>
        </w:tc>
        <w:tc>
          <w:tcPr>
            <w:tcW w:w="120" w:type="dxa"/>
            <w:vAlign w:val="bottom"/>
            <w:shd w:val="clear" w:color="auto" w:fill="CFF0FC"/>
          </w:tcPr>
          <w:p>
            <w:pPr>
              <w:spacing w:after="0"/>
              <w:rPr>
                <w:sz w:val="13"/>
                <w:szCs w:val="13"/>
                <w:color w:val="auto"/>
              </w:rPr>
            </w:pPr>
          </w:p>
        </w:tc>
      </w:tr>
      <w:tr>
        <w:trPr>
          <w:trHeight w:val="153"/>
        </w:trPr>
        <w:tc>
          <w:tcPr>
            <w:tcW w:w="3920" w:type="dxa"/>
            <w:vAlign w:val="bottom"/>
          </w:tcPr>
          <w:p>
            <w:pPr>
              <w:ind w:left="160"/>
              <w:spacing w:after="0"/>
              <w:rPr>
                <w:sz w:val="20"/>
                <w:szCs w:val="20"/>
                <w:color w:val="auto"/>
              </w:rPr>
            </w:pPr>
            <w:r>
              <w:rPr>
                <w:rFonts w:ascii="Arial" w:cs="Arial" w:eastAsia="Arial" w:hAnsi="Arial"/>
                <w:sz w:val="12"/>
                <w:szCs w:val="12"/>
                <w:color w:val="auto"/>
              </w:rPr>
              <w:t>Goodwill</w:t>
            </w:r>
          </w:p>
        </w:tc>
        <w:tc>
          <w:tcPr>
            <w:tcW w:w="55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294,414</w:t>
            </w:r>
          </w:p>
        </w:tc>
        <w:tc>
          <w:tcPr>
            <w:tcW w:w="120" w:type="dxa"/>
            <w:vAlign w:val="bottom"/>
          </w:tcPr>
          <w:p>
            <w:pPr>
              <w:spacing w:after="0"/>
              <w:rPr>
                <w:sz w:val="13"/>
                <w:szCs w:val="13"/>
                <w:color w:val="auto"/>
              </w:rPr>
            </w:pPr>
          </w:p>
        </w:tc>
      </w:tr>
      <w:tr>
        <w:trPr>
          <w:trHeight w:val="153"/>
        </w:trPr>
        <w:tc>
          <w:tcPr>
            <w:tcW w:w="3920" w:type="dxa"/>
            <w:vAlign w:val="bottom"/>
            <w:shd w:val="clear" w:color="auto" w:fill="CFF0FC"/>
          </w:tcPr>
          <w:p>
            <w:pPr>
              <w:ind w:left="160"/>
              <w:spacing w:after="0"/>
              <w:rPr>
                <w:sz w:val="20"/>
                <w:szCs w:val="20"/>
                <w:color w:val="auto"/>
              </w:rPr>
            </w:pPr>
            <w:r>
              <w:rPr>
                <w:rFonts w:ascii="Arial" w:cs="Arial" w:eastAsia="Arial" w:hAnsi="Arial"/>
                <w:sz w:val="12"/>
                <w:szCs w:val="12"/>
                <w:color w:val="auto"/>
              </w:rPr>
              <w:t>Intangible assets</w:t>
            </w:r>
          </w:p>
        </w:tc>
        <w:tc>
          <w:tcPr>
            <w:tcW w:w="552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222,500</w:t>
            </w:r>
          </w:p>
        </w:tc>
        <w:tc>
          <w:tcPr>
            <w:tcW w:w="120" w:type="dxa"/>
            <w:vAlign w:val="bottom"/>
            <w:shd w:val="clear" w:color="auto" w:fill="CFF0FC"/>
          </w:tcPr>
          <w:p>
            <w:pPr>
              <w:spacing w:after="0"/>
              <w:rPr>
                <w:sz w:val="13"/>
                <w:szCs w:val="13"/>
                <w:color w:val="auto"/>
              </w:rPr>
            </w:pPr>
          </w:p>
        </w:tc>
      </w:tr>
      <w:tr>
        <w:trPr>
          <w:trHeight w:val="153"/>
        </w:trPr>
        <w:tc>
          <w:tcPr>
            <w:tcW w:w="3920" w:type="dxa"/>
            <w:vAlign w:val="bottom"/>
            <w:tcBorders>
              <w:bottom w:val="single" w:sz="8" w:color="CFF0FC"/>
            </w:tcBorders>
          </w:tcPr>
          <w:p>
            <w:pPr>
              <w:ind w:left="160"/>
              <w:spacing w:after="0"/>
              <w:rPr>
                <w:sz w:val="20"/>
                <w:szCs w:val="20"/>
                <w:color w:val="auto"/>
              </w:rPr>
            </w:pPr>
            <w:r>
              <w:rPr>
                <w:rFonts w:ascii="Arial" w:cs="Arial" w:eastAsia="Arial" w:hAnsi="Arial"/>
                <w:sz w:val="12"/>
                <w:szCs w:val="12"/>
                <w:color w:val="auto"/>
              </w:rPr>
              <w:t>Other non-current assets</w:t>
            </w:r>
          </w:p>
        </w:tc>
        <w:tc>
          <w:tcPr>
            <w:tcW w:w="5520" w:type="dxa"/>
            <w:vAlign w:val="bottom"/>
            <w:tcBorders>
              <w:bottom w:val="single" w:sz="8" w:color="CFF0FC"/>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1,123</w:t>
            </w:r>
          </w:p>
        </w:tc>
        <w:tc>
          <w:tcPr>
            <w:tcW w:w="120" w:type="dxa"/>
            <w:vAlign w:val="bottom"/>
            <w:tcBorders>
              <w:bottom w:val="single" w:sz="8" w:color="CFF0FC"/>
            </w:tcBorders>
          </w:tcPr>
          <w:p>
            <w:pPr>
              <w:spacing w:after="0"/>
              <w:rPr>
                <w:sz w:val="13"/>
                <w:szCs w:val="13"/>
                <w:color w:val="auto"/>
              </w:rPr>
            </w:pPr>
          </w:p>
        </w:tc>
      </w:tr>
      <w:tr>
        <w:trPr>
          <w:trHeight w:val="142"/>
        </w:trPr>
        <w:tc>
          <w:tcPr>
            <w:tcW w:w="3920" w:type="dxa"/>
            <w:vAlign w:val="bottom"/>
            <w:shd w:val="clear" w:color="auto" w:fill="CFF0FC"/>
          </w:tcPr>
          <w:p>
            <w:pPr>
              <w:spacing w:after="0"/>
              <w:rPr>
                <w:sz w:val="20"/>
                <w:szCs w:val="20"/>
                <w:color w:val="auto"/>
              </w:rPr>
            </w:pPr>
            <w:r>
              <w:rPr>
                <w:rFonts w:ascii="Arial" w:cs="Arial" w:eastAsia="Arial" w:hAnsi="Arial"/>
                <w:sz w:val="12"/>
                <w:szCs w:val="12"/>
                <w:color w:val="auto"/>
              </w:rPr>
              <w:t>Total assets acquired</w:t>
            </w:r>
          </w:p>
        </w:tc>
        <w:tc>
          <w:tcPr>
            <w:tcW w:w="55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660,758</w:t>
            </w:r>
          </w:p>
        </w:tc>
        <w:tc>
          <w:tcPr>
            <w:tcW w:w="120" w:type="dxa"/>
            <w:vAlign w:val="bottom"/>
            <w:shd w:val="clear" w:color="auto" w:fill="CFF0FC"/>
          </w:tcPr>
          <w:p>
            <w:pPr>
              <w:spacing w:after="0"/>
              <w:rPr>
                <w:sz w:val="12"/>
                <w:szCs w:val="12"/>
                <w:color w:val="auto"/>
              </w:rPr>
            </w:pPr>
          </w:p>
        </w:tc>
      </w:tr>
      <w:tr>
        <w:trPr>
          <w:trHeight w:val="153"/>
        </w:trPr>
        <w:tc>
          <w:tcPr>
            <w:tcW w:w="3920" w:type="dxa"/>
            <w:vAlign w:val="bottom"/>
          </w:tcPr>
          <w:p>
            <w:pPr>
              <w:spacing w:after="0"/>
              <w:rPr>
                <w:sz w:val="13"/>
                <w:szCs w:val="13"/>
                <w:color w:val="auto"/>
              </w:rPr>
            </w:pPr>
          </w:p>
        </w:tc>
        <w:tc>
          <w:tcPr>
            <w:tcW w:w="55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53"/>
        </w:trPr>
        <w:tc>
          <w:tcPr>
            <w:tcW w:w="3920" w:type="dxa"/>
            <w:vAlign w:val="bottom"/>
            <w:shd w:val="clear" w:color="auto" w:fill="CFF0FC"/>
          </w:tcPr>
          <w:p>
            <w:pPr>
              <w:spacing w:after="0"/>
              <w:rPr>
                <w:sz w:val="20"/>
                <w:szCs w:val="20"/>
                <w:color w:val="auto"/>
              </w:rPr>
            </w:pPr>
            <w:r>
              <w:rPr>
                <w:rFonts w:ascii="Arial" w:cs="Arial" w:eastAsia="Arial" w:hAnsi="Arial"/>
                <w:sz w:val="12"/>
                <w:szCs w:val="12"/>
                <w:color w:val="auto"/>
              </w:rPr>
              <w:t>Liabilities assumed</w:t>
            </w:r>
          </w:p>
        </w:tc>
        <w:tc>
          <w:tcPr>
            <w:tcW w:w="552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53"/>
        </w:trPr>
        <w:tc>
          <w:tcPr>
            <w:tcW w:w="3920" w:type="dxa"/>
            <w:vAlign w:val="bottom"/>
          </w:tcPr>
          <w:p>
            <w:pPr>
              <w:ind w:left="160"/>
              <w:spacing w:after="0"/>
              <w:rPr>
                <w:sz w:val="20"/>
                <w:szCs w:val="20"/>
                <w:color w:val="auto"/>
              </w:rPr>
            </w:pPr>
            <w:r>
              <w:rPr>
                <w:rFonts w:ascii="Arial" w:cs="Arial" w:eastAsia="Arial" w:hAnsi="Arial"/>
                <w:sz w:val="12"/>
                <w:szCs w:val="12"/>
                <w:color w:val="auto"/>
              </w:rPr>
              <w:t>Accounts payable and accrued expenses</w:t>
            </w:r>
          </w:p>
        </w:tc>
        <w:tc>
          <w:tcPr>
            <w:tcW w:w="55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22,565</w:t>
            </w:r>
          </w:p>
        </w:tc>
        <w:tc>
          <w:tcPr>
            <w:tcW w:w="120" w:type="dxa"/>
            <w:vAlign w:val="bottom"/>
          </w:tcPr>
          <w:p>
            <w:pPr>
              <w:spacing w:after="0"/>
              <w:rPr>
                <w:sz w:val="13"/>
                <w:szCs w:val="13"/>
                <w:color w:val="auto"/>
              </w:rPr>
            </w:pPr>
          </w:p>
        </w:tc>
      </w:tr>
      <w:tr>
        <w:trPr>
          <w:trHeight w:val="153"/>
        </w:trPr>
        <w:tc>
          <w:tcPr>
            <w:tcW w:w="3920" w:type="dxa"/>
            <w:vAlign w:val="bottom"/>
            <w:shd w:val="clear" w:color="auto" w:fill="CFF0FC"/>
          </w:tcPr>
          <w:p>
            <w:pPr>
              <w:ind w:left="160"/>
              <w:spacing w:after="0"/>
              <w:rPr>
                <w:sz w:val="20"/>
                <w:szCs w:val="20"/>
                <w:color w:val="auto"/>
              </w:rPr>
            </w:pPr>
            <w:r>
              <w:rPr>
                <w:rFonts w:ascii="Arial" w:cs="Arial" w:eastAsia="Arial" w:hAnsi="Arial"/>
                <w:sz w:val="12"/>
                <w:szCs w:val="12"/>
                <w:color w:val="auto"/>
              </w:rPr>
              <w:t>Other long-term liabilities</w:t>
            </w:r>
          </w:p>
        </w:tc>
        <w:tc>
          <w:tcPr>
            <w:tcW w:w="552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9,310</w:t>
            </w:r>
          </w:p>
        </w:tc>
        <w:tc>
          <w:tcPr>
            <w:tcW w:w="120" w:type="dxa"/>
            <w:vAlign w:val="bottom"/>
            <w:shd w:val="clear" w:color="auto" w:fill="CFF0FC"/>
          </w:tcPr>
          <w:p>
            <w:pPr>
              <w:spacing w:after="0"/>
              <w:rPr>
                <w:sz w:val="13"/>
                <w:szCs w:val="13"/>
                <w:color w:val="auto"/>
              </w:rPr>
            </w:pPr>
          </w:p>
        </w:tc>
      </w:tr>
      <w:tr>
        <w:trPr>
          <w:trHeight w:val="153"/>
        </w:trPr>
        <w:tc>
          <w:tcPr>
            <w:tcW w:w="3920" w:type="dxa"/>
            <w:vAlign w:val="bottom"/>
            <w:tcBorders>
              <w:bottom w:val="single" w:sz="8" w:color="CFF0FC"/>
            </w:tcBorders>
          </w:tcPr>
          <w:p>
            <w:pPr>
              <w:ind w:left="160"/>
              <w:spacing w:after="0"/>
              <w:rPr>
                <w:sz w:val="20"/>
                <w:szCs w:val="20"/>
                <w:color w:val="auto"/>
              </w:rPr>
            </w:pPr>
            <w:r>
              <w:rPr>
                <w:rFonts w:ascii="Arial" w:cs="Arial" w:eastAsia="Arial" w:hAnsi="Arial"/>
                <w:sz w:val="12"/>
                <w:szCs w:val="12"/>
                <w:color w:val="auto"/>
              </w:rPr>
              <w:t>Deferred tax liability</w:t>
            </w:r>
          </w:p>
        </w:tc>
        <w:tc>
          <w:tcPr>
            <w:tcW w:w="5520" w:type="dxa"/>
            <w:vAlign w:val="bottom"/>
            <w:tcBorders>
              <w:bottom w:val="single" w:sz="8" w:color="CFF0FC"/>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80,688</w:t>
            </w:r>
          </w:p>
        </w:tc>
        <w:tc>
          <w:tcPr>
            <w:tcW w:w="120" w:type="dxa"/>
            <w:vAlign w:val="bottom"/>
            <w:tcBorders>
              <w:bottom w:val="single" w:sz="8" w:color="CFF0FC"/>
            </w:tcBorders>
          </w:tcPr>
          <w:p>
            <w:pPr>
              <w:spacing w:after="0"/>
              <w:rPr>
                <w:sz w:val="13"/>
                <w:szCs w:val="13"/>
                <w:color w:val="auto"/>
              </w:rPr>
            </w:pPr>
          </w:p>
        </w:tc>
      </w:tr>
      <w:tr>
        <w:trPr>
          <w:trHeight w:val="142"/>
        </w:trPr>
        <w:tc>
          <w:tcPr>
            <w:tcW w:w="3920" w:type="dxa"/>
            <w:vAlign w:val="bottom"/>
            <w:shd w:val="clear" w:color="auto" w:fill="CFF0FC"/>
          </w:tcPr>
          <w:p>
            <w:pPr>
              <w:spacing w:after="0"/>
              <w:rPr>
                <w:sz w:val="20"/>
                <w:szCs w:val="20"/>
                <w:color w:val="auto"/>
              </w:rPr>
            </w:pPr>
            <w:r>
              <w:rPr>
                <w:rFonts w:ascii="Arial" w:cs="Arial" w:eastAsia="Arial" w:hAnsi="Arial"/>
                <w:sz w:val="12"/>
                <w:szCs w:val="12"/>
                <w:color w:val="auto"/>
              </w:rPr>
              <w:t>Total liabilities assumed</w:t>
            </w:r>
          </w:p>
        </w:tc>
        <w:tc>
          <w:tcPr>
            <w:tcW w:w="5520" w:type="dxa"/>
            <w:vAlign w:val="bottom"/>
            <w:shd w:val="clear" w:color="auto" w:fill="CFF0FC"/>
          </w:tcPr>
          <w:p>
            <w:pPr>
              <w:spacing w:after="0"/>
              <w:rPr>
                <w:sz w:val="12"/>
                <w:szCs w:val="12"/>
                <w:color w:val="auto"/>
              </w:rPr>
            </w:pPr>
          </w:p>
        </w:tc>
        <w:tc>
          <w:tcPr>
            <w:tcW w:w="800" w:type="dxa"/>
            <w:vAlign w:val="bottom"/>
            <w:tcBorders>
              <w:bottom w:val="single" w:sz="8" w:color="auto"/>
            </w:tcBorders>
            <w:shd w:val="clear" w:color="auto" w:fill="CFF0FC"/>
          </w:tcPr>
          <w:p>
            <w:pPr>
              <w:spacing w:after="0"/>
              <w:rPr>
                <w:sz w:val="12"/>
                <w:szCs w:val="12"/>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112,563</w:t>
            </w:r>
          </w:p>
        </w:tc>
        <w:tc>
          <w:tcPr>
            <w:tcW w:w="120" w:type="dxa"/>
            <w:vAlign w:val="bottom"/>
            <w:shd w:val="clear" w:color="auto" w:fill="CFF0FC"/>
          </w:tcPr>
          <w:p>
            <w:pPr>
              <w:spacing w:after="0"/>
              <w:rPr>
                <w:sz w:val="12"/>
                <w:szCs w:val="12"/>
                <w:color w:val="auto"/>
              </w:rPr>
            </w:pPr>
          </w:p>
        </w:tc>
      </w:tr>
      <w:tr>
        <w:trPr>
          <w:trHeight w:val="149"/>
        </w:trPr>
        <w:tc>
          <w:tcPr>
            <w:tcW w:w="3920" w:type="dxa"/>
            <w:vAlign w:val="bottom"/>
          </w:tcPr>
          <w:p>
            <w:pPr>
              <w:spacing w:after="0"/>
              <w:rPr>
                <w:sz w:val="20"/>
                <w:szCs w:val="20"/>
                <w:color w:val="auto"/>
              </w:rPr>
            </w:pPr>
            <w:r>
              <w:rPr>
                <w:rFonts w:ascii="Arial" w:cs="Arial" w:eastAsia="Arial" w:hAnsi="Arial"/>
                <w:sz w:val="12"/>
                <w:szCs w:val="12"/>
                <w:color w:val="auto"/>
              </w:rPr>
              <w:t>Total purchase price</w:t>
            </w:r>
          </w:p>
        </w:tc>
        <w:tc>
          <w:tcPr>
            <w:tcW w:w="6320" w:type="dxa"/>
            <w:vAlign w:val="bottom"/>
            <w:gridSpan w:val="2"/>
          </w:tcPr>
          <w:p>
            <w:pPr>
              <w:jc w:val="right"/>
              <w:ind w:right="740"/>
              <w:spacing w:after="0"/>
              <w:rPr>
                <w:sz w:val="20"/>
                <w:szCs w:val="20"/>
                <w:color w:val="auto"/>
              </w:rPr>
            </w:pPr>
            <w:r>
              <w:rPr>
                <w:rFonts w:ascii="Arial" w:cs="Arial" w:eastAsia="Arial" w:hAnsi="Arial"/>
                <w:sz w:val="12"/>
                <w:szCs w:val="12"/>
                <w:color w:val="auto"/>
              </w:rPr>
              <w:t>$</w:t>
            </w:r>
          </w:p>
        </w:tc>
        <w:tc>
          <w:tcPr>
            <w:tcW w:w="1120" w:type="dxa"/>
            <w:vAlign w:val="bottom"/>
          </w:tcPr>
          <w:p>
            <w:pPr>
              <w:jc w:val="right"/>
              <w:spacing w:after="0"/>
              <w:rPr>
                <w:sz w:val="20"/>
                <w:szCs w:val="20"/>
                <w:color w:val="auto"/>
              </w:rPr>
            </w:pPr>
            <w:r>
              <w:rPr>
                <w:rFonts w:ascii="Arial" w:cs="Arial" w:eastAsia="Arial" w:hAnsi="Arial"/>
                <w:sz w:val="12"/>
                <w:szCs w:val="12"/>
                <w:color w:val="auto"/>
              </w:rPr>
              <w:t>548,195</w:t>
            </w:r>
          </w:p>
        </w:tc>
        <w:tc>
          <w:tcPr>
            <w:tcW w:w="120" w:type="dxa"/>
            <w:vAlign w:val="bottom"/>
          </w:tcPr>
          <w:p>
            <w:pPr>
              <w:spacing w:after="0"/>
              <w:rPr>
                <w:sz w:val="12"/>
                <w:szCs w:val="12"/>
                <w:color w:val="auto"/>
              </w:rPr>
            </w:pPr>
          </w:p>
        </w:tc>
      </w:tr>
      <w:tr>
        <w:trPr>
          <w:trHeight w:val="432"/>
        </w:trPr>
        <w:tc>
          <w:tcPr>
            <w:tcW w:w="3920" w:type="dxa"/>
            <w:vAlign w:val="bottom"/>
          </w:tcPr>
          <w:p>
            <w:pPr>
              <w:spacing w:after="0"/>
              <w:rPr>
                <w:sz w:val="24"/>
                <w:szCs w:val="24"/>
                <w:color w:val="auto"/>
              </w:rPr>
            </w:pPr>
          </w:p>
        </w:tc>
        <w:tc>
          <w:tcPr>
            <w:tcW w:w="5520" w:type="dxa"/>
            <w:vAlign w:val="bottom"/>
          </w:tcPr>
          <w:p>
            <w:pPr>
              <w:jc w:val="right"/>
              <w:ind w:right="3580"/>
              <w:spacing w:after="0"/>
              <w:rPr>
                <w:sz w:val="20"/>
                <w:szCs w:val="20"/>
                <w:color w:val="auto"/>
              </w:rPr>
            </w:pPr>
            <w:r>
              <w:rPr>
                <w:rFonts w:ascii="Arial" w:cs="Arial" w:eastAsia="Arial" w:hAnsi="Arial"/>
                <w:sz w:val="12"/>
                <w:szCs w:val="12"/>
                <w:color w:val="auto"/>
              </w:rPr>
              <w:t>83</w:t>
            </w:r>
          </w:p>
        </w:tc>
        <w:tc>
          <w:tcPr>
            <w:tcW w:w="80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72"/>
        </w:trPr>
        <w:tc>
          <w:tcPr>
            <w:tcW w:w="3920" w:type="dxa"/>
            <w:vAlign w:val="bottom"/>
            <w:tcBorders>
              <w:bottom w:val="single" w:sz="8" w:color="9A9A9A"/>
            </w:tcBorders>
          </w:tcPr>
          <w:p>
            <w:pPr>
              <w:spacing w:after="0"/>
              <w:rPr>
                <w:sz w:val="6"/>
                <w:szCs w:val="6"/>
                <w:color w:val="auto"/>
              </w:rPr>
            </w:pPr>
          </w:p>
        </w:tc>
        <w:tc>
          <w:tcPr>
            <w:tcW w:w="5520" w:type="dxa"/>
            <w:vAlign w:val="bottom"/>
            <w:tcBorders>
              <w:bottom w:val="single" w:sz="8" w:color="9A9A9A"/>
            </w:tcBorders>
          </w:tcPr>
          <w:p>
            <w:pPr>
              <w:spacing w:after="0"/>
              <w:rPr>
                <w:sz w:val="6"/>
                <w:szCs w:val="6"/>
                <w:color w:val="auto"/>
              </w:rPr>
            </w:pPr>
          </w:p>
        </w:tc>
        <w:tc>
          <w:tcPr>
            <w:tcW w:w="800" w:type="dxa"/>
            <w:vAlign w:val="bottom"/>
            <w:tcBorders>
              <w:bottom w:val="single" w:sz="8" w:color="9A9A9A"/>
            </w:tcBorders>
          </w:tcPr>
          <w:p>
            <w:pPr>
              <w:spacing w:after="0"/>
              <w:rPr>
                <w:sz w:val="6"/>
                <w:szCs w:val="6"/>
                <w:color w:val="auto"/>
              </w:rPr>
            </w:pPr>
          </w:p>
        </w:tc>
        <w:tc>
          <w:tcPr>
            <w:tcW w:w="112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7273925</wp:posOffset>
            </wp:positionH>
            <wp:positionV relativeFrom="paragraph">
              <wp:posOffset>-23495</wp:posOffset>
            </wp:positionV>
            <wp:extent cx="31115" cy="3683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-23495</wp:posOffset>
            </wp:positionV>
            <wp:extent cx="31115" cy="3683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488"/>
          </w:cols>
          <w:pgMar w:left="212" w:top="487" w:right="199" w:bottom="1440" w:gutter="0" w:footer="0" w:header="0"/>
        </w:sectPr>
      </w:pPr>
    </w:p>
    <w:bookmarkStart w:id="84" w:name="page85"/>
    <w:bookmarkEnd w:id="84"/>
    <w:p>
      <w:pPr>
        <w:ind w:right="40" w:firstLine="602"/>
        <w:spacing w:after="0" w:line="259" w:lineRule="auto"/>
        <w:rPr>
          <w:sz w:val="20"/>
          <w:szCs w:val="20"/>
          <w:color w:val="auto"/>
        </w:rPr>
      </w:pPr>
      <w:r>
        <w:rPr>
          <w:rFonts w:ascii="Arial" w:cs="Arial" w:eastAsia="Arial" w:hAnsi="Arial"/>
          <w:sz w:val="12"/>
          <w:szCs w:val="12"/>
          <w:color w:val="auto"/>
        </w:rPr>
        <w:t>The identifiable intangible assets consist of $24.8 million attributable to trademarks, $13.6 million to non-compete agreements, $99.6 million to customer relationships, and $84.5 million to developed technology. The non-compete values were based on the with-or-without method. The customer relationships value was based on an excess earnings methodology utilizing projected cash flows. The trademark and the developed technology values were based on the relief-from-royalty method. The customer relationships, developed technology, non-compete and trademark intangibles were assigned useful lives of 8.5 years, 5.5 years, 5 years and 10 years, respectively. The Company subsequently adjusted the useful life of the trademark from 10 years to 3.8 years (see Note 6).</w:t>
      </w:r>
    </w:p>
    <w:p>
      <w:pPr>
        <w:spacing w:after="0" w:line="125" w:lineRule="exact"/>
        <w:rPr>
          <w:sz w:val="20"/>
          <w:szCs w:val="20"/>
          <w:color w:val="auto"/>
        </w:rPr>
      </w:pPr>
    </w:p>
    <w:p>
      <w:pPr>
        <w:ind w:right="140" w:firstLine="602"/>
        <w:spacing w:after="0" w:line="276" w:lineRule="auto"/>
        <w:rPr>
          <w:sz w:val="20"/>
          <w:szCs w:val="20"/>
          <w:color w:val="auto"/>
        </w:rPr>
      </w:pPr>
      <w:r>
        <w:rPr>
          <w:rFonts w:ascii="Arial" w:cs="Arial" w:eastAsia="Arial" w:hAnsi="Arial"/>
          <w:sz w:val="12"/>
          <w:szCs w:val="12"/>
          <w:color w:val="auto"/>
        </w:rPr>
        <w:t>The goodwill arising from the ATS Merger was assigned to the Company’s Government Solutions and Commercial Services segments in the amounts of $159.7 million and $134.7 million, respectively. The goodwill consists largely of the expected cash flows and future growth anticipated for the Company. The goodwill is not deductible for tax purposes.</w:t>
      </w:r>
    </w:p>
    <w:p>
      <w:pPr>
        <w:spacing w:after="0" w:line="18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HTA Acquisition</w:t>
      </w:r>
    </w:p>
    <w:p>
      <w:pPr>
        <w:spacing w:after="0" w:line="78" w:lineRule="exact"/>
        <w:rPr>
          <w:sz w:val="20"/>
          <w:szCs w:val="20"/>
          <w:color w:val="auto"/>
        </w:rPr>
      </w:pPr>
    </w:p>
    <w:p>
      <w:pPr>
        <w:ind w:right="40" w:firstLine="602"/>
        <w:spacing w:after="0" w:line="290" w:lineRule="auto"/>
        <w:rPr>
          <w:sz w:val="20"/>
          <w:szCs w:val="20"/>
          <w:color w:val="auto"/>
        </w:rPr>
      </w:pPr>
      <w:r>
        <w:rPr>
          <w:rFonts w:ascii="Arial" w:cs="Arial" w:eastAsia="Arial" w:hAnsi="Arial"/>
          <w:sz w:val="11"/>
          <w:szCs w:val="11"/>
          <w:color w:val="auto"/>
        </w:rPr>
        <w:t>On March 1, 2018, the Company acquired all of the issued and outstanding membership interests of Highway Toll Administration, LLC, and Canada Highway Toll Administration (collectively, “</w:t>
      </w:r>
      <w:r>
        <w:rPr>
          <w:rFonts w:ascii="Arial" w:cs="Arial" w:eastAsia="Arial" w:hAnsi="Arial"/>
          <w:sz w:val="11"/>
          <w:szCs w:val="11"/>
          <w:b w:val="1"/>
          <w:bCs w:val="1"/>
          <w:i w:val="1"/>
          <w:iCs w:val="1"/>
          <w:color w:val="auto"/>
        </w:rPr>
        <w:t>HTA</w:t>
      </w:r>
      <w:r>
        <w:rPr>
          <w:rFonts w:ascii="Arial" w:cs="Arial" w:eastAsia="Arial" w:hAnsi="Arial"/>
          <w:sz w:val="11"/>
          <w:szCs w:val="11"/>
          <w:color w:val="auto"/>
        </w:rPr>
        <w:t>”), pursuant to a unit purchase agreement (the “</w:t>
      </w:r>
      <w:r>
        <w:rPr>
          <w:rFonts w:ascii="Arial" w:cs="Arial" w:eastAsia="Arial" w:hAnsi="Arial"/>
          <w:sz w:val="11"/>
          <w:szCs w:val="11"/>
          <w:b w:val="1"/>
          <w:bCs w:val="1"/>
          <w:i w:val="1"/>
          <w:iCs w:val="1"/>
          <w:color w:val="auto"/>
        </w:rPr>
        <w:t>Unit Agreement</w:t>
      </w:r>
      <w:r>
        <w:rPr>
          <w:rFonts w:ascii="Arial" w:cs="Arial" w:eastAsia="Arial" w:hAnsi="Arial"/>
          <w:sz w:val="11"/>
          <w:szCs w:val="11"/>
          <w:color w:val="auto"/>
        </w:rPr>
        <w:t>”) for a cash purchase price of $525.0 million subject to adjustments set forth in the Unit Agreement which aggregated $9.7 million, a $11.3 million payable to the HTA sellers for certain tax items and the issuance of 5.26 shares of Greenlight common stock resulting in an aggregate purchase price of $603.3 million (the “</w:t>
      </w:r>
      <w:r>
        <w:rPr>
          <w:rFonts w:ascii="Arial" w:cs="Arial" w:eastAsia="Arial" w:hAnsi="Arial"/>
          <w:sz w:val="11"/>
          <w:szCs w:val="11"/>
          <w:b w:val="1"/>
          <w:bCs w:val="1"/>
          <w:i w:val="1"/>
          <w:iCs w:val="1"/>
          <w:color w:val="auto"/>
        </w:rPr>
        <w:t>HTA Acquisition</w:t>
      </w:r>
      <w:r>
        <w:rPr>
          <w:rFonts w:ascii="Arial" w:cs="Arial" w:eastAsia="Arial" w:hAnsi="Arial"/>
          <w:sz w:val="11"/>
          <w:szCs w:val="11"/>
          <w:color w:val="auto"/>
        </w:rPr>
        <w:t>”). The Greenlight shares issued to the Company were determined to have a fair value of $57.3 million. The Company reflected the receipt of the Greenlight common shares as a capital contribution from Parent and then delivered these shares to the HTA sellers as non-cash purchase consideration.</w:t>
      </w:r>
    </w:p>
    <w:p>
      <w:pPr>
        <w:spacing w:after="0" w:line="109" w:lineRule="exact"/>
        <w:rPr>
          <w:sz w:val="20"/>
          <w:szCs w:val="20"/>
          <w:color w:val="auto"/>
        </w:rPr>
      </w:pPr>
    </w:p>
    <w:p>
      <w:pPr>
        <w:ind w:right="140" w:firstLine="602"/>
        <w:spacing w:after="0" w:line="257" w:lineRule="auto"/>
        <w:rPr>
          <w:sz w:val="20"/>
          <w:szCs w:val="20"/>
          <w:color w:val="auto"/>
        </w:rPr>
      </w:pPr>
      <w:r>
        <w:rPr>
          <w:rFonts w:ascii="Arial" w:cs="Arial" w:eastAsia="Arial" w:hAnsi="Arial"/>
          <w:sz w:val="12"/>
          <w:szCs w:val="12"/>
          <w:color w:val="auto"/>
        </w:rPr>
        <w:t>The Company estimated the fair value of the Greenlight common shares issued in connection with this transaction with input from management and a contemporaneous third-party valuation of the Company. Management determined the fair value of Greenlight was the same as the Company as Greenlight’s only holdings were the Company. The valuation advisory firm prepared a valuation report as of March 1, 2018. The assumptions and inputs used in connection with the valuation reflected management’s best estimate of the Company’s business condition, prospects and operating performance on the valuation date. The Company averaged the results of a discounted cash flow analysis, comparable public company analysis and comparable acquisitions analysis to determine an enterprise value of $2.1 billion. The Company then deducted debt of $1.0 billion to arrive at a concluded equity value of $1.1 billion, which was used to derive a per share value.</w:t>
      </w:r>
    </w:p>
    <w:p>
      <w:pPr>
        <w:spacing w:after="0" w:line="126" w:lineRule="exact"/>
        <w:rPr>
          <w:sz w:val="20"/>
          <w:szCs w:val="20"/>
          <w:color w:val="auto"/>
        </w:rPr>
      </w:pPr>
    </w:p>
    <w:p>
      <w:pPr>
        <w:ind w:left="600"/>
        <w:spacing w:after="0"/>
        <w:rPr>
          <w:sz w:val="20"/>
          <w:szCs w:val="20"/>
          <w:color w:val="auto"/>
        </w:rPr>
      </w:pPr>
      <w:r>
        <w:rPr>
          <w:rFonts w:ascii="Arial" w:cs="Arial" w:eastAsia="Arial" w:hAnsi="Arial"/>
          <w:sz w:val="12"/>
          <w:szCs w:val="12"/>
          <w:color w:val="auto"/>
        </w:rPr>
        <w:t>The final allocation of the purchase consideration is summarized as follows:</w:t>
      </w:r>
    </w:p>
    <w:p>
      <w:pPr>
        <w:spacing w:after="0" w:line="199" w:lineRule="exact"/>
        <w:rPr>
          <w:sz w:val="20"/>
          <w:szCs w:val="20"/>
          <w:color w:val="auto"/>
        </w:rPr>
      </w:pPr>
    </w:p>
    <w:p>
      <w:pPr>
        <w:spacing w:after="0"/>
        <w:rPr>
          <w:sz w:val="20"/>
          <w:szCs w:val="20"/>
          <w:color w:val="auto"/>
        </w:rPr>
      </w:pPr>
      <w:r>
        <w:rPr>
          <w:rFonts w:ascii="Arial" w:cs="Arial" w:eastAsia="Arial" w:hAnsi="Arial"/>
          <w:sz w:val="10"/>
          <w:szCs w:val="10"/>
          <w:b w:val="1"/>
          <w:bCs w:val="1"/>
          <w:u w:val="single" w:color="auto"/>
          <w:color w:val="auto"/>
        </w:rPr>
        <w:t>($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0</wp:posOffset>
            </wp:positionV>
            <wp:extent cx="7292340" cy="971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92340" cy="97155"/>
                    </a:xfrm>
                    <a:prstGeom prst="rect">
                      <a:avLst/>
                    </a:prstGeom>
                    <a:noFill/>
                  </pic:spPr>
                </pic:pic>
              </a:graphicData>
            </a:graphic>
          </wp:anchor>
        </w:drawing>
      </w:r>
    </w:p>
    <w:p>
      <w:pPr>
        <w:spacing w:after="0"/>
        <w:rPr>
          <w:sz w:val="20"/>
          <w:szCs w:val="20"/>
          <w:color w:val="auto"/>
        </w:rPr>
      </w:pPr>
      <w:r>
        <w:rPr>
          <w:rFonts w:ascii="Arial" w:cs="Arial" w:eastAsia="Arial" w:hAnsi="Arial"/>
          <w:sz w:val="12"/>
          <w:szCs w:val="12"/>
          <w:color w:val="auto"/>
        </w:rPr>
        <w:t>Assets acquired</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3920" w:type="dxa"/>
            <w:vAlign w:val="bottom"/>
          </w:tcPr>
          <w:p>
            <w:pPr>
              <w:ind w:left="160"/>
              <w:spacing w:after="0"/>
              <w:rPr>
                <w:sz w:val="20"/>
                <w:szCs w:val="20"/>
                <w:color w:val="auto"/>
              </w:rPr>
            </w:pPr>
            <w:r>
              <w:rPr>
                <w:rFonts w:ascii="Arial" w:cs="Arial" w:eastAsia="Arial" w:hAnsi="Arial"/>
                <w:sz w:val="12"/>
                <w:szCs w:val="12"/>
                <w:color w:val="auto"/>
              </w:rPr>
              <w:t>Cash</w:t>
            </w:r>
          </w:p>
        </w:tc>
        <w:tc>
          <w:tcPr>
            <w:tcW w:w="6320" w:type="dxa"/>
            <w:vAlign w:val="bottom"/>
            <w:gridSpan w:val="2"/>
          </w:tcPr>
          <w:p>
            <w:pPr>
              <w:jc w:val="right"/>
              <w:ind w:right="740"/>
              <w:spacing w:after="0"/>
              <w:rPr>
                <w:sz w:val="20"/>
                <w:szCs w:val="20"/>
                <w:color w:val="auto"/>
              </w:rPr>
            </w:pPr>
            <w:r>
              <w:rPr>
                <w:rFonts w:ascii="Arial" w:cs="Arial" w:eastAsia="Arial" w:hAnsi="Arial"/>
                <w:sz w:val="12"/>
                <w:szCs w:val="12"/>
                <w:color w:val="auto"/>
              </w:rPr>
              <w:t>$</w:t>
            </w:r>
          </w:p>
        </w:tc>
        <w:tc>
          <w:tcPr>
            <w:tcW w:w="1120" w:type="dxa"/>
            <w:vAlign w:val="bottom"/>
          </w:tcPr>
          <w:p>
            <w:pPr>
              <w:jc w:val="right"/>
              <w:spacing w:after="0"/>
              <w:rPr>
                <w:sz w:val="20"/>
                <w:szCs w:val="20"/>
                <w:color w:val="auto"/>
              </w:rPr>
            </w:pPr>
            <w:r>
              <w:rPr>
                <w:rFonts w:ascii="Arial" w:cs="Arial" w:eastAsia="Arial" w:hAnsi="Arial"/>
                <w:sz w:val="12"/>
                <w:szCs w:val="12"/>
                <w:color w:val="auto"/>
              </w:rPr>
              <w:t>2,996</w:t>
            </w:r>
          </w:p>
        </w:tc>
        <w:tc>
          <w:tcPr>
            <w:tcW w:w="120" w:type="dxa"/>
            <w:vAlign w:val="bottom"/>
          </w:tcPr>
          <w:p>
            <w:pPr>
              <w:spacing w:after="0"/>
              <w:rPr>
                <w:sz w:val="13"/>
                <w:szCs w:val="13"/>
                <w:color w:val="auto"/>
              </w:rPr>
            </w:pPr>
          </w:p>
        </w:tc>
      </w:tr>
      <w:tr>
        <w:trPr>
          <w:trHeight w:val="153"/>
        </w:trPr>
        <w:tc>
          <w:tcPr>
            <w:tcW w:w="3920" w:type="dxa"/>
            <w:vAlign w:val="bottom"/>
            <w:shd w:val="clear" w:color="auto" w:fill="CFF0FC"/>
          </w:tcPr>
          <w:p>
            <w:pPr>
              <w:ind w:left="160"/>
              <w:spacing w:after="0"/>
              <w:rPr>
                <w:sz w:val="20"/>
                <w:szCs w:val="20"/>
                <w:color w:val="auto"/>
              </w:rPr>
            </w:pPr>
            <w:r>
              <w:rPr>
                <w:rFonts w:ascii="Arial" w:cs="Arial" w:eastAsia="Arial" w:hAnsi="Arial"/>
                <w:sz w:val="12"/>
                <w:szCs w:val="12"/>
                <w:color w:val="auto"/>
              </w:rPr>
              <w:t>Accounts receivable</w:t>
            </w:r>
          </w:p>
        </w:tc>
        <w:tc>
          <w:tcPr>
            <w:tcW w:w="552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10,220</w:t>
            </w:r>
          </w:p>
        </w:tc>
        <w:tc>
          <w:tcPr>
            <w:tcW w:w="120" w:type="dxa"/>
            <w:vAlign w:val="bottom"/>
            <w:shd w:val="clear" w:color="auto" w:fill="CFF0FC"/>
          </w:tcPr>
          <w:p>
            <w:pPr>
              <w:spacing w:after="0"/>
              <w:rPr>
                <w:sz w:val="13"/>
                <w:szCs w:val="13"/>
                <w:color w:val="auto"/>
              </w:rPr>
            </w:pPr>
          </w:p>
        </w:tc>
      </w:tr>
      <w:tr>
        <w:trPr>
          <w:trHeight w:val="153"/>
        </w:trPr>
        <w:tc>
          <w:tcPr>
            <w:tcW w:w="3920" w:type="dxa"/>
            <w:vAlign w:val="bottom"/>
          </w:tcPr>
          <w:p>
            <w:pPr>
              <w:ind w:left="160"/>
              <w:spacing w:after="0"/>
              <w:rPr>
                <w:sz w:val="20"/>
                <w:szCs w:val="20"/>
                <w:color w:val="auto"/>
              </w:rPr>
            </w:pPr>
            <w:r>
              <w:rPr>
                <w:rFonts w:ascii="Arial" w:cs="Arial" w:eastAsia="Arial" w:hAnsi="Arial"/>
                <w:sz w:val="12"/>
                <w:szCs w:val="12"/>
                <w:color w:val="auto"/>
              </w:rPr>
              <w:t>Prepaid expenses and other current assets</w:t>
            </w:r>
          </w:p>
        </w:tc>
        <w:tc>
          <w:tcPr>
            <w:tcW w:w="55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5,266</w:t>
            </w:r>
          </w:p>
        </w:tc>
        <w:tc>
          <w:tcPr>
            <w:tcW w:w="120" w:type="dxa"/>
            <w:vAlign w:val="bottom"/>
          </w:tcPr>
          <w:p>
            <w:pPr>
              <w:spacing w:after="0"/>
              <w:rPr>
                <w:sz w:val="13"/>
                <w:szCs w:val="13"/>
                <w:color w:val="auto"/>
              </w:rPr>
            </w:pPr>
          </w:p>
        </w:tc>
      </w:tr>
      <w:tr>
        <w:trPr>
          <w:trHeight w:val="153"/>
        </w:trPr>
        <w:tc>
          <w:tcPr>
            <w:tcW w:w="3920" w:type="dxa"/>
            <w:vAlign w:val="bottom"/>
            <w:shd w:val="clear" w:color="auto" w:fill="CFF0FC"/>
          </w:tcPr>
          <w:p>
            <w:pPr>
              <w:ind w:left="160"/>
              <w:spacing w:after="0"/>
              <w:rPr>
                <w:sz w:val="20"/>
                <w:szCs w:val="20"/>
                <w:color w:val="auto"/>
              </w:rPr>
            </w:pPr>
            <w:r>
              <w:rPr>
                <w:rFonts w:ascii="Arial" w:cs="Arial" w:eastAsia="Arial" w:hAnsi="Arial"/>
                <w:sz w:val="12"/>
                <w:szCs w:val="12"/>
                <w:color w:val="auto"/>
              </w:rPr>
              <w:t>Installation and service parts</w:t>
            </w:r>
          </w:p>
        </w:tc>
        <w:tc>
          <w:tcPr>
            <w:tcW w:w="552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296</w:t>
            </w:r>
          </w:p>
        </w:tc>
        <w:tc>
          <w:tcPr>
            <w:tcW w:w="120" w:type="dxa"/>
            <w:vAlign w:val="bottom"/>
            <w:shd w:val="clear" w:color="auto" w:fill="CFF0FC"/>
          </w:tcPr>
          <w:p>
            <w:pPr>
              <w:spacing w:after="0"/>
              <w:rPr>
                <w:sz w:val="13"/>
                <w:szCs w:val="13"/>
                <w:color w:val="auto"/>
              </w:rPr>
            </w:pPr>
          </w:p>
        </w:tc>
      </w:tr>
      <w:tr>
        <w:trPr>
          <w:trHeight w:val="153"/>
        </w:trPr>
        <w:tc>
          <w:tcPr>
            <w:tcW w:w="3920" w:type="dxa"/>
            <w:vAlign w:val="bottom"/>
          </w:tcPr>
          <w:p>
            <w:pPr>
              <w:ind w:left="160"/>
              <w:spacing w:after="0"/>
              <w:rPr>
                <w:sz w:val="20"/>
                <w:szCs w:val="20"/>
                <w:color w:val="auto"/>
              </w:rPr>
            </w:pPr>
            <w:r>
              <w:rPr>
                <w:rFonts w:ascii="Arial" w:cs="Arial" w:eastAsia="Arial" w:hAnsi="Arial"/>
                <w:sz w:val="12"/>
                <w:szCs w:val="12"/>
                <w:color w:val="auto"/>
              </w:rPr>
              <w:t>Property and equipment</w:t>
            </w:r>
          </w:p>
        </w:tc>
        <w:tc>
          <w:tcPr>
            <w:tcW w:w="55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996</w:t>
            </w:r>
          </w:p>
        </w:tc>
        <w:tc>
          <w:tcPr>
            <w:tcW w:w="120" w:type="dxa"/>
            <w:vAlign w:val="bottom"/>
          </w:tcPr>
          <w:p>
            <w:pPr>
              <w:spacing w:after="0"/>
              <w:rPr>
                <w:sz w:val="13"/>
                <w:szCs w:val="13"/>
                <w:color w:val="auto"/>
              </w:rPr>
            </w:pPr>
          </w:p>
        </w:tc>
      </w:tr>
      <w:tr>
        <w:trPr>
          <w:trHeight w:val="153"/>
        </w:trPr>
        <w:tc>
          <w:tcPr>
            <w:tcW w:w="3920" w:type="dxa"/>
            <w:vAlign w:val="bottom"/>
            <w:shd w:val="clear" w:color="auto" w:fill="CFF0FC"/>
          </w:tcPr>
          <w:p>
            <w:pPr>
              <w:ind w:left="160"/>
              <w:spacing w:after="0"/>
              <w:rPr>
                <w:sz w:val="20"/>
                <w:szCs w:val="20"/>
                <w:color w:val="auto"/>
              </w:rPr>
            </w:pPr>
            <w:r>
              <w:rPr>
                <w:rFonts w:ascii="Arial" w:cs="Arial" w:eastAsia="Arial" w:hAnsi="Arial"/>
                <w:sz w:val="12"/>
                <w:szCs w:val="12"/>
                <w:color w:val="auto"/>
              </w:rPr>
              <w:t>Customer relationships</w:t>
            </w:r>
          </w:p>
        </w:tc>
        <w:tc>
          <w:tcPr>
            <w:tcW w:w="552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242,500</w:t>
            </w:r>
          </w:p>
        </w:tc>
        <w:tc>
          <w:tcPr>
            <w:tcW w:w="120" w:type="dxa"/>
            <w:vAlign w:val="bottom"/>
            <w:shd w:val="clear" w:color="auto" w:fill="CFF0FC"/>
          </w:tcPr>
          <w:p>
            <w:pPr>
              <w:spacing w:after="0"/>
              <w:rPr>
                <w:sz w:val="13"/>
                <w:szCs w:val="13"/>
                <w:color w:val="auto"/>
              </w:rPr>
            </w:pPr>
          </w:p>
        </w:tc>
      </w:tr>
      <w:tr>
        <w:trPr>
          <w:trHeight w:val="153"/>
        </w:trPr>
        <w:tc>
          <w:tcPr>
            <w:tcW w:w="3920" w:type="dxa"/>
            <w:vAlign w:val="bottom"/>
          </w:tcPr>
          <w:p>
            <w:pPr>
              <w:ind w:left="160"/>
              <w:spacing w:after="0"/>
              <w:rPr>
                <w:sz w:val="20"/>
                <w:szCs w:val="20"/>
                <w:color w:val="auto"/>
              </w:rPr>
            </w:pPr>
            <w:r>
              <w:rPr>
                <w:rFonts w:ascii="Arial" w:cs="Arial" w:eastAsia="Arial" w:hAnsi="Arial"/>
                <w:sz w:val="12"/>
                <w:szCs w:val="12"/>
                <w:color w:val="auto"/>
              </w:rPr>
              <w:t>Developed technology</w:t>
            </w:r>
          </w:p>
        </w:tc>
        <w:tc>
          <w:tcPr>
            <w:tcW w:w="55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72,800</w:t>
            </w:r>
          </w:p>
        </w:tc>
        <w:tc>
          <w:tcPr>
            <w:tcW w:w="120" w:type="dxa"/>
            <w:vAlign w:val="bottom"/>
          </w:tcPr>
          <w:p>
            <w:pPr>
              <w:spacing w:after="0"/>
              <w:rPr>
                <w:sz w:val="13"/>
                <w:szCs w:val="13"/>
                <w:color w:val="auto"/>
              </w:rPr>
            </w:pPr>
          </w:p>
        </w:tc>
      </w:tr>
      <w:tr>
        <w:trPr>
          <w:trHeight w:val="153"/>
        </w:trPr>
        <w:tc>
          <w:tcPr>
            <w:tcW w:w="3920" w:type="dxa"/>
            <w:vAlign w:val="bottom"/>
            <w:shd w:val="clear" w:color="auto" w:fill="CFF0FC"/>
          </w:tcPr>
          <w:p>
            <w:pPr>
              <w:ind w:left="160"/>
              <w:spacing w:after="0"/>
              <w:rPr>
                <w:sz w:val="20"/>
                <w:szCs w:val="20"/>
                <w:color w:val="auto"/>
              </w:rPr>
            </w:pPr>
            <w:r>
              <w:rPr>
                <w:rFonts w:ascii="Arial" w:cs="Arial" w:eastAsia="Arial" w:hAnsi="Arial"/>
                <w:sz w:val="12"/>
                <w:szCs w:val="12"/>
                <w:color w:val="auto"/>
              </w:rPr>
              <w:t>Non-compete agreements</w:t>
            </w:r>
          </w:p>
        </w:tc>
        <w:tc>
          <w:tcPr>
            <w:tcW w:w="552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48,500</w:t>
            </w:r>
          </w:p>
        </w:tc>
        <w:tc>
          <w:tcPr>
            <w:tcW w:w="120" w:type="dxa"/>
            <w:vAlign w:val="bottom"/>
            <w:shd w:val="clear" w:color="auto" w:fill="CFF0FC"/>
          </w:tcPr>
          <w:p>
            <w:pPr>
              <w:spacing w:after="0"/>
              <w:rPr>
                <w:sz w:val="13"/>
                <w:szCs w:val="13"/>
                <w:color w:val="auto"/>
              </w:rPr>
            </w:pPr>
          </w:p>
        </w:tc>
      </w:tr>
      <w:tr>
        <w:trPr>
          <w:trHeight w:val="153"/>
        </w:trPr>
        <w:tc>
          <w:tcPr>
            <w:tcW w:w="3920" w:type="dxa"/>
            <w:vAlign w:val="bottom"/>
          </w:tcPr>
          <w:p>
            <w:pPr>
              <w:ind w:left="160"/>
              <w:spacing w:after="0"/>
              <w:rPr>
                <w:sz w:val="20"/>
                <w:szCs w:val="20"/>
                <w:color w:val="auto"/>
              </w:rPr>
            </w:pPr>
            <w:r>
              <w:rPr>
                <w:rFonts w:ascii="Arial" w:cs="Arial" w:eastAsia="Arial" w:hAnsi="Arial"/>
                <w:sz w:val="12"/>
                <w:szCs w:val="12"/>
                <w:color w:val="auto"/>
              </w:rPr>
              <w:t>Trademark</w:t>
            </w:r>
          </w:p>
        </w:tc>
        <w:tc>
          <w:tcPr>
            <w:tcW w:w="55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5,500</w:t>
            </w:r>
          </w:p>
        </w:tc>
        <w:tc>
          <w:tcPr>
            <w:tcW w:w="120" w:type="dxa"/>
            <w:vAlign w:val="bottom"/>
          </w:tcPr>
          <w:p>
            <w:pPr>
              <w:spacing w:after="0"/>
              <w:rPr>
                <w:sz w:val="13"/>
                <w:szCs w:val="13"/>
                <w:color w:val="auto"/>
              </w:rPr>
            </w:pPr>
          </w:p>
        </w:tc>
      </w:tr>
      <w:tr>
        <w:trPr>
          <w:trHeight w:val="153"/>
        </w:trPr>
        <w:tc>
          <w:tcPr>
            <w:tcW w:w="3920" w:type="dxa"/>
            <w:vAlign w:val="bottom"/>
            <w:shd w:val="clear" w:color="auto" w:fill="CFF0FC"/>
          </w:tcPr>
          <w:p>
            <w:pPr>
              <w:ind w:left="160"/>
              <w:spacing w:after="0"/>
              <w:rPr>
                <w:sz w:val="20"/>
                <w:szCs w:val="20"/>
                <w:color w:val="auto"/>
              </w:rPr>
            </w:pPr>
            <w:r>
              <w:rPr>
                <w:rFonts w:ascii="Arial" w:cs="Arial" w:eastAsia="Arial" w:hAnsi="Arial"/>
                <w:sz w:val="12"/>
                <w:szCs w:val="12"/>
                <w:color w:val="auto"/>
              </w:rPr>
              <w:t>Goodwill</w:t>
            </w:r>
          </w:p>
        </w:tc>
        <w:tc>
          <w:tcPr>
            <w:tcW w:w="5520" w:type="dxa"/>
            <w:vAlign w:val="bottom"/>
            <w:shd w:val="clear" w:color="auto" w:fill="CFF0FC"/>
          </w:tcPr>
          <w:p>
            <w:pPr>
              <w:spacing w:after="0"/>
              <w:rPr>
                <w:sz w:val="13"/>
                <w:szCs w:val="13"/>
                <w:color w:val="auto"/>
              </w:rPr>
            </w:pPr>
          </w:p>
        </w:tc>
        <w:tc>
          <w:tcPr>
            <w:tcW w:w="800" w:type="dxa"/>
            <w:vAlign w:val="bottom"/>
            <w:tcBorders>
              <w:bottom w:val="single" w:sz="8" w:color="auto"/>
            </w:tcBorders>
            <w:shd w:val="clear" w:color="auto" w:fill="CFF0FC"/>
          </w:tcPr>
          <w:p>
            <w:pPr>
              <w:spacing w:after="0"/>
              <w:rPr>
                <w:sz w:val="13"/>
                <w:szCs w:val="13"/>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233,271</w:t>
            </w:r>
          </w:p>
        </w:tc>
        <w:tc>
          <w:tcPr>
            <w:tcW w:w="120" w:type="dxa"/>
            <w:vAlign w:val="bottom"/>
            <w:shd w:val="clear" w:color="auto" w:fill="CFF0FC"/>
          </w:tcPr>
          <w:p>
            <w:pPr>
              <w:spacing w:after="0"/>
              <w:rPr>
                <w:sz w:val="13"/>
                <w:szCs w:val="13"/>
                <w:color w:val="auto"/>
              </w:rPr>
            </w:pPr>
          </w:p>
        </w:tc>
      </w:tr>
      <w:tr>
        <w:trPr>
          <w:trHeight w:val="142"/>
        </w:trPr>
        <w:tc>
          <w:tcPr>
            <w:tcW w:w="3920" w:type="dxa"/>
            <w:vAlign w:val="bottom"/>
          </w:tcPr>
          <w:p>
            <w:pPr>
              <w:spacing w:after="0"/>
              <w:rPr>
                <w:sz w:val="20"/>
                <w:szCs w:val="20"/>
                <w:color w:val="auto"/>
              </w:rPr>
            </w:pPr>
            <w:r>
              <w:rPr>
                <w:rFonts w:ascii="Arial" w:cs="Arial" w:eastAsia="Arial" w:hAnsi="Arial"/>
                <w:sz w:val="12"/>
                <w:szCs w:val="12"/>
                <w:color w:val="auto"/>
              </w:rPr>
              <w:t>Total assets acquired</w:t>
            </w:r>
          </w:p>
        </w:tc>
        <w:tc>
          <w:tcPr>
            <w:tcW w:w="55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622,345</w:t>
            </w:r>
          </w:p>
        </w:tc>
        <w:tc>
          <w:tcPr>
            <w:tcW w:w="120" w:type="dxa"/>
            <w:vAlign w:val="bottom"/>
          </w:tcPr>
          <w:p>
            <w:pPr>
              <w:spacing w:after="0"/>
              <w:rPr>
                <w:sz w:val="12"/>
                <w:szCs w:val="12"/>
                <w:color w:val="auto"/>
              </w:rPr>
            </w:pPr>
          </w:p>
        </w:tc>
      </w:tr>
      <w:tr>
        <w:trPr>
          <w:trHeight w:val="153"/>
        </w:trPr>
        <w:tc>
          <w:tcPr>
            <w:tcW w:w="3920" w:type="dxa"/>
            <w:vAlign w:val="bottom"/>
            <w:shd w:val="clear" w:color="auto" w:fill="CFF0FC"/>
          </w:tcPr>
          <w:p>
            <w:pPr>
              <w:spacing w:after="0"/>
              <w:rPr>
                <w:sz w:val="13"/>
                <w:szCs w:val="13"/>
                <w:color w:val="auto"/>
              </w:rPr>
            </w:pPr>
          </w:p>
        </w:tc>
        <w:tc>
          <w:tcPr>
            <w:tcW w:w="552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53"/>
        </w:trPr>
        <w:tc>
          <w:tcPr>
            <w:tcW w:w="3920" w:type="dxa"/>
            <w:vAlign w:val="bottom"/>
          </w:tcPr>
          <w:p>
            <w:pPr>
              <w:spacing w:after="0"/>
              <w:rPr>
                <w:sz w:val="20"/>
                <w:szCs w:val="20"/>
                <w:color w:val="auto"/>
              </w:rPr>
            </w:pPr>
            <w:r>
              <w:rPr>
                <w:rFonts w:ascii="Arial" w:cs="Arial" w:eastAsia="Arial" w:hAnsi="Arial"/>
                <w:sz w:val="12"/>
                <w:szCs w:val="12"/>
                <w:color w:val="auto"/>
              </w:rPr>
              <w:t>Liabilities assumed</w:t>
            </w:r>
          </w:p>
        </w:tc>
        <w:tc>
          <w:tcPr>
            <w:tcW w:w="55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53"/>
        </w:trPr>
        <w:tc>
          <w:tcPr>
            <w:tcW w:w="3920" w:type="dxa"/>
            <w:vAlign w:val="bottom"/>
            <w:shd w:val="clear" w:color="auto" w:fill="CFF0FC"/>
          </w:tcPr>
          <w:p>
            <w:pPr>
              <w:ind w:left="160"/>
              <w:spacing w:after="0"/>
              <w:rPr>
                <w:sz w:val="20"/>
                <w:szCs w:val="20"/>
                <w:color w:val="auto"/>
              </w:rPr>
            </w:pPr>
            <w:r>
              <w:rPr>
                <w:rFonts w:ascii="Arial" w:cs="Arial" w:eastAsia="Arial" w:hAnsi="Arial"/>
                <w:sz w:val="12"/>
                <w:szCs w:val="12"/>
                <w:color w:val="auto"/>
              </w:rPr>
              <w:t>Accounts payable and accrued expenses</w:t>
            </w:r>
          </w:p>
        </w:tc>
        <w:tc>
          <w:tcPr>
            <w:tcW w:w="552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14,268</w:t>
            </w:r>
          </w:p>
        </w:tc>
        <w:tc>
          <w:tcPr>
            <w:tcW w:w="120" w:type="dxa"/>
            <w:vAlign w:val="bottom"/>
            <w:shd w:val="clear" w:color="auto" w:fill="CFF0FC"/>
          </w:tcPr>
          <w:p>
            <w:pPr>
              <w:spacing w:after="0"/>
              <w:rPr>
                <w:sz w:val="13"/>
                <w:szCs w:val="13"/>
                <w:color w:val="auto"/>
              </w:rPr>
            </w:pPr>
          </w:p>
        </w:tc>
      </w:tr>
      <w:tr>
        <w:trPr>
          <w:trHeight w:val="153"/>
        </w:trPr>
        <w:tc>
          <w:tcPr>
            <w:tcW w:w="3920" w:type="dxa"/>
            <w:vAlign w:val="bottom"/>
            <w:tcBorders>
              <w:bottom w:val="single" w:sz="8" w:color="CFF0FC"/>
            </w:tcBorders>
          </w:tcPr>
          <w:p>
            <w:pPr>
              <w:ind w:left="160"/>
              <w:spacing w:after="0"/>
              <w:rPr>
                <w:sz w:val="20"/>
                <w:szCs w:val="20"/>
                <w:color w:val="auto"/>
              </w:rPr>
            </w:pPr>
            <w:r>
              <w:rPr>
                <w:rFonts w:ascii="Arial" w:cs="Arial" w:eastAsia="Arial" w:hAnsi="Arial"/>
                <w:sz w:val="12"/>
                <w:szCs w:val="12"/>
                <w:color w:val="auto"/>
              </w:rPr>
              <w:t>Deferred tax liability</w:t>
            </w:r>
          </w:p>
        </w:tc>
        <w:tc>
          <w:tcPr>
            <w:tcW w:w="5520" w:type="dxa"/>
            <w:vAlign w:val="bottom"/>
            <w:tcBorders>
              <w:bottom w:val="single" w:sz="8" w:color="CFF0FC"/>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4,733</w:t>
            </w:r>
          </w:p>
        </w:tc>
        <w:tc>
          <w:tcPr>
            <w:tcW w:w="120" w:type="dxa"/>
            <w:vAlign w:val="bottom"/>
            <w:tcBorders>
              <w:bottom w:val="single" w:sz="8" w:color="CFF0FC"/>
            </w:tcBorders>
          </w:tcPr>
          <w:p>
            <w:pPr>
              <w:spacing w:after="0"/>
              <w:rPr>
                <w:sz w:val="13"/>
                <w:szCs w:val="13"/>
                <w:color w:val="auto"/>
              </w:rPr>
            </w:pPr>
          </w:p>
        </w:tc>
      </w:tr>
      <w:tr>
        <w:trPr>
          <w:trHeight w:val="142"/>
        </w:trPr>
        <w:tc>
          <w:tcPr>
            <w:tcW w:w="3920" w:type="dxa"/>
            <w:vAlign w:val="bottom"/>
            <w:shd w:val="clear" w:color="auto" w:fill="CFF0FC"/>
          </w:tcPr>
          <w:p>
            <w:pPr>
              <w:spacing w:after="0"/>
              <w:rPr>
                <w:sz w:val="20"/>
                <w:szCs w:val="20"/>
                <w:color w:val="auto"/>
              </w:rPr>
            </w:pPr>
            <w:r>
              <w:rPr>
                <w:rFonts w:ascii="Arial" w:cs="Arial" w:eastAsia="Arial" w:hAnsi="Arial"/>
                <w:sz w:val="12"/>
                <w:szCs w:val="12"/>
                <w:color w:val="auto"/>
              </w:rPr>
              <w:t>Total liabilities assumed</w:t>
            </w:r>
          </w:p>
        </w:tc>
        <w:tc>
          <w:tcPr>
            <w:tcW w:w="5520" w:type="dxa"/>
            <w:vAlign w:val="bottom"/>
            <w:shd w:val="clear" w:color="auto" w:fill="CFF0FC"/>
          </w:tcPr>
          <w:p>
            <w:pPr>
              <w:spacing w:after="0"/>
              <w:rPr>
                <w:sz w:val="12"/>
                <w:szCs w:val="12"/>
                <w:color w:val="auto"/>
              </w:rPr>
            </w:pPr>
          </w:p>
        </w:tc>
        <w:tc>
          <w:tcPr>
            <w:tcW w:w="800" w:type="dxa"/>
            <w:vAlign w:val="bottom"/>
            <w:tcBorders>
              <w:bottom w:val="single" w:sz="8" w:color="auto"/>
            </w:tcBorders>
            <w:shd w:val="clear" w:color="auto" w:fill="CFF0FC"/>
          </w:tcPr>
          <w:p>
            <w:pPr>
              <w:spacing w:after="0"/>
              <w:rPr>
                <w:sz w:val="12"/>
                <w:szCs w:val="12"/>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19,001</w:t>
            </w:r>
          </w:p>
        </w:tc>
        <w:tc>
          <w:tcPr>
            <w:tcW w:w="120" w:type="dxa"/>
            <w:vAlign w:val="bottom"/>
            <w:shd w:val="clear" w:color="auto" w:fill="CFF0FC"/>
          </w:tcPr>
          <w:p>
            <w:pPr>
              <w:spacing w:after="0"/>
              <w:rPr>
                <w:sz w:val="12"/>
                <w:szCs w:val="12"/>
                <w:color w:val="auto"/>
              </w:rPr>
            </w:pPr>
          </w:p>
        </w:tc>
      </w:tr>
      <w:tr>
        <w:trPr>
          <w:trHeight w:val="149"/>
        </w:trPr>
        <w:tc>
          <w:tcPr>
            <w:tcW w:w="3920" w:type="dxa"/>
            <w:vAlign w:val="bottom"/>
          </w:tcPr>
          <w:p>
            <w:pPr>
              <w:spacing w:after="0"/>
              <w:rPr>
                <w:sz w:val="20"/>
                <w:szCs w:val="20"/>
                <w:color w:val="auto"/>
              </w:rPr>
            </w:pPr>
            <w:r>
              <w:rPr>
                <w:rFonts w:ascii="Arial" w:cs="Arial" w:eastAsia="Arial" w:hAnsi="Arial"/>
                <w:sz w:val="12"/>
                <w:szCs w:val="12"/>
                <w:color w:val="auto"/>
              </w:rPr>
              <w:t>Total purchase price</w:t>
            </w:r>
          </w:p>
        </w:tc>
        <w:tc>
          <w:tcPr>
            <w:tcW w:w="6320" w:type="dxa"/>
            <w:vAlign w:val="bottom"/>
            <w:gridSpan w:val="2"/>
          </w:tcPr>
          <w:p>
            <w:pPr>
              <w:jc w:val="right"/>
              <w:ind w:right="740"/>
              <w:spacing w:after="0"/>
              <w:rPr>
                <w:sz w:val="20"/>
                <w:szCs w:val="20"/>
                <w:color w:val="auto"/>
              </w:rPr>
            </w:pPr>
            <w:r>
              <w:rPr>
                <w:rFonts w:ascii="Arial" w:cs="Arial" w:eastAsia="Arial" w:hAnsi="Arial"/>
                <w:sz w:val="12"/>
                <w:szCs w:val="12"/>
                <w:color w:val="auto"/>
              </w:rPr>
              <w:t>$</w:t>
            </w:r>
          </w:p>
        </w:tc>
        <w:tc>
          <w:tcPr>
            <w:tcW w:w="1120" w:type="dxa"/>
            <w:vAlign w:val="bottom"/>
          </w:tcPr>
          <w:p>
            <w:pPr>
              <w:jc w:val="right"/>
              <w:spacing w:after="0"/>
              <w:rPr>
                <w:sz w:val="20"/>
                <w:szCs w:val="20"/>
                <w:color w:val="auto"/>
              </w:rPr>
            </w:pPr>
            <w:r>
              <w:rPr>
                <w:rFonts w:ascii="Arial" w:cs="Arial" w:eastAsia="Arial" w:hAnsi="Arial"/>
                <w:sz w:val="12"/>
                <w:szCs w:val="12"/>
                <w:color w:val="auto"/>
              </w:rPr>
              <w:t>603,344</w:t>
            </w:r>
          </w:p>
        </w:tc>
        <w:tc>
          <w:tcPr>
            <w:tcW w:w="120" w:type="dxa"/>
            <w:vAlign w:val="bottom"/>
          </w:tcPr>
          <w:p>
            <w:pPr>
              <w:spacing w:after="0"/>
              <w:rPr>
                <w:sz w:val="12"/>
                <w:szCs w:val="12"/>
                <w:color w:val="auto"/>
              </w:rPr>
            </w:pPr>
          </w:p>
        </w:tc>
      </w:tr>
      <w:tr>
        <w:trPr>
          <w:trHeight w:val="432"/>
        </w:trPr>
        <w:tc>
          <w:tcPr>
            <w:tcW w:w="3920" w:type="dxa"/>
            <w:vAlign w:val="bottom"/>
          </w:tcPr>
          <w:p>
            <w:pPr>
              <w:spacing w:after="0"/>
              <w:rPr>
                <w:sz w:val="24"/>
                <w:szCs w:val="24"/>
                <w:color w:val="auto"/>
              </w:rPr>
            </w:pPr>
          </w:p>
        </w:tc>
        <w:tc>
          <w:tcPr>
            <w:tcW w:w="5520" w:type="dxa"/>
            <w:vAlign w:val="bottom"/>
          </w:tcPr>
          <w:p>
            <w:pPr>
              <w:jc w:val="right"/>
              <w:ind w:right="3580"/>
              <w:spacing w:after="0"/>
              <w:rPr>
                <w:sz w:val="20"/>
                <w:szCs w:val="20"/>
                <w:color w:val="auto"/>
              </w:rPr>
            </w:pPr>
            <w:r>
              <w:rPr>
                <w:rFonts w:ascii="Arial" w:cs="Arial" w:eastAsia="Arial" w:hAnsi="Arial"/>
                <w:sz w:val="12"/>
                <w:szCs w:val="12"/>
                <w:color w:val="auto"/>
              </w:rPr>
              <w:t>84</w:t>
            </w:r>
          </w:p>
        </w:tc>
        <w:tc>
          <w:tcPr>
            <w:tcW w:w="80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72"/>
        </w:trPr>
        <w:tc>
          <w:tcPr>
            <w:tcW w:w="3920" w:type="dxa"/>
            <w:vAlign w:val="bottom"/>
            <w:tcBorders>
              <w:bottom w:val="single" w:sz="8" w:color="9A9A9A"/>
            </w:tcBorders>
          </w:tcPr>
          <w:p>
            <w:pPr>
              <w:spacing w:after="0"/>
              <w:rPr>
                <w:sz w:val="6"/>
                <w:szCs w:val="6"/>
                <w:color w:val="auto"/>
              </w:rPr>
            </w:pPr>
          </w:p>
        </w:tc>
        <w:tc>
          <w:tcPr>
            <w:tcW w:w="5520" w:type="dxa"/>
            <w:vAlign w:val="bottom"/>
            <w:tcBorders>
              <w:bottom w:val="single" w:sz="8" w:color="9A9A9A"/>
            </w:tcBorders>
          </w:tcPr>
          <w:p>
            <w:pPr>
              <w:spacing w:after="0"/>
              <w:rPr>
                <w:sz w:val="6"/>
                <w:szCs w:val="6"/>
                <w:color w:val="auto"/>
              </w:rPr>
            </w:pPr>
          </w:p>
        </w:tc>
        <w:tc>
          <w:tcPr>
            <w:tcW w:w="800" w:type="dxa"/>
            <w:vAlign w:val="bottom"/>
            <w:tcBorders>
              <w:bottom w:val="single" w:sz="8" w:color="9A9A9A"/>
            </w:tcBorders>
          </w:tcPr>
          <w:p>
            <w:pPr>
              <w:spacing w:after="0"/>
              <w:rPr>
                <w:sz w:val="6"/>
                <w:szCs w:val="6"/>
                <w:color w:val="auto"/>
              </w:rPr>
            </w:pPr>
          </w:p>
        </w:tc>
        <w:tc>
          <w:tcPr>
            <w:tcW w:w="112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7268845</wp:posOffset>
            </wp:positionH>
            <wp:positionV relativeFrom="paragraph">
              <wp:posOffset>-23495</wp:posOffset>
            </wp:positionV>
            <wp:extent cx="31115" cy="3683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480"/>
          </w:cols>
          <w:pgMar w:left="220" w:top="302" w:right="199" w:bottom="1440" w:gutter="0" w:footer="0" w:header="0"/>
        </w:sectPr>
      </w:pPr>
    </w:p>
    <w:bookmarkStart w:id="85" w:name="page86"/>
    <w:bookmarkEnd w:id="85"/>
    <w:p>
      <w:pPr>
        <w:ind w:right="100" w:firstLine="602"/>
        <w:spacing w:after="0" w:line="257" w:lineRule="auto"/>
        <w:rPr>
          <w:sz w:val="20"/>
          <w:szCs w:val="20"/>
          <w:color w:val="auto"/>
        </w:rPr>
      </w:pPr>
      <w:r>
        <w:rPr>
          <w:rFonts w:ascii="Arial" w:cs="Arial" w:eastAsia="Arial" w:hAnsi="Arial"/>
          <w:sz w:val="12"/>
          <w:szCs w:val="12"/>
          <w:color w:val="auto"/>
        </w:rPr>
        <w:t>The excess of cost of the HTA Acquisition over the net amounts assigned to the fair value of the net assets acquired was recorded as goodwill and was assigned to the Company’s Commercial Services segment. The Company made certain immaterial adjustments to the preliminary purchase price allocation resulting in a $1.2 million net reduction to goodwill. The goodwill consists largely of the expected cash flows and future growth anticipated for the Company. Most of the goodwill is expected to be deductible for tax purposes. The customer relationships value was based on an excess earnings methodology utilizing projected cash flows. The non-compete agreement values were based on the with-or-without method. The trademark and the developed technology values were based on a relief-from-royalty method. The customer relationships, developed technology, non-compete and trademark intangibles were assigned useful lives of 9 years, 5.5 years, 5 years and 3 years, respectively.</w:t>
      </w:r>
    </w:p>
    <w:p>
      <w:pPr>
        <w:spacing w:after="0" w:line="144" w:lineRule="exact"/>
        <w:rPr>
          <w:sz w:val="20"/>
          <w:szCs w:val="20"/>
          <w:color w:val="auto"/>
        </w:rPr>
      </w:pPr>
    </w:p>
    <w:p>
      <w:pPr>
        <w:ind w:right="40" w:firstLine="602"/>
        <w:spacing w:after="0" w:line="276" w:lineRule="auto"/>
        <w:rPr>
          <w:sz w:val="20"/>
          <w:szCs w:val="20"/>
          <w:color w:val="auto"/>
        </w:rPr>
      </w:pPr>
      <w:r>
        <w:rPr>
          <w:rFonts w:ascii="Arial" w:cs="Arial" w:eastAsia="Arial" w:hAnsi="Arial"/>
          <w:sz w:val="12"/>
          <w:szCs w:val="12"/>
          <w:color w:val="auto"/>
        </w:rPr>
        <w:t>The Company recognized $15.6 million of costs related to the HTA Acquisition, which were included in Selling, general and administrative expenses in the consolidated statement of operations for fiscal year 2018. These costs consisted of $7.2 million for acquisition services to Platinum Equity Advisors, LLC (“</w:t>
      </w:r>
      <w:r>
        <w:rPr>
          <w:rFonts w:ascii="Arial" w:cs="Arial" w:eastAsia="Arial" w:hAnsi="Arial"/>
          <w:sz w:val="12"/>
          <w:szCs w:val="12"/>
          <w:b w:val="1"/>
          <w:bCs w:val="1"/>
          <w:i w:val="1"/>
          <w:iCs w:val="1"/>
          <w:color w:val="auto"/>
        </w:rPr>
        <w:t>Advisors</w:t>
      </w:r>
      <w:r>
        <w:rPr>
          <w:rFonts w:ascii="Arial" w:cs="Arial" w:eastAsia="Arial" w:hAnsi="Arial"/>
          <w:sz w:val="12"/>
          <w:szCs w:val="12"/>
          <w:color w:val="auto"/>
        </w:rPr>
        <w:t>”) and $8.4 million of professional fees and other expenses related to the transaction.</w:t>
      </w:r>
    </w:p>
    <w:p>
      <w:pPr>
        <w:spacing w:after="0" w:line="18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EPC Acquisition</w:t>
      </w:r>
    </w:p>
    <w:p>
      <w:pPr>
        <w:spacing w:after="0" w:line="78" w:lineRule="exact"/>
        <w:rPr>
          <w:sz w:val="20"/>
          <w:szCs w:val="20"/>
          <w:color w:val="auto"/>
        </w:rPr>
      </w:pPr>
    </w:p>
    <w:p>
      <w:pPr>
        <w:ind w:right="20" w:firstLine="602"/>
        <w:spacing w:after="0" w:line="263" w:lineRule="auto"/>
        <w:rPr>
          <w:sz w:val="20"/>
          <w:szCs w:val="20"/>
          <w:color w:val="auto"/>
        </w:rPr>
      </w:pPr>
      <w:r>
        <w:rPr>
          <w:rFonts w:ascii="Arial" w:cs="Arial" w:eastAsia="Arial" w:hAnsi="Arial"/>
          <w:sz w:val="12"/>
          <w:szCs w:val="12"/>
          <w:color w:val="auto"/>
        </w:rPr>
        <w:t>On April 6, 2018, the Company acquired all of the issued and outstanding capital stock of EPC, pursuant to a stock purchase agreement for purchase consideration of 5.54 shares of Greenlight common stock and working capital adjustments set forth in the stock purchase agreement, which aggregated $2.6 million, resulting in an aggregate purchase price of $62.9 million (the “</w:t>
      </w:r>
      <w:r>
        <w:rPr>
          <w:rFonts w:ascii="Arial" w:cs="Arial" w:eastAsia="Arial" w:hAnsi="Arial"/>
          <w:sz w:val="12"/>
          <w:szCs w:val="12"/>
          <w:b w:val="1"/>
          <w:bCs w:val="1"/>
          <w:i w:val="1"/>
          <w:iCs w:val="1"/>
          <w:color w:val="auto"/>
        </w:rPr>
        <w:t>EPC Acquisition</w:t>
      </w:r>
      <w:r>
        <w:rPr>
          <w:rFonts w:ascii="Arial" w:cs="Arial" w:eastAsia="Arial" w:hAnsi="Arial"/>
          <w:sz w:val="12"/>
          <w:szCs w:val="12"/>
          <w:color w:val="auto"/>
        </w:rPr>
        <w:t>”). The Company reflected the receipt of the Greenlight common shares as a capital contribution from Parent and then delivered these shares to the EPC sellers as non-cash purchase consideration.</w:t>
      </w:r>
    </w:p>
    <w:p>
      <w:pPr>
        <w:spacing w:after="0" w:line="123" w:lineRule="exact"/>
        <w:rPr>
          <w:sz w:val="20"/>
          <w:szCs w:val="20"/>
          <w:color w:val="auto"/>
        </w:rPr>
      </w:pPr>
    </w:p>
    <w:p>
      <w:pPr>
        <w:ind w:right="140" w:firstLine="602"/>
        <w:spacing w:after="0" w:line="257" w:lineRule="auto"/>
        <w:rPr>
          <w:sz w:val="20"/>
          <w:szCs w:val="20"/>
          <w:color w:val="auto"/>
        </w:rPr>
      </w:pPr>
      <w:r>
        <w:rPr>
          <w:rFonts w:ascii="Arial" w:cs="Arial" w:eastAsia="Arial" w:hAnsi="Arial"/>
          <w:sz w:val="12"/>
          <w:szCs w:val="12"/>
          <w:color w:val="auto"/>
        </w:rPr>
        <w:t>The Company estimated the fair value of the Greenlight common shares issued in connection with this transaction with input from management and a contemporaneous third-party valuation of the Company. Management determined the fair value of Greenlight was the same as the Company as Greenlight’s only holdings were the Company. The valuation advisory firm prepared a valuation report as of March 1, 2018. The assumptions and inputs used in connection with the valuation reflected management’s best estimate of the Company’s business condition, prospects and operating performance on the valuation date. The Company averaged the results of a discounted cash flow analysis, comparable public company analysis and comparable acquisitions analysis to determine an enterprise value of $2.1 billion. The Company then deducted debt of $1.0 billion to arrive at a concluded equity value of $1.1 billion, which was used to derive a per share value.</w:t>
      </w:r>
    </w:p>
    <w:p>
      <w:pPr>
        <w:spacing w:after="0" w:line="126" w:lineRule="exact"/>
        <w:rPr>
          <w:sz w:val="20"/>
          <w:szCs w:val="20"/>
          <w:color w:val="auto"/>
        </w:rPr>
      </w:pPr>
    </w:p>
    <w:p>
      <w:pPr>
        <w:ind w:left="600"/>
        <w:spacing w:after="0"/>
        <w:rPr>
          <w:sz w:val="20"/>
          <w:szCs w:val="20"/>
          <w:color w:val="auto"/>
        </w:rPr>
      </w:pPr>
      <w:r>
        <w:rPr>
          <w:rFonts w:ascii="Arial" w:cs="Arial" w:eastAsia="Arial" w:hAnsi="Arial"/>
          <w:sz w:val="12"/>
          <w:szCs w:val="12"/>
          <w:color w:val="auto"/>
        </w:rPr>
        <w:t>The final allocation of the purchase consideration is summarized as follows:</w:t>
      </w:r>
    </w:p>
    <w:p>
      <w:pPr>
        <w:spacing w:after="0" w:line="199" w:lineRule="exact"/>
        <w:rPr>
          <w:sz w:val="20"/>
          <w:szCs w:val="20"/>
          <w:color w:val="auto"/>
        </w:rPr>
      </w:pPr>
    </w:p>
    <w:p>
      <w:pPr>
        <w:spacing w:after="0"/>
        <w:rPr>
          <w:sz w:val="20"/>
          <w:szCs w:val="20"/>
          <w:color w:val="auto"/>
        </w:rPr>
      </w:pPr>
      <w:r>
        <w:rPr>
          <w:rFonts w:ascii="Arial" w:cs="Arial" w:eastAsia="Arial" w:hAnsi="Arial"/>
          <w:sz w:val="10"/>
          <w:szCs w:val="10"/>
          <w:b w:val="1"/>
          <w:bCs w:val="1"/>
          <w:u w:val="single" w:color="auto"/>
          <w:color w:val="auto"/>
        </w:rPr>
        <w:t>($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0</wp:posOffset>
            </wp:positionV>
            <wp:extent cx="7292340" cy="971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92340" cy="97155"/>
                    </a:xfrm>
                    <a:prstGeom prst="rect">
                      <a:avLst/>
                    </a:prstGeom>
                    <a:noFill/>
                  </pic:spPr>
                </pic:pic>
              </a:graphicData>
            </a:graphic>
          </wp:anchor>
        </w:drawing>
      </w:r>
    </w:p>
    <w:p>
      <w:pPr>
        <w:spacing w:after="0"/>
        <w:rPr>
          <w:sz w:val="20"/>
          <w:szCs w:val="20"/>
          <w:color w:val="auto"/>
        </w:rPr>
      </w:pPr>
      <w:r>
        <w:rPr>
          <w:rFonts w:ascii="Arial" w:cs="Arial" w:eastAsia="Arial" w:hAnsi="Arial"/>
          <w:sz w:val="12"/>
          <w:szCs w:val="12"/>
          <w:color w:val="auto"/>
        </w:rPr>
        <w:t>Assets acquired</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3880" w:type="dxa"/>
            <w:vAlign w:val="bottom"/>
          </w:tcPr>
          <w:p>
            <w:pPr>
              <w:ind w:left="160"/>
              <w:spacing w:after="0"/>
              <w:rPr>
                <w:sz w:val="20"/>
                <w:szCs w:val="20"/>
                <w:color w:val="auto"/>
              </w:rPr>
            </w:pPr>
            <w:r>
              <w:rPr>
                <w:rFonts w:ascii="Arial" w:cs="Arial" w:eastAsia="Arial" w:hAnsi="Arial"/>
                <w:sz w:val="12"/>
                <w:szCs w:val="12"/>
                <w:color w:val="auto"/>
              </w:rPr>
              <w:t>Cash</w:t>
            </w:r>
          </w:p>
        </w:tc>
        <w:tc>
          <w:tcPr>
            <w:tcW w:w="6380" w:type="dxa"/>
            <w:vAlign w:val="bottom"/>
            <w:gridSpan w:val="2"/>
          </w:tcPr>
          <w:p>
            <w:pPr>
              <w:jc w:val="right"/>
              <w:ind w:right="760"/>
              <w:spacing w:after="0"/>
              <w:rPr>
                <w:sz w:val="20"/>
                <w:szCs w:val="20"/>
                <w:color w:val="auto"/>
              </w:rPr>
            </w:pPr>
            <w:r>
              <w:rPr>
                <w:rFonts w:ascii="Arial" w:cs="Arial" w:eastAsia="Arial" w:hAnsi="Arial"/>
                <w:sz w:val="12"/>
                <w:szCs w:val="12"/>
                <w:color w:val="auto"/>
              </w:rPr>
              <w:t>$</w:t>
            </w:r>
          </w:p>
        </w:tc>
        <w:tc>
          <w:tcPr>
            <w:tcW w:w="1100" w:type="dxa"/>
            <w:vAlign w:val="bottom"/>
          </w:tcPr>
          <w:p>
            <w:pPr>
              <w:jc w:val="right"/>
              <w:spacing w:after="0"/>
              <w:rPr>
                <w:sz w:val="20"/>
                <w:szCs w:val="20"/>
                <w:color w:val="auto"/>
              </w:rPr>
            </w:pPr>
            <w:r>
              <w:rPr>
                <w:rFonts w:ascii="Arial" w:cs="Arial" w:eastAsia="Arial" w:hAnsi="Arial"/>
                <w:sz w:val="12"/>
                <w:szCs w:val="12"/>
                <w:color w:val="auto"/>
              </w:rPr>
              <w:t>9,029</w:t>
            </w:r>
          </w:p>
        </w:tc>
        <w:tc>
          <w:tcPr>
            <w:tcW w:w="120" w:type="dxa"/>
            <w:vAlign w:val="bottom"/>
          </w:tcPr>
          <w:p>
            <w:pPr>
              <w:spacing w:after="0"/>
              <w:rPr>
                <w:sz w:val="13"/>
                <w:szCs w:val="13"/>
                <w:color w:val="auto"/>
              </w:rPr>
            </w:pPr>
          </w:p>
        </w:tc>
      </w:tr>
      <w:tr>
        <w:trPr>
          <w:trHeight w:val="153"/>
        </w:trPr>
        <w:tc>
          <w:tcPr>
            <w:tcW w:w="3880" w:type="dxa"/>
            <w:vAlign w:val="bottom"/>
            <w:shd w:val="clear" w:color="auto" w:fill="CFF0FC"/>
          </w:tcPr>
          <w:p>
            <w:pPr>
              <w:ind w:left="160"/>
              <w:spacing w:after="0"/>
              <w:rPr>
                <w:sz w:val="20"/>
                <w:szCs w:val="20"/>
                <w:color w:val="auto"/>
              </w:rPr>
            </w:pPr>
            <w:r>
              <w:rPr>
                <w:rFonts w:ascii="Arial" w:cs="Arial" w:eastAsia="Arial" w:hAnsi="Arial"/>
                <w:sz w:val="12"/>
                <w:szCs w:val="12"/>
                <w:color w:val="auto"/>
              </w:rPr>
              <w:t>Other assets</w:t>
            </w:r>
          </w:p>
        </w:tc>
        <w:tc>
          <w:tcPr>
            <w:tcW w:w="556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1,948</w:t>
            </w:r>
          </w:p>
        </w:tc>
        <w:tc>
          <w:tcPr>
            <w:tcW w:w="120" w:type="dxa"/>
            <w:vAlign w:val="bottom"/>
            <w:shd w:val="clear" w:color="auto" w:fill="CFF0FC"/>
          </w:tcPr>
          <w:p>
            <w:pPr>
              <w:spacing w:after="0"/>
              <w:rPr>
                <w:sz w:val="13"/>
                <w:szCs w:val="13"/>
                <w:color w:val="auto"/>
              </w:rPr>
            </w:pPr>
          </w:p>
        </w:tc>
      </w:tr>
      <w:tr>
        <w:trPr>
          <w:trHeight w:val="153"/>
        </w:trPr>
        <w:tc>
          <w:tcPr>
            <w:tcW w:w="3880" w:type="dxa"/>
            <w:vAlign w:val="bottom"/>
          </w:tcPr>
          <w:p>
            <w:pPr>
              <w:ind w:left="160"/>
              <w:spacing w:after="0"/>
              <w:rPr>
                <w:sz w:val="20"/>
                <w:szCs w:val="20"/>
                <w:color w:val="auto"/>
              </w:rPr>
            </w:pPr>
            <w:r>
              <w:rPr>
                <w:rFonts w:ascii="Arial" w:cs="Arial" w:eastAsia="Arial" w:hAnsi="Arial"/>
                <w:sz w:val="12"/>
                <w:szCs w:val="12"/>
                <w:color w:val="auto"/>
              </w:rPr>
              <w:t>Trademark</w:t>
            </w:r>
          </w:p>
        </w:tc>
        <w:tc>
          <w:tcPr>
            <w:tcW w:w="55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1,100</w:t>
            </w:r>
          </w:p>
        </w:tc>
        <w:tc>
          <w:tcPr>
            <w:tcW w:w="120" w:type="dxa"/>
            <w:vAlign w:val="bottom"/>
          </w:tcPr>
          <w:p>
            <w:pPr>
              <w:spacing w:after="0"/>
              <w:rPr>
                <w:sz w:val="13"/>
                <w:szCs w:val="13"/>
                <w:color w:val="auto"/>
              </w:rPr>
            </w:pPr>
          </w:p>
        </w:tc>
      </w:tr>
      <w:tr>
        <w:trPr>
          <w:trHeight w:val="153"/>
        </w:trPr>
        <w:tc>
          <w:tcPr>
            <w:tcW w:w="3880" w:type="dxa"/>
            <w:vAlign w:val="bottom"/>
            <w:shd w:val="clear" w:color="auto" w:fill="CFF0FC"/>
          </w:tcPr>
          <w:p>
            <w:pPr>
              <w:ind w:left="160"/>
              <w:spacing w:after="0"/>
              <w:rPr>
                <w:sz w:val="20"/>
                <w:szCs w:val="20"/>
                <w:color w:val="auto"/>
              </w:rPr>
            </w:pPr>
            <w:r>
              <w:rPr>
                <w:rFonts w:ascii="Arial" w:cs="Arial" w:eastAsia="Arial" w:hAnsi="Arial"/>
                <w:sz w:val="12"/>
                <w:szCs w:val="12"/>
                <w:color w:val="auto"/>
              </w:rPr>
              <w:t>Customer relationships</w:t>
            </w:r>
          </w:p>
        </w:tc>
        <w:tc>
          <w:tcPr>
            <w:tcW w:w="556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19,400</w:t>
            </w:r>
          </w:p>
        </w:tc>
        <w:tc>
          <w:tcPr>
            <w:tcW w:w="120" w:type="dxa"/>
            <w:vAlign w:val="bottom"/>
            <w:shd w:val="clear" w:color="auto" w:fill="CFF0FC"/>
          </w:tcPr>
          <w:p>
            <w:pPr>
              <w:spacing w:after="0"/>
              <w:rPr>
                <w:sz w:val="13"/>
                <w:szCs w:val="13"/>
                <w:color w:val="auto"/>
              </w:rPr>
            </w:pPr>
          </w:p>
        </w:tc>
      </w:tr>
      <w:tr>
        <w:trPr>
          <w:trHeight w:val="153"/>
        </w:trPr>
        <w:tc>
          <w:tcPr>
            <w:tcW w:w="3880" w:type="dxa"/>
            <w:vAlign w:val="bottom"/>
          </w:tcPr>
          <w:p>
            <w:pPr>
              <w:ind w:left="160"/>
              <w:spacing w:after="0"/>
              <w:rPr>
                <w:sz w:val="20"/>
                <w:szCs w:val="20"/>
                <w:color w:val="auto"/>
              </w:rPr>
            </w:pPr>
            <w:r>
              <w:rPr>
                <w:rFonts w:ascii="Arial" w:cs="Arial" w:eastAsia="Arial" w:hAnsi="Arial"/>
                <w:sz w:val="12"/>
                <w:szCs w:val="12"/>
                <w:color w:val="auto"/>
              </w:rPr>
              <w:t>Developed technology</w:t>
            </w:r>
          </w:p>
        </w:tc>
        <w:tc>
          <w:tcPr>
            <w:tcW w:w="55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3,900</w:t>
            </w:r>
          </w:p>
        </w:tc>
        <w:tc>
          <w:tcPr>
            <w:tcW w:w="120" w:type="dxa"/>
            <w:vAlign w:val="bottom"/>
          </w:tcPr>
          <w:p>
            <w:pPr>
              <w:spacing w:after="0"/>
              <w:rPr>
                <w:sz w:val="13"/>
                <w:szCs w:val="13"/>
                <w:color w:val="auto"/>
              </w:rPr>
            </w:pPr>
          </w:p>
        </w:tc>
      </w:tr>
      <w:tr>
        <w:trPr>
          <w:trHeight w:val="153"/>
        </w:trPr>
        <w:tc>
          <w:tcPr>
            <w:tcW w:w="3880" w:type="dxa"/>
            <w:vAlign w:val="bottom"/>
            <w:shd w:val="clear" w:color="auto" w:fill="CFF0FC"/>
          </w:tcPr>
          <w:p>
            <w:pPr>
              <w:ind w:left="160"/>
              <w:spacing w:after="0"/>
              <w:rPr>
                <w:sz w:val="20"/>
                <w:szCs w:val="20"/>
                <w:color w:val="auto"/>
              </w:rPr>
            </w:pPr>
            <w:r>
              <w:rPr>
                <w:rFonts w:ascii="Arial" w:cs="Arial" w:eastAsia="Arial" w:hAnsi="Arial"/>
                <w:sz w:val="12"/>
                <w:szCs w:val="12"/>
                <w:color w:val="auto"/>
              </w:rPr>
              <w:t>Goodwill</w:t>
            </w:r>
          </w:p>
        </w:tc>
        <w:tc>
          <w:tcPr>
            <w:tcW w:w="5560" w:type="dxa"/>
            <w:vAlign w:val="bottom"/>
            <w:shd w:val="clear" w:color="auto" w:fill="CFF0FC"/>
          </w:tcPr>
          <w:p>
            <w:pPr>
              <w:spacing w:after="0"/>
              <w:rPr>
                <w:sz w:val="13"/>
                <w:szCs w:val="13"/>
                <w:color w:val="auto"/>
              </w:rPr>
            </w:pPr>
          </w:p>
        </w:tc>
        <w:tc>
          <w:tcPr>
            <w:tcW w:w="820" w:type="dxa"/>
            <w:vAlign w:val="bottom"/>
            <w:tcBorders>
              <w:bottom w:val="single" w:sz="8" w:color="auto"/>
            </w:tcBorders>
            <w:shd w:val="clear" w:color="auto" w:fill="CFF0FC"/>
          </w:tcPr>
          <w:p>
            <w:pPr>
              <w:spacing w:after="0"/>
              <w:rPr>
                <w:sz w:val="13"/>
                <w:szCs w:val="13"/>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40,826</w:t>
            </w:r>
          </w:p>
        </w:tc>
        <w:tc>
          <w:tcPr>
            <w:tcW w:w="120" w:type="dxa"/>
            <w:vAlign w:val="bottom"/>
            <w:shd w:val="clear" w:color="auto" w:fill="CFF0FC"/>
          </w:tcPr>
          <w:p>
            <w:pPr>
              <w:spacing w:after="0"/>
              <w:rPr>
                <w:sz w:val="13"/>
                <w:szCs w:val="13"/>
                <w:color w:val="auto"/>
              </w:rPr>
            </w:pPr>
          </w:p>
        </w:tc>
      </w:tr>
      <w:tr>
        <w:trPr>
          <w:trHeight w:val="142"/>
        </w:trPr>
        <w:tc>
          <w:tcPr>
            <w:tcW w:w="3880" w:type="dxa"/>
            <w:vAlign w:val="bottom"/>
          </w:tcPr>
          <w:p>
            <w:pPr>
              <w:spacing w:after="0"/>
              <w:rPr>
                <w:sz w:val="20"/>
                <w:szCs w:val="20"/>
                <w:color w:val="auto"/>
              </w:rPr>
            </w:pPr>
            <w:r>
              <w:rPr>
                <w:rFonts w:ascii="Arial" w:cs="Arial" w:eastAsia="Arial" w:hAnsi="Arial"/>
                <w:sz w:val="12"/>
                <w:szCs w:val="12"/>
                <w:color w:val="auto"/>
              </w:rPr>
              <w:t>Total assets acquired</w:t>
            </w:r>
          </w:p>
        </w:tc>
        <w:tc>
          <w:tcPr>
            <w:tcW w:w="55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76,203</w:t>
            </w:r>
          </w:p>
        </w:tc>
        <w:tc>
          <w:tcPr>
            <w:tcW w:w="120" w:type="dxa"/>
            <w:vAlign w:val="bottom"/>
          </w:tcPr>
          <w:p>
            <w:pPr>
              <w:spacing w:after="0"/>
              <w:rPr>
                <w:sz w:val="12"/>
                <w:szCs w:val="12"/>
                <w:color w:val="auto"/>
              </w:rPr>
            </w:pPr>
          </w:p>
        </w:tc>
      </w:tr>
      <w:tr>
        <w:trPr>
          <w:trHeight w:val="153"/>
        </w:trPr>
        <w:tc>
          <w:tcPr>
            <w:tcW w:w="3880" w:type="dxa"/>
            <w:vAlign w:val="bottom"/>
            <w:shd w:val="clear" w:color="auto" w:fill="CFF0FC"/>
          </w:tcPr>
          <w:p>
            <w:pPr>
              <w:spacing w:after="0"/>
              <w:rPr>
                <w:sz w:val="13"/>
                <w:szCs w:val="13"/>
                <w:color w:val="auto"/>
              </w:rPr>
            </w:pPr>
          </w:p>
        </w:tc>
        <w:tc>
          <w:tcPr>
            <w:tcW w:w="556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1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53"/>
        </w:trPr>
        <w:tc>
          <w:tcPr>
            <w:tcW w:w="3880" w:type="dxa"/>
            <w:vAlign w:val="bottom"/>
          </w:tcPr>
          <w:p>
            <w:pPr>
              <w:spacing w:after="0"/>
              <w:rPr>
                <w:sz w:val="20"/>
                <w:szCs w:val="20"/>
                <w:color w:val="auto"/>
              </w:rPr>
            </w:pPr>
            <w:r>
              <w:rPr>
                <w:rFonts w:ascii="Arial" w:cs="Arial" w:eastAsia="Arial" w:hAnsi="Arial"/>
                <w:sz w:val="12"/>
                <w:szCs w:val="12"/>
                <w:color w:val="auto"/>
              </w:rPr>
              <w:t>Liabilities assumed</w:t>
            </w:r>
          </w:p>
        </w:tc>
        <w:tc>
          <w:tcPr>
            <w:tcW w:w="55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53"/>
        </w:trPr>
        <w:tc>
          <w:tcPr>
            <w:tcW w:w="3880" w:type="dxa"/>
            <w:vAlign w:val="bottom"/>
            <w:shd w:val="clear" w:color="auto" w:fill="CFF0FC"/>
          </w:tcPr>
          <w:p>
            <w:pPr>
              <w:ind w:left="160"/>
              <w:spacing w:after="0"/>
              <w:rPr>
                <w:sz w:val="20"/>
                <w:szCs w:val="20"/>
                <w:color w:val="auto"/>
              </w:rPr>
            </w:pPr>
            <w:r>
              <w:rPr>
                <w:rFonts w:ascii="Arial" w:cs="Arial" w:eastAsia="Arial" w:hAnsi="Arial"/>
                <w:sz w:val="12"/>
                <w:szCs w:val="12"/>
                <w:color w:val="auto"/>
              </w:rPr>
              <w:t>Accounts payable and accrued expenses</w:t>
            </w:r>
          </w:p>
        </w:tc>
        <w:tc>
          <w:tcPr>
            <w:tcW w:w="556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8,995</w:t>
            </w:r>
          </w:p>
        </w:tc>
        <w:tc>
          <w:tcPr>
            <w:tcW w:w="120" w:type="dxa"/>
            <w:vAlign w:val="bottom"/>
            <w:shd w:val="clear" w:color="auto" w:fill="CFF0FC"/>
          </w:tcPr>
          <w:p>
            <w:pPr>
              <w:spacing w:after="0"/>
              <w:rPr>
                <w:sz w:val="13"/>
                <w:szCs w:val="13"/>
                <w:color w:val="auto"/>
              </w:rPr>
            </w:pPr>
          </w:p>
        </w:tc>
      </w:tr>
      <w:tr>
        <w:trPr>
          <w:trHeight w:val="153"/>
        </w:trPr>
        <w:tc>
          <w:tcPr>
            <w:tcW w:w="3880" w:type="dxa"/>
            <w:vAlign w:val="bottom"/>
            <w:tcBorders>
              <w:bottom w:val="single" w:sz="8" w:color="CFF0FC"/>
            </w:tcBorders>
          </w:tcPr>
          <w:p>
            <w:pPr>
              <w:ind w:left="160"/>
              <w:spacing w:after="0"/>
              <w:rPr>
                <w:sz w:val="20"/>
                <w:szCs w:val="20"/>
                <w:color w:val="auto"/>
              </w:rPr>
            </w:pPr>
            <w:r>
              <w:rPr>
                <w:rFonts w:ascii="Arial" w:cs="Arial" w:eastAsia="Arial" w:hAnsi="Arial"/>
                <w:sz w:val="12"/>
                <w:szCs w:val="12"/>
                <w:color w:val="auto"/>
              </w:rPr>
              <w:t>Deferred tax liability</w:t>
            </w:r>
          </w:p>
        </w:tc>
        <w:tc>
          <w:tcPr>
            <w:tcW w:w="5560" w:type="dxa"/>
            <w:vAlign w:val="bottom"/>
            <w:tcBorders>
              <w:bottom w:val="single" w:sz="8" w:color="CFF0FC"/>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4,273</w:t>
            </w:r>
          </w:p>
        </w:tc>
        <w:tc>
          <w:tcPr>
            <w:tcW w:w="120" w:type="dxa"/>
            <w:vAlign w:val="bottom"/>
            <w:tcBorders>
              <w:bottom w:val="single" w:sz="8" w:color="CFF0FC"/>
            </w:tcBorders>
          </w:tcPr>
          <w:p>
            <w:pPr>
              <w:spacing w:after="0"/>
              <w:rPr>
                <w:sz w:val="13"/>
                <w:szCs w:val="13"/>
                <w:color w:val="auto"/>
              </w:rPr>
            </w:pPr>
          </w:p>
        </w:tc>
      </w:tr>
      <w:tr>
        <w:trPr>
          <w:trHeight w:val="142"/>
        </w:trPr>
        <w:tc>
          <w:tcPr>
            <w:tcW w:w="3880" w:type="dxa"/>
            <w:vAlign w:val="bottom"/>
            <w:shd w:val="clear" w:color="auto" w:fill="CFF0FC"/>
          </w:tcPr>
          <w:p>
            <w:pPr>
              <w:spacing w:after="0"/>
              <w:rPr>
                <w:sz w:val="20"/>
                <w:szCs w:val="20"/>
                <w:color w:val="auto"/>
              </w:rPr>
            </w:pPr>
            <w:r>
              <w:rPr>
                <w:rFonts w:ascii="Arial" w:cs="Arial" w:eastAsia="Arial" w:hAnsi="Arial"/>
                <w:sz w:val="12"/>
                <w:szCs w:val="12"/>
                <w:color w:val="auto"/>
              </w:rPr>
              <w:t>Total liabilities assumed</w:t>
            </w:r>
          </w:p>
        </w:tc>
        <w:tc>
          <w:tcPr>
            <w:tcW w:w="5560" w:type="dxa"/>
            <w:vAlign w:val="bottom"/>
            <w:shd w:val="clear" w:color="auto" w:fill="CFF0FC"/>
          </w:tcPr>
          <w:p>
            <w:pPr>
              <w:spacing w:after="0"/>
              <w:rPr>
                <w:sz w:val="12"/>
                <w:szCs w:val="12"/>
                <w:color w:val="auto"/>
              </w:rPr>
            </w:pPr>
          </w:p>
        </w:tc>
        <w:tc>
          <w:tcPr>
            <w:tcW w:w="820" w:type="dxa"/>
            <w:vAlign w:val="bottom"/>
            <w:tcBorders>
              <w:bottom w:val="single" w:sz="8" w:color="auto"/>
            </w:tcBorders>
            <w:shd w:val="clear" w:color="auto" w:fill="CFF0FC"/>
          </w:tcPr>
          <w:p>
            <w:pPr>
              <w:spacing w:after="0"/>
              <w:rPr>
                <w:sz w:val="12"/>
                <w:szCs w:val="12"/>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13,268</w:t>
            </w:r>
          </w:p>
        </w:tc>
        <w:tc>
          <w:tcPr>
            <w:tcW w:w="120" w:type="dxa"/>
            <w:vAlign w:val="bottom"/>
            <w:shd w:val="clear" w:color="auto" w:fill="CFF0FC"/>
          </w:tcPr>
          <w:p>
            <w:pPr>
              <w:spacing w:after="0"/>
              <w:rPr>
                <w:sz w:val="12"/>
                <w:szCs w:val="12"/>
                <w:color w:val="auto"/>
              </w:rPr>
            </w:pPr>
          </w:p>
        </w:tc>
      </w:tr>
      <w:tr>
        <w:trPr>
          <w:trHeight w:val="149"/>
        </w:trPr>
        <w:tc>
          <w:tcPr>
            <w:tcW w:w="3880" w:type="dxa"/>
            <w:vAlign w:val="bottom"/>
          </w:tcPr>
          <w:p>
            <w:pPr>
              <w:spacing w:after="0"/>
              <w:rPr>
                <w:sz w:val="20"/>
                <w:szCs w:val="20"/>
                <w:color w:val="auto"/>
              </w:rPr>
            </w:pPr>
            <w:r>
              <w:rPr>
                <w:rFonts w:ascii="Arial" w:cs="Arial" w:eastAsia="Arial" w:hAnsi="Arial"/>
                <w:sz w:val="12"/>
                <w:szCs w:val="12"/>
                <w:color w:val="auto"/>
              </w:rPr>
              <w:t>Total purchase price</w:t>
            </w:r>
          </w:p>
        </w:tc>
        <w:tc>
          <w:tcPr>
            <w:tcW w:w="6380" w:type="dxa"/>
            <w:vAlign w:val="bottom"/>
            <w:gridSpan w:val="2"/>
          </w:tcPr>
          <w:p>
            <w:pPr>
              <w:jc w:val="right"/>
              <w:ind w:right="760"/>
              <w:spacing w:after="0"/>
              <w:rPr>
                <w:sz w:val="20"/>
                <w:szCs w:val="20"/>
                <w:color w:val="auto"/>
              </w:rPr>
            </w:pPr>
            <w:r>
              <w:rPr>
                <w:rFonts w:ascii="Arial" w:cs="Arial" w:eastAsia="Arial" w:hAnsi="Arial"/>
                <w:sz w:val="12"/>
                <w:szCs w:val="12"/>
                <w:color w:val="auto"/>
              </w:rPr>
              <w:t>$</w:t>
            </w:r>
          </w:p>
        </w:tc>
        <w:tc>
          <w:tcPr>
            <w:tcW w:w="1100" w:type="dxa"/>
            <w:vAlign w:val="bottom"/>
          </w:tcPr>
          <w:p>
            <w:pPr>
              <w:jc w:val="right"/>
              <w:spacing w:after="0"/>
              <w:rPr>
                <w:sz w:val="20"/>
                <w:szCs w:val="20"/>
                <w:color w:val="auto"/>
              </w:rPr>
            </w:pPr>
            <w:r>
              <w:rPr>
                <w:rFonts w:ascii="Arial" w:cs="Arial" w:eastAsia="Arial" w:hAnsi="Arial"/>
                <w:sz w:val="12"/>
                <w:szCs w:val="12"/>
                <w:color w:val="auto"/>
              </w:rPr>
              <w:t>62,935</w:t>
            </w:r>
          </w:p>
        </w:tc>
        <w:tc>
          <w:tcPr>
            <w:tcW w:w="120" w:type="dxa"/>
            <w:vAlign w:val="bottom"/>
          </w:tcPr>
          <w:p>
            <w:pPr>
              <w:spacing w:after="0"/>
              <w:rPr>
                <w:sz w:val="12"/>
                <w:szCs w:val="12"/>
                <w:color w:val="auto"/>
              </w:rPr>
            </w:pPr>
          </w:p>
        </w:tc>
      </w:tr>
      <w:tr>
        <w:trPr>
          <w:trHeight w:val="432"/>
        </w:trPr>
        <w:tc>
          <w:tcPr>
            <w:tcW w:w="3880" w:type="dxa"/>
            <w:vAlign w:val="bottom"/>
          </w:tcPr>
          <w:p>
            <w:pPr>
              <w:spacing w:after="0"/>
              <w:rPr>
                <w:sz w:val="24"/>
                <w:szCs w:val="24"/>
                <w:color w:val="auto"/>
              </w:rPr>
            </w:pPr>
          </w:p>
        </w:tc>
        <w:tc>
          <w:tcPr>
            <w:tcW w:w="5560" w:type="dxa"/>
            <w:vAlign w:val="bottom"/>
          </w:tcPr>
          <w:p>
            <w:pPr>
              <w:jc w:val="right"/>
              <w:ind w:right="3580"/>
              <w:spacing w:after="0"/>
              <w:rPr>
                <w:sz w:val="20"/>
                <w:szCs w:val="20"/>
                <w:color w:val="auto"/>
              </w:rPr>
            </w:pPr>
            <w:r>
              <w:rPr>
                <w:rFonts w:ascii="Arial" w:cs="Arial" w:eastAsia="Arial" w:hAnsi="Arial"/>
                <w:sz w:val="12"/>
                <w:szCs w:val="12"/>
                <w:color w:val="auto"/>
              </w:rPr>
              <w:t>85</w:t>
            </w:r>
          </w:p>
        </w:tc>
        <w:tc>
          <w:tcPr>
            <w:tcW w:w="82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72"/>
        </w:trPr>
        <w:tc>
          <w:tcPr>
            <w:tcW w:w="3880" w:type="dxa"/>
            <w:vAlign w:val="bottom"/>
            <w:tcBorders>
              <w:bottom w:val="single" w:sz="8" w:color="9A9A9A"/>
            </w:tcBorders>
          </w:tcPr>
          <w:p>
            <w:pPr>
              <w:spacing w:after="0"/>
              <w:rPr>
                <w:sz w:val="6"/>
                <w:szCs w:val="6"/>
                <w:color w:val="auto"/>
              </w:rPr>
            </w:pPr>
          </w:p>
        </w:tc>
        <w:tc>
          <w:tcPr>
            <w:tcW w:w="556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10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7268845</wp:posOffset>
            </wp:positionH>
            <wp:positionV relativeFrom="paragraph">
              <wp:posOffset>-23495</wp:posOffset>
            </wp:positionV>
            <wp:extent cx="31115" cy="3683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480"/>
          </w:cols>
          <w:pgMar w:left="220" w:top="302" w:right="199" w:bottom="1440" w:gutter="0" w:footer="0" w:header="0"/>
        </w:sectPr>
      </w:pPr>
    </w:p>
    <w:bookmarkStart w:id="86" w:name="page87"/>
    <w:bookmarkEnd w:id="86"/>
    <w:p>
      <w:pPr>
        <w:ind w:right="140" w:firstLine="602"/>
        <w:spacing w:after="0" w:line="298" w:lineRule="auto"/>
        <w:rPr>
          <w:sz w:val="20"/>
          <w:szCs w:val="20"/>
          <w:color w:val="auto"/>
        </w:rPr>
      </w:pPr>
      <w:r>
        <w:rPr>
          <w:rFonts w:ascii="Arial" w:cs="Arial" w:eastAsia="Arial" w:hAnsi="Arial"/>
          <w:sz w:val="11"/>
          <w:szCs w:val="11"/>
          <w:color w:val="auto"/>
        </w:rPr>
        <w:t>Goodwill arising from the EPC Acquisition was assigned to the Company’s Commercial Services segment and consists largely of the expected cash flows and future growth anticipated for the Company. The goodwill is not expected to be deductible for tax purposes. The customer relationships value was based on an excess earnings methodology utilizing projected cash flows. The trademark and the developed technology values were based on a relief-from-royalty method. The customer relationships, trademark, and developed technology intangibles were assigned useful lives of 10 years, 5 years and 4.5 years, respectively.</w:t>
      </w:r>
    </w:p>
    <w:p>
      <w:pPr>
        <w:spacing w:after="0" w:line="105" w:lineRule="exact"/>
        <w:rPr>
          <w:sz w:val="20"/>
          <w:szCs w:val="20"/>
          <w:color w:val="auto"/>
        </w:rPr>
      </w:pPr>
    </w:p>
    <w:p>
      <w:pPr>
        <w:ind w:left="600"/>
        <w:spacing w:after="0"/>
        <w:rPr>
          <w:sz w:val="20"/>
          <w:szCs w:val="20"/>
          <w:color w:val="auto"/>
        </w:rPr>
      </w:pPr>
      <w:r>
        <w:rPr>
          <w:rFonts w:ascii="Arial" w:cs="Arial" w:eastAsia="Arial" w:hAnsi="Arial"/>
          <w:sz w:val="11"/>
          <w:szCs w:val="11"/>
          <w:color w:val="auto"/>
        </w:rPr>
        <w:t>The Company recognized $3.0 million of costs related to the EPC Acquisition during fiscal year 2018, which consisted of $2.5 million for acquisition services to Advisors and $0.5 million of professional fees and other</w:t>
      </w:r>
    </w:p>
    <w:p>
      <w:pPr>
        <w:spacing w:after="0" w:line="26" w:lineRule="exact"/>
        <w:rPr>
          <w:sz w:val="20"/>
          <w:szCs w:val="20"/>
          <w:color w:val="auto"/>
        </w:rPr>
      </w:pPr>
    </w:p>
    <w:p>
      <w:pPr>
        <w:spacing w:after="0"/>
        <w:rPr>
          <w:sz w:val="20"/>
          <w:szCs w:val="20"/>
          <w:color w:val="auto"/>
        </w:rPr>
      </w:pPr>
      <w:r>
        <w:rPr>
          <w:rFonts w:ascii="Arial" w:cs="Arial" w:eastAsia="Arial" w:hAnsi="Arial"/>
          <w:sz w:val="12"/>
          <w:szCs w:val="12"/>
          <w:color w:val="auto"/>
        </w:rPr>
        <w:t>expenses.</w:t>
      </w:r>
    </w:p>
    <w:p>
      <w:pPr>
        <w:spacing w:after="0" w:line="21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Pagatelia Acquisition</w:t>
      </w:r>
    </w:p>
    <w:p>
      <w:pPr>
        <w:spacing w:after="0" w:line="87" w:lineRule="exact"/>
        <w:rPr>
          <w:sz w:val="20"/>
          <w:szCs w:val="20"/>
          <w:color w:val="auto"/>
        </w:rPr>
      </w:pPr>
    </w:p>
    <w:p>
      <w:pPr>
        <w:ind w:right="20" w:firstLine="602"/>
        <w:spacing w:after="0" w:line="276" w:lineRule="auto"/>
        <w:rPr>
          <w:sz w:val="20"/>
          <w:szCs w:val="20"/>
          <w:color w:val="auto"/>
        </w:rPr>
      </w:pPr>
      <w:r>
        <w:rPr>
          <w:rFonts w:ascii="Arial" w:cs="Arial" w:eastAsia="Arial" w:hAnsi="Arial"/>
          <w:sz w:val="12"/>
          <w:szCs w:val="12"/>
          <w:color w:val="auto"/>
        </w:rPr>
        <w:t>On October 31, 2019, the Company completed the acquisition of all of the outstanding shares of Pagatelia S.L., (“</w:t>
      </w:r>
      <w:r>
        <w:rPr>
          <w:rFonts w:ascii="Arial" w:cs="Arial" w:eastAsia="Arial" w:hAnsi="Arial"/>
          <w:sz w:val="12"/>
          <w:szCs w:val="12"/>
          <w:b w:val="1"/>
          <w:bCs w:val="1"/>
          <w:i w:val="1"/>
          <w:iCs w:val="1"/>
          <w:color w:val="auto"/>
        </w:rPr>
        <w:t>Pagatelia</w:t>
      </w:r>
      <w:r>
        <w:rPr>
          <w:rFonts w:ascii="Arial" w:cs="Arial" w:eastAsia="Arial" w:hAnsi="Arial"/>
          <w:sz w:val="12"/>
          <w:szCs w:val="12"/>
          <w:color w:val="auto"/>
        </w:rPr>
        <w:t>”), a Spanish limited liability company that provides electronic consumer tolling and parking solutions in Spain, Portugal, France and Italy. The purchase consideration for Pagatelia was $26.6 million.</w:t>
      </w:r>
    </w:p>
    <w:p>
      <w:pPr>
        <w:spacing w:after="0" w:line="133" w:lineRule="exact"/>
        <w:rPr>
          <w:sz w:val="20"/>
          <w:szCs w:val="20"/>
          <w:color w:val="auto"/>
        </w:rPr>
      </w:pPr>
    </w:p>
    <w:p>
      <w:pPr>
        <w:ind w:left="600"/>
        <w:spacing w:after="0"/>
        <w:rPr>
          <w:sz w:val="20"/>
          <w:szCs w:val="20"/>
          <w:color w:val="auto"/>
        </w:rPr>
      </w:pPr>
      <w:r>
        <w:rPr>
          <w:rFonts w:ascii="Arial" w:cs="Arial" w:eastAsia="Arial" w:hAnsi="Arial"/>
          <w:sz w:val="12"/>
          <w:szCs w:val="12"/>
          <w:color w:val="auto"/>
        </w:rPr>
        <w:t>The allocation of the preliminary purchase consideration is summarized as follows:</w:t>
      </w:r>
    </w:p>
    <w:p>
      <w:pPr>
        <w:spacing w:after="0" w:line="199" w:lineRule="exact"/>
        <w:rPr>
          <w:sz w:val="20"/>
          <w:szCs w:val="20"/>
          <w:color w:val="auto"/>
        </w:rPr>
      </w:pPr>
    </w:p>
    <w:p>
      <w:pPr>
        <w:spacing w:after="0"/>
        <w:rPr>
          <w:sz w:val="20"/>
          <w:szCs w:val="20"/>
          <w:color w:val="auto"/>
        </w:rPr>
      </w:pPr>
      <w:r>
        <w:rPr>
          <w:rFonts w:ascii="Arial" w:cs="Arial" w:eastAsia="Arial" w:hAnsi="Arial"/>
          <w:sz w:val="10"/>
          <w:szCs w:val="10"/>
          <w:b w:val="1"/>
          <w:bCs w:val="1"/>
          <w:u w:val="single" w:color="auto"/>
          <w:color w:val="auto"/>
        </w:rPr>
        <w:t>($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0</wp:posOffset>
            </wp:positionV>
            <wp:extent cx="7292340" cy="971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92340" cy="97155"/>
                    </a:xfrm>
                    <a:prstGeom prst="rect">
                      <a:avLst/>
                    </a:prstGeom>
                    <a:noFill/>
                  </pic:spPr>
                </pic:pic>
              </a:graphicData>
            </a:graphic>
          </wp:anchor>
        </w:drawing>
      </w:r>
    </w:p>
    <w:p>
      <w:pPr>
        <w:spacing w:after="0"/>
        <w:rPr>
          <w:sz w:val="20"/>
          <w:szCs w:val="20"/>
          <w:color w:val="auto"/>
        </w:rPr>
      </w:pPr>
      <w:r>
        <w:rPr>
          <w:rFonts w:ascii="Arial" w:cs="Arial" w:eastAsia="Arial" w:hAnsi="Arial"/>
          <w:sz w:val="12"/>
          <w:szCs w:val="12"/>
          <w:color w:val="auto"/>
        </w:rPr>
        <w:t>Assets acquired</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9440" w:type="dxa"/>
            <w:vAlign w:val="bottom"/>
          </w:tcPr>
          <w:p>
            <w:pPr>
              <w:ind w:left="160"/>
              <w:spacing w:after="0"/>
              <w:rPr>
                <w:sz w:val="20"/>
                <w:szCs w:val="20"/>
                <w:color w:val="auto"/>
              </w:rPr>
            </w:pPr>
            <w:r>
              <w:rPr>
                <w:rFonts w:ascii="Arial" w:cs="Arial" w:eastAsia="Arial" w:hAnsi="Arial"/>
                <w:sz w:val="12"/>
                <w:szCs w:val="12"/>
                <w:color w:val="auto"/>
              </w:rPr>
              <w:t>Cash</w:t>
            </w:r>
          </w:p>
        </w:tc>
        <w:tc>
          <w:tcPr>
            <w:tcW w:w="820" w:type="dxa"/>
            <w:vAlign w:val="bottom"/>
          </w:tcPr>
          <w:p>
            <w:pPr>
              <w:jc w:val="right"/>
              <w:ind w:right="710"/>
              <w:spacing w:after="0"/>
              <w:rPr>
                <w:sz w:val="20"/>
                <w:szCs w:val="20"/>
                <w:color w:val="auto"/>
              </w:rPr>
            </w:pPr>
            <w:r>
              <w:rPr>
                <w:rFonts w:ascii="Arial" w:cs="Arial" w:eastAsia="Arial" w:hAnsi="Arial"/>
                <w:sz w:val="10"/>
                <w:szCs w:val="10"/>
                <w:color w:val="auto"/>
                <w:w w:val="71"/>
              </w:rPr>
              <w:t>$</w:t>
            </w:r>
          </w:p>
        </w:tc>
        <w:tc>
          <w:tcPr>
            <w:tcW w:w="1100" w:type="dxa"/>
            <w:vAlign w:val="bottom"/>
          </w:tcPr>
          <w:p>
            <w:pPr>
              <w:jc w:val="right"/>
              <w:spacing w:after="0"/>
              <w:rPr>
                <w:sz w:val="20"/>
                <w:szCs w:val="20"/>
                <w:color w:val="auto"/>
              </w:rPr>
            </w:pPr>
            <w:r>
              <w:rPr>
                <w:rFonts w:ascii="Arial" w:cs="Arial" w:eastAsia="Arial" w:hAnsi="Arial"/>
                <w:sz w:val="12"/>
                <w:szCs w:val="12"/>
                <w:color w:val="auto"/>
              </w:rPr>
              <w:t>1,086</w:t>
            </w:r>
          </w:p>
        </w:tc>
        <w:tc>
          <w:tcPr>
            <w:tcW w:w="120" w:type="dxa"/>
            <w:vAlign w:val="bottom"/>
          </w:tcPr>
          <w:p>
            <w:pPr>
              <w:spacing w:after="0"/>
              <w:rPr>
                <w:sz w:val="13"/>
                <w:szCs w:val="13"/>
                <w:color w:val="auto"/>
              </w:rPr>
            </w:pPr>
          </w:p>
        </w:tc>
      </w:tr>
      <w:tr>
        <w:trPr>
          <w:trHeight w:val="153"/>
        </w:trPr>
        <w:tc>
          <w:tcPr>
            <w:tcW w:w="9440" w:type="dxa"/>
            <w:vAlign w:val="bottom"/>
            <w:shd w:val="clear" w:color="auto" w:fill="CFF0FC"/>
          </w:tcPr>
          <w:p>
            <w:pPr>
              <w:ind w:left="160"/>
              <w:spacing w:after="0"/>
              <w:rPr>
                <w:sz w:val="20"/>
                <w:szCs w:val="20"/>
                <w:color w:val="auto"/>
              </w:rPr>
            </w:pPr>
            <w:r>
              <w:rPr>
                <w:rFonts w:ascii="Arial" w:cs="Arial" w:eastAsia="Arial" w:hAnsi="Arial"/>
                <w:sz w:val="12"/>
                <w:szCs w:val="12"/>
                <w:color w:val="auto"/>
              </w:rPr>
              <w:t>Other assets</w:t>
            </w:r>
          </w:p>
        </w:tc>
        <w:tc>
          <w:tcPr>
            <w:tcW w:w="820" w:type="dxa"/>
            <w:vAlign w:val="bottom"/>
            <w:shd w:val="clear" w:color="auto" w:fill="CFF0FC"/>
          </w:tcPr>
          <w:p>
            <w:pPr>
              <w:spacing w:after="0"/>
              <w:rPr>
                <w:sz w:val="13"/>
                <w:szCs w:val="13"/>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5,047</w:t>
            </w:r>
          </w:p>
        </w:tc>
        <w:tc>
          <w:tcPr>
            <w:tcW w:w="120" w:type="dxa"/>
            <w:vAlign w:val="bottom"/>
            <w:shd w:val="clear" w:color="auto" w:fill="CFF0FC"/>
          </w:tcPr>
          <w:p>
            <w:pPr>
              <w:spacing w:after="0"/>
              <w:rPr>
                <w:sz w:val="13"/>
                <w:szCs w:val="13"/>
                <w:color w:val="auto"/>
              </w:rPr>
            </w:pPr>
          </w:p>
        </w:tc>
      </w:tr>
      <w:tr>
        <w:trPr>
          <w:trHeight w:val="153"/>
        </w:trPr>
        <w:tc>
          <w:tcPr>
            <w:tcW w:w="9440" w:type="dxa"/>
            <w:vAlign w:val="bottom"/>
          </w:tcPr>
          <w:p>
            <w:pPr>
              <w:ind w:left="160"/>
              <w:spacing w:after="0"/>
              <w:rPr>
                <w:sz w:val="20"/>
                <w:szCs w:val="20"/>
                <w:color w:val="auto"/>
              </w:rPr>
            </w:pPr>
            <w:r>
              <w:rPr>
                <w:rFonts w:ascii="Arial" w:cs="Arial" w:eastAsia="Arial" w:hAnsi="Arial"/>
                <w:sz w:val="12"/>
                <w:szCs w:val="12"/>
                <w:color w:val="auto"/>
              </w:rPr>
              <w:t>Trademark</w:t>
            </w:r>
          </w:p>
        </w:tc>
        <w:tc>
          <w:tcPr>
            <w:tcW w:w="82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771</w:t>
            </w:r>
          </w:p>
        </w:tc>
        <w:tc>
          <w:tcPr>
            <w:tcW w:w="120" w:type="dxa"/>
            <w:vAlign w:val="bottom"/>
          </w:tcPr>
          <w:p>
            <w:pPr>
              <w:spacing w:after="0"/>
              <w:rPr>
                <w:sz w:val="13"/>
                <w:szCs w:val="13"/>
                <w:color w:val="auto"/>
              </w:rPr>
            </w:pPr>
          </w:p>
        </w:tc>
      </w:tr>
      <w:tr>
        <w:trPr>
          <w:trHeight w:val="153"/>
        </w:trPr>
        <w:tc>
          <w:tcPr>
            <w:tcW w:w="9440" w:type="dxa"/>
            <w:vAlign w:val="bottom"/>
            <w:shd w:val="clear" w:color="auto" w:fill="CFF0FC"/>
          </w:tcPr>
          <w:p>
            <w:pPr>
              <w:ind w:left="160"/>
              <w:spacing w:after="0"/>
              <w:rPr>
                <w:sz w:val="20"/>
                <w:szCs w:val="20"/>
                <w:color w:val="auto"/>
              </w:rPr>
            </w:pPr>
            <w:r>
              <w:rPr>
                <w:rFonts w:ascii="Arial" w:cs="Arial" w:eastAsia="Arial" w:hAnsi="Arial"/>
                <w:sz w:val="12"/>
                <w:szCs w:val="12"/>
                <w:color w:val="auto"/>
              </w:rPr>
              <w:t>Customer relationships</w:t>
            </w:r>
          </w:p>
        </w:tc>
        <w:tc>
          <w:tcPr>
            <w:tcW w:w="820" w:type="dxa"/>
            <w:vAlign w:val="bottom"/>
            <w:shd w:val="clear" w:color="auto" w:fill="CFF0FC"/>
          </w:tcPr>
          <w:p>
            <w:pPr>
              <w:spacing w:after="0"/>
              <w:rPr>
                <w:sz w:val="13"/>
                <w:szCs w:val="13"/>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5,946</w:t>
            </w:r>
          </w:p>
        </w:tc>
        <w:tc>
          <w:tcPr>
            <w:tcW w:w="120" w:type="dxa"/>
            <w:vAlign w:val="bottom"/>
            <w:shd w:val="clear" w:color="auto" w:fill="CFF0FC"/>
          </w:tcPr>
          <w:p>
            <w:pPr>
              <w:spacing w:after="0"/>
              <w:rPr>
                <w:sz w:val="13"/>
                <w:szCs w:val="13"/>
                <w:color w:val="auto"/>
              </w:rPr>
            </w:pPr>
          </w:p>
        </w:tc>
      </w:tr>
      <w:tr>
        <w:trPr>
          <w:trHeight w:val="153"/>
        </w:trPr>
        <w:tc>
          <w:tcPr>
            <w:tcW w:w="9440" w:type="dxa"/>
            <w:vAlign w:val="bottom"/>
          </w:tcPr>
          <w:p>
            <w:pPr>
              <w:ind w:left="160"/>
              <w:spacing w:after="0"/>
              <w:rPr>
                <w:sz w:val="20"/>
                <w:szCs w:val="20"/>
                <w:color w:val="auto"/>
              </w:rPr>
            </w:pPr>
            <w:r>
              <w:rPr>
                <w:rFonts w:ascii="Arial" w:cs="Arial" w:eastAsia="Arial" w:hAnsi="Arial"/>
                <w:sz w:val="12"/>
                <w:szCs w:val="12"/>
                <w:color w:val="auto"/>
              </w:rPr>
              <w:t>Developed technology</w:t>
            </w:r>
          </w:p>
        </w:tc>
        <w:tc>
          <w:tcPr>
            <w:tcW w:w="82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4,624</w:t>
            </w:r>
          </w:p>
        </w:tc>
        <w:tc>
          <w:tcPr>
            <w:tcW w:w="120" w:type="dxa"/>
            <w:vAlign w:val="bottom"/>
          </w:tcPr>
          <w:p>
            <w:pPr>
              <w:spacing w:after="0"/>
              <w:rPr>
                <w:sz w:val="13"/>
                <w:szCs w:val="13"/>
                <w:color w:val="auto"/>
              </w:rPr>
            </w:pPr>
          </w:p>
        </w:tc>
      </w:tr>
      <w:tr>
        <w:trPr>
          <w:trHeight w:val="153"/>
        </w:trPr>
        <w:tc>
          <w:tcPr>
            <w:tcW w:w="9440" w:type="dxa"/>
            <w:vAlign w:val="bottom"/>
            <w:shd w:val="clear" w:color="auto" w:fill="CFF0FC"/>
          </w:tcPr>
          <w:p>
            <w:pPr>
              <w:ind w:left="160"/>
              <w:spacing w:after="0"/>
              <w:rPr>
                <w:sz w:val="20"/>
                <w:szCs w:val="20"/>
                <w:color w:val="auto"/>
              </w:rPr>
            </w:pPr>
            <w:r>
              <w:rPr>
                <w:rFonts w:ascii="Arial" w:cs="Arial" w:eastAsia="Arial" w:hAnsi="Arial"/>
                <w:sz w:val="12"/>
                <w:szCs w:val="12"/>
                <w:color w:val="auto"/>
              </w:rPr>
              <w:t>Non-compete agreements</w:t>
            </w:r>
          </w:p>
        </w:tc>
        <w:tc>
          <w:tcPr>
            <w:tcW w:w="820" w:type="dxa"/>
            <w:vAlign w:val="bottom"/>
            <w:shd w:val="clear" w:color="auto" w:fill="CFF0FC"/>
          </w:tcPr>
          <w:p>
            <w:pPr>
              <w:spacing w:after="0"/>
              <w:rPr>
                <w:sz w:val="13"/>
                <w:szCs w:val="13"/>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440</w:t>
            </w:r>
          </w:p>
        </w:tc>
        <w:tc>
          <w:tcPr>
            <w:tcW w:w="120" w:type="dxa"/>
            <w:vAlign w:val="bottom"/>
            <w:shd w:val="clear" w:color="auto" w:fill="CFF0FC"/>
          </w:tcPr>
          <w:p>
            <w:pPr>
              <w:spacing w:after="0"/>
              <w:rPr>
                <w:sz w:val="13"/>
                <w:szCs w:val="13"/>
                <w:color w:val="auto"/>
              </w:rPr>
            </w:pPr>
          </w:p>
        </w:tc>
      </w:tr>
      <w:tr>
        <w:trPr>
          <w:trHeight w:val="153"/>
        </w:trPr>
        <w:tc>
          <w:tcPr>
            <w:tcW w:w="9440" w:type="dxa"/>
            <w:vAlign w:val="bottom"/>
            <w:tcBorders>
              <w:bottom w:val="single" w:sz="8" w:color="CFF0FC"/>
            </w:tcBorders>
          </w:tcPr>
          <w:p>
            <w:pPr>
              <w:ind w:left="160"/>
              <w:spacing w:after="0"/>
              <w:rPr>
                <w:sz w:val="20"/>
                <w:szCs w:val="20"/>
                <w:color w:val="auto"/>
              </w:rPr>
            </w:pPr>
            <w:r>
              <w:rPr>
                <w:rFonts w:ascii="Arial" w:cs="Arial" w:eastAsia="Arial" w:hAnsi="Arial"/>
                <w:sz w:val="12"/>
                <w:szCs w:val="12"/>
                <w:color w:val="auto"/>
              </w:rPr>
              <w:t>Goodwill</w:t>
            </w:r>
          </w:p>
        </w:tc>
        <w:tc>
          <w:tcPr>
            <w:tcW w:w="8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17,528</w:t>
            </w:r>
          </w:p>
        </w:tc>
        <w:tc>
          <w:tcPr>
            <w:tcW w:w="120" w:type="dxa"/>
            <w:vAlign w:val="bottom"/>
            <w:tcBorders>
              <w:bottom w:val="single" w:sz="8" w:color="CFF0FC"/>
            </w:tcBorders>
          </w:tcPr>
          <w:p>
            <w:pPr>
              <w:spacing w:after="0"/>
              <w:rPr>
                <w:sz w:val="13"/>
                <w:szCs w:val="13"/>
                <w:color w:val="auto"/>
              </w:rPr>
            </w:pPr>
          </w:p>
        </w:tc>
      </w:tr>
      <w:tr>
        <w:trPr>
          <w:trHeight w:val="142"/>
        </w:trPr>
        <w:tc>
          <w:tcPr>
            <w:tcW w:w="9440" w:type="dxa"/>
            <w:vAlign w:val="bottom"/>
            <w:shd w:val="clear" w:color="auto" w:fill="CFF0FC"/>
          </w:tcPr>
          <w:p>
            <w:pPr>
              <w:spacing w:after="0"/>
              <w:rPr>
                <w:sz w:val="20"/>
                <w:szCs w:val="20"/>
                <w:color w:val="auto"/>
              </w:rPr>
            </w:pPr>
            <w:r>
              <w:rPr>
                <w:rFonts w:ascii="Arial" w:cs="Arial" w:eastAsia="Arial" w:hAnsi="Arial"/>
                <w:sz w:val="12"/>
                <w:szCs w:val="12"/>
                <w:color w:val="auto"/>
              </w:rPr>
              <w:t>Total assets acquired</w:t>
            </w:r>
          </w:p>
        </w:tc>
        <w:tc>
          <w:tcPr>
            <w:tcW w:w="82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35,442</w:t>
            </w:r>
          </w:p>
        </w:tc>
        <w:tc>
          <w:tcPr>
            <w:tcW w:w="120" w:type="dxa"/>
            <w:vAlign w:val="bottom"/>
            <w:shd w:val="clear" w:color="auto" w:fill="CFF0FC"/>
          </w:tcPr>
          <w:p>
            <w:pPr>
              <w:spacing w:after="0"/>
              <w:rPr>
                <w:sz w:val="12"/>
                <w:szCs w:val="12"/>
                <w:color w:val="auto"/>
              </w:rPr>
            </w:pPr>
          </w:p>
        </w:tc>
      </w:tr>
      <w:tr>
        <w:trPr>
          <w:trHeight w:val="153"/>
        </w:trPr>
        <w:tc>
          <w:tcPr>
            <w:tcW w:w="94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53"/>
        </w:trPr>
        <w:tc>
          <w:tcPr>
            <w:tcW w:w="9440" w:type="dxa"/>
            <w:vAlign w:val="bottom"/>
            <w:shd w:val="clear" w:color="auto" w:fill="CFF0FC"/>
          </w:tcPr>
          <w:p>
            <w:pPr>
              <w:spacing w:after="0"/>
              <w:rPr>
                <w:sz w:val="20"/>
                <w:szCs w:val="20"/>
                <w:color w:val="auto"/>
              </w:rPr>
            </w:pPr>
            <w:r>
              <w:rPr>
                <w:rFonts w:ascii="Arial" w:cs="Arial" w:eastAsia="Arial" w:hAnsi="Arial"/>
                <w:sz w:val="12"/>
                <w:szCs w:val="12"/>
                <w:color w:val="auto"/>
              </w:rPr>
              <w:t>Liabilities assumed</w:t>
            </w:r>
          </w:p>
        </w:tc>
        <w:tc>
          <w:tcPr>
            <w:tcW w:w="820" w:type="dxa"/>
            <w:vAlign w:val="bottom"/>
            <w:shd w:val="clear" w:color="auto" w:fill="CFF0FC"/>
          </w:tcPr>
          <w:p>
            <w:pPr>
              <w:spacing w:after="0"/>
              <w:rPr>
                <w:sz w:val="13"/>
                <w:szCs w:val="13"/>
                <w:color w:val="auto"/>
              </w:rPr>
            </w:pPr>
          </w:p>
        </w:tc>
        <w:tc>
          <w:tcPr>
            <w:tcW w:w="1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53"/>
        </w:trPr>
        <w:tc>
          <w:tcPr>
            <w:tcW w:w="9440" w:type="dxa"/>
            <w:vAlign w:val="bottom"/>
          </w:tcPr>
          <w:p>
            <w:pPr>
              <w:ind w:left="160"/>
              <w:spacing w:after="0"/>
              <w:rPr>
                <w:sz w:val="20"/>
                <w:szCs w:val="20"/>
                <w:color w:val="auto"/>
              </w:rPr>
            </w:pPr>
            <w:r>
              <w:rPr>
                <w:rFonts w:ascii="Arial" w:cs="Arial" w:eastAsia="Arial" w:hAnsi="Arial"/>
                <w:sz w:val="12"/>
                <w:szCs w:val="12"/>
                <w:color w:val="auto"/>
              </w:rPr>
              <w:t>Accounts payable and accrued expenses</w:t>
            </w:r>
          </w:p>
        </w:tc>
        <w:tc>
          <w:tcPr>
            <w:tcW w:w="82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6,045</w:t>
            </w:r>
          </w:p>
        </w:tc>
        <w:tc>
          <w:tcPr>
            <w:tcW w:w="120" w:type="dxa"/>
            <w:vAlign w:val="bottom"/>
          </w:tcPr>
          <w:p>
            <w:pPr>
              <w:spacing w:after="0"/>
              <w:rPr>
                <w:sz w:val="13"/>
                <w:szCs w:val="13"/>
                <w:color w:val="auto"/>
              </w:rPr>
            </w:pPr>
          </w:p>
        </w:tc>
      </w:tr>
      <w:tr>
        <w:trPr>
          <w:trHeight w:val="153"/>
        </w:trPr>
        <w:tc>
          <w:tcPr>
            <w:tcW w:w="9440" w:type="dxa"/>
            <w:vAlign w:val="bottom"/>
            <w:shd w:val="clear" w:color="auto" w:fill="CFF0FC"/>
          </w:tcPr>
          <w:p>
            <w:pPr>
              <w:ind w:left="160"/>
              <w:spacing w:after="0"/>
              <w:rPr>
                <w:sz w:val="20"/>
                <w:szCs w:val="20"/>
                <w:color w:val="auto"/>
              </w:rPr>
            </w:pPr>
            <w:r>
              <w:rPr>
                <w:rFonts w:ascii="Arial" w:cs="Arial" w:eastAsia="Arial" w:hAnsi="Arial"/>
                <w:sz w:val="12"/>
                <w:szCs w:val="12"/>
                <w:color w:val="auto"/>
              </w:rPr>
              <w:t>Deferred tax liability</w:t>
            </w:r>
          </w:p>
        </w:tc>
        <w:tc>
          <w:tcPr>
            <w:tcW w:w="820" w:type="dxa"/>
            <w:vAlign w:val="bottom"/>
            <w:tcBorders>
              <w:bottom w:val="single" w:sz="8" w:color="auto"/>
            </w:tcBorders>
            <w:shd w:val="clear" w:color="auto" w:fill="CFF0FC"/>
          </w:tcPr>
          <w:p>
            <w:pPr>
              <w:spacing w:after="0"/>
              <w:rPr>
                <w:sz w:val="13"/>
                <w:szCs w:val="13"/>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2,801</w:t>
            </w:r>
          </w:p>
        </w:tc>
        <w:tc>
          <w:tcPr>
            <w:tcW w:w="120" w:type="dxa"/>
            <w:vAlign w:val="bottom"/>
            <w:shd w:val="clear" w:color="auto" w:fill="CFF0FC"/>
          </w:tcPr>
          <w:p>
            <w:pPr>
              <w:spacing w:after="0"/>
              <w:rPr>
                <w:sz w:val="13"/>
                <w:szCs w:val="13"/>
                <w:color w:val="auto"/>
              </w:rPr>
            </w:pPr>
          </w:p>
        </w:tc>
      </w:tr>
      <w:tr>
        <w:trPr>
          <w:trHeight w:val="142"/>
        </w:trPr>
        <w:tc>
          <w:tcPr>
            <w:tcW w:w="9440" w:type="dxa"/>
            <w:vAlign w:val="bottom"/>
            <w:tcBorders>
              <w:bottom w:val="single" w:sz="8" w:color="CFF0FC"/>
            </w:tcBorders>
          </w:tcPr>
          <w:p>
            <w:pPr>
              <w:spacing w:after="0"/>
              <w:rPr>
                <w:sz w:val="20"/>
                <w:szCs w:val="20"/>
                <w:color w:val="auto"/>
              </w:rPr>
            </w:pPr>
            <w:r>
              <w:rPr>
                <w:rFonts w:ascii="Arial" w:cs="Arial" w:eastAsia="Arial" w:hAnsi="Arial"/>
                <w:sz w:val="12"/>
                <w:szCs w:val="12"/>
                <w:color w:val="auto"/>
              </w:rPr>
              <w:t>Total liabilities assumed</w:t>
            </w:r>
          </w:p>
        </w:tc>
        <w:tc>
          <w:tcPr>
            <w:tcW w:w="8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8,846</w:t>
            </w:r>
          </w:p>
        </w:tc>
        <w:tc>
          <w:tcPr>
            <w:tcW w:w="120" w:type="dxa"/>
            <w:vAlign w:val="bottom"/>
            <w:tcBorders>
              <w:bottom w:val="single" w:sz="8" w:color="CFF0FC"/>
            </w:tcBorders>
          </w:tcPr>
          <w:p>
            <w:pPr>
              <w:spacing w:after="0"/>
              <w:rPr>
                <w:sz w:val="12"/>
                <w:szCs w:val="12"/>
                <w:color w:val="auto"/>
              </w:rPr>
            </w:pPr>
          </w:p>
        </w:tc>
      </w:tr>
      <w:tr>
        <w:trPr>
          <w:trHeight w:val="149"/>
        </w:trPr>
        <w:tc>
          <w:tcPr>
            <w:tcW w:w="94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2"/>
                <w:szCs w:val="12"/>
                <w:color w:val="auto"/>
              </w:rPr>
              <w:t>Total purchase price</w:t>
            </w:r>
          </w:p>
        </w:tc>
        <w:tc>
          <w:tcPr>
            <w:tcW w:w="820" w:type="dxa"/>
            <w:vAlign w:val="bottom"/>
            <w:tcBorders>
              <w:bottom w:val="single" w:sz="8" w:color="auto"/>
            </w:tcBorders>
            <w:shd w:val="clear" w:color="auto" w:fill="CFF0FC"/>
          </w:tcPr>
          <w:p>
            <w:pPr>
              <w:jc w:val="right"/>
              <w:ind w:right="710"/>
              <w:spacing w:after="0"/>
              <w:rPr>
                <w:sz w:val="20"/>
                <w:szCs w:val="20"/>
                <w:color w:val="auto"/>
              </w:rPr>
            </w:pPr>
            <w:r>
              <w:rPr>
                <w:rFonts w:ascii="Arial" w:cs="Arial" w:eastAsia="Arial" w:hAnsi="Arial"/>
                <w:sz w:val="10"/>
                <w:szCs w:val="10"/>
                <w:color w:val="auto"/>
                <w:w w:val="71"/>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26,596</w:t>
            </w:r>
          </w:p>
        </w:tc>
        <w:tc>
          <w:tcPr>
            <w:tcW w:w="120" w:type="dxa"/>
            <w:vAlign w:val="bottom"/>
            <w:tcBorders>
              <w:bottom w:val="single" w:sz="8" w:color="CFF0FC"/>
            </w:tcBorders>
            <w:shd w:val="clear" w:color="auto" w:fill="CFF0FC"/>
          </w:tcPr>
          <w:p>
            <w:pPr>
              <w:spacing w:after="0"/>
              <w:rPr>
                <w:sz w:val="12"/>
                <w:szCs w:val="12"/>
                <w:color w:val="auto"/>
              </w:rPr>
            </w:pPr>
          </w:p>
        </w:tc>
      </w:tr>
    </w:tbl>
    <w:p>
      <w:pPr>
        <w:spacing w:after="0" w:line="162" w:lineRule="exact"/>
        <w:rPr>
          <w:sz w:val="20"/>
          <w:szCs w:val="20"/>
          <w:color w:val="auto"/>
        </w:rPr>
      </w:pPr>
    </w:p>
    <w:p>
      <w:pPr>
        <w:ind w:right="40" w:firstLine="602"/>
        <w:spacing w:after="0" w:line="259" w:lineRule="auto"/>
        <w:rPr>
          <w:sz w:val="20"/>
          <w:szCs w:val="20"/>
          <w:color w:val="auto"/>
        </w:rPr>
      </w:pPr>
      <w:r>
        <w:rPr>
          <w:rFonts w:ascii="Arial" w:cs="Arial" w:eastAsia="Arial" w:hAnsi="Arial"/>
          <w:sz w:val="12"/>
          <w:szCs w:val="12"/>
          <w:color w:val="auto"/>
        </w:rPr>
        <w:t>Goodwill arising from Pagatelia was assigned to the Company’s Commercial Services segment and consists largely of the expected cash flows and future growth anticipated for the Company. The goodwill is not expected to be deductible for tax purposes. The customer relationships value was based on an excess earnings methodology utilizing projected cash flows. The trademark and the developed technology values were based on a relief-from-royalty method. The non-compete agreement values were based on the with-or-without method. The trademark, customer relationships, developed technology and non-compete agreements were assigned useful lives of 8.5 years, 9.5 years, 6.5 years and 3 years, respectively.</w:t>
      </w:r>
    </w:p>
    <w:p>
      <w:pPr>
        <w:spacing w:after="0" w:line="152" w:lineRule="exact"/>
        <w:rPr>
          <w:sz w:val="20"/>
          <w:szCs w:val="20"/>
          <w:color w:val="auto"/>
        </w:rPr>
      </w:pPr>
    </w:p>
    <w:p>
      <w:pPr>
        <w:ind w:left="600"/>
        <w:spacing w:after="0"/>
        <w:rPr>
          <w:sz w:val="20"/>
          <w:szCs w:val="20"/>
          <w:color w:val="auto"/>
        </w:rPr>
      </w:pPr>
      <w:r>
        <w:rPr>
          <w:rFonts w:ascii="Arial" w:cs="Arial" w:eastAsia="Arial" w:hAnsi="Arial"/>
          <w:sz w:val="12"/>
          <w:szCs w:val="12"/>
          <w:color w:val="auto"/>
        </w:rPr>
        <w:t>Transaction costs for Pagatelia were not material.</w:t>
      </w:r>
    </w:p>
    <w:p>
      <w:pPr>
        <w:spacing w:after="0" w:line="22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Pro Forma Financial Information (Unaudited)</w:t>
      </w:r>
    </w:p>
    <w:p>
      <w:pPr>
        <w:spacing w:after="0" w:line="78" w:lineRule="exact"/>
        <w:rPr>
          <w:sz w:val="20"/>
          <w:szCs w:val="20"/>
          <w:color w:val="auto"/>
        </w:rPr>
      </w:pPr>
    </w:p>
    <w:p>
      <w:pPr>
        <w:ind w:right="140" w:firstLine="602"/>
        <w:spacing w:after="0" w:line="298" w:lineRule="auto"/>
        <w:rPr>
          <w:sz w:val="20"/>
          <w:szCs w:val="20"/>
          <w:color w:val="auto"/>
        </w:rPr>
      </w:pPr>
      <w:r>
        <w:rPr>
          <w:rFonts w:ascii="Arial" w:cs="Arial" w:eastAsia="Arial" w:hAnsi="Arial"/>
          <w:sz w:val="11"/>
          <w:szCs w:val="11"/>
          <w:color w:val="auto"/>
        </w:rPr>
        <w:t>The pro forma information below gives effect to the Business Combination, the HTA Acquisition and the EPC Acquisition (collectively, the “</w:t>
      </w:r>
      <w:r>
        <w:rPr>
          <w:rFonts w:ascii="Arial" w:cs="Arial" w:eastAsia="Arial" w:hAnsi="Arial"/>
          <w:sz w:val="11"/>
          <w:szCs w:val="11"/>
          <w:b w:val="1"/>
          <w:bCs w:val="1"/>
          <w:i w:val="1"/>
          <w:iCs w:val="1"/>
          <w:color w:val="auto"/>
        </w:rPr>
        <w:t>Transactions</w:t>
      </w:r>
      <w:r>
        <w:rPr>
          <w:rFonts w:ascii="Arial" w:cs="Arial" w:eastAsia="Arial" w:hAnsi="Arial"/>
          <w:sz w:val="11"/>
          <w:szCs w:val="11"/>
          <w:color w:val="auto"/>
        </w:rPr>
        <w:t>”) as if they had been completed on the first day of each period presented. The Pagatelia acquisition was not included in the pro forma information as it was not material. The pro forma results of operations are presented for information purposes only. As such, they are not necessarily indicative of the Company’s results had the Transactions been completed on the first day of each period presented, nor do they intend to represent the Company’s future results. The pro forma information does not reflect any cost savings from</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17740" cy="3683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ectPr>
          <w:pgSz w:w="11900" w:h="16838" w:orient="portrait"/>
          <w:cols w:equalWidth="0" w:num="1">
            <w:col w:w="11480"/>
          </w:cols>
          <w:pgMar w:left="220" w:top="302" w:right="199" w:bottom="1440" w:gutter="0" w:footer="0" w:header="0"/>
        </w:sectPr>
      </w:pPr>
    </w:p>
    <w:bookmarkStart w:id="87" w:name="page88"/>
    <w:bookmarkEnd w:id="87"/>
    <w:p>
      <w:pPr>
        <w:ind w:left="8" w:right="120"/>
        <w:spacing w:after="0" w:line="276" w:lineRule="auto"/>
        <w:rPr>
          <w:sz w:val="20"/>
          <w:szCs w:val="20"/>
          <w:color w:val="auto"/>
        </w:rPr>
      </w:pPr>
      <w:r>
        <w:rPr>
          <w:rFonts w:ascii="Arial" w:cs="Arial" w:eastAsia="Arial" w:hAnsi="Arial"/>
          <w:sz w:val="12"/>
          <w:szCs w:val="12"/>
          <w:color w:val="auto"/>
        </w:rPr>
        <w:t>operating efficiencies or synergies that could result from the acquisitions and does not reflect additional revenue opportunities following the Transactions. The pro forma information includes adjustments to record the assets and liabilities associated with the Transactions at their respective fair values based on available information and to give effect to the financing for the Transactions.</w:t>
      </w:r>
    </w:p>
    <w:p>
      <w:pPr>
        <w:spacing w:after="0" w:line="124" w:lineRule="exact"/>
        <w:rPr>
          <w:sz w:val="20"/>
          <w:szCs w:val="20"/>
          <w:color w:val="auto"/>
        </w:rPr>
      </w:pPr>
    </w:p>
    <w:tbl>
      <w:tblPr>
        <w:tblLayout w:type="fixed"/>
        <w:tblInd w:w="8" w:type="dxa"/>
        <w:tblCellMar>
          <w:top w:w="0" w:type="dxa"/>
          <w:left w:w="0" w:type="dxa"/>
          <w:bottom w:w="0" w:type="dxa"/>
          <w:right w:w="0" w:type="dxa"/>
        </w:tblCellMar>
      </w:tblPr>
      <w:tr>
        <w:trPr>
          <w:trHeight w:val="153"/>
        </w:trPr>
        <w:tc>
          <w:tcPr>
            <w:tcW w:w="640" w:type="dxa"/>
            <w:vAlign w:val="bottom"/>
          </w:tcPr>
          <w:p>
            <w:pPr>
              <w:spacing w:after="0"/>
              <w:rPr>
                <w:sz w:val="13"/>
                <w:szCs w:val="13"/>
                <w:color w:val="auto"/>
              </w:rPr>
            </w:pPr>
          </w:p>
        </w:tc>
        <w:tc>
          <w:tcPr>
            <w:tcW w:w="53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900" w:type="dxa"/>
            <w:vAlign w:val="bottom"/>
            <w:gridSpan w:val="3"/>
          </w:tcPr>
          <w:p>
            <w:pPr>
              <w:jc w:val="right"/>
              <w:ind w:right="131"/>
              <w:spacing w:after="0"/>
              <w:rPr>
                <w:sz w:val="20"/>
                <w:szCs w:val="20"/>
                <w:color w:val="auto"/>
              </w:rPr>
            </w:pPr>
            <w:r>
              <w:rPr>
                <w:rFonts w:ascii="Arial" w:cs="Arial" w:eastAsia="Arial" w:hAnsi="Arial"/>
                <w:sz w:val="10"/>
                <w:szCs w:val="10"/>
                <w:b w:val="1"/>
                <w:bCs w:val="1"/>
                <w:color w:val="auto"/>
              </w:rPr>
              <w:t>Successor</w:t>
            </w:r>
          </w:p>
        </w:tc>
        <w:tc>
          <w:tcPr>
            <w:tcW w:w="1380" w:type="dxa"/>
            <w:vAlign w:val="bottom"/>
          </w:tcPr>
          <w:p>
            <w:pPr>
              <w:spacing w:after="0"/>
              <w:rPr>
                <w:sz w:val="13"/>
                <w:szCs w:val="13"/>
                <w:color w:val="auto"/>
              </w:rPr>
            </w:pPr>
          </w:p>
        </w:tc>
        <w:tc>
          <w:tcPr>
            <w:tcW w:w="2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80" w:type="dxa"/>
            <w:vAlign w:val="bottom"/>
          </w:tcPr>
          <w:p>
            <w:pPr>
              <w:jc w:val="center"/>
              <w:ind w:right="269"/>
              <w:spacing w:after="0"/>
              <w:rPr>
                <w:sz w:val="20"/>
                <w:szCs w:val="20"/>
                <w:color w:val="auto"/>
              </w:rPr>
            </w:pPr>
            <w:r>
              <w:rPr>
                <w:rFonts w:ascii="Arial" w:cs="Arial" w:eastAsia="Arial" w:hAnsi="Arial"/>
                <w:sz w:val="10"/>
                <w:szCs w:val="10"/>
                <w:b w:val="1"/>
                <w:bCs w:val="1"/>
                <w:color w:val="auto"/>
                <w:w w:val="83"/>
              </w:rPr>
              <w:t>Predecessor</w:t>
            </w:r>
          </w:p>
        </w:tc>
        <w:tc>
          <w:tcPr>
            <w:tcW w:w="0" w:type="dxa"/>
            <w:vAlign w:val="bottom"/>
          </w:tcPr>
          <w:p>
            <w:pPr>
              <w:spacing w:after="0"/>
              <w:rPr>
                <w:sz w:val="1"/>
                <w:szCs w:val="1"/>
                <w:color w:val="auto"/>
              </w:rPr>
            </w:pPr>
          </w:p>
        </w:tc>
      </w:tr>
      <w:tr>
        <w:trPr>
          <w:trHeight w:val="83"/>
        </w:trPr>
        <w:tc>
          <w:tcPr>
            <w:tcW w:w="640" w:type="dxa"/>
            <w:vAlign w:val="bottom"/>
          </w:tcPr>
          <w:p>
            <w:pPr>
              <w:spacing w:after="0"/>
              <w:rPr>
                <w:sz w:val="7"/>
                <w:szCs w:val="7"/>
                <w:color w:val="auto"/>
              </w:rPr>
            </w:pPr>
          </w:p>
        </w:tc>
        <w:tc>
          <w:tcPr>
            <w:tcW w:w="5380" w:type="dxa"/>
            <w:vAlign w:val="bottom"/>
          </w:tcPr>
          <w:p>
            <w:pPr>
              <w:spacing w:after="0"/>
              <w:rPr>
                <w:sz w:val="7"/>
                <w:szCs w:val="7"/>
                <w:color w:val="auto"/>
              </w:rPr>
            </w:pPr>
          </w:p>
        </w:tc>
        <w:tc>
          <w:tcPr>
            <w:tcW w:w="1220" w:type="dxa"/>
            <w:vAlign w:val="bottom"/>
            <w:tcBorders>
              <w:top w:val="single" w:sz="8" w:color="auto"/>
            </w:tcBorders>
          </w:tcPr>
          <w:p>
            <w:pPr>
              <w:spacing w:after="0"/>
              <w:rPr>
                <w:sz w:val="7"/>
                <w:szCs w:val="7"/>
                <w:color w:val="auto"/>
              </w:rPr>
            </w:pPr>
          </w:p>
        </w:tc>
        <w:tc>
          <w:tcPr>
            <w:tcW w:w="400" w:type="dxa"/>
            <w:vAlign w:val="bottom"/>
            <w:tcBorders>
              <w:top w:val="single" w:sz="8" w:color="auto"/>
            </w:tcBorders>
          </w:tcPr>
          <w:p>
            <w:pPr>
              <w:spacing w:after="0"/>
              <w:rPr>
                <w:sz w:val="7"/>
                <w:szCs w:val="7"/>
                <w:color w:val="auto"/>
              </w:rPr>
            </w:pPr>
          </w:p>
        </w:tc>
        <w:tc>
          <w:tcPr>
            <w:tcW w:w="260" w:type="dxa"/>
            <w:vAlign w:val="bottom"/>
            <w:tcBorders>
              <w:top w:val="single" w:sz="8" w:color="auto"/>
            </w:tcBorders>
          </w:tcPr>
          <w:p>
            <w:pPr>
              <w:spacing w:after="0"/>
              <w:rPr>
                <w:sz w:val="7"/>
                <w:szCs w:val="7"/>
                <w:color w:val="auto"/>
              </w:rPr>
            </w:pPr>
          </w:p>
        </w:tc>
        <w:tc>
          <w:tcPr>
            <w:tcW w:w="240" w:type="dxa"/>
            <w:vAlign w:val="bottom"/>
            <w:tcBorders>
              <w:top w:val="single" w:sz="8" w:color="auto"/>
            </w:tcBorders>
          </w:tcPr>
          <w:p>
            <w:pPr>
              <w:spacing w:after="0"/>
              <w:rPr>
                <w:sz w:val="7"/>
                <w:szCs w:val="7"/>
                <w:color w:val="auto"/>
              </w:rPr>
            </w:pPr>
          </w:p>
        </w:tc>
        <w:tc>
          <w:tcPr>
            <w:tcW w:w="1380" w:type="dxa"/>
            <w:vAlign w:val="bottom"/>
            <w:tcBorders>
              <w:top w:val="single" w:sz="8" w:color="auto"/>
            </w:tcBorders>
          </w:tcPr>
          <w:p>
            <w:pPr>
              <w:jc w:val="center"/>
              <w:ind w:right="209"/>
              <w:spacing w:after="0" w:line="83" w:lineRule="exact"/>
              <w:rPr>
                <w:sz w:val="20"/>
                <w:szCs w:val="20"/>
                <w:color w:val="auto"/>
              </w:rPr>
            </w:pPr>
            <w:r>
              <w:rPr>
                <w:rFonts w:ascii="Arial" w:cs="Arial" w:eastAsia="Arial" w:hAnsi="Arial"/>
                <w:sz w:val="8"/>
                <w:szCs w:val="8"/>
                <w:b w:val="1"/>
                <w:bCs w:val="1"/>
                <w:color w:val="auto"/>
              </w:rPr>
              <w:t>Seven</w:t>
            </w:r>
          </w:p>
        </w:tc>
        <w:tc>
          <w:tcPr>
            <w:tcW w:w="220" w:type="dxa"/>
            <w:vAlign w:val="bottom"/>
            <w:tcBorders>
              <w:righ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Borders>
              <w:top w:val="single" w:sz="8" w:color="auto"/>
            </w:tcBorders>
          </w:tcPr>
          <w:p>
            <w:pPr>
              <w:spacing w:after="0"/>
              <w:rPr>
                <w:sz w:val="7"/>
                <w:szCs w:val="7"/>
                <w:color w:val="auto"/>
              </w:rPr>
            </w:pPr>
          </w:p>
        </w:tc>
        <w:tc>
          <w:tcPr>
            <w:tcW w:w="1380" w:type="dxa"/>
            <w:vAlign w:val="bottom"/>
            <w:tcBorders>
              <w:top w:val="single" w:sz="8" w:color="auto"/>
            </w:tcBorders>
          </w:tcPr>
          <w:p>
            <w:pPr>
              <w:jc w:val="center"/>
              <w:ind w:right="269"/>
              <w:spacing w:after="0" w:line="83" w:lineRule="exact"/>
              <w:rPr>
                <w:sz w:val="20"/>
                <w:szCs w:val="20"/>
                <w:color w:val="auto"/>
              </w:rPr>
            </w:pPr>
            <w:r>
              <w:rPr>
                <w:rFonts w:ascii="Arial" w:cs="Arial" w:eastAsia="Arial" w:hAnsi="Arial"/>
                <w:sz w:val="8"/>
                <w:szCs w:val="8"/>
                <w:b w:val="1"/>
                <w:bCs w:val="1"/>
                <w:color w:val="auto"/>
              </w:rPr>
              <w:t>Five</w:t>
            </w:r>
          </w:p>
        </w:tc>
        <w:tc>
          <w:tcPr>
            <w:tcW w:w="0" w:type="dxa"/>
            <w:vAlign w:val="bottom"/>
          </w:tcPr>
          <w:p>
            <w:pPr>
              <w:spacing w:after="0"/>
              <w:rPr>
                <w:sz w:val="1"/>
                <w:szCs w:val="1"/>
                <w:color w:val="auto"/>
              </w:rPr>
            </w:pPr>
          </w:p>
        </w:tc>
      </w:tr>
      <w:tr>
        <w:trPr>
          <w:trHeight w:val="99"/>
        </w:trPr>
        <w:tc>
          <w:tcPr>
            <w:tcW w:w="640" w:type="dxa"/>
            <w:vAlign w:val="bottom"/>
          </w:tcPr>
          <w:p>
            <w:pPr>
              <w:spacing w:after="0"/>
              <w:rPr>
                <w:sz w:val="8"/>
                <w:szCs w:val="8"/>
                <w:color w:val="auto"/>
              </w:rPr>
            </w:pPr>
          </w:p>
        </w:tc>
        <w:tc>
          <w:tcPr>
            <w:tcW w:w="5380" w:type="dxa"/>
            <w:vAlign w:val="bottom"/>
          </w:tcPr>
          <w:p>
            <w:pPr>
              <w:spacing w:after="0"/>
              <w:rPr>
                <w:sz w:val="8"/>
                <w:szCs w:val="8"/>
                <w:color w:val="auto"/>
              </w:rPr>
            </w:pPr>
          </w:p>
        </w:tc>
        <w:tc>
          <w:tcPr>
            <w:tcW w:w="1220" w:type="dxa"/>
            <w:vAlign w:val="bottom"/>
          </w:tcPr>
          <w:p>
            <w:pPr>
              <w:jc w:val="right"/>
              <w:ind w:right="132"/>
              <w:spacing w:after="0" w:line="99" w:lineRule="exact"/>
              <w:rPr>
                <w:sz w:val="20"/>
                <w:szCs w:val="20"/>
                <w:color w:val="auto"/>
              </w:rPr>
            </w:pPr>
            <w:r>
              <w:rPr>
                <w:rFonts w:ascii="Arial" w:cs="Arial" w:eastAsia="Arial" w:hAnsi="Arial"/>
                <w:sz w:val="10"/>
                <w:szCs w:val="10"/>
                <w:b w:val="1"/>
                <w:bCs w:val="1"/>
                <w:color w:val="auto"/>
              </w:rPr>
              <w:t>Year Ended</w:t>
            </w: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380" w:type="dxa"/>
            <w:vAlign w:val="bottom"/>
          </w:tcPr>
          <w:p>
            <w:pPr>
              <w:jc w:val="center"/>
              <w:ind w:right="209"/>
              <w:spacing w:after="0" w:line="99" w:lineRule="exact"/>
              <w:rPr>
                <w:sz w:val="20"/>
                <w:szCs w:val="20"/>
                <w:color w:val="auto"/>
              </w:rPr>
            </w:pPr>
            <w:r>
              <w:rPr>
                <w:rFonts w:ascii="Arial" w:cs="Arial" w:eastAsia="Arial" w:hAnsi="Arial"/>
                <w:sz w:val="10"/>
                <w:szCs w:val="10"/>
                <w:b w:val="1"/>
                <w:bCs w:val="1"/>
                <w:color w:val="auto"/>
                <w:w w:val="87"/>
              </w:rPr>
              <w:t>Months Ended</w:t>
            </w:r>
          </w:p>
        </w:tc>
        <w:tc>
          <w:tcPr>
            <w:tcW w:w="220" w:type="dxa"/>
            <w:vAlign w:val="bottom"/>
            <w:tcBorders>
              <w:right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380" w:type="dxa"/>
            <w:vAlign w:val="bottom"/>
          </w:tcPr>
          <w:p>
            <w:pPr>
              <w:jc w:val="center"/>
              <w:ind w:right="269"/>
              <w:spacing w:after="0" w:line="99" w:lineRule="exact"/>
              <w:rPr>
                <w:sz w:val="20"/>
                <w:szCs w:val="20"/>
                <w:color w:val="auto"/>
              </w:rPr>
            </w:pPr>
            <w:r>
              <w:rPr>
                <w:rFonts w:ascii="Arial" w:cs="Arial" w:eastAsia="Arial" w:hAnsi="Arial"/>
                <w:sz w:val="10"/>
                <w:szCs w:val="10"/>
                <w:b w:val="1"/>
                <w:bCs w:val="1"/>
                <w:color w:val="auto"/>
                <w:w w:val="89"/>
              </w:rPr>
              <w:t>Months Ended</w:t>
            </w:r>
          </w:p>
        </w:tc>
        <w:tc>
          <w:tcPr>
            <w:tcW w:w="0" w:type="dxa"/>
            <w:vAlign w:val="bottom"/>
          </w:tcPr>
          <w:p>
            <w:pPr>
              <w:spacing w:after="0"/>
              <w:rPr>
                <w:sz w:val="1"/>
                <w:szCs w:val="1"/>
                <w:color w:val="auto"/>
              </w:rPr>
            </w:pPr>
          </w:p>
        </w:tc>
      </w:tr>
      <w:tr>
        <w:trPr>
          <w:trHeight w:val="105"/>
        </w:trPr>
        <w:tc>
          <w:tcPr>
            <w:tcW w:w="6020" w:type="dxa"/>
            <w:vAlign w:val="bottom"/>
            <w:gridSpan w:val="2"/>
          </w:tcPr>
          <w:p>
            <w:pPr>
              <w:spacing w:after="0" w:line="105" w:lineRule="exact"/>
              <w:rPr>
                <w:sz w:val="20"/>
                <w:szCs w:val="20"/>
                <w:color w:val="auto"/>
              </w:rPr>
            </w:pPr>
            <w:r>
              <w:rPr>
                <w:rFonts w:ascii="Arial" w:cs="Arial" w:eastAsia="Arial" w:hAnsi="Arial"/>
                <w:sz w:val="10"/>
                <w:szCs w:val="10"/>
                <w:b w:val="1"/>
                <w:bCs w:val="1"/>
                <w:u w:val="single" w:color="auto"/>
                <w:color w:val="auto"/>
              </w:rPr>
              <w:t>(</w:t>
            </w:r>
            <w:r>
              <w:rPr>
                <w:rFonts w:ascii="Arial" w:cs="Arial" w:eastAsia="Arial" w:hAnsi="Arial"/>
                <w:sz w:val="10"/>
                <w:szCs w:val="10"/>
                <w:b w:val="1"/>
                <w:bCs w:val="1"/>
                <w:color w:val="auto"/>
              </w:rPr>
              <w:t>$ in thousands)</w:t>
            </w:r>
          </w:p>
        </w:tc>
        <w:tc>
          <w:tcPr>
            <w:tcW w:w="1220" w:type="dxa"/>
            <w:vAlign w:val="bottom"/>
          </w:tcPr>
          <w:p>
            <w:pPr>
              <w:jc w:val="right"/>
              <w:spacing w:after="0" w:line="105" w:lineRule="exact"/>
              <w:rPr>
                <w:sz w:val="20"/>
                <w:szCs w:val="20"/>
                <w:color w:val="auto"/>
              </w:rPr>
            </w:pPr>
            <w:r>
              <w:rPr>
                <w:rFonts w:ascii="Arial" w:cs="Arial" w:eastAsia="Arial" w:hAnsi="Arial"/>
                <w:sz w:val="10"/>
                <w:szCs w:val="10"/>
                <w:b w:val="1"/>
                <w:bCs w:val="1"/>
                <w:color w:val="auto"/>
              </w:rPr>
              <w:t>December 31, 2018</w:t>
            </w:r>
          </w:p>
        </w:tc>
        <w:tc>
          <w:tcPr>
            <w:tcW w:w="4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80" w:type="dxa"/>
            <w:vAlign w:val="bottom"/>
          </w:tcPr>
          <w:p>
            <w:pPr>
              <w:jc w:val="center"/>
              <w:ind w:right="209"/>
              <w:spacing w:after="0" w:line="105" w:lineRule="exact"/>
              <w:rPr>
                <w:sz w:val="20"/>
                <w:szCs w:val="20"/>
                <w:color w:val="auto"/>
              </w:rPr>
            </w:pPr>
            <w:r>
              <w:rPr>
                <w:rFonts w:ascii="Arial" w:cs="Arial" w:eastAsia="Arial" w:hAnsi="Arial"/>
                <w:sz w:val="10"/>
                <w:szCs w:val="10"/>
                <w:b w:val="1"/>
                <w:bCs w:val="1"/>
                <w:color w:val="auto"/>
                <w:w w:val="84"/>
              </w:rPr>
              <w:t>December 31, 2017</w:t>
            </w:r>
          </w:p>
        </w:tc>
        <w:tc>
          <w:tcPr>
            <w:tcW w:w="22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380" w:type="dxa"/>
            <w:vAlign w:val="bottom"/>
          </w:tcPr>
          <w:p>
            <w:pPr>
              <w:jc w:val="center"/>
              <w:ind w:right="269"/>
              <w:spacing w:after="0" w:line="105" w:lineRule="exact"/>
              <w:rPr>
                <w:sz w:val="20"/>
                <w:szCs w:val="20"/>
                <w:color w:val="auto"/>
              </w:rPr>
            </w:pPr>
            <w:r>
              <w:rPr>
                <w:rFonts w:ascii="Arial" w:cs="Arial" w:eastAsia="Arial" w:hAnsi="Arial"/>
                <w:sz w:val="10"/>
                <w:szCs w:val="10"/>
                <w:b w:val="1"/>
                <w:bCs w:val="1"/>
                <w:color w:val="auto"/>
                <w:w w:val="88"/>
              </w:rPr>
              <w:t>May 31, 2017</w:t>
            </w:r>
          </w:p>
        </w:tc>
        <w:tc>
          <w:tcPr>
            <w:tcW w:w="0" w:type="dxa"/>
            <w:vAlign w:val="bottom"/>
          </w:tcPr>
          <w:p>
            <w:pPr>
              <w:spacing w:after="0"/>
              <w:rPr>
                <w:sz w:val="1"/>
                <w:szCs w:val="1"/>
                <w:color w:val="auto"/>
              </w:rPr>
            </w:pPr>
          </w:p>
        </w:tc>
      </w:tr>
      <w:tr>
        <w:trPr>
          <w:trHeight w:val="20"/>
        </w:trPr>
        <w:tc>
          <w:tcPr>
            <w:tcW w:w="640" w:type="dxa"/>
            <w:vAlign w:val="bottom"/>
            <w:tcBorders>
              <w:top w:val="single" w:sz="8" w:color="auto"/>
            </w:tcBorders>
            <w:vMerge w:val="restart"/>
            <w:shd w:val="clear" w:color="auto" w:fill="CFF0FC"/>
          </w:tcPr>
          <w:p>
            <w:pPr>
              <w:spacing w:after="0"/>
              <w:rPr>
                <w:sz w:val="20"/>
                <w:szCs w:val="20"/>
                <w:color w:val="auto"/>
              </w:rPr>
            </w:pPr>
            <w:r>
              <w:rPr>
                <w:rFonts w:ascii="Arial" w:cs="Arial" w:eastAsia="Arial" w:hAnsi="Arial"/>
                <w:sz w:val="12"/>
                <w:szCs w:val="12"/>
                <w:color w:val="auto"/>
              </w:rPr>
              <w:t>Revenue</w:t>
            </w:r>
          </w:p>
        </w:tc>
        <w:tc>
          <w:tcPr>
            <w:tcW w:w="5380" w:type="dxa"/>
            <w:vAlign w:val="bottom"/>
            <w:vMerge w:val="restart"/>
            <w:shd w:val="clear" w:color="auto" w:fill="CFF0FC"/>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80" w:type="dxa"/>
            <w:vAlign w:val="bottom"/>
            <w:tcBorders>
              <w:right w:val="single" w:sz="8" w:color="CFF0FC"/>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640" w:type="dxa"/>
            <w:vAlign w:val="bottom"/>
            <w:vMerge w:val="continue"/>
            <w:shd w:val="clear" w:color="auto" w:fill="CFF0FC"/>
          </w:tcPr>
          <w:p>
            <w:pPr>
              <w:spacing w:after="0"/>
              <w:rPr>
                <w:sz w:val="11"/>
                <w:szCs w:val="11"/>
                <w:color w:val="auto"/>
              </w:rPr>
            </w:pPr>
          </w:p>
        </w:tc>
        <w:tc>
          <w:tcPr>
            <w:tcW w:w="5380" w:type="dxa"/>
            <w:vAlign w:val="bottom"/>
            <w:vMerge w:val="continue"/>
            <w:shd w:val="clear" w:color="auto" w:fill="CFF0FC"/>
          </w:tcPr>
          <w:p>
            <w:pPr>
              <w:spacing w:after="0"/>
              <w:rPr>
                <w:sz w:val="11"/>
                <w:szCs w:val="11"/>
                <w:color w:val="auto"/>
              </w:rPr>
            </w:pPr>
          </w:p>
        </w:tc>
        <w:tc>
          <w:tcPr>
            <w:tcW w:w="1220" w:type="dxa"/>
            <w:vAlign w:val="bottom"/>
            <w:shd w:val="clear" w:color="auto" w:fill="CFF0FC"/>
          </w:tcPr>
          <w:p>
            <w:pPr>
              <w:jc w:val="right"/>
              <w:ind w:right="1112"/>
              <w:spacing w:after="0"/>
              <w:rPr>
                <w:sz w:val="20"/>
                <w:szCs w:val="20"/>
                <w:color w:val="auto"/>
              </w:rPr>
            </w:pPr>
            <w:r>
              <w:rPr>
                <w:rFonts w:ascii="Arial" w:cs="Arial" w:eastAsia="Arial" w:hAnsi="Arial"/>
                <w:sz w:val="10"/>
                <w:szCs w:val="10"/>
                <w:color w:val="auto"/>
                <w:w w:val="71"/>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5"/>
              </w:rPr>
              <w:t>389,367</w:t>
            </w:r>
          </w:p>
        </w:tc>
        <w:tc>
          <w:tcPr>
            <w:tcW w:w="260" w:type="dxa"/>
            <w:vAlign w:val="bottom"/>
            <w:shd w:val="clear" w:color="auto" w:fill="CFF0FC"/>
          </w:tcPr>
          <w:p>
            <w:pPr>
              <w:spacing w:after="0"/>
              <w:rPr>
                <w:sz w:val="11"/>
                <w:szCs w:val="11"/>
                <w:color w:val="auto"/>
              </w:rPr>
            </w:pPr>
          </w:p>
        </w:tc>
        <w:tc>
          <w:tcPr>
            <w:tcW w:w="240" w:type="dxa"/>
            <w:vAlign w:val="bottom"/>
            <w:shd w:val="clear" w:color="auto" w:fill="CFF0FC"/>
          </w:tcPr>
          <w:p>
            <w:pPr>
              <w:jc w:val="right"/>
              <w:ind w:right="131"/>
              <w:spacing w:after="0"/>
              <w:rPr>
                <w:sz w:val="20"/>
                <w:szCs w:val="20"/>
                <w:color w:val="auto"/>
              </w:rPr>
            </w:pPr>
            <w:r>
              <w:rPr>
                <w:rFonts w:ascii="Arial" w:cs="Arial" w:eastAsia="Arial" w:hAnsi="Arial"/>
                <w:sz w:val="10"/>
                <w:szCs w:val="10"/>
                <w:color w:val="auto"/>
                <w:w w:val="71"/>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210,563</w:t>
            </w:r>
          </w:p>
        </w:tc>
        <w:tc>
          <w:tcPr>
            <w:tcW w:w="220" w:type="dxa"/>
            <w:vAlign w:val="bottom"/>
            <w:tcBorders>
              <w:right w:val="single" w:sz="8" w:color="auto"/>
            </w:tcBorders>
            <w:shd w:val="clear" w:color="auto" w:fill="CFF0FC"/>
          </w:tcPr>
          <w:p>
            <w:pPr>
              <w:spacing w:after="0"/>
              <w:rPr>
                <w:sz w:val="11"/>
                <w:szCs w:val="11"/>
                <w:color w:val="auto"/>
              </w:rPr>
            </w:pPr>
          </w:p>
        </w:tc>
        <w:tc>
          <w:tcPr>
            <w:tcW w:w="36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w:t>
            </w:r>
          </w:p>
        </w:tc>
        <w:tc>
          <w:tcPr>
            <w:tcW w:w="1380" w:type="dxa"/>
            <w:vAlign w:val="bottom"/>
            <w:tcBorders>
              <w:right w:val="single" w:sz="8" w:color="CFF0FC"/>
            </w:tcBorders>
            <w:shd w:val="clear" w:color="auto" w:fill="CFF0FC"/>
          </w:tcPr>
          <w:p>
            <w:pPr>
              <w:jc w:val="right"/>
              <w:ind w:right="9"/>
              <w:spacing w:after="0"/>
              <w:rPr>
                <w:sz w:val="20"/>
                <w:szCs w:val="20"/>
                <w:color w:val="auto"/>
              </w:rPr>
            </w:pPr>
            <w:r>
              <w:rPr>
                <w:rFonts w:ascii="Arial" w:cs="Arial" w:eastAsia="Arial" w:hAnsi="Arial"/>
                <w:sz w:val="11"/>
                <w:szCs w:val="11"/>
                <w:color w:val="auto"/>
              </w:rPr>
              <w:t>138,178</w:t>
            </w:r>
          </w:p>
        </w:tc>
        <w:tc>
          <w:tcPr>
            <w:tcW w:w="0" w:type="dxa"/>
            <w:vAlign w:val="bottom"/>
          </w:tcPr>
          <w:p>
            <w:pPr>
              <w:spacing w:after="0"/>
              <w:rPr>
                <w:sz w:val="1"/>
                <w:szCs w:val="1"/>
                <w:color w:val="auto"/>
              </w:rPr>
            </w:pPr>
          </w:p>
        </w:tc>
      </w:tr>
      <w:tr>
        <w:trPr>
          <w:trHeight w:val="153"/>
        </w:trPr>
        <w:tc>
          <w:tcPr>
            <w:tcW w:w="6020" w:type="dxa"/>
            <w:vAlign w:val="bottom"/>
            <w:gridSpan w:val="2"/>
          </w:tcPr>
          <w:p>
            <w:pPr>
              <w:spacing w:after="0"/>
              <w:rPr>
                <w:sz w:val="20"/>
                <w:szCs w:val="20"/>
                <w:color w:val="auto"/>
              </w:rPr>
            </w:pPr>
            <w:r>
              <w:rPr>
                <w:rFonts w:ascii="Arial" w:cs="Arial" w:eastAsia="Arial" w:hAnsi="Arial"/>
                <w:sz w:val="12"/>
                <w:szCs w:val="12"/>
                <w:color w:val="auto"/>
              </w:rPr>
              <w:t>Income from operations</w:t>
            </w:r>
          </w:p>
        </w:tc>
        <w:tc>
          <w:tcPr>
            <w:tcW w:w="122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39,560</w:t>
            </w: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80" w:type="dxa"/>
            <w:vAlign w:val="bottom"/>
          </w:tcPr>
          <w:p>
            <w:pPr>
              <w:jc w:val="right"/>
              <w:spacing w:after="0"/>
              <w:rPr>
                <w:sz w:val="20"/>
                <w:szCs w:val="20"/>
                <w:color w:val="auto"/>
              </w:rPr>
            </w:pPr>
            <w:r>
              <w:rPr>
                <w:rFonts w:ascii="Arial" w:cs="Arial" w:eastAsia="Arial" w:hAnsi="Arial"/>
                <w:sz w:val="11"/>
                <w:szCs w:val="11"/>
                <w:color w:val="auto"/>
              </w:rPr>
              <w:t>29,242</w:t>
            </w:r>
          </w:p>
        </w:tc>
        <w:tc>
          <w:tcPr>
            <w:tcW w:w="2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80" w:type="dxa"/>
            <w:vAlign w:val="bottom"/>
          </w:tcPr>
          <w:p>
            <w:pPr>
              <w:jc w:val="right"/>
              <w:ind w:right="9"/>
              <w:spacing w:after="0"/>
              <w:rPr>
                <w:sz w:val="20"/>
                <w:szCs w:val="20"/>
                <w:color w:val="auto"/>
              </w:rPr>
            </w:pPr>
            <w:r>
              <w:rPr>
                <w:rFonts w:ascii="Arial" w:cs="Arial" w:eastAsia="Arial" w:hAnsi="Arial"/>
                <w:sz w:val="11"/>
                <w:szCs w:val="11"/>
                <w:color w:val="auto"/>
              </w:rPr>
              <w:t>17,148</w:t>
            </w:r>
          </w:p>
        </w:tc>
        <w:tc>
          <w:tcPr>
            <w:tcW w:w="0" w:type="dxa"/>
            <w:vAlign w:val="bottom"/>
          </w:tcPr>
          <w:p>
            <w:pPr>
              <w:spacing w:after="0"/>
              <w:rPr>
                <w:sz w:val="1"/>
                <w:szCs w:val="1"/>
                <w:color w:val="auto"/>
              </w:rPr>
            </w:pPr>
          </w:p>
        </w:tc>
      </w:tr>
      <w:tr>
        <w:trPr>
          <w:trHeight w:val="153"/>
        </w:trPr>
        <w:tc>
          <w:tcPr>
            <w:tcW w:w="602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Net (loss) income before income taxes</w:t>
            </w:r>
          </w:p>
        </w:tc>
        <w:tc>
          <w:tcPr>
            <w:tcW w:w="1220" w:type="dxa"/>
            <w:vAlign w:val="bottom"/>
            <w:shd w:val="clear" w:color="auto" w:fill="CFF0FC"/>
          </w:tcPr>
          <w:p>
            <w:pPr>
              <w:spacing w:after="0"/>
              <w:rPr>
                <w:sz w:val="13"/>
                <w:szCs w:val="13"/>
                <w:color w:val="auto"/>
              </w:rPr>
            </w:pPr>
          </w:p>
        </w:tc>
        <w:tc>
          <w:tcPr>
            <w:tcW w:w="66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(8,743)</w:t>
            </w:r>
          </w:p>
        </w:tc>
        <w:tc>
          <w:tcPr>
            <w:tcW w:w="240" w:type="dxa"/>
            <w:vAlign w:val="bottom"/>
            <w:shd w:val="clear" w:color="auto" w:fill="CFF0FC"/>
          </w:tcPr>
          <w:p>
            <w:pPr>
              <w:spacing w:after="0"/>
              <w:rPr>
                <w:sz w:val="13"/>
                <w:szCs w:val="13"/>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1,596</w:t>
            </w:r>
          </w:p>
        </w:tc>
        <w:tc>
          <w:tcPr>
            <w:tcW w:w="220" w:type="dxa"/>
            <w:vAlign w:val="bottom"/>
            <w:tcBorders>
              <w:right w:val="single" w:sz="8" w:color="auto"/>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3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(1,669)</w:t>
            </w:r>
          </w:p>
        </w:tc>
        <w:tc>
          <w:tcPr>
            <w:tcW w:w="0" w:type="dxa"/>
            <w:vAlign w:val="bottom"/>
          </w:tcPr>
          <w:p>
            <w:pPr>
              <w:spacing w:after="0"/>
              <w:rPr>
                <w:sz w:val="1"/>
                <w:szCs w:val="1"/>
                <w:color w:val="auto"/>
              </w:rPr>
            </w:pPr>
          </w:p>
        </w:tc>
      </w:tr>
      <w:tr>
        <w:trPr>
          <w:trHeight w:val="153"/>
        </w:trPr>
        <w:tc>
          <w:tcPr>
            <w:tcW w:w="6020" w:type="dxa"/>
            <w:vAlign w:val="bottom"/>
            <w:gridSpan w:val="2"/>
          </w:tcPr>
          <w:p>
            <w:pPr>
              <w:spacing w:after="0"/>
              <w:rPr>
                <w:sz w:val="20"/>
                <w:szCs w:val="20"/>
                <w:color w:val="auto"/>
              </w:rPr>
            </w:pPr>
            <w:r>
              <w:rPr>
                <w:rFonts w:ascii="Arial" w:cs="Arial" w:eastAsia="Arial" w:hAnsi="Arial"/>
                <w:sz w:val="12"/>
                <w:szCs w:val="12"/>
                <w:color w:val="auto"/>
              </w:rPr>
              <w:t>Net (loss) income</w:t>
            </w:r>
          </w:p>
        </w:tc>
        <w:tc>
          <w:tcPr>
            <w:tcW w:w="1220" w:type="dxa"/>
            <w:vAlign w:val="bottom"/>
          </w:tcPr>
          <w:p>
            <w:pPr>
              <w:spacing w:after="0"/>
              <w:rPr>
                <w:sz w:val="13"/>
                <w:szCs w:val="13"/>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1"/>
                <w:szCs w:val="11"/>
                <w:color w:val="auto"/>
              </w:rPr>
              <w:t>(9,583)</w:t>
            </w:r>
          </w:p>
        </w:tc>
        <w:tc>
          <w:tcPr>
            <w:tcW w:w="240" w:type="dxa"/>
            <w:vAlign w:val="bottom"/>
          </w:tcPr>
          <w:p>
            <w:pPr>
              <w:spacing w:after="0"/>
              <w:rPr>
                <w:sz w:val="13"/>
                <w:szCs w:val="13"/>
                <w:color w:val="auto"/>
              </w:rPr>
            </w:pPr>
          </w:p>
        </w:tc>
        <w:tc>
          <w:tcPr>
            <w:tcW w:w="1380" w:type="dxa"/>
            <w:vAlign w:val="bottom"/>
          </w:tcPr>
          <w:p>
            <w:pPr>
              <w:jc w:val="right"/>
              <w:spacing w:after="0"/>
              <w:rPr>
                <w:sz w:val="20"/>
                <w:szCs w:val="20"/>
                <w:color w:val="auto"/>
              </w:rPr>
            </w:pPr>
            <w:r>
              <w:rPr>
                <w:rFonts w:ascii="Arial" w:cs="Arial" w:eastAsia="Arial" w:hAnsi="Arial"/>
                <w:sz w:val="11"/>
                <w:szCs w:val="11"/>
                <w:color w:val="auto"/>
              </w:rPr>
              <w:t>27,360</w:t>
            </w:r>
          </w:p>
        </w:tc>
        <w:tc>
          <w:tcPr>
            <w:tcW w:w="2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80" w:type="dxa"/>
            <w:vAlign w:val="bottom"/>
          </w:tcPr>
          <w:p>
            <w:pPr>
              <w:jc w:val="right"/>
              <w:spacing w:after="0"/>
              <w:rPr>
                <w:sz w:val="20"/>
                <w:szCs w:val="20"/>
                <w:color w:val="auto"/>
              </w:rPr>
            </w:pPr>
            <w:r>
              <w:rPr>
                <w:rFonts w:ascii="Arial" w:cs="Arial" w:eastAsia="Arial" w:hAnsi="Arial"/>
                <w:sz w:val="11"/>
                <w:szCs w:val="11"/>
                <w:color w:val="auto"/>
              </w:rPr>
              <w:t>(1,219)</w:t>
            </w:r>
          </w:p>
        </w:tc>
        <w:tc>
          <w:tcPr>
            <w:tcW w:w="0" w:type="dxa"/>
            <w:vAlign w:val="bottom"/>
          </w:tcPr>
          <w:p>
            <w:pPr>
              <w:spacing w:after="0"/>
              <w:rPr>
                <w:sz w:val="1"/>
                <w:szCs w:val="1"/>
                <w:color w:val="auto"/>
              </w:rPr>
            </w:pPr>
          </w:p>
        </w:tc>
      </w:tr>
      <w:tr>
        <w:trPr>
          <w:trHeight w:val="153"/>
        </w:trPr>
        <w:tc>
          <w:tcPr>
            <w:tcW w:w="602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Earnings per share - basic</w:t>
            </w:r>
          </w:p>
        </w:tc>
        <w:tc>
          <w:tcPr>
            <w:tcW w:w="1220" w:type="dxa"/>
            <w:vAlign w:val="bottom"/>
            <w:shd w:val="clear" w:color="auto" w:fill="CFF0FC"/>
          </w:tcPr>
          <w:p>
            <w:pPr>
              <w:jc w:val="right"/>
              <w:ind w:right="1112"/>
              <w:spacing w:after="0"/>
              <w:rPr>
                <w:sz w:val="20"/>
                <w:szCs w:val="20"/>
                <w:color w:val="auto"/>
              </w:rPr>
            </w:pPr>
            <w:r>
              <w:rPr>
                <w:rFonts w:ascii="Arial" w:cs="Arial" w:eastAsia="Arial" w:hAnsi="Arial"/>
                <w:sz w:val="10"/>
                <w:szCs w:val="10"/>
                <w:color w:val="auto"/>
                <w:w w:val="71"/>
              </w:rPr>
              <w:t>$</w:t>
            </w:r>
          </w:p>
        </w:tc>
        <w:tc>
          <w:tcPr>
            <w:tcW w:w="66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(0.06)</w:t>
            </w:r>
          </w:p>
        </w:tc>
        <w:tc>
          <w:tcPr>
            <w:tcW w:w="240" w:type="dxa"/>
            <w:vAlign w:val="bottom"/>
            <w:shd w:val="clear" w:color="auto" w:fill="CFF0FC"/>
          </w:tcPr>
          <w:p>
            <w:pPr>
              <w:jc w:val="right"/>
              <w:ind w:right="131"/>
              <w:spacing w:after="0"/>
              <w:rPr>
                <w:sz w:val="20"/>
                <w:szCs w:val="20"/>
                <w:color w:val="auto"/>
              </w:rPr>
            </w:pPr>
            <w:r>
              <w:rPr>
                <w:rFonts w:ascii="Arial" w:cs="Arial" w:eastAsia="Arial" w:hAnsi="Arial"/>
                <w:sz w:val="10"/>
                <w:szCs w:val="10"/>
                <w:color w:val="auto"/>
                <w:w w:val="71"/>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0.18</w:t>
            </w:r>
          </w:p>
        </w:tc>
        <w:tc>
          <w:tcPr>
            <w:tcW w:w="220" w:type="dxa"/>
            <w:vAlign w:val="bottom"/>
            <w:tcBorders>
              <w:right w:val="single" w:sz="8" w:color="auto"/>
            </w:tcBorders>
            <w:shd w:val="clear" w:color="auto" w:fill="CFF0FC"/>
          </w:tcPr>
          <w:p>
            <w:pPr>
              <w:spacing w:after="0"/>
              <w:rPr>
                <w:sz w:val="13"/>
                <w:szCs w:val="13"/>
                <w:color w:val="auto"/>
              </w:rPr>
            </w:pPr>
          </w:p>
        </w:tc>
        <w:tc>
          <w:tcPr>
            <w:tcW w:w="36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w:t>
            </w:r>
          </w:p>
        </w:tc>
        <w:tc>
          <w:tcPr>
            <w:tcW w:w="13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(0.01)</w:t>
            </w:r>
          </w:p>
        </w:tc>
        <w:tc>
          <w:tcPr>
            <w:tcW w:w="0" w:type="dxa"/>
            <w:vAlign w:val="bottom"/>
          </w:tcPr>
          <w:p>
            <w:pPr>
              <w:spacing w:after="0"/>
              <w:rPr>
                <w:sz w:val="1"/>
                <w:szCs w:val="1"/>
                <w:color w:val="auto"/>
              </w:rPr>
            </w:pPr>
          </w:p>
        </w:tc>
      </w:tr>
    </w:tbl>
    <w:p>
      <w:pPr>
        <w:spacing w:after="0" w:line="162" w:lineRule="exact"/>
        <w:rPr>
          <w:sz w:val="20"/>
          <w:szCs w:val="20"/>
          <w:color w:val="auto"/>
        </w:rPr>
      </w:pPr>
    </w:p>
    <w:p>
      <w:pPr>
        <w:ind w:left="608"/>
        <w:spacing w:after="0"/>
        <w:rPr>
          <w:sz w:val="20"/>
          <w:szCs w:val="20"/>
          <w:color w:val="auto"/>
        </w:rPr>
      </w:pPr>
      <w:r>
        <w:rPr>
          <w:rFonts w:ascii="Arial" w:cs="Arial" w:eastAsia="Arial" w:hAnsi="Arial"/>
          <w:sz w:val="11"/>
          <w:szCs w:val="11"/>
          <w:color w:val="auto"/>
        </w:rPr>
        <w:t>The pro forma results include adjustments to reflect additional amortization of intangibles associated with the acquired businesses and interest expense for debt issued in connection with the HTA Acquisition.</w:t>
      </w:r>
    </w:p>
    <w:p>
      <w:pPr>
        <w:spacing w:after="0" w:line="230" w:lineRule="exact"/>
        <w:rPr>
          <w:sz w:val="20"/>
          <w:szCs w:val="20"/>
          <w:color w:val="auto"/>
        </w:rPr>
      </w:pPr>
    </w:p>
    <w:p>
      <w:pPr>
        <w:ind w:left="588" w:hanging="588"/>
        <w:spacing w:after="0"/>
        <w:tabs>
          <w:tab w:leader="none" w:pos="588" w:val="left"/>
        </w:tabs>
        <w:numPr>
          <w:ilvl w:val="0"/>
          <w:numId w:val="29"/>
        </w:numPr>
        <w:rPr>
          <w:rFonts w:ascii="Arial" w:cs="Arial" w:eastAsia="Arial" w:hAnsi="Arial"/>
          <w:sz w:val="12"/>
          <w:szCs w:val="12"/>
          <w:b w:val="1"/>
          <w:bCs w:val="1"/>
          <w:color w:val="auto"/>
        </w:rPr>
      </w:pPr>
      <w:r>
        <w:rPr>
          <w:rFonts w:ascii="Arial" w:cs="Arial" w:eastAsia="Arial" w:hAnsi="Arial"/>
          <w:sz w:val="12"/>
          <w:szCs w:val="12"/>
          <w:b w:val="1"/>
          <w:bCs w:val="1"/>
          <w:color w:val="auto"/>
        </w:rPr>
        <w:t>Prepaid Expenses and Other Current Assets</w:t>
      </w:r>
    </w:p>
    <w:p>
      <w:pPr>
        <w:spacing w:after="0" w:line="82" w:lineRule="exact"/>
        <w:rPr>
          <w:rFonts w:ascii="Arial" w:cs="Arial" w:eastAsia="Arial" w:hAnsi="Arial"/>
          <w:sz w:val="12"/>
          <w:szCs w:val="12"/>
          <w:b w:val="1"/>
          <w:bCs w:val="1"/>
          <w:color w:val="auto"/>
        </w:rPr>
      </w:pPr>
    </w:p>
    <w:p>
      <w:pPr>
        <w:ind w:left="608"/>
        <w:spacing w:after="0"/>
        <w:rPr>
          <w:rFonts w:ascii="Arial" w:cs="Arial" w:eastAsia="Arial" w:hAnsi="Arial"/>
          <w:sz w:val="12"/>
          <w:szCs w:val="12"/>
          <w:b w:val="1"/>
          <w:bCs w:val="1"/>
          <w:color w:val="auto"/>
        </w:rPr>
      </w:pPr>
      <w:r>
        <w:rPr>
          <w:rFonts w:ascii="Arial" w:cs="Arial" w:eastAsia="Arial" w:hAnsi="Arial"/>
          <w:sz w:val="12"/>
          <w:szCs w:val="12"/>
          <w:color w:val="auto"/>
        </w:rPr>
        <w:t>Prepaid expenses and other current assets consist of the following at December 31:</w:t>
      </w:r>
    </w:p>
    <w:p>
      <w:pPr>
        <w:spacing w:after="0" w:line="143" w:lineRule="exact"/>
        <w:rPr>
          <w:sz w:val="20"/>
          <w:szCs w:val="20"/>
          <w:color w:val="auto"/>
        </w:rPr>
      </w:pPr>
    </w:p>
    <w:tbl>
      <w:tblPr>
        <w:tblLayout w:type="fixed"/>
        <w:tblInd w:w="8" w:type="dxa"/>
        <w:tblCellMar>
          <w:top w:w="0" w:type="dxa"/>
          <w:left w:w="0" w:type="dxa"/>
          <w:bottom w:w="0" w:type="dxa"/>
          <w:right w:w="0" w:type="dxa"/>
        </w:tblCellMar>
      </w:tblPr>
      <w:tr>
        <w:trPr>
          <w:trHeight w:val="135"/>
        </w:trPr>
        <w:tc>
          <w:tcPr>
            <w:tcW w:w="7900" w:type="dxa"/>
            <w:vAlign w:val="bottom"/>
            <w:gridSpan w:val="2"/>
          </w:tcPr>
          <w:p>
            <w:pPr>
              <w:spacing w:after="0"/>
              <w:rPr>
                <w:sz w:val="20"/>
                <w:szCs w:val="20"/>
                <w:color w:val="auto"/>
              </w:rPr>
            </w:pPr>
            <w:r>
              <w:rPr>
                <w:rFonts w:ascii="Arial" w:cs="Arial" w:eastAsia="Arial" w:hAnsi="Arial"/>
                <w:sz w:val="10"/>
                <w:szCs w:val="10"/>
                <w:b w:val="1"/>
                <w:bCs w:val="1"/>
                <w:u w:val="single" w:color="auto"/>
                <w:color w:val="auto"/>
              </w:rPr>
              <w:t>(</w:t>
            </w:r>
            <w:r>
              <w:rPr>
                <w:rFonts w:ascii="Arial" w:cs="Arial" w:eastAsia="Arial" w:hAnsi="Arial"/>
                <w:sz w:val="10"/>
                <w:szCs w:val="10"/>
                <w:b w:val="1"/>
                <w:bCs w:val="1"/>
                <w:color w:val="auto"/>
              </w:rPr>
              <w:t>$ in thousands)</w:t>
            </w:r>
          </w:p>
        </w:tc>
        <w:tc>
          <w:tcPr>
            <w:tcW w:w="360" w:type="dxa"/>
            <w:vAlign w:val="bottom"/>
          </w:tcPr>
          <w:p>
            <w:pPr>
              <w:spacing w:after="0"/>
              <w:rPr>
                <w:sz w:val="11"/>
                <w:szCs w:val="11"/>
                <w:color w:val="auto"/>
              </w:rPr>
            </w:pPr>
          </w:p>
        </w:tc>
        <w:tc>
          <w:tcPr>
            <w:tcW w:w="1220" w:type="dxa"/>
            <w:vAlign w:val="bottom"/>
          </w:tcPr>
          <w:p>
            <w:pPr>
              <w:jc w:val="right"/>
              <w:ind w:right="641"/>
              <w:spacing w:after="0"/>
              <w:rPr>
                <w:sz w:val="20"/>
                <w:szCs w:val="20"/>
                <w:color w:val="auto"/>
              </w:rPr>
            </w:pPr>
            <w:r>
              <w:rPr>
                <w:rFonts w:ascii="Arial" w:cs="Arial" w:eastAsia="Arial" w:hAnsi="Arial"/>
                <w:sz w:val="10"/>
                <w:szCs w:val="10"/>
                <w:b w:val="1"/>
                <w:bCs w:val="1"/>
                <w:color w:val="auto"/>
              </w:rPr>
              <w:t>2019</w:t>
            </w: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20" w:type="dxa"/>
            <w:vAlign w:val="bottom"/>
          </w:tcPr>
          <w:p>
            <w:pPr>
              <w:jc w:val="right"/>
              <w:ind w:right="641"/>
              <w:spacing w:after="0"/>
              <w:rPr>
                <w:sz w:val="20"/>
                <w:szCs w:val="20"/>
                <w:color w:val="auto"/>
              </w:rPr>
            </w:pPr>
            <w:r>
              <w:rPr>
                <w:rFonts w:ascii="Arial" w:cs="Arial" w:eastAsia="Arial" w:hAnsi="Arial"/>
                <w:sz w:val="10"/>
                <w:szCs w:val="10"/>
                <w:b w:val="1"/>
                <w:bCs w:val="1"/>
                <w:color w:val="auto"/>
              </w:rPr>
              <w:t>2018</w:t>
            </w:r>
          </w:p>
        </w:tc>
        <w:tc>
          <w:tcPr>
            <w:tcW w:w="120" w:type="dxa"/>
            <w:vAlign w:val="bottom"/>
          </w:tcPr>
          <w:p>
            <w:pPr>
              <w:spacing w:after="0"/>
              <w:rPr>
                <w:sz w:val="11"/>
                <w:szCs w:val="11"/>
                <w:color w:val="auto"/>
              </w:rPr>
            </w:pPr>
          </w:p>
        </w:tc>
      </w:tr>
      <w:tr>
        <w:trPr>
          <w:trHeight w:val="131"/>
        </w:trPr>
        <w:tc>
          <w:tcPr>
            <w:tcW w:w="640" w:type="dxa"/>
            <w:vAlign w:val="bottom"/>
            <w:tcBorders>
              <w:top w:val="single" w:sz="8" w:color="auto"/>
            </w:tcBorders>
            <w:shd w:val="clear" w:color="auto" w:fill="CFF0FC"/>
          </w:tcPr>
          <w:p>
            <w:pPr>
              <w:spacing w:after="0" w:line="132" w:lineRule="exact"/>
              <w:rPr>
                <w:sz w:val="20"/>
                <w:szCs w:val="20"/>
                <w:color w:val="auto"/>
              </w:rPr>
            </w:pPr>
            <w:r>
              <w:rPr>
                <w:rFonts w:ascii="Arial" w:cs="Arial" w:eastAsia="Arial" w:hAnsi="Arial"/>
                <w:sz w:val="12"/>
                <w:szCs w:val="12"/>
                <w:color w:val="auto"/>
                <w:w w:val="93"/>
              </w:rPr>
              <w:t>Prepaid tolls</w:t>
            </w:r>
          </w:p>
        </w:tc>
        <w:tc>
          <w:tcPr>
            <w:tcW w:w="7260" w:type="dxa"/>
            <w:vAlign w:val="bottom"/>
            <w:tcBorders>
              <w:top w:val="single" w:sz="8" w:color="CFF0FC"/>
            </w:tcBorders>
            <w:shd w:val="clear" w:color="auto" w:fill="CFF0FC"/>
          </w:tcPr>
          <w:p>
            <w:pPr>
              <w:spacing w:after="0"/>
              <w:rPr>
                <w:sz w:val="11"/>
                <w:szCs w:val="11"/>
                <w:color w:val="auto"/>
              </w:rPr>
            </w:pPr>
          </w:p>
        </w:tc>
        <w:tc>
          <w:tcPr>
            <w:tcW w:w="360" w:type="dxa"/>
            <w:vAlign w:val="bottom"/>
            <w:tcBorders>
              <w:top w:val="single" w:sz="8" w:color="auto"/>
            </w:tcBorders>
            <w:shd w:val="clear" w:color="auto" w:fill="CFF0FC"/>
          </w:tcPr>
          <w:p>
            <w:pPr>
              <w:jc w:val="right"/>
              <w:ind w:right="250"/>
              <w:spacing w:after="0"/>
              <w:rPr>
                <w:sz w:val="20"/>
                <w:szCs w:val="20"/>
                <w:color w:val="auto"/>
              </w:rPr>
            </w:pPr>
            <w:r>
              <w:rPr>
                <w:rFonts w:ascii="Arial" w:cs="Arial" w:eastAsia="Arial" w:hAnsi="Arial"/>
                <w:sz w:val="10"/>
                <w:szCs w:val="10"/>
                <w:color w:val="auto"/>
                <w:w w:val="71"/>
              </w:rPr>
              <w:t>$</w:t>
            </w:r>
          </w:p>
        </w:tc>
        <w:tc>
          <w:tcPr>
            <w:tcW w:w="1220" w:type="dxa"/>
            <w:vAlign w:val="bottom"/>
            <w:tcBorders>
              <w:top w:val="single" w:sz="8" w:color="auto"/>
            </w:tcBorders>
            <w:shd w:val="clear" w:color="auto" w:fill="CFF0FC"/>
          </w:tcPr>
          <w:p>
            <w:pPr>
              <w:jc w:val="right"/>
              <w:spacing w:after="0" w:line="132" w:lineRule="exact"/>
              <w:rPr>
                <w:sz w:val="20"/>
                <w:szCs w:val="20"/>
                <w:color w:val="auto"/>
              </w:rPr>
            </w:pPr>
            <w:r>
              <w:rPr>
                <w:rFonts w:ascii="Arial" w:cs="Arial" w:eastAsia="Arial" w:hAnsi="Arial"/>
                <w:sz w:val="12"/>
                <w:szCs w:val="12"/>
                <w:color w:val="auto"/>
              </w:rPr>
              <w:t>10,116</w:t>
            </w:r>
          </w:p>
        </w:tc>
        <w:tc>
          <w:tcPr>
            <w:tcW w:w="280" w:type="dxa"/>
            <w:vAlign w:val="bottom"/>
            <w:tcBorders>
              <w:top w:val="single" w:sz="8" w:color="CFF0FC"/>
            </w:tcBorders>
            <w:shd w:val="clear" w:color="auto" w:fill="CFF0FC"/>
          </w:tcPr>
          <w:p>
            <w:pPr>
              <w:spacing w:after="0"/>
              <w:rPr>
                <w:sz w:val="11"/>
                <w:szCs w:val="11"/>
                <w:color w:val="auto"/>
              </w:rPr>
            </w:pPr>
          </w:p>
        </w:tc>
        <w:tc>
          <w:tcPr>
            <w:tcW w:w="380" w:type="dxa"/>
            <w:vAlign w:val="bottom"/>
            <w:tcBorders>
              <w:top w:val="single" w:sz="8" w:color="auto"/>
            </w:tcBorders>
            <w:shd w:val="clear" w:color="auto" w:fill="CFF0FC"/>
          </w:tcPr>
          <w:p>
            <w:pPr>
              <w:jc w:val="right"/>
              <w:ind w:right="270"/>
              <w:spacing w:after="0"/>
              <w:rPr>
                <w:sz w:val="20"/>
                <w:szCs w:val="20"/>
                <w:color w:val="auto"/>
              </w:rPr>
            </w:pPr>
            <w:r>
              <w:rPr>
                <w:rFonts w:ascii="Arial" w:cs="Arial" w:eastAsia="Arial" w:hAnsi="Arial"/>
                <w:sz w:val="10"/>
                <w:szCs w:val="10"/>
                <w:color w:val="auto"/>
                <w:w w:val="71"/>
              </w:rPr>
              <w:t>$</w:t>
            </w:r>
          </w:p>
        </w:tc>
        <w:tc>
          <w:tcPr>
            <w:tcW w:w="1220" w:type="dxa"/>
            <w:vAlign w:val="bottom"/>
            <w:tcBorders>
              <w:top w:val="single" w:sz="8" w:color="auto"/>
            </w:tcBorders>
            <w:shd w:val="clear" w:color="auto" w:fill="CFF0FC"/>
          </w:tcPr>
          <w:p>
            <w:pPr>
              <w:jc w:val="right"/>
              <w:spacing w:after="0" w:line="132" w:lineRule="exact"/>
              <w:rPr>
                <w:sz w:val="20"/>
                <w:szCs w:val="20"/>
                <w:color w:val="auto"/>
              </w:rPr>
            </w:pPr>
            <w:r>
              <w:rPr>
                <w:rFonts w:ascii="Arial" w:cs="Arial" w:eastAsia="Arial" w:hAnsi="Arial"/>
                <w:sz w:val="12"/>
                <w:szCs w:val="12"/>
                <w:color w:val="auto"/>
              </w:rPr>
              <w:t>8,434</w:t>
            </w:r>
          </w:p>
        </w:tc>
        <w:tc>
          <w:tcPr>
            <w:tcW w:w="120" w:type="dxa"/>
            <w:vAlign w:val="bottom"/>
            <w:tcBorders>
              <w:top w:val="single" w:sz="8" w:color="CFF0FC"/>
            </w:tcBorders>
            <w:shd w:val="clear" w:color="auto" w:fill="CFF0FC"/>
          </w:tcPr>
          <w:p>
            <w:pPr>
              <w:spacing w:after="0"/>
              <w:rPr>
                <w:sz w:val="11"/>
                <w:szCs w:val="11"/>
                <w:color w:val="auto"/>
              </w:rPr>
            </w:pPr>
          </w:p>
        </w:tc>
      </w:tr>
      <w:tr>
        <w:trPr>
          <w:trHeight w:val="153"/>
        </w:trPr>
        <w:tc>
          <w:tcPr>
            <w:tcW w:w="7900" w:type="dxa"/>
            <w:vAlign w:val="bottom"/>
            <w:gridSpan w:val="2"/>
          </w:tcPr>
          <w:p>
            <w:pPr>
              <w:spacing w:after="0"/>
              <w:rPr>
                <w:sz w:val="20"/>
                <w:szCs w:val="20"/>
                <w:color w:val="auto"/>
              </w:rPr>
            </w:pPr>
            <w:r>
              <w:rPr>
                <w:rFonts w:ascii="Arial" w:cs="Arial" w:eastAsia="Arial" w:hAnsi="Arial"/>
                <w:sz w:val="12"/>
                <w:szCs w:val="12"/>
                <w:color w:val="auto"/>
              </w:rPr>
              <w:t>Prepaid services</w:t>
            </w:r>
          </w:p>
        </w:tc>
        <w:tc>
          <w:tcPr>
            <w:tcW w:w="36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5,201</w:t>
            </w:r>
          </w:p>
        </w:tc>
        <w:tc>
          <w:tcPr>
            <w:tcW w:w="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3,017</w:t>
            </w:r>
          </w:p>
        </w:tc>
        <w:tc>
          <w:tcPr>
            <w:tcW w:w="120" w:type="dxa"/>
            <w:vAlign w:val="bottom"/>
          </w:tcPr>
          <w:p>
            <w:pPr>
              <w:spacing w:after="0"/>
              <w:rPr>
                <w:sz w:val="13"/>
                <w:szCs w:val="13"/>
                <w:color w:val="auto"/>
              </w:rPr>
            </w:pPr>
          </w:p>
        </w:tc>
      </w:tr>
      <w:tr>
        <w:trPr>
          <w:trHeight w:val="153"/>
        </w:trPr>
        <w:tc>
          <w:tcPr>
            <w:tcW w:w="790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Deposits</w:t>
            </w:r>
          </w:p>
        </w:tc>
        <w:tc>
          <w:tcPr>
            <w:tcW w:w="360" w:type="dxa"/>
            <w:vAlign w:val="bottom"/>
            <w:shd w:val="clear" w:color="auto" w:fill="CFF0FC"/>
          </w:tcPr>
          <w:p>
            <w:pPr>
              <w:spacing w:after="0"/>
              <w:rPr>
                <w:sz w:val="13"/>
                <w:szCs w:val="13"/>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3,642</w:t>
            </w:r>
          </w:p>
        </w:tc>
        <w:tc>
          <w:tcPr>
            <w:tcW w:w="28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839</w:t>
            </w:r>
          </w:p>
        </w:tc>
        <w:tc>
          <w:tcPr>
            <w:tcW w:w="120" w:type="dxa"/>
            <w:vAlign w:val="bottom"/>
            <w:shd w:val="clear" w:color="auto" w:fill="CFF0FC"/>
          </w:tcPr>
          <w:p>
            <w:pPr>
              <w:spacing w:after="0"/>
              <w:rPr>
                <w:sz w:val="13"/>
                <w:szCs w:val="13"/>
                <w:color w:val="auto"/>
              </w:rPr>
            </w:pPr>
          </w:p>
        </w:tc>
      </w:tr>
      <w:tr>
        <w:trPr>
          <w:trHeight w:val="153"/>
        </w:trPr>
        <w:tc>
          <w:tcPr>
            <w:tcW w:w="7900" w:type="dxa"/>
            <w:vAlign w:val="bottom"/>
            <w:gridSpan w:val="2"/>
          </w:tcPr>
          <w:p>
            <w:pPr>
              <w:spacing w:after="0"/>
              <w:rPr>
                <w:sz w:val="20"/>
                <w:szCs w:val="20"/>
                <w:color w:val="auto"/>
              </w:rPr>
            </w:pPr>
            <w:r>
              <w:rPr>
                <w:rFonts w:ascii="Arial" w:cs="Arial" w:eastAsia="Arial" w:hAnsi="Arial"/>
                <w:sz w:val="12"/>
                <w:szCs w:val="12"/>
                <w:color w:val="auto"/>
              </w:rPr>
              <w:t>Prepaid computer maintenance</w:t>
            </w:r>
          </w:p>
        </w:tc>
        <w:tc>
          <w:tcPr>
            <w:tcW w:w="36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2,923</w:t>
            </w:r>
          </w:p>
        </w:tc>
        <w:tc>
          <w:tcPr>
            <w:tcW w:w="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1,709</w:t>
            </w:r>
          </w:p>
        </w:tc>
        <w:tc>
          <w:tcPr>
            <w:tcW w:w="120" w:type="dxa"/>
            <w:vAlign w:val="bottom"/>
          </w:tcPr>
          <w:p>
            <w:pPr>
              <w:spacing w:after="0"/>
              <w:rPr>
                <w:sz w:val="13"/>
                <w:szCs w:val="13"/>
                <w:color w:val="auto"/>
              </w:rPr>
            </w:pPr>
          </w:p>
        </w:tc>
      </w:tr>
      <w:tr>
        <w:trPr>
          <w:trHeight w:val="153"/>
        </w:trPr>
        <w:tc>
          <w:tcPr>
            <w:tcW w:w="790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Prepaid insurance</w:t>
            </w:r>
          </w:p>
        </w:tc>
        <w:tc>
          <w:tcPr>
            <w:tcW w:w="360" w:type="dxa"/>
            <w:vAlign w:val="bottom"/>
            <w:shd w:val="clear" w:color="auto" w:fill="CFF0FC"/>
          </w:tcPr>
          <w:p>
            <w:pPr>
              <w:spacing w:after="0"/>
              <w:rPr>
                <w:sz w:val="13"/>
                <w:szCs w:val="13"/>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1,485</w:t>
            </w:r>
          </w:p>
        </w:tc>
        <w:tc>
          <w:tcPr>
            <w:tcW w:w="28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1,230</w:t>
            </w:r>
          </w:p>
        </w:tc>
        <w:tc>
          <w:tcPr>
            <w:tcW w:w="120" w:type="dxa"/>
            <w:vAlign w:val="bottom"/>
            <w:shd w:val="clear" w:color="auto" w:fill="CFF0FC"/>
          </w:tcPr>
          <w:p>
            <w:pPr>
              <w:spacing w:after="0"/>
              <w:rPr>
                <w:sz w:val="13"/>
                <w:szCs w:val="13"/>
                <w:color w:val="auto"/>
              </w:rPr>
            </w:pPr>
          </w:p>
        </w:tc>
      </w:tr>
      <w:tr>
        <w:trPr>
          <w:trHeight w:val="153"/>
        </w:trPr>
        <w:tc>
          <w:tcPr>
            <w:tcW w:w="7900" w:type="dxa"/>
            <w:vAlign w:val="bottom"/>
            <w:gridSpan w:val="2"/>
          </w:tcPr>
          <w:p>
            <w:pPr>
              <w:spacing w:after="0"/>
              <w:rPr>
                <w:sz w:val="20"/>
                <w:szCs w:val="20"/>
                <w:color w:val="auto"/>
              </w:rPr>
            </w:pPr>
            <w:r>
              <w:rPr>
                <w:rFonts w:ascii="Arial" w:cs="Arial" w:eastAsia="Arial" w:hAnsi="Arial"/>
                <w:sz w:val="12"/>
                <w:szCs w:val="12"/>
                <w:color w:val="auto"/>
              </w:rPr>
              <w:t>Photo enforcement equipment held for sale</w:t>
            </w:r>
          </w:p>
        </w:tc>
        <w:tc>
          <w:tcPr>
            <w:tcW w:w="36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1,410</w:t>
            </w:r>
          </w:p>
        </w:tc>
        <w:tc>
          <w:tcPr>
            <w:tcW w:w="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r>
      <w:tr>
        <w:trPr>
          <w:trHeight w:val="153"/>
        </w:trPr>
        <w:tc>
          <w:tcPr>
            <w:tcW w:w="790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Prepaid income taxes</w:t>
            </w:r>
          </w:p>
        </w:tc>
        <w:tc>
          <w:tcPr>
            <w:tcW w:w="360" w:type="dxa"/>
            <w:vAlign w:val="bottom"/>
            <w:shd w:val="clear" w:color="auto" w:fill="CFF0FC"/>
          </w:tcPr>
          <w:p>
            <w:pPr>
              <w:spacing w:after="0"/>
              <w:rPr>
                <w:sz w:val="13"/>
                <w:szCs w:val="13"/>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1,025</w:t>
            </w:r>
          </w:p>
        </w:tc>
        <w:tc>
          <w:tcPr>
            <w:tcW w:w="28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1,562</w:t>
            </w:r>
          </w:p>
        </w:tc>
        <w:tc>
          <w:tcPr>
            <w:tcW w:w="120" w:type="dxa"/>
            <w:vAlign w:val="bottom"/>
            <w:shd w:val="clear" w:color="auto" w:fill="CFF0FC"/>
          </w:tcPr>
          <w:p>
            <w:pPr>
              <w:spacing w:after="0"/>
              <w:rPr>
                <w:sz w:val="13"/>
                <w:szCs w:val="13"/>
                <w:color w:val="auto"/>
              </w:rPr>
            </w:pPr>
          </w:p>
        </w:tc>
      </w:tr>
      <w:tr>
        <w:trPr>
          <w:trHeight w:val="153"/>
        </w:trPr>
        <w:tc>
          <w:tcPr>
            <w:tcW w:w="7900" w:type="dxa"/>
            <w:vAlign w:val="bottom"/>
            <w:tcBorders>
              <w:bottom w:val="single" w:sz="8" w:color="CFF0FC"/>
            </w:tcBorders>
            <w:gridSpan w:val="2"/>
          </w:tcPr>
          <w:p>
            <w:pPr>
              <w:spacing w:after="0"/>
              <w:rPr>
                <w:sz w:val="20"/>
                <w:szCs w:val="20"/>
                <w:color w:val="auto"/>
              </w:rPr>
            </w:pPr>
            <w:r>
              <w:rPr>
                <w:rFonts w:ascii="Arial" w:cs="Arial" w:eastAsia="Arial" w:hAnsi="Arial"/>
                <w:sz w:val="12"/>
                <w:szCs w:val="12"/>
                <w:color w:val="auto"/>
              </w:rPr>
              <w:t>Other</w:t>
            </w:r>
          </w:p>
        </w:tc>
        <w:tc>
          <w:tcPr>
            <w:tcW w:w="3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689</w:t>
            </w:r>
          </w:p>
        </w:tc>
        <w:tc>
          <w:tcPr>
            <w:tcW w:w="280" w:type="dxa"/>
            <w:vAlign w:val="bottom"/>
            <w:tcBorders>
              <w:bottom w:val="single" w:sz="8" w:color="CFF0FC"/>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809</w:t>
            </w:r>
          </w:p>
        </w:tc>
        <w:tc>
          <w:tcPr>
            <w:tcW w:w="120" w:type="dxa"/>
            <w:vAlign w:val="bottom"/>
            <w:tcBorders>
              <w:bottom w:val="single" w:sz="8" w:color="CFF0FC"/>
            </w:tcBorders>
          </w:tcPr>
          <w:p>
            <w:pPr>
              <w:spacing w:after="0"/>
              <w:rPr>
                <w:sz w:val="13"/>
                <w:szCs w:val="13"/>
                <w:color w:val="auto"/>
              </w:rPr>
            </w:pPr>
          </w:p>
        </w:tc>
      </w:tr>
      <w:tr>
        <w:trPr>
          <w:trHeight w:val="149"/>
        </w:trPr>
        <w:tc>
          <w:tcPr>
            <w:tcW w:w="7900" w:type="dxa"/>
            <w:vAlign w:val="bottom"/>
            <w:tcBorders>
              <w:bottom w:val="single" w:sz="8" w:color="CFF0FC"/>
            </w:tcBorders>
            <w:gridSpan w:val="2"/>
            <w:shd w:val="clear" w:color="auto" w:fill="CFF0FC"/>
          </w:tcPr>
          <w:p>
            <w:pPr>
              <w:ind w:left="80"/>
              <w:spacing w:after="0"/>
              <w:rPr>
                <w:sz w:val="20"/>
                <w:szCs w:val="20"/>
                <w:color w:val="auto"/>
              </w:rPr>
            </w:pPr>
            <w:r>
              <w:rPr>
                <w:rFonts w:ascii="Arial" w:cs="Arial" w:eastAsia="Arial" w:hAnsi="Arial"/>
                <w:sz w:val="12"/>
                <w:szCs w:val="12"/>
                <w:color w:val="auto"/>
              </w:rPr>
              <w:t>Total prepaid expenses and other current assets</w:t>
            </w:r>
          </w:p>
        </w:tc>
        <w:tc>
          <w:tcPr>
            <w:tcW w:w="360" w:type="dxa"/>
            <w:vAlign w:val="bottom"/>
            <w:tcBorders>
              <w:bottom w:val="single" w:sz="8" w:color="auto"/>
            </w:tcBorders>
            <w:shd w:val="clear" w:color="auto" w:fill="CFF0FC"/>
          </w:tcPr>
          <w:p>
            <w:pPr>
              <w:jc w:val="right"/>
              <w:ind w:right="250"/>
              <w:spacing w:after="0"/>
              <w:rPr>
                <w:sz w:val="20"/>
                <w:szCs w:val="20"/>
                <w:color w:val="auto"/>
              </w:rPr>
            </w:pPr>
            <w:r>
              <w:rPr>
                <w:rFonts w:ascii="Arial" w:cs="Arial" w:eastAsia="Arial" w:hAnsi="Arial"/>
                <w:sz w:val="10"/>
                <w:szCs w:val="10"/>
                <w:color w:val="auto"/>
                <w:w w:val="71"/>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26,491</w:t>
            </w:r>
          </w:p>
        </w:tc>
        <w:tc>
          <w:tcPr>
            <w:tcW w:w="280" w:type="dxa"/>
            <w:vAlign w:val="bottom"/>
            <w:tcBorders>
              <w:bottom w:val="single" w:sz="8" w:color="CFF0FC"/>
            </w:tcBorders>
            <w:shd w:val="clear" w:color="auto" w:fill="CFF0FC"/>
          </w:tcPr>
          <w:p>
            <w:pPr>
              <w:spacing w:after="0"/>
              <w:rPr>
                <w:sz w:val="12"/>
                <w:szCs w:val="12"/>
                <w:color w:val="auto"/>
              </w:rPr>
            </w:pPr>
          </w:p>
        </w:tc>
        <w:tc>
          <w:tcPr>
            <w:tcW w:w="380" w:type="dxa"/>
            <w:vAlign w:val="bottom"/>
            <w:tcBorders>
              <w:bottom w:val="single" w:sz="8" w:color="auto"/>
            </w:tcBorders>
            <w:shd w:val="clear" w:color="auto" w:fill="CFF0FC"/>
          </w:tcPr>
          <w:p>
            <w:pPr>
              <w:jc w:val="right"/>
              <w:ind w:right="270"/>
              <w:spacing w:after="0"/>
              <w:rPr>
                <w:sz w:val="20"/>
                <w:szCs w:val="20"/>
                <w:color w:val="auto"/>
              </w:rPr>
            </w:pPr>
            <w:r>
              <w:rPr>
                <w:rFonts w:ascii="Arial" w:cs="Arial" w:eastAsia="Arial" w:hAnsi="Arial"/>
                <w:sz w:val="10"/>
                <w:szCs w:val="10"/>
                <w:color w:val="auto"/>
                <w:w w:val="71"/>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17,600</w:t>
            </w:r>
          </w:p>
        </w:tc>
        <w:tc>
          <w:tcPr>
            <w:tcW w:w="120" w:type="dxa"/>
            <w:vAlign w:val="bottom"/>
            <w:tcBorders>
              <w:bottom w:val="single" w:sz="8" w:color="CFF0FC"/>
            </w:tcBorders>
            <w:shd w:val="clear" w:color="auto" w:fill="CFF0FC"/>
          </w:tcPr>
          <w:p>
            <w:pPr>
              <w:spacing w:after="0"/>
              <w:rPr>
                <w:sz w:val="12"/>
                <w:szCs w:val="12"/>
                <w:color w:val="auto"/>
              </w:rPr>
            </w:pPr>
          </w:p>
        </w:tc>
      </w:tr>
    </w:tbl>
    <w:p>
      <w:pPr>
        <w:spacing w:after="0" w:line="221" w:lineRule="exact"/>
        <w:rPr>
          <w:sz w:val="20"/>
          <w:szCs w:val="20"/>
          <w:color w:val="auto"/>
        </w:rPr>
      </w:pPr>
    </w:p>
    <w:p>
      <w:pPr>
        <w:ind w:left="588" w:hanging="588"/>
        <w:spacing w:after="0"/>
        <w:tabs>
          <w:tab w:leader="none" w:pos="588" w:val="left"/>
        </w:tabs>
        <w:numPr>
          <w:ilvl w:val="0"/>
          <w:numId w:val="30"/>
        </w:numPr>
        <w:rPr>
          <w:rFonts w:ascii="Arial" w:cs="Arial" w:eastAsia="Arial" w:hAnsi="Arial"/>
          <w:sz w:val="12"/>
          <w:szCs w:val="12"/>
          <w:b w:val="1"/>
          <w:bCs w:val="1"/>
          <w:color w:val="auto"/>
        </w:rPr>
      </w:pPr>
      <w:r>
        <w:rPr>
          <w:rFonts w:ascii="Arial" w:cs="Arial" w:eastAsia="Arial" w:hAnsi="Arial"/>
          <w:sz w:val="12"/>
          <w:szCs w:val="12"/>
          <w:b w:val="1"/>
          <w:bCs w:val="1"/>
          <w:color w:val="auto"/>
        </w:rPr>
        <w:t>Property and Equipment, Net</w:t>
      </w:r>
    </w:p>
    <w:p>
      <w:pPr>
        <w:spacing w:after="0" w:line="91" w:lineRule="exact"/>
        <w:rPr>
          <w:rFonts w:ascii="Arial" w:cs="Arial" w:eastAsia="Arial" w:hAnsi="Arial"/>
          <w:sz w:val="12"/>
          <w:szCs w:val="12"/>
          <w:b w:val="1"/>
          <w:bCs w:val="1"/>
          <w:color w:val="auto"/>
        </w:rPr>
      </w:pPr>
    </w:p>
    <w:p>
      <w:pPr>
        <w:ind w:left="608"/>
        <w:spacing w:after="0"/>
        <w:rPr>
          <w:rFonts w:ascii="Arial" w:cs="Arial" w:eastAsia="Arial" w:hAnsi="Arial"/>
          <w:sz w:val="12"/>
          <w:szCs w:val="12"/>
          <w:b w:val="1"/>
          <w:bCs w:val="1"/>
          <w:color w:val="auto"/>
        </w:rPr>
      </w:pPr>
      <w:r>
        <w:rPr>
          <w:rFonts w:ascii="Arial" w:cs="Arial" w:eastAsia="Arial" w:hAnsi="Arial"/>
          <w:sz w:val="12"/>
          <w:szCs w:val="12"/>
          <w:color w:val="auto"/>
        </w:rPr>
        <w:t>Property and equipment, net, consists of the following at December 31:</w:t>
      </w:r>
    </w:p>
    <w:p>
      <w:pPr>
        <w:spacing w:after="0" w:line="143" w:lineRule="exact"/>
        <w:rPr>
          <w:sz w:val="20"/>
          <w:szCs w:val="20"/>
          <w:color w:val="auto"/>
        </w:rPr>
      </w:pPr>
    </w:p>
    <w:tbl>
      <w:tblPr>
        <w:tblLayout w:type="fixed"/>
        <w:tblInd w:w="8" w:type="dxa"/>
        <w:tblCellMar>
          <w:top w:w="0" w:type="dxa"/>
          <w:left w:w="0" w:type="dxa"/>
          <w:bottom w:w="0" w:type="dxa"/>
          <w:right w:w="0" w:type="dxa"/>
        </w:tblCellMar>
      </w:tblPr>
      <w:tr>
        <w:trPr>
          <w:trHeight w:val="115"/>
        </w:trPr>
        <w:tc>
          <w:tcPr>
            <w:tcW w:w="7900" w:type="dxa"/>
            <w:vAlign w:val="bottom"/>
            <w:gridSpan w:val="2"/>
          </w:tcPr>
          <w:p>
            <w:pPr>
              <w:spacing w:after="0"/>
              <w:rPr>
                <w:sz w:val="20"/>
                <w:szCs w:val="20"/>
                <w:color w:val="auto"/>
              </w:rPr>
            </w:pPr>
            <w:r>
              <w:rPr>
                <w:rFonts w:ascii="Arial" w:cs="Arial" w:eastAsia="Arial" w:hAnsi="Arial"/>
                <w:sz w:val="10"/>
                <w:szCs w:val="10"/>
                <w:b w:val="1"/>
                <w:bCs w:val="1"/>
                <w:u w:val="single" w:color="auto"/>
                <w:color w:val="auto"/>
              </w:rPr>
              <w:t>(</w:t>
            </w:r>
            <w:r>
              <w:rPr>
                <w:rFonts w:ascii="Arial" w:cs="Arial" w:eastAsia="Arial" w:hAnsi="Arial"/>
                <w:sz w:val="10"/>
                <w:szCs w:val="10"/>
                <w:b w:val="1"/>
                <w:bCs w:val="1"/>
                <w:color w:val="auto"/>
              </w:rPr>
              <w:t>$ in thousands)</w:t>
            </w:r>
          </w:p>
        </w:tc>
        <w:tc>
          <w:tcPr>
            <w:tcW w:w="360" w:type="dxa"/>
            <w:vAlign w:val="bottom"/>
          </w:tcPr>
          <w:p>
            <w:pPr>
              <w:spacing w:after="0"/>
              <w:rPr>
                <w:sz w:val="10"/>
                <w:szCs w:val="10"/>
                <w:color w:val="auto"/>
              </w:rPr>
            </w:pPr>
          </w:p>
        </w:tc>
        <w:tc>
          <w:tcPr>
            <w:tcW w:w="1220" w:type="dxa"/>
            <w:vAlign w:val="bottom"/>
          </w:tcPr>
          <w:p>
            <w:pPr>
              <w:jc w:val="right"/>
              <w:ind w:right="641"/>
              <w:spacing w:after="0"/>
              <w:rPr>
                <w:sz w:val="20"/>
                <w:szCs w:val="20"/>
                <w:color w:val="auto"/>
              </w:rPr>
            </w:pPr>
            <w:r>
              <w:rPr>
                <w:rFonts w:ascii="Arial" w:cs="Arial" w:eastAsia="Arial" w:hAnsi="Arial"/>
                <w:sz w:val="10"/>
                <w:szCs w:val="10"/>
                <w:b w:val="1"/>
                <w:bCs w:val="1"/>
                <w:color w:val="auto"/>
              </w:rPr>
              <w:t>2019</w:t>
            </w:r>
          </w:p>
        </w:tc>
        <w:tc>
          <w:tcPr>
            <w:tcW w:w="2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20" w:type="dxa"/>
            <w:vAlign w:val="bottom"/>
          </w:tcPr>
          <w:p>
            <w:pPr>
              <w:jc w:val="right"/>
              <w:ind w:right="641"/>
              <w:spacing w:after="0"/>
              <w:rPr>
                <w:sz w:val="20"/>
                <w:szCs w:val="20"/>
                <w:color w:val="auto"/>
              </w:rPr>
            </w:pPr>
            <w:r>
              <w:rPr>
                <w:rFonts w:ascii="Arial" w:cs="Arial" w:eastAsia="Arial" w:hAnsi="Arial"/>
                <w:sz w:val="10"/>
                <w:szCs w:val="10"/>
                <w:b w:val="1"/>
                <w:bCs w:val="1"/>
                <w:color w:val="auto"/>
              </w:rPr>
              <w:t>2018</w:t>
            </w:r>
          </w:p>
        </w:tc>
        <w:tc>
          <w:tcPr>
            <w:tcW w:w="120" w:type="dxa"/>
            <w:vAlign w:val="bottom"/>
          </w:tcPr>
          <w:p>
            <w:pPr>
              <w:spacing w:after="0"/>
              <w:rPr>
                <w:sz w:val="10"/>
                <w:szCs w:val="10"/>
                <w:color w:val="auto"/>
              </w:rPr>
            </w:pPr>
          </w:p>
        </w:tc>
      </w:tr>
      <w:tr>
        <w:trPr>
          <w:trHeight w:val="20"/>
        </w:trPr>
        <w:tc>
          <w:tcPr>
            <w:tcW w:w="640" w:type="dxa"/>
            <w:vAlign w:val="bottom"/>
            <w:tcBorders>
              <w:bottom w:val="single" w:sz="8" w:color="CFF0FC"/>
            </w:tcBorders>
            <w:shd w:val="clear" w:color="auto" w:fill="000000"/>
          </w:tcPr>
          <w:p>
            <w:pPr>
              <w:spacing w:after="0" w:line="20" w:lineRule="exact"/>
              <w:rPr>
                <w:sz w:val="1"/>
                <w:szCs w:val="1"/>
                <w:color w:val="auto"/>
              </w:rPr>
            </w:pPr>
          </w:p>
        </w:tc>
        <w:tc>
          <w:tcPr>
            <w:tcW w:w="7260" w:type="dxa"/>
            <w:vAlign w:val="bottom"/>
            <w:tcBorders>
              <w:bottom w:val="single" w:sz="8" w:color="CFF0FC"/>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FF0FC"/>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r>
      <w:tr>
        <w:trPr>
          <w:trHeight w:val="131"/>
        </w:trPr>
        <w:tc>
          <w:tcPr>
            <w:tcW w:w="7900" w:type="dxa"/>
            <w:vAlign w:val="bottom"/>
            <w:gridSpan w:val="2"/>
            <w:shd w:val="clear" w:color="auto" w:fill="CFF0FC"/>
          </w:tcPr>
          <w:p>
            <w:pPr>
              <w:spacing w:after="0" w:line="132" w:lineRule="exact"/>
              <w:rPr>
                <w:sz w:val="20"/>
                <w:szCs w:val="20"/>
                <w:color w:val="auto"/>
              </w:rPr>
            </w:pPr>
            <w:r>
              <w:rPr>
                <w:rFonts w:ascii="Arial" w:cs="Arial" w:eastAsia="Arial" w:hAnsi="Arial"/>
                <w:sz w:val="12"/>
                <w:szCs w:val="12"/>
                <w:color w:val="auto"/>
              </w:rPr>
              <w:t>Equipment installed at customer sites</w:t>
            </w:r>
          </w:p>
        </w:tc>
        <w:tc>
          <w:tcPr>
            <w:tcW w:w="360" w:type="dxa"/>
            <w:vAlign w:val="bottom"/>
            <w:shd w:val="clear" w:color="auto" w:fill="CFF0FC"/>
          </w:tcPr>
          <w:p>
            <w:pPr>
              <w:jc w:val="right"/>
              <w:ind w:right="250"/>
              <w:spacing w:after="0"/>
              <w:rPr>
                <w:sz w:val="20"/>
                <w:szCs w:val="20"/>
                <w:color w:val="auto"/>
              </w:rPr>
            </w:pPr>
            <w:r>
              <w:rPr>
                <w:rFonts w:ascii="Arial" w:cs="Arial" w:eastAsia="Arial" w:hAnsi="Arial"/>
                <w:sz w:val="10"/>
                <w:szCs w:val="10"/>
                <w:color w:val="auto"/>
                <w:w w:val="71"/>
              </w:rPr>
              <w:t>$</w:t>
            </w:r>
          </w:p>
        </w:tc>
        <w:tc>
          <w:tcPr>
            <w:tcW w:w="1220" w:type="dxa"/>
            <w:vAlign w:val="bottom"/>
            <w:shd w:val="clear" w:color="auto" w:fill="CFF0FC"/>
          </w:tcPr>
          <w:p>
            <w:pPr>
              <w:jc w:val="right"/>
              <w:spacing w:after="0" w:line="132" w:lineRule="exact"/>
              <w:rPr>
                <w:sz w:val="20"/>
                <w:szCs w:val="20"/>
                <w:color w:val="auto"/>
              </w:rPr>
            </w:pPr>
            <w:r>
              <w:rPr>
                <w:rFonts w:ascii="Arial" w:cs="Arial" w:eastAsia="Arial" w:hAnsi="Arial"/>
                <w:sz w:val="12"/>
                <w:szCs w:val="12"/>
                <w:color w:val="auto"/>
              </w:rPr>
              <w:t>71,464</w:t>
            </w:r>
          </w:p>
        </w:tc>
        <w:tc>
          <w:tcPr>
            <w:tcW w:w="280" w:type="dxa"/>
            <w:vAlign w:val="bottom"/>
            <w:shd w:val="clear" w:color="auto" w:fill="CFF0FC"/>
          </w:tcPr>
          <w:p>
            <w:pPr>
              <w:spacing w:after="0"/>
              <w:rPr>
                <w:sz w:val="11"/>
                <w:szCs w:val="11"/>
                <w:color w:val="auto"/>
              </w:rPr>
            </w:pPr>
          </w:p>
        </w:tc>
        <w:tc>
          <w:tcPr>
            <w:tcW w:w="380" w:type="dxa"/>
            <w:vAlign w:val="bottom"/>
            <w:shd w:val="clear" w:color="auto" w:fill="CFF0FC"/>
          </w:tcPr>
          <w:p>
            <w:pPr>
              <w:jc w:val="right"/>
              <w:ind w:right="270"/>
              <w:spacing w:after="0"/>
              <w:rPr>
                <w:sz w:val="20"/>
                <w:szCs w:val="20"/>
                <w:color w:val="auto"/>
              </w:rPr>
            </w:pPr>
            <w:r>
              <w:rPr>
                <w:rFonts w:ascii="Arial" w:cs="Arial" w:eastAsia="Arial" w:hAnsi="Arial"/>
                <w:sz w:val="10"/>
                <w:szCs w:val="10"/>
                <w:color w:val="auto"/>
                <w:w w:val="71"/>
              </w:rPr>
              <w:t>$</w:t>
            </w:r>
          </w:p>
        </w:tc>
        <w:tc>
          <w:tcPr>
            <w:tcW w:w="1220" w:type="dxa"/>
            <w:vAlign w:val="bottom"/>
            <w:shd w:val="clear" w:color="auto" w:fill="CFF0FC"/>
          </w:tcPr>
          <w:p>
            <w:pPr>
              <w:jc w:val="right"/>
              <w:spacing w:after="0" w:line="132" w:lineRule="exact"/>
              <w:rPr>
                <w:sz w:val="20"/>
                <w:szCs w:val="20"/>
                <w:color w:val="auto"/>
              </w:rPr>
            </w:pPr>
            <w:r>
              <w:rPr>
                <w:rFonts w:ascii="Arial" w:cs="Arial" w:eastAsia="Arial" w:hAnsi="Arial"/>
                <w:sz w:val="12"/>
                <w:szCs w:val="12"/>
                <w:color w:val="auto"/>
              </w:rPr>
              <w:t>70,164</w:t>
            </w:r>
          </w:p>
        </w:tc>
        <w:tc>
          <w:tcPr>
            <w:tcW w:w="120" w:type="dxa"/>
            <w:vAlign w:val="bottom"/>
            <w:shd w:val="clear" w:color="auto" w:fill="CFF0FC"/>
          </w:tcPr>
          <w:p>
            <w:pPr>
              <w:spacing w:after="0"/>
              <w:rPr>
                <w:sz w:val="11"/>
                <w:szCs w:val="11"/>
                <w:color w:val="auto"/>
              </w:rPr>
            </w:pPr>
          </w:p>
        </w:tc>
      </w:tr>
      <w:tr>
        <w:trPr>
          <w:trHeight w:val="153"/>
        </w:trPr>
        <w:tc>
          <w:tcPr>
            <w:tcW w:w="7900" w:type="dxa"/>
            <w:vAlign w:val="bottom"/>
            <w:gridSpan w:val="2"/>
          </w:tcPr>
          <w:p>
            <w:pPr>
              <w:spacing w:after="0"/>
              <w:rPr>
                <w:sz w:val="20"/>
                <w:szCs w:val="20"/>
                <w:color w:val="auto"/>
              </w:rPr>
            </w:pPr>
            <w:r>
              <w:rPr>
                <w:rFonts w:ascii="Arial" w:cs="Arial" w:eastAsia="Arial" w:hAnsi="Arial"/>
                <w:sz w:val="12"/>
                <w:szCs w:val="12"/>
                <w:color w:val="auto"/>
              </w:rPr>
              <w:t>Software</w:t>
            </w:r>
          </w:p>
        </w:tc>
        <w:tc>
          <w:tcPr>
            <w:tcW w:w="36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13,839</w:t>
            </w:r>
          </w:p>
        </w:tc>
        <w:tc>
          <w:tcPr>
            <w:tcW w:w="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11,189</w:t>
            </w:r>
          </w:p>
        </w:tc>
        <w:tc>
          <w:tcPr>
            <w:tcW w:w="120" w:type="dxa"/>
            <w:vAlign w:val="bottom"/>
          </w:tcPr>
          <w:p>
            <w:pPr>
              <w:spacing w:after="0"/>
              <w:rPr>
                <w:sz w:val="13"/>
                <w:szCs w:val="13"/>
                <w:color w:val="auto"/>
              </w:rPr>
            </w:pPr>
          </w:p>
        </w:tc>
      </w:tr>
      <w:tr>
        <w:trPr>
          <w:trHeight w:val="153"/>
        </w:trPr>
        <w:tc>
          <w:tcPr>
            <w:tcW w:w="790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Leasehold improvements</w:t>
            </w:r>
          </w:p>
        </w:tc>
        <w:tc>
          <w:tcPr>
            <w:tcW w:w="360" w:type="dxa"/>
            <w:vAlign w:val="bottom"/>
            <w:shd w:val="clear" w:color="auto" w:fill="CFF0FC"/>
          </w:tcPr>
          <w:p>
            <w:pPr>
              <w:spacing w:after="0"/>
              <w:rPr>
                <w:sz w:val="13"/>
                <w:szCs w:val="13"/>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8,809</w:t>
            </w:r>
          </w:p>
        </w:tc>
        <w:tc>
          <w:tcPr>
            <w:tcW w:w="28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7,899</w:t>
            </w:r>
          </w:p>
        </w:tc>
        <w:tc>
          <w:tcPr>
            <w:tcW w:w="120" w:type="dxa"/>
            <w:vAlign w:val="bottom"/>
            <w:shd w:val="clear" w:color="auto" w:fill="CFF0FC"/>
          </w:tcPr>
          <w:p>
            <w:pPr>
              <w:spacing w:after="0"/>
              <w:rPr>
                <w:sz w:val="13"/>
                <w:szCs w:val="13"/>
                <w:color w:val="auto"/>
              </w:rPr>
            </w:pPr>
          </w:p>
        </w:tc>
      </w:tr>
      <w:tr>
        <w:trPr>
          <w:trHeight w:val="153"/>
        </w:trPr>
        <w:tc>
          <w:tcPr>
            <w:tcW w:w="7900" w:type="dxa"/>
            <w:vAlign w:val="bottom"/>
            <w:gridSpan w:val="2"/>
          </w:tcPr>
          <w:p>
            <w:pPr>
              <w:spacing w:after="0"/>
              <w:rPr>
                <w:sz w:val="20"/>
                <w:szCs w:val="20"/>
                <w:color w:val="auto"/>
              </w:rPr>
            </w:pPr>
            <w:r>
              <w:rPr>
                <w:rFonts w:ascii="Arial" w:cs="Arial" w:eastAsia="Arial" w:hAnsi="Arial"/>
                <w:sz w:val="12"/>
                <w:szCs w:val="12"/>
                <w:color w:val="auto"/>
              </w:rPr>
              <w:t>Computer equipment</w:t>
            </w:r>
          </w:p>
        </w:tc>
        <w:tc>
          <w:tcPr>
            <w:tcW w:w="36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8,882</w:t>
            </w:r>
          </w:p>
        </w:tc>
        <w:tc>
          <w:tcPr>
            <w:tcW w:w="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5,758</w:t>
            </w:r>
          </w:p>
        </w:tc>
        <w:tc>
          <w:tcPr>
            <w:tcW w:w="120" w:type="dxa"/>
            <w:vAlign w:val="bottom"/>
          </w:tcPr>
          <w:p>
            <w:pPr>
              <w:spacing w:after="0"/>
              <w:rPr>
                <w:sz w:val="13"/>
                <w:szCs w:val="13"/>
                <w:color w:val="auto"/>
              </w:rPr>
            </w:pPr>
          </w:p>
        </w:tc>
      </w:tr>
      <w:tr>
        <w:trPr>
          <w:trHeight w:val="153"/>
        </w:trPr>
        <w:tc>
          <w:tcPr>
            <w:tcW w:w="790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Furniture</w:t>
            </w:r>
          </w:p>
        </w:tc>
        <w:tc>
          <w:tcPr>
            <w:tcW w:w="360" w:type="dxa"/>
            <w:vAlign w:val="bottom"/>
            <w:shd w:val="clear" w:color="auto" w:fill="CFF0FC"/>
          </w:tcPr>
          <w:p>
            <w:pPr>
              <w:spacing w:after="0"/>
              <w:rPr>
                <w:sz w:val="13"/>
                <w:szCs w:val="13"/>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1,681</w:t>
            </w:r>
          </w:p>
        </w:tc>
        <w:tc>
          <w:tcPr>
            <w:tcW w:w="28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1,826</w:t>
            </w:r>
          </w:p>
        </w:tc>
        <w:tc>
          <w:tcPr>
            <w:tcW w:w="120" w:type="dxa"/>
            <w:vAlign w:val="bottom"/>
            <w:shd w:val="clear" w:color="auto" w:fill="CFF0FC"/>
          </w:tcPr>
          <w:p>
            <w:pPr>
              <w:spacing w:after="0"/>
              <w:rPr>
                <w:sz w:val="13"/>
                <w:szCs w:val="13"/>
                <w:color w:val="auto"/>
              </w:rPr>
            </w:pPr>
          </w:p>
        </w:tc>
      </w:tr>
      <w:tr>
        <w:trPr>
          <w:trHeight w:val="153"/>
        </w:trPr>
        <w:tc>
          <w:tcPr>
            <w:tcW w:w="7900" w:type="dxa"/>
            <w:vAlign w:val="bottom"/>
            <w:gridSpan w:val="2"/>
          </w:tcPr>
          <w:p>
            <w:pPr>
              <w:spacing w:after="0"/>
              <w:rPr>
                <w:sz w:val="20"/>
                <w:szCs w:val="20"/>
                <w:color w:val="auto"/>
              </w:rPr>
            </w:pPr>
            <w:r>
              <w:rPr>
                <w:rFonts w:ascii="Arial" w:cs="Arial" w:eastAsia="Arial" w:hAnsi="Arial"/>
                <w:sz w:val="12"/>
                <w:szCs w:val="12"/>
                <w:color w:val="auto"/>
              </w:rPr>
              <w:t>Automobiles</w:t>
            </w:r>
          </w:p>
        </w:tc>
        <w:tc>
          <w:tcPr>
            <w:tcW w:w="36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2,128</w:t>
            </w:r>
          </w:p>
        </w:tc>
        <w:tc>
          <w:tcPr>
            <w:tcW w:w="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1,289</w:t>
            </w:r>
          </w:p>
        </w:tc>
        <w:tc>
          <w:tcPr>
            <w:tcW w:w="120" w:type="dxa"/>
            <w:vAlign w:val="bottom"/>
          </w:tcPr>
          <w:p>
            <w:pPr>
              <w:spacing w:after="0"/>
              <w:rPr>
                <w:sz w:val="13"/>
                <w:szCs w:val="13"/>
                <w:color w:val="auto"/>
              </w:rPr>
            </w:pPr>
          </w:p>
        </w:tc>
      </w:tr>
      <w:tr>
        <w:trPr>
          <w:trHeight w:val="153"/>
        </w:trPr>
        <w:tc>
          <w:tcPr>
            <w:tcW w:w="790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Construction in progress</w:t>
            </w:r>
          </w:p>
        </w:tc>
        <w:tc>
          <w:tcPr>
            <w:tcW w:w="360" w:type="dxa"/>
            <w:vAlign w:val="bottom"/>
            <w:tcBorders>
              <w:bottom w:val="single" w:sz="8" w:color="auto"/>
            </w:tcBorders>
            <w:shd w:val="clear" w:color="auto" w:fill="CFF0FC"/>
          </w:tcPr>
          <w:p>
            <w:pPr>
              <w:spacing w:after="0"/>
              <w:rPr>
                <w:sz w:val="13"/>
                <w:szCs w:val="13"/>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4,773</w:t>
            </w:r>
          </w:p>
        </w:tc>
        <w:tc>
          <w:tcPr>
            <w:tcW w:w="280" w:type="dxa"/>
            <w:vAlign w:val="bottom"/>
            <w:shd w:val="clear" w:color="auto" w:fill="CFF0FC"/>
          </w:tcPr>
          <w:p>
            <w:pPr>
              <w:spacing w:after="0"/>
              <w:rPr>
                <w:sz w:val="13"/>
                <w:szCs w:val="13"/>
                <w:color w:val="auto"/>
              </w:rPr>
            </w:pPr>
          </w:p>
        </w:tc>
        <w:tc>
          <w:tcPr>
            <w:tcW w:w="380" w:type="dxa"/>
            <w:vAlign w:val="bottom"/>
            <w:tcBorders>
              <w:bottom w:val="single" w:sz="8" w:color="auto"/>
            </w:tcBorders>
            <w:shd w:val="clear" w:color="auto" w:fill="CFF0FC"/>
          </w:tcPr>
          <w:p>
            <w:pPr>
              <w:spacing w:after="0"/>
              <w:rPr>
                <w:sz w:val="13"/>
                <w:szCs w:val="13"/>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2,097</w:t>
            </w:r>
          </w:p>
        </w:tc>
        <w:tc>
          <w:tcPr>
            <w:tcW w:w="120" w:type="dxa"/>
            <w:vAlign w:val="bottom"/>
            <w:shd w:val="clear" w:color="auto" w:fill="CFF0FC"/>
          </w:tcPr>
          <w:p>
            <w:pPr>
              <w:spacing w:after="0"/>
              <w:rPr>
                <w:sz w:val="13"/>
                <w:szCs w:val="13"/>
                <w:color w:val="auto"/>
              </w:rPr>
            </w:pPr>
          </w:p>
        </w:tc>
      </w:tr>
      <w:tr>
        <w:trPr>
          <w:trHeight w:val="142"/>
        </w:trPr>
        <w:tc>
          <w:tcPr>
            <w:tcW w:w="7900" w:type="dxa"/>
            <w:vAlign w:val="bottom"/>
            <w:gridSpan w:val="2"/>
          </w:tcPr>
          <w:p>
            <w:pPr>
              <w:spacing w:after="0"/>
              <w:rPr>
                <w:sz w:val="20"/>
                <w:szCs w:val="20"/>
                <w:color w:val="auto"/>
              </w:rPr>
            </w:pPr>
            <w:r>
              <w:rPr>
                <w:rFonts w:ascii="Arial" w:cs="Arial" w:eastAsia="Arial" w:hAnsi="Arial"/>
                <w:sz w:val="12"/>
                <w:szCs w:val="12"/>
                <w:color w:val="auto"/>
              </w:rPr>
              <w:t>Property and equipment</w:t>
            </w:r>
          </w:p>
        </w:tc>
        <w:tc>
          <w:tcPr>
            <w:tcW w:w="36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111,576</w:t>
            </w: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100,222</w:t>
            </w:r>
          </w:p>
        </w:tc>
        <w:tc>
          <w:tcPr>
            <w:tcW w:w="120" w:type="dxa"/>
            <w:vAlign w:val="bottom"/>
          </w:tcPr>
          <w:p>
            <w:pPr>
              <w:spacing w:after="0"/>
              <w:rPr>
                <w:sz w:val="12"/>
                <w:szCs w:val="12"/>
                <w:color w:val="auto"/>
              </w:rPr>
            </w:pPr>
          </w:p>
        </w:tc>
      </w:tr>
      <w:tr>
        <w:trPr>
          <w:trHeight w:val="153"/>
        </w:trPr>
        <w:tc>
          <w:tcPr>
            <w:tcW w:w="790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Less: accumulated depreciation</w:t>
            </w:r>
          </w:p>
        </w:tc>
        <w:tc>
          <w:tcPr>
            <w:tcW w:w="360" w:type="dxa"/>
            <w:vAlign w:val="bottom"/>
            <w:shd w:val="clear" w:color="auto" w:fill="CFF0FC"/>
          </w:tcPr>
          <w:p>
            <w:pPr>
              <w:spacing w:after="0"/>
              <w:rPr>
                <w:sz w:val="13"/>
                <w:szCs w:val="13"/>
                <w:color w:val="auto"/>
              </w:rPr>
            </w:pPr>
          </w:p>
        </w:tc>
        <w:tc>
          <w:tcPr>
            <w:tcW w:w="150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(39,310)</w:t>
            </w:r>
          </w:p>
        </w:tc>
        <w:tc>
          <w:tcPr>
            <w:tcW w:w="380" w:type="dxa"/>
            <w:vAlign w:val="bottom"/>
            <w:shd w:val="clear" w:color="auto" w:fill="CFF0FC"/>
          </w:tcPr>
          <w:p>
            <w:pPr>
              <w:spacing w:after="0"/>
              <w:rPr>
                <w:sz w:val="13"/>
                <w:szCs w:val="13"/>
                <w:color w:val="auto"/>
              </w:rPr>
            </w:pPr>
          </w:p>
        </w:tc>
        <w:tc>
          <w:tcPr>
            <w:tcW w:w="134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(30,979)</w:t>
            </w:r>
          </w:p>
        </w:tc>
      </w:tr>
      <w:tr>
        <w:trPr>
          <w:trHeight w:val="149"/>
        </w:trPr>
        <w:tc>
          <w:tcPr>
            <w:tcW w:w="7900" w:type="dxa"/>
            <w:vAlign w:val="bottom"/>
            <w:gridSpan w:val="2"/>
          </w:tcPr>
          <w:p>
            <w:pPr>
              <w:ind w:left="80"/>
              <w:spacing w:after="0"/>
              <w:rPr>
                <w:sz w:val="20"/>
                <w:szCs w:val="20"/>
                <w:color w:val="auto"/>
              </w:rPr>
            </w:pPr>
            <w:r>
              <w:rPr>
                <w:rFonts w:ascii="Arial" w:cs="Arial" w:eastAsia="Arial" w:hAnsi="Arial"/>
                <w:sz w:val="12"/>
                <w:szCs w:val="12"/>
                <w:color w:val="auto"/>
              </w:rPr>
              <w:t>Property and equipment, net</w:t>
            </w:r>
          </w:p>
        </w:tc>
        <w:tc>
          <w:tcPr>
            <w:tcW w:w="3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0"/>
                <w:szCs w:val="10"/>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72,266</w:t>
            </w:r>
          </w:p>
        </w:tc>
        <w:tc>
          <w:tcPr>
            <w:tcW w:w="280" w:type="dxa"/>
            <w:vAlign w:val="bottom"/>
          </w:tcPr>
          <w:p>
            <w:pPr>
              <w:spacing w:after="0"/>
              <w:rPr>
                <w:sz w:val="12"/>
                <w:szCs w:val="12"/>
                <w:color w:val="auto"/>
              </w:rPr>
            </w:pPr>
          </w:p>
        </w:tc>
        <w:tc>
          <w:tcPr>
            <w:tcW w:w="3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0"/>
                <w:szCs w:val="10"/>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69,243</w:t>
            </w:r>
          </w:p>
        </w:tc>
        <w:tc>
          <w:tcPr>
            <w:tcW w:w="120" w:type="dxa"/>
            <w:vAlign w:val="bottom"/>
          </w:tcPr>
          <w:p>
            <w:pPr>
              <w:spacing w:after="0"/>
              <w:rPr>
                <w:sz w:val="12"/>
                <w:szCs w:val="12"/>
                <w:color w:val="auto"/>
              </w:rPr>
            </w:pPr>
          </w:p>
        </w:tc>
      </w:tr>
    </w:tbl>
    <w:p>
      <w:pPr>
        <w:spacing w:after="0" w:line="153" w:lineRule="exact"/>
        <w:rPr>
          <w:sz w:val="20"/>
          <w:szCs w:val="20"/>
          <w:color w:val="auto"/>
        </w:rPr>
      </w:pPr>
    </w:p>
    <w:p>
      <w:pPr>
        <w:ind w:left="8" w:right="180" w:firstLine="602"/>
        <w:spacing w:after="0" w:line="263" w:lineRule="auto"/>
        <w:rPr>
          <w:sz w:val="20"/>
          <w:szCs w:val="20"/>
          <w:color w:val="auto"/>
        </w:rPr>
      </w:pPr>
      <w:r>
        <w:rPr>
          <w:rFonts w:ascii="Arial" w:cs="Arial" w:eastAsia="Arial" w:hAnsi="Arial"/>
          <w:sz w:val="12"/>
          <w:szCs w:val="12"/>
          <w:color w:val="auto"/>
        </w:rPr>
        <w:t>Depreciation expense was $22.8 million, $22.5 million, $14.4 million, and $11.8 million for the years ended December 31, 2019 and December 31, 2018, the 2017 Successor Period, and the 2017 Predecessor Period respectively, including depreciation related to costs to develop or implement software for internal use of $3.8 million, $2.9 million, $0.9 million and $1.8 million for the years ended December 31, 2019 and December 31, 2018, the 2017 Successor Period and the 2017 Predecessor Period, respectively.</w:t>
      </w:r>
    </w:p>
    <w:p>
      <w:pPr>
        <w:spacing w:after="0" w:line="123"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42545</wp:posOffset>
            </wp:positionV>
            <wp:extent cx="7317740" cy="3683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ectPr>
          <w:pgSz w:w="11900" w:h="16838" w:orient="portrait"/>
          <w:cols w:equalWidth="0" w:num="1">
            <w:col w:w="11488"/>
          </w:cols>
          <w:pgMar w:left="212" w:top="347" w:right="199" w:bottom="1440" w:gutter="0" w:footer="0" w:header="0"/>
        </w:sectPr>
      </w:pPr>
    </w:p>
    <w:bookmarkStart w:id="88" w:name="page89"/>
    <w:bookmarkEnd w:id="88"/>
    <w:tbl>
      <w:tblPr>
        <w:tblLayout w:type="fixed"/>
        <w:tblInd w:w="0" w:type="dxa"/>
        <w:tblCellMar>
          <w:top w:w="0" w:type="dxa"/>
          <w:left w:w="0" w:type="dxa"/>
          <w:bottom w:w="0" w:type="dxa"/>
          <w:right w:w="0" w:type="dxa"/>
        </w:tblCellMar>
      </w:tblPr>
      <w:tr>
        <w:trPr>
          <w:trHeight w:val="157"/>
        </w:trPr>
        <w:tc>
          <w:tcPr>
            <w:tcW w:w="640" w:type="dxa"/>
            <w:vAlign w:val="bottom"/>
          </w:tcPr>
          <w:p>
            <w:pPr>
              <w:spacing w:after="0"/>
              <w:rPr>
                <w:sz w:val="20"/>
                <w:szCs w:val="20"/>
                <w:color w:val="auto"/>
              </w:rPr>
            </w:pPr>
            <w:r>
              <w:rPr>
                <w:rFonts w:ascii="Arial" w:cs="Arial" w:eastAsia="Arial" w:hAnsi="Arial"/>
                <w:sz w:val="12"/>
                <w:szCs w:val="12"/>
                <w:b w:val="1"/>
                <w:bCs w:val="1"/>
                <w:color w:val="auto"/>
              </w:rPr>
              <w:t>6.</w:t>
            </w:r>
          </w:p>
        </w:tc>
        <w:tc>
          <w:tcPr>
            <w:tcW w:w="5640" w:type="dxa"/>
            <w:vAlign w:val="bottom"/>
            <w:gridSpan w:val="2"/>
          </w:tcPr>
          <w:p>
            <w:pPr>
              <w:spacing w:after="0"/>
              <w:rPr>
                <w:sz w:val="20"/>
                <w:szCs w:val="20"/>
                <w:color w:val="auto"/>
              </w:rPr>
            </w:pPr>
            <w:r>
              <w:rPr>
                <w:rFonts w:ascii="Arial" w:cs="Arial" w:eastAsia="Arial" w:hAnsi="Arial"/>
                <w:sz w:val="12"/>
                <w:szCs w:val="12"/>
                <w:b w:val="1"/>
                <w:bCs w:val="1"/>
                <w:color w:val="auto"/>
              </w:rPr>
              <w:t>Goodwill and Intangible Assets</w:t>
            </w:r>
          </w:p>
        </w:tc>
        <w:tc>
          <w:tcPr>
            <w:tcW w:w="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5640" w:type="dxa"/>
            <w:vAlign w:val="bottom"/>
            <w:gridSpan w:val="2"/>
          </w:tcPr>
          <w:p>
            <w:pPr>
              <w:spacing w:after="0"/>
              <w:rPr>
                <w:sz w:val="20"/>
                <w:szCs w:val="20"/>
                <w:color w:val="auto"/>
              </w:rPr>
            </w:pPr>
            <w:r>
              <w:rPr>
                <w:rFonts w:ascii="Arial" w:cs="Arial" w:eastAsia="Arial" w:hAnsi="Arial"/>
                <w:sz w:val="12"/>
                <w:szCs w:val="12"/>
                <w:color w:val="auto"/>
              </w:rPr>
              <w:t>The following table presents the changes in the carrying amount of goodwill by reportable segment:</w:t>
            </w: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2"/>
        </w:trPr>
        <w:tc>
          <w:tcPr>
            <w:tcW w:w="64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gridSpan w:val="3"/>
          </w:tcPr>
          <w:p>
            <w:pPr>
              <w:jc w:val="right"/>
              <w:ind w:right="580"/>
              <w:spacing w:after="0"/>
              <w:rPr>
                <w:sz w:val="20"/>
                <w:szCs w:val="20"/>
                <w:color w:val="auto"/>
              </w:rPr>
            </w:pPr>
            <w:r>
              <w:rPr>
                <w:rFonts w:ascii="Arial" w:cs="Arial" w:eastAsia="Arial" w:hAnsi="Arial"/>
                <w:sz w:val="10"/>
                <w:szCs w:val="10"/>
                <w:b w:val="1"/>
                <w:bCs w:val="1"/>
                <w:color w:val="auto"/>
                <w:w w:val="90"/>
              </w:rPr>
              <w:t>Commercial</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4"/>
          </w:tcPr>
          <w:p>
            <w:pPr>
              <w:jc w:val="right"/>
              <w:ind w:right="660"/>
              <w:spacing w:after="0"/>
              <w:rPr>
                <w:sz w:val="20"/>
                <w:szCs w:val="20"/>
                <w:color w:val="auto"/>
              </w:rPr>
            </w:pPr>
            <w:r>
              <w:rPr>
                <w:rFonts w:ascii="Arial" w:cs="Arial" w:eastAsia="Arial" w:hAnsi="Arial"/>
                <w:sz w:val="10"/>
                <w:szCs w:val="10"/>
                <w:b w:val="1"/>
                <w:bCs w:val="1"/>
                <w:color w:val="auto"/>
                <w:w w:val="98"/>
              </w:rPr>
              <w:t>Government</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6280" w:type="dxa"/>
            <w:vAlign w:val="bottom"/>
            <w:gridSpan w:val="3"/>
          </w:tcPr>
          <w:p>
            <w:pPr>
              <w:spacing w:after="0" w:line="105" w:lineRule="exact"/>
              <w:rPr>
                <w:sz w:val="20"/>
                <w:szCs w:val="20"/>
                <w:color w:val="auto"/>
              </w:rPr>
            </w:pPr>
            <w:r>
              <w:rPr>
                <w:rFonts w:ascii="Arial" w:cs="Arial" w:eastAsia="Arial" w:hAnsi="Arial"/>
                <w:sz w:val="10"/>
                <w:szCs w:val="10"/>
                <w:b w:val="1"/>
                <w:bCs w:val="1"/>
                <w:u w:val="single" w:color="auto"/>
                <w:color w:val="auto"/>
              </w:rPr>
              <w:t>(</w:t>
            </w:r>
            <w:r>
              <w:rPr>
                <w:rFonts w:ascii="Arial" w:cs="Arial" w:eastAsia="Arial" w:hAnsi="Arial"/>
                <w:sz w:val="10"/>
                <w:szCs w:val="10"/>
                <w:b w:val="1"/>
                <w:bCs w:val="1"/>
                <w:color w:val="auto"/>
              </w:rPr>
              <w:t>$ in thousands)</w:t>
            </w:r>
          </w:p>
        </w:tc>
        <w:tc>
          <w:tcPr>
            <w:tcW w:w="7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gridSpan w:val="2"/>
          </w:tcPr>
          <w:p>
            <w:pPr>
              <w:jc w:val="right"/>
              <w:ind w:right="660"/>
              <w:spacing w:after="0" w:line="105" w:lineRule="exact"/>
              <w:rPr>
                <w:sz w:val="20"/>
                <w:szCs w:val="20"/>
                <w:color w:val="auto"/>
              </w:rPr>
            </w:pPr>
            <w:r>
              <w:rPr>
                <w:rFonts w:ascii="Arial" w:cs="Arial" w:eastAsia="Arial" w:hAnsi="Arial"/>
                <w:sz w:val="10"/>
                <w:szCs w:val="10"/>
                <w:b w:val="1"/>
                <w:bCs w:val="1"/>
                <w:color w:val="auto"/>
                <w:w w:val="72"/>
              </w:rPr>
              <w:t>Services</w:t>
            </w: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20" w:type="dxa"/>
            <w:vAlign w:val="bottom"/>
            <w:gridSpan w:val="3"/>
          </w:tcPr>
          <w:p>
            <w:pPr>
              <w:jc w:val="right"/>
              <w:ind w:right="720"/>
              <w:spacing w:after="0" w:line="105" w:lineRule="exact"/>
              <w:rPr>
                <w:sz w:val="20"/>
                <w:szCs w:val="20"/>
                <w:color w:val="auto"/>
              </w:rPr>
            </w:pPr>
            <w:r>
              <w:rPr>
                <w:rFonts w:ascii="Arial" w:cs="Arial" w:eastAsia="Arial" w:hAnsi="Arial"/>
                <w:sz w:val="10"/>
                <w:szCs w:val="10"/>
                <w:b w:val="1"/>
                <w:bCs w:val="1"/>
                <w:color w:val="auto"/>
                <w:w w:val="83"/>
              </w:rPr>
              <w:t>Solutions</w:t>
            </w: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gridSpan w:val="2"/>
          </w:tcPr>
          <w:p>
            <w:pPr>
              <w:ind w:left="220"/>
              <w:spacing w:after="0" w:line="105" w:lineRule="exact"/>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20"/>
        </w:trPr>
        <w:tc>
          <w:tcPr>
            <w:tcW w:w="640" w:type="dxa"/>
            <w:vAlign w:val="bottom"/>
            <w:tcBorders>
              <w:bottom w:val="single" w:sz="8" w:color="CFF0FC"/>
              <w:right w:val="single" w:sz="8" w:color="auto"/>
            </w:tcBorders>
            <w:shd w:val="clear" w:color="auto" w:fill="000000"/>
          </w:tcPr>
          <w:p>
            <w:pPr>
              <w:spacing w:after="0" w:line="20" w:lineRule="exact"/>
              <w:rPr>
                <w:sz w:val="1"/>
                <w:szCs w:val="1"/>
                <w:color w:val="auto"/>
              </w:rPr>
            </w:pPr>
          </w:p>
        </w:tc>
        <w:tc>
          <w:tcPr>
            <w:tcW w:w="5420" w:type="dxa"/>
            <w:vAlign w:val="bottom"/>
            <w:tcBorders>
              <w:bottom w:val="single" w:sz="8" w:color="CFF0FC"/>
            </w:tcBorders>
          </w:tcPr>
          <w:p>
            <w:pPr>
              <w:spacing w:after="0" w:line="20" w:lineRule="exact"/>
              <w:rPr>
                <w:sz w:val="1"/>
                <w:szCs w:val="1"/>
                <w:color w:val="auto"/>
              </w:rPr>
            </w:pPr>
          </w:p>
        </w:tc>
        <w:tc>
          <w:tcPr>
            <w:tcW w:w="220" w:type="dxa"/>
            <w:vAlign w:val="bottom"/>
            <w:tcBorders>
              <w:bottom w:val="single" w:sz="8" w:color="CFF0FC"/>
            </w:tcBorders>
          </w:tcPr>
          <w:p>
            <w:pPr>
              <w:spacing w:after="0" w:line="20" w:lineRule="exact"/>
              <w:rPr>
                <w:sz w:val="1"/>
                <w:szCs w:val="1"/>
                <w:color w:val="auto"/>
              </w:rPr>
            </w:pPr>
          </w:p>
        </w:tc>
        <w:tc>
          <w:tcPr>
            <w:tcW w:w="700" w:type="dxa"/>
            <w:vAlign w:val="bottom"/>
            <w:tcBorders>
              <w:bottom w:val="single" w:sz="8" w:color="CFF0FC"/>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FF0FC"/>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FF0FC"/>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6280" w:type="dxa"/>
            <w:vAlign w:val="bottom"/>
            <w:gridSpan w:val="3"/>
            <w:shd w:val="clear" w:color="auto" w:fill="CFF0FC"/>
          </w:tcPr>
          <w:p>
            <w:pPr>
              <w:spacing w:after="0" w:line="132" w:lineRule="exact"/>
              <w:rPr>
                <w:sz w:val="20"/>
                <w:szCs w:val="20"/>
                <w:color w:val="auto"/>
              </w:rPr>
            </w:pPr>
            <w:r>
              <w:rPr>
                <w:rFonts w:ascii="Arial" w:cs="Arial" w:eastAsia="Arial" w:hAnsi="Arial"/>
                <w:sz w:val="12"/>
                <w:szCs w:val="12"/>
                <w:color w:val="auto"/>
              </w:rPr>
              <w:t>Balance at December 31, 2017</w:t>
            </w:r>
          </w:p>
        </w:tc>
        <w:tc>
          <w:tcPr>
            <w:tcW w:w="700" w:type="dxa"/>
            <w:vAlign w:val="bottom"/>
            <w:tcBorders>
              <w:right w:val="single" w:sz="8" w:color="CFF0FC"/>
            </w:tcBorders>
            <w:shd w:val="clear" w:color="auto" w:fill="CFF0FC"/>
          </w:tcPr>
          <w:p>
            <w:pPr>
              <w:spacing w:after="0"/>
              <w:rPr>
                <w:sz w:val="11"/>
                <w:szCs w:val="11"/>
                <w:color w:val="auto"/>
              </w:rPr>
            </w:pPr>
          </w:p>
        </w:tc>
        <w:tc>
          <w:tcPr>
            <w:tcW w:w="340" w:type="dxa"/>
            <w:vAlign w:val="bottom"/>
            <w:tcBorders>
              <w:right w:val="single" w:sz="8" w:color="CFF0FC"/>
            </w:tcBorders>
            <w:shd w:val="clear" w:color="auto" w:fill="CFF0FC"/>
          </w:tcPr>
          <w:p>
            <w:pPr>
              <w:jc w:val="right"/>
              <w:ind w:right="230"/>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FF0FC"/>
          </w:tcPr>
          <w:p>
            <w:pPr>
              <w:jc w:val="right"/>
              <w:spacing w:after="0" w:line="132" w:lineRule="exact"/>
              <w:rPr>
                <w:sz w:val="20"/>
                <w:szCs w:val="20"/>
                <w:color w:val="auto"/>
              </w:rPr>
            </w:pPr>
            <w:r>
              <w:rPr>
                <w:rFonts w:ascii="Arial" w:cs="Arial" w:eastAsia="Arial" w:hAnsi="Arial"/>
                <w:sz w:val="12"/>
                <w:szCs w:val="12"/>
                <w:color w:val="auto"/>
              </w:rPr>
              <w:t>134,668</w:t>
            </w:r>
          </w:p>
        </w:tc>
        <w:tc>
          <w:tcPr>
            <w:tcW w:w="180" w:type="dxa"/>
            <w:vAlign w:val="bottom"/>
            <w:shd w:val="clear" w:color="auto" w:fill="CFF0FC"/>
          </w:tcPr>
          <w:p>
            <w:pPr>
              <w:spacing w:after="0"/>
              <w:rPr>
                <w:sz w:val="11"/>
                <w:szCs w:val="11"/>
                <w:color w:val="auto"/>
              </w:rPr>
            </w:pPr>
          </w:p>
        </w:tc>
        <w:tc>
          <w:tcPr>
            <w:tcW w:w="280" w:type="dxa"/>
            <w:vAlign w:val="bottom"/>
            <w:tcBorders>
              <w:right w:val="single" w:sz="8" w:color="CFF0FC"/>
            </w:tcBorders>
            <w:gridSpan w:val="2"/>
            <w:shd w:val="clear" w:color="auto" w:fill="CFF0FC"/>
          </w:tcPr>
          <w:p>
            <w:pPr>
              <w:jc w:val="right"/>
              <w:ind w:right="120"/>
              <w:spacing w:after="0" w:line="132" w:lineRule="exact"/>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1"/>
                <w:szCs w:val="11"/>
                <w:color w:val="auto"/>
              </w:rPr>
            </w:pPr>
          </w:p>
        </w:tc>
        <w:tc>
          <w:tcPr>
            <w:tcW w:w="140" w:type="dxa"/>
            <w:vAlign w:val="bottom"/>
            <w:tcBorders>
              <w:left w:val="single" w:sz="8" w:color="CFF0FC"/>
            </w:tcBorders>
            <w:shd w:val="clear" w:color="auto" w:fill="CFF0FC"/>
          </w:tcPr>
          <w:p>
            <w:pPr>
              <w:spacing w:after="0"/>
              <w:rPr>
                <w:sz w:val="11"/>
                <w:szCs w:val="11"/>
                <w:color w:val="auto"/>
              </w:rPr>
            </w:pPr>
          </w:p>
        </w:tc>
        <w:tc>
          <w:tcPr>
            <w:tcW w:w="840" w:type="dxa"/>
            <w:vAlign w:val="bottom"/>
            <w:shd w:val="clear" w:color="auto" w:fill="CFF0FC"/>
          </w:tcPr>
          <w:p>
            <w:pPr>
              <w:jc w:val="right"/>
              <w:spacing w:after="0" w:line="132" w:lineRule="exact"/>
              <w:rPr>
                <w:sz w:val="20"/>
                <w:szCs w:val="20"/>
                <w:color w:val="auto"/>
              </w:rPr>
            </w:pPr>
            <w:r>
              <w:rPr>
                <w:rFonts w:ascii="Arial" w:cs="Arial" w:eastAsia="Arial" w:hAnsi="Arial"/>
                <w:sz w:val="12"/>
                <w:szCs w:val="12"/>
                <w:color w:val="auto"/>
              </w:rPr>
              <w:t>159,746</w:t>
            </w:r>
          </w:p>
        </w:tc>
        <w:tc>
          <w:tcPr>
            <w:tcW w:w="180" w:type="dxa"/>
            <w:vAlign w:val="bottom"/>
            <w:shd w:val="clear" w:color="auto" w:fill="CFF0FC"/>
          </w:tcPr>
          <w:p>
            <w:pPr>
              <w:spacing w:after="0"/>
              <w:rPr>
                <w:sz w:val="11"/>
                <w:szCs w:val="11"/>
                <w:color w:val="auto"/>
              </w:rPr>
            </w:pPr>
          </w:p>
        </w:tc>
        <w:tc>
          <w:tcPr>
            <w:tcW w:w="100" w:type="dxa"/>
            <w:vAlign w:val="bottom"/>
            <w:tcBorders>
              <w:right w:val="single" w:sz="8" w:color="CFF0FC"/>
            </w:tcBorders>
            <w:shd w:val="clear" w:color="auto" w:fill="CFF0FC"/>
          </w:tcPr>
          <w:p>
            <w:pPr>
              <w:spacing w:after="0"/>
              <w:rPr>
                <w:sz w:val="11"/>
                <w:szCs w:val="11"/>
                <w:color w:val="auto"/>
              </w:rPr>
            </w:pPr>
          </w:p>
        </w:tc>
        <w:tc>
          <w:tcPr>
            <w:tcW w:w="160" w:type="dxa"/>
            <w:vAlign w:val="bottom"/>
            <w:tcBorders>
              <w:right w:val="single" w:sz="8" w:color="CFF0FC"/>
            </w:tcBorders>
            <w:shd w:val="clear" w:color="auto" w:fill="CFF0FC"/>
          </w:tcPr>
          <w:p>
            <w:pPr>
              <w:jc w:val="center"/>
              <w:ind w:right="40"/>
              <w:spacing w:after="0" w:line="132" w:lineRule="exact"/>
              <w:rPr>
                <w:sz w:val="20"/>
                <w:szCs w:val="20"/>
                <w:color w:val="auto"/>
              </w:rPr>
            </w:pPr>
            <w:r>
              <w:rPr>
                <w:rFonts w:ascii="Arial" w:cs="Arial" w:eastAsia="Arial" w:hAnsi="Arial"/>
                <w:sz w:val="12"/>
                <w:szCs w:val="12"/>
                <w:color w:val="auto"/>
                <w:w w:val="89"/>
              </w:rPr>
              <w:t>$</w:t>
            </w:r>
          </w:p>
        </w:tc>
        <w:tc>
          <w:tcPr>
            <w:tcW w:w="160" w:type="dxa"/>
            <w:vAlign w:val="bottom"/>
            <w:shd w:val="clear" w:color="auto" w:fill="CFF0FC"/>
          </w:tcPr>
          <w:p>
            <w:pPr>
              <w:spacing w:after="0"/>
              <w:rPr>
                <w:sz w:val="11"/>
                <w:szCs w:val="11"/>
                <w:color w:val="auto"/>
              </w:rPr>
            </w:pPr>
          </w:p>
        </w:tc>
        <w:tc>
          <w:tcPr>
            <w:tcW w:w="960" w:type="dxa"/>
            <w:vAlign w:val="bottom"/>
            <w:shd w:val="clear" w:color="auto" w:fill="CFF0FC"/>
          </w:tcPr>
          <w:p>
            <w:pPr>
              <w:jc w:val="right"/>
              <w:spacing w:after="0" w:line="132" w:lineRule="exact"/>
              <w:rPr>
                <w:sz w:val="20"/>
                <w:szCs w:val="20"/>
                <w:color w:val="auto"/>
              </w:rPr>
            </w:pPr>
            <w:r>
              <w:rPr>
                <w:rFonts w:ascii="Arial" w:cs="Arial" w:eastAsia="Arial" w:hAnsi="Arial"/>
                <w:sz w:val="12"/>
                <w:szCs w:val="12"/>
                <w:color w:val="auto"/>
              </w:rPr>
              <w:t>294,414</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6280" w:type="dxa"/>
            <w:vAlign w:val="bottom"/>
            <w:gridSpan w:val="3"/>
          </w:tcPr>
          <w:p>
            <w:pPr>
              <w:spacing w:after="0"/>
              <w:rPr>
                <w:sz w:val="20"/>
                <w:szCs w:val="20"/>
                <w:color w:val="auto"/>
              </w:rPr>
            </w:pPr>
            <w:r>
              <w:rPr>
                <w:rFonts w:ascii="Arial" w:cs="Arial" w:eastAsia="Arial" w:hAnsi="Arial"/>
                <w:sz w:val="12"/>
                <w:szCs w:val="12"/>
                <w:color w:val="auto"/>
              </w:rPr>
              <w:t>Goodwill from HTA Acquisition</w:t>
            </w: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232,033</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3"/>
          </w:tcPr>
          <w:p>
            <w:pPr>
              <w:jc w:val="right"/>
              <w:ind w:right="28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232,033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6280" w:type="dxa"/>
            <w:vAlign w:val="bottom"/>
            <w:gridSpan w:val="3"/>
            <w:shd w:val="clear" w:color="auto" w:fill="CFF0FC"/>
          </w:tcPr>
          <w:p>
            <w:pPr>
              <w:spacing w:after="0"/>
              <w:rPr>
                <w:sz w:val="20"/>
                <w:szCs w:val="20"/>
                <w:color w:val="auto"/>
              </w:rPr>
            </w:pPr>
            <w:r>
              <w:rPr>
                <w:rFonts w:ascii="Arial" w:cs="Arial" w:eastAsia="Arial" w:hAnsi="Arial"/>
                <w:sz w:val="12"/>
                <w:szCs w:val="12"/>
                <w:color w:val="auto"/>
              </w:rPr>
              <w:t>Goodwill from EPC Acquisition</w:t>
            </w:r>
          </w:p>
        </w:tc>
        <w:tc>
          <w:tcPr>
            <w:tcW w:w="700" w:type="dxa"/>
            <w:vAlign w:val="bottom"/>
            <w:tcBorders>
              <w:right w:val="single" w:sz="8" w:color="CFF0FC"/>
            </w:tcBorders>
            <w:shd w:val="clear" w:color="auto" w:fill="CFF0FC"/>
          </w:tcPr>
          <w:p>
            <w:pPr>
              <w:spacing w:after="0"/>
              <w:rPr>
                <w:sz w:val="13"/>
                <w:szCs w:val="13"/>
                <w:color w:val="auto"/>
              </w:rPr>
            </w:pPr>
          </w:p>
        </w:tc>
        <w:tc>
          <w:tcPr>
            <w:tcW w:w="340" w:type="dxa"/>
            <w:vAlign w:val="bottom"/>
            <w:tcBorders>
              <w:right w:val="single" w:sz="8" w:color="CFF0FC"/>
            </w:tcBorders>
            <w:shd w:val="clear" w:color="auto" w:fill="CFF0FC"/>
          </w:tcPr>
          <w:p>
            <w:pPr>
              <w:spacing w:after="0"/>
              <w:rPr>
                <w:sz w:val="13"/>
                <w:szCs w:val="13"/>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40,826</w:t>
            </w:r>
          </w:p>
        </w:tc>
        <w:tc>
          <w:tcPr>
            <w:tcW w:w="1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80" w:type="dxa"/>
            <w:vAlign w:val="bottom"/>
            <w:tcBorders>
              <w:right w:val="single" w:sz="8" w:color="CFF0FC"/>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0" w:type="dxa"/>
            <w:vAlign w:val="bottom"/>
            <w:tcBorders>
              <w:left w:val="single" w:sz="8" w:color="CFF0FC"/>
            </w:tcBorders>
            <w:shd w:val="clear" w:color="auto" w:fill="CFF0FC"/>
          </w:tcPr>
          <w:p>
            <w:pPr>
              <w:spacing w:after="0"/>
              <w:rPr>
                <w:sz w:val="13"/>
                <w:szCs w:val="13"/>
                <w:color w:val="auto"/>
              </w:rPr>
            </w:pPr>
          </w:p>
        </w:tc>
        <w:tc>
          <w:tcPr>
            <w:tcW w:w="1120" w:type="dxa"/>
            <w:vAlign w:val="bottom"/>
            <w:tcBorders>
              <w:right w:val="single" w:sz="8" w:color="CFF0FC"/>
            </w:tcBorders>
            <w:gridSpan w:val="3"/>
            <w:shd w:val="clear" w:color="auto" w:fill="CFF0FC"/>
          </w:tcPr>
          <w:p>
            <w:pPr>
              <w:jc w:val="right"/>
              <w:ind w:right="280"/>
              <w:spacing w:after="0"/>
              <w:rPr>
                <w:sz w:val="20"/>
                <w:szCs w:val="20"/>
                <w:color w:val="auto"/>
              </w:rPr>
            </w:pPr>
            <w:r>
              <w:rPr>
                <w:rFonts w:ascii="Arial" w:cs="Arial" w:eastAsia="Arial" w:hAnsi="Arial"/>
                <w:sz w:val="12"/>
                <w:szCs w:val="12"/>
                <w:color w:val="auto"/>
              </w:rPr>
              <w:t>—</w:t>
            </w:r>
          </w:p>
        </w:tc>
        <w:tc>
          <w:tcPr>
            <w:tcW w:w="160" w:type="dxa"/>
            <w:vAlign w:val="bottom"/>
            <w:tcBorders>
              <w:right w:val="single" w:sz="8" w:color="CFF0FC"/>
            </w:tcBorders>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40,826</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280" w:type="dxa"/>
            <w:vAlign w:val="bottom"/>
            <w:gridSpan w:val="3"/>
          </w:tcPr>
          <w:p>
            <w:pPr>
              <w:spacing w:after="0"/>
              <w:rPr>
                <w:sz w:val="20"/>
                <w:szCs w:val="20"/>
                <w:color w:val="auto"/>
              </w:rPr>
            </w:pPr>
            <w:r>
              <w:rPr>
                <w:rFonts w:ascii="Arial" w:cs="Arial" w:eastAsia="Arial" w:hAnsi="Arial"/>
                <w:sz w:val="12"/>
                <w:szCs w:val="12"/>
                <w:color w:val="auto"/>
              </w:rPr>
              <w:t>Measurement period adjustments</w:t>
            </w:r>
          </w:p>
        </w:tc>
        <w:tc>
          <w:tcPr>
            <w:tcW w:w="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1,238</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3"/>
          </w:tcPr>
          <w:p>
            <w:pPr>
              <w:jc w:val="right"/>
              <w:ind w:right="28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1,238</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280" w:type="dxa"/>
            <w:vAlign w:val="bottom"/>
            <w:gridSpan w:val="3"/>
            <w:shd w:val="clear" w:color="auto" w:fill="CFF0FC"/>
          </w:tcPr>
          <w:p>
            <w:pPr>
              <w:spacing w:after="0"/>
              <w:rPr>
                <w:sz w:val="20"/>
                <w:szCs w:val="20"/>
                <w:color w:val="auto"/>
              </w:rPr>
            </w:pPr>
            <w:r>
              <w:rPr>
                <w:rFonts w:ascii="Arial" w:cs="Arial" w:eastAsia="Arial" w:hAnsi="Arial"/>
                <w:sz w:val="12"/>
                <w:szCs w:val="12"/>
                <w:color w:val="auto"/>
              </w:rPr>
              <w:t>Foreign currency translation adjustment</w:t>
            </w:r>
          </w:p>
        </w:tc>
        <w:tc>
          <w:tcPr>
            <w:tcW w:w="700" w:type="dxa"/>
            <w:vAlign w:val="bottom"/>
            <w:tcBorders>
              <w:right w:val="single" w:sz="8" w:color="CFF0FC"/>
            </w:tcBorders>
            <w:shd w:val="clear" w:color="auto" w:fill="CFF0FC"/>
          </w:tcPr>
          <w:p>
            <w:pPr>
              <w:spacing w:after="0"/>
              <w:rPr>
                <w:sz w:val="14"/>
                <w:szCs w:val="14"/>
                <w:color w:val="auto"/>
              </w:rPr>
            </w:pPr>
          </w:p>
        </w:tc>
        <w:tc>
          <w:tcPr>
            <w:tcW w:w="340" w:type="dxa"/>
            <w:vAlign w:val="bottom"/>
            <w:tcBorders>
              <w:right w:val="single" w:sz="8" w:color="CFF0FC"/>
            </w:tcBorders>
            <w:shd w:val="clear" w:color="auto" w:fill="CFF0FC"/>
          </w:tcPr>
          <w:p>
            <w:pPr>
              <w:spacing w:after="0"/>
              <w:rPr>
                <w:sz w:val="14"/>
                <w:szCs w:val="14"/>
                <w:color w:val="auto"/>
              </w:rPr>
            </w:pPr>
          </w:p>
        </w:tc>
        <w:tc>
          <w:tcPr>
            <w:tcW w:w="1120" w:type="dxa"/>
            <w:vAlign w:val="bottom"/>
            <w:gridSpan w:val="3"/>
            <w:shd w:val="clear" w:color="auto" w:fill="CFF0FC"/>
          </w:tcPr>
          <w:p>
            <w:pPr>
              <w:jc w:val="right"/>
              <w:ind w:right="140"/>
              <w:spacing w:after="0"/>
              <w:rPr>
                <w:sz w:val="20"/>
                <w:szCs w:val="20"/>
                <w:color w:val="auto"/>
              </w:rPr>
            </w:pPr>
            <w:r>
              <w:rPr>
                <w:rFonts w:ascii="Arial" w:cs="Arial" w:eastAsia="Arial" w:hAnsi="Arial"/>
                <w:sz w:val="12"/>
                <w:szCs w:val="12"/>
                <w:color w:val="auto"/>
              </w:rPr>
              <w:t>(3,788)</w:t>
            </w:r>
          </w:p>
        </w:tc>
        <w:tc>
          <w:tcPr>
            <w:tcW w:w="100" w:type="dxa"/>
            <w:vAlign w:val="bottom"/>
            <w:shd w:val="clear" w:color="auto" w:fill="CFF0FC"/>
          </w:tcPr>
          <w:p>
            <w:pPr>
              <w:spacing w:after="0"/>
              <w:rPr>
                <w:sz w:val="14"/>
                <w:szCs w:val="14"/>
                <w:color w:val="auto"/>
              </w:rPr>
            </w:pPr>
          </w:p>
        </w:tc>
        <w:tc>
          <w:tcPr>
            <w:tcW w:w="180" w:type="dxa"/>
            <w:vAlign w:val="bottom"/>
            <w:tcBorders>
              <w:right w:val="single" w:sz="8" w:color="CFF0FC"/>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tcBorders>
              <w:left w:val="single" w:sz="8" w:color="CFF0FC"/>
            </w:tcBorders>
            <w:shd w:val="clear" w:color="auto" w:fill="CFF0FC"/>
          </w:tcPr>
          <w:p>
            <w:pPr>
              <w:spacing w:after="0"/>
              <w:rPr>
                <w:sz w:val="14"/>
                <w:szCs w:val="14"/>
                <w:color w:val="auto"/>
              </w:rPr>
            </w:pPr>
          </w:p>
        </w:tc>
        <w:tc>
          <w:tcPr>
            <w:tcW w:w="1120" w:type="dxa"/>
            <w:vAlign w:val="bottom"/>
            <w:tcBorders>
              <w:right w:val="single" w:sz="8" w:color="CFF0FC"/>
            </w:tcBorders>
            <w:gridSpan w:val="3"/>
            <w:shd w:val="clear" w:color="auto" w:fill="CFF0FC"/>
          </w:tcPr>
          <w:p>
            <w:pPr>
              <w:jc w:val="right"/>
              <w:ind w:right="280"/>
              <w:spacing w:after="0"/>
              <w:rPr>
                <w:sz w:val="20"/>
                <w:szCs w:val="20"/>
                <w:color w:val="auto"/>
              </w:rPr>
            </w:pPr>
            <w:r>
              <w:rPr>
                <w:rFonts w:ascii="Arial" w:cs="Arial" w:eastAsia="Arial" w:hAnsi="Arial"/>
                <w:sz w:val="12"/>
                <w:szCs w:val="12"/>
                <w:color w:val="auto"/>
              </w:rPr>
              <w:t>—</w:t>
            </w:r>
          </w:p>
        </w:tc>
        <w:tc>
          <w:tcPr>
            <w:tcW w:w="160" w:type="dxa"/>
            <w:vAlign w:val="bottom"/>
            <w:tcBorders>
              <w:right w:val="single" w:sz="8" w:color="CFF0FC"/>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(3,788)</w:t>
            </w:r>
          </w:p>
        </w:tc>
        <w:tc>
          <w:tcPr>
            <w:tcW w:w="0" w:type="dxa"/>
            <w:vAlign w:val="bottom"/>
          </w:tcPr>
          <w:p>
            <w:pPr>
              <w:spacing w:after="0"/>
              <w:rPr>
                <w:sz w:val="1"/>
                <w:szCs w:val="1"/>
                <w:color w:val="auto"/>
              </w:rPr>
            </w:pPr>
          </w:p>
        </w:tc>
      </w:tr>
      <w:tr>
        <w:trPr>
          <w:trHeight w:val="142"/>
        </w:trPr>
        <w:tc>
          <w:tcPr>
            <w:tcW w:w="6280" w:type="dxa"/>
            <w:vAlign w:val="bottom"/>
            <w:gridSpan w:val="3"/>
          </w:tcPr>
          <w:p>
            <w:pPr>
              <w:spacing w:after="0"/>
              <w:rPr>
                <w:sz w:val="20"/>
                <w:szCs w:val="20"/>
                <w:color w:val="auto"/>
              </w:rPr>
            </w:pPr>
            <w:r>
              <w:rPr>
                <w:rFonts w:ascii="Arial" w:cs="Arial" w:eastAsia="Arial" w:hAnsi="Arial"/>
                <w:sz w:val="12"/>
                <w:szCs w:val="12"/>
                <w:color w:val="auto"/>
              </w:rPr>
              <w:t>Balance at December 31, 2018</w:t>
            </w:r>
          </w:p>
        </w:tc>
        <w:tc>
          <w:tcPr>
            <w:tcW w:w="70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gridSpan w:val="2"/>
          </w:tcPr>
          <w:p>
            <w:pPr>
              <w:jc w:val="right"/>
              <w:spacing w:after="0"/>
              <w:rPr>
                <w:sz w:val="20"/>
                <w:szCs w:val="20"/>
                <w:color w:val="auto"/>
              </w:rPr>
            </w:pPr>
            <w:r>
              <w:rPr>
                <w:rFonts w:ascii="Arial" w:cs="Arial" w:eastAsia="Arial" w:hAnsi="Arial"/>
                <w:sz w:val="12"/>
                <w:szCs w:val="12"/>
                <w:color w:val="auto"/>
              </w:rPr>
              <w:t>404,977</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159,746</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564,723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6280" w:type="dxa"/>
            <w:vAlign w:val="bottom"/>
            <w:gridSpan w:val="3"/>
            <w:shd w:val="clear" w:color="auto" w:fill="CFF0FC"/>
          </w:tcPr>
          <w:p>
            <w:pPr>
              <w:spacing w:after="0"/>
              <w:rPr>
                <w:sz w:val="20"/>
                <w:szCs w:val="20"/>
                <w:color w:val="auto"/>
              </w:rPr>
            </w:pPr>
            <w:r>
              <w:rPr>
                <w:rFonts w:ascii="Arial" w:cs="Arial" w:eastAsia="Arial" w:hAnsi="Arial"/>
                <w:sz w:val="12"/>
                <w:szCs w:val="12"/>
                <w:color w:val="auto"/>
              </w:rPr>
              <w:t>Goodwill from Pagatelia acquisition</w:t>
            </w:r>
          </w:p>
        </w:tc>
        <w:tc>
          <w:tcPr>
            <w:tcW w:w="700" w:type="dxa"/>
            <w:vAlign w:val="bottom"/>
            <w:tcBorders>
              <w:right w:val="single" w:sz="8" w:color="CFF0FC"/>
            </w:tcBorders>
            <w:shd w:val="clear" w:color="auto" w:fill="CFF0FC"/>
          </w:tcPr>
          <w:p>
            <w:pPr>
              <w:spacing w:after="0"/>
              <w:rPr>
                <w:sz w:val="13"/>
                <w:szCs w:val="13"/>
                <w:color w:val="auto"/>
              </w:rPr>
            </w:pPr>
          </w:p>
        </w:tc>
        <w:tc>
          <w:tcPr>
            <w:tcW w:w="340" w:type="dxa"/>
            <w:vAlign w:val="bottom"/>
            <w:tcBorders>
              <w:right w:val="single" w:sz="8" w:color="CFF0FC"/>
            </w:tcBorders>
            <w:shd w:val="clear" w:color="auto" w:fill="CFF0FC"/>
          </w:tcPr>
          <w:p>
            <w:pPr>
              <w:spacing w:after="0"/>
              <w:rPr>
                <w:sz w:val="13"/>
                <w:szCs w:val="13"/>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17,528</w:t>
            </w:r>
          </w:p>
        </w:tc>
        <w:tc>
          <w:tcPr>
            <w:tcW w:w="1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80" w:type="dxa"/>
            <w:vAlign w:val="bottom"/>
            <w:tcBorders>
              <w:right w:val="single" w:sz="8" w:color="CFF0FC"/>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0" w:type="dxa"/>
            <w:vAlign w:val="bottom"/>
            <w:tcBorders>
              <w:left w:val="single" w:sz="8" w:color="CFF0FC"/>
            </w:tcBorders>
            <w:shd w:val="clear" w:color="auto" w:fill="CFF0FC"/>
          </w:tcPr>
          <w:p>
            <w:pPr>
              <w:spacing w:after="0"/>
              <w:rPr>
                <w:sz w:val="13"/>
                <w:szCs w:val="13"/>
                <w:color w:val="auto"/>
              </w:rPr>
            </w:pPr>
          </w:p>
        </w:tc>
        <w:tc>
          <w:tcPr>
            <w:tcW w:w="1120" w:type="dxa"/>
            <w:vAlign w:val="bottom"/>
            <w:tcBorders>
              <w:right w:val="single" w:sz="8" w:color="CFF0FC"/>
            </w:tcBorders>
            <w:gridSpan w:val="3"/>
            <w:shd w:val="clear" w:color="auto" w:fill="CFF0FC"/>
          </w:tcPr>
          <w:p>
            <w:pPr>
              <w:jc w:val="right"/>
              <w:ind w:right="280"/>
              <w:spacing w:after="0"/>
              <w:rPr>
                <w:sz w:val="20"/>
                <w:szCs w:val="20"/>
                <w:color w:val="auto"/>
              </w:rPr>
            </w:pPr>
            <w:r>
              <w:rPr>
                <w:rFonts w:ascii="Arial" w:cs="Arial" w:eastAsia="Arial" w:hAnsi="Arial"/>
                <w:sz w:val="12"/>
                <w:szCs w:val="12"/>
                <w:color w:val="auto"/>
              </w:rPr>
              <w:t>—</w:t>
            </w:r>
          </w:p>
        </w:tc>
        <w:tc>
          <w:tcPr>
            <w:tcW w:w="160" w:type="dxa"/>
            <w:vAlign w:val="bottom"/>
            <w:tcBorders>
              <w:right w:val="single" w:sz="8" w:color="CFF0FC"/>
            </w:tcBorders>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17,528</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280" w:type="dxa"/>
            <w:vAlign w:val="bottom"/>
            <w:gridSpan w:val="3"/>
          </w:tcPr>
          <w:p>
            <w:pPr>
              <w:spacing w:after="0"/>
              <w:rPr>
                <w:sz w:val="20"/>
                <w:szCs w:val="20"/>
                <w:color w:val="auto"/>
              </w:rPr>
            </w:pPr>
            <w:r>
              <w:rPr>
                <w:rFonts w:ascii="Arial" w:cs="Arial" w:eastAsia="Arial" w:hAnsi="Arial"/>
                <w:sz w:val="12"/>
                <w:szCs w:val="12"/>
                <w:color w:val="auto"/>
              </w:rPr>
              <w:t>Foreign currency translation adjustment</w:t>
            </w:r>
          </w:p>
        </w:tc>
        <w:tc>
          <w:tcPr>
            <w:tcW w:w="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1,899</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3"/>
          </w:tcPr>
          <w:p>
            <w:pPr>
              <w:jc w:val="right"/>
              <w:ind w:right="28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1,899</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280" w:type="dxa"/>
            <w:vAlign w:val="bottom"/>
            <w:gridSpan w:val="3"/>
            <w:vMerge w:val="restart"/>
            <w:shd w:val="clear" w:color="auto" w:fill="CFF0FC"/>
          </w:tcPr>
          <w:p>
            <w:pPr>
              <w:spacing w:after="0"/>
              <w:rPr>
                <w:sz w:val="20"/>
                <w:szCs w:val="20"/>
                <w:color w:val="auto"/>
              </w:rPr>
            </w:pPr>
            <w:r>
              <w:rPr>
                <w:rFonts w:ascii="Arial" w:cs="Arial" w:eastAsia="Arial" w:hAnsi="Arial"/>
                <w:sz w:val="12"/>
                <w:szCs w:val="12"/>
                <w:color w:val="auto"/>
              </w:rPr>
              <w:t>Balance at December 31, 2019</w:t>
            </w:r>
          </w:p>
        </w:tc>
        <w:tc>
          <w:tcPr>
            <w:tcW w:w="700" w:type="dxa"/>
            <w:vAlign w:val="bottom"/>
            <w:tcBorders>
              <w:right w:val="single" w:sz="8" w:color="CFF0FC"/>
            </w:tcBorders>
            <w:shd w:val="clear" w:color="auto" w:fill="CFF0FC"/>
          </w:tcPr>
          <w:p>
            <w:pPr>
              <w:spacing w:after="0" w:line="20" w:lineRule="exact"/>
              <w:rPr>
                <w:sz w:val="1"/>
                <w:szCs w:val="1"/>
                <w:color w:val="auto"/>
              </w:rPr>
            </w:pPr>
          </w:p>
        </w:tc>
        <w:tc>
          <w:tcPr>
            <w:tcW w:w="34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00" w:type="dxa"/>
            <w:vAlign w:val="bottom"/>
            <w:tcBorders>
              <w:right w:val="single" w:sz="8" w:color="CFF0FC"/>
            </w:tcBorders>
            <w:shd w:val="clear" w:color="auto" w:fill="CFF0FC"/>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6280" w:type="dxa"/>
            <w:vAlign w:val="bottom"/>
            <w:gridSpan w:val="3"/>
            <w:vMerge w:val="continue"/>
            <w:shd w:val="clear" w:color="auto" w:fill="CFF0FC"/>
          </w:tcPr>
          <w:p>
            <w:pPr>
              <w:spacing w:after="0"/>
              <w:rPr>
                <w:sz w:val="14"/>
                <w:szCs w:val="14"/>
                <w:color w:val="auto"/>
              </w:rPr>
            </w:pPr>
          </w:p>
        </w:tc>
        <w:tc>
          <w:tcPr>
            <w:tcW w:w="700" w:type="dxa"/>
            <w:vAlign w:val="bottom"/>
            <w:tcBorders>
              <w:right w:val="single" w:sz="8" w:color="CFF0FC"/>
            </w:tcBorders>
            <w:shd w:val="clear" w:color="auto" w:fill="CFF0FC"/>
          </w:tcPr>
          <w:p>
            <w:pPr>
              <w:spacing w:after="0"/>
              <w:rPr>
                <w:sz w:val="14"/>
                <w:szCs w:val="14"/>
                <w:color w:val="auto"/>
              </w:rPr>
            </w:pPr>
          </w:p>
        </w:tc>
        <w:tc>
          <w:tcPr>
            <w:tcW w:w="340" w:type="dxa"/>
            <w:vAlign w:val="bottom"/>
            <w:tcBorders>
              <w:right w:val="single" w:sz="8" w:color="CFF0FC"/>
            </w:tcBorders>
            <w:shd w:val="clear" w:color="auto" w:fill="CFF0FC"/>
          </w:tcPr>
          <w:p>
            <w:pPr>
              <w:jc w:val="right"/>
              <w:ind w:right="230"/>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424,404</w:t>
            </w:r>
          </w:p>
        </w:tc>
        <w:tc>
          <w:tcPr>
            <w:tcW w:w="180" w:type="dxa"/>
            <w:vAlign w:val="bottom"/>
            <w:shd w:val="clear" w:color="auto" w:fill="CFF0FC"/>
          </w:tcPr>
          <w:p>
            <w:pPr>
              <w:spacing w:after="0"/>
              <w:rPr>
                <w:sz w:val="14"/>
                <w:szCs w:val="14"/>
                <w:color w:val="auto"/>
              </w:rPr>
            </w:pPr>
          </w:p>
        </w:tc>
        <w:tc>
          <w:tcPr>
            <w:tcW w:w="28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4"/>
                <w:szCs w:val="14"/>
                <w:color w:val="auto"/>
              </w:rPr>
            </w:pPr>
          </w:p>
        </w:tc>
        <w:tc>
          <w:tcPr>
            <w:tcW w:w="140" w:type="dxa"/>
            <w:vAlign w:val="bottom"/>
            <w:tcBorders>
              <w:left w:val="single" w:sz="8" w:color="CFF0FC"/>
            </w:tcBorders>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159,746</w:t>
            </w:r>
          </w:p>
        </w:tc>
        <w:tc>
          <w:tcPr>
            <w:tcW w:w="180" w:type="dxa"/>
            <w:vAlign w:val="bottom"/>
            <w:shd w:val="clear" w:color="auto" w:fill="CFF0FC"/>
          </w:tcPr>
          <w:p>
            <w:pPr>
              <w:spacing w:after="0"/>
              <w:rPr>
                <w:sz w:val="14"/>
                <w:szCs w:val="14"/>
                <w:color w:val="auto"/>
              </w:rPr>
            </w:pPr>
          </w:p>
        </w:tc>
        <w:tc>
          <w:tcPr>
            <w:tcW w:w="100" w:type="dxa"/>
            <w:vAlign w:val="bottom"/>
            <w:tcBorders>
              <w:right w:val="single" w:sz="8" w:color="CFF0FC"/>
            </w:tcBorders>
            <w:shd w:val="clear" w:color="auto" w:fill="CFF0FC"/>
          </w:tcPr>
          <w:p>
            <w:pPr>
              <w:spacing w:after="0"/>
              <w:rPr>
                <w:sz w:val="14"/>
                <w:szCs w:val="14"/>
                <w:color w:val="auto"/>
              </w:rPr>
            </w:pPr>
          </w:p>
        </w:tc>
        <w:tc>
          <w:tcPr>
            <w:tcW w:w="160" w:type="dxa"/>
            <w:vAlign w:val="bottom"/>
            <w:tcBorders>
              <w:right w:val="single" w:sz="8" w:color="CFF0FC"/>
            </w:tcBorders>
            <w:shd w:val="clear" w:color="auto" w:fill="CFF0FC"/>
          </w:tcPr>
          <w:p>
            <w:pPr>
              <w:jc w:val="center"/>
              <w:ind w:right="40"/>
              <w:spacing w:after="0"/>
              <w:rPr>
                <w:sz w:val="20"/>
                <w:szCs w:val="20"/>
                <w:color w:val="auto"/>
              </w:rPr>
            </w:pPr>
            <w:r>
              <w:rPr>
                <w:rFonts w:ascii="Arial" w:cs="Arial" w:eastAsia="Arial" w:hAnsi="Arial"/>
                <w:sz w:val="12"/>
                <w:szCs w:val="12"/>
                <w:color w:val="auto"/>
                <w:w w:val="89"/>
              </w:rPr>
              <w:t>$</w:t>
            </w:r>
          </w:p>
        </w:tc>
        <w:tc>
          <w:tcPr>
            <w:tcW w:w="16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584,150</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93"/>
        </w:trPr>
        <w:tc>
          <w:tcPr>
            <w:tcW w:w="640" w:type="dxa"/>
            <w:vAlign w:val="bottom"/>
            <w:tcBorders>
              <w:top w:val="single" w:sz="8" w:color="CFF0FC"/>
            </w:tcBorders>
          </w:tcPr>
          <w:p>
            <w:pPr>
              <w:spacing w:after="0"/>
              <w:rPr>
                <w:sz w:val="24"/>
                <w:szCs w:val="24"/>
                <w:color w:val="auto"/>
              </w:rPr>
            </w:pPr>
          </w:p>
        </w:tc>
        <w:tc>
          <w:tcPr>
            <w:tcW w:w="5640" w:type="dxa"/>
            <w:vAlign w:val="bottom"/>
            <w:tcBorders>
              <w:top w:val="single" w:sz="8" w:color="CFF0FC"/>
            </w:tcBorders>
            <w:gridSpan w:val="2"/>
          </w:tcPr>
          <w:p>
            <w:pPr>
              <w:spacing w:after="0"/>
              <w:rPr>
                <w:sz w:val="20"/>
                <w:szCs w:val="20"/>
                <w:color w:val="auto"/>
              </w:rPr>
            </w:pPr>
            <w:r>
              <w:rPr>
                <w:rFonts w:ascii="Arial" w:cs="Arial" w:eastAsia="Arial" w:hAnsi="Arial"/>
                <w:sz w:val="12"/>
                <w:szCs w:val="12"/>
                <w:color w:val="auto"/>
                <w:w w:val="91"/>
              </w:rPr>
              <w:t>The gross carrying amount and accumulated amortization of separately identifiable intangible assets are as follows:</w:t>
            </w:r>
          </w:p>
        </w:tc>
        <w:tc>
          <w:tcPr>
            <w:tcW w:w="700" w:type="dxa"/>
            <w:vAlign w:val="bottom"/>
            <w:tcBorders>
              <w:top w:val="single" w:sz="8" w:color="CFF0FC"/>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4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jc w:val="center"/>
              <w:ind w:left="6"/>
              <w:spacing w:after="0"/>
              <w:rPr>
                <w:sz w:val="20"/>
                <w:szCs w:val="20"/>
                <w:color w:val="auto"/>
              </w:rPr>
            </w:pPr>
            <w:r>
              <w:rPr>
                <w:rFonts w:ascii="Arial" w:cs="Arial" w:eastAsia="Arial" w:hAnsi="Arial"/>
                <w:sz w:val="10"/>
                <w:szCs w:val="10"/>
                <w:b w:val="1"/>
                <w:bCs w:val="1"/>
                <w:color w:val="auto"/>
                <w:w w:val="88"/>
              </w:rPr>
              <w:t>Weighted</w:t>
            </w: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gridSpan w:val="2"/>
          </w:tcPr>
          <w:p>
            <w:pPr>
              <w:jc w:val="center"/>
              <w:ind w:left="166"/>
              <w:spacing w:after="0"/>
              <w:rPr>
                <w:sz w:val="20"/>
                <w:szCs w:val="20"/>
                <w:color w:val="auto"/>
              </w:rPr>
            </w:pPr>
            <w:r>
              <w:rPr>
                <w:rFonts w:ascii="Arial" w:cs="Arial" w:eastAsia="Arial" w:hAnsi="Arial"/>
                <w:sz w:val="10"/>
                <w:szCs w:val="10"/>
                <w:b w:val="1"/>
                <w:bCs w:val="1"/>
                <w:color w:val="auto"/>
                <w:w w:val="88"/>
              </w:rPr>
              <w:t>Weighted</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520" w:type="dxa"/>
            <w:vAlign w:val="bottom"/>
            <w:gridSpan w:val="7"/>
          </w:tcPr>
          <w:p>
            <w:pPr>
              <w:jc w:val="right"/>
              <w:ind w:right="940"/>
              <w:spacing w:after="0"/>
              <w:rPr>
                <w:sz w:val="20"/>
                <w:szCs w:val="20"/>
                <w:color w:val="auto"/>
              </w:rPr>
            </w:pPr>
            <w:r>
              <w:rPr>
                <w:rFonts w:ascii="Arial" w:cs="Arial" w:eastAsia="Arial" w:hAnsi="Arial"/>
                <w:sz w:val="10"/>
                <w:szCs w:val="10"/>
                <w:b w:val="1"/>
                <w:bCs w:val="1"/>
                <w:color w:val="auto"/>
              </w:rPr>
              <w:t>At December 31, 2019</w:t>
            </w:r>
          </w:p>
        </w:tc>
        <w:tc>
          <w:tcPr>
            <w:tcW w:w="0" w:type="dxa"/>
            <w:vAlign w:val="bottom"/>
          </w:tcPr>
          <w:p>
            <w:pPr>
              <w:spacing w:after="0"/>
              <w:rPr>
                <w:sz w:val="1"/>
                <w:szCs w:val="1"/>
                <w:color w:val="auto"/>
              </w:rPr>
            </w:pPr>
          </w:p>
        </w:tc>
      </w:tr>
      <w:tr>
        <w:trPr>
          <w:trHeight w:val="92"/>
        </w:trPr>
        <w:tc>
          <w:tcPr>
            <w:tcW w:w="640" w:type="dxa"/>
            <w:vAlign w:val="bottom"/>
          </w:tcPr>
          <w:p>
            <w:pPr>
              <w:spacing w:after="0"/>
              <w:rPr>
                <w:sz w:val="7"/>
                <w:szCs w:val="7"/>
                <w:color w:val="auto"/>
              </w:rPr>
            </w:pPr>
          </w:p>
        </w:tc>
        <w:tc>
          <w:tcPr>
            <w:tcW w:w="5420" w:type="dxa"/>
            <w:vAlign w:val="bottom"/>
          </w:tcPr>
          <w:p>
            <w:pPr>
              <w:spacing w:after="0"/>
              <w:rPr>
                <w:sz w:val="7"/>
                <w:szCs w:val="7"/>
                <w:color w:val="auto"/>
              </w:rPr>
            </w:pPr>
          </w:p>
        </w:tc>
        <w:tc>
          <w:tcPr>
            <w:tcW w:w="220" w:type="dxa"/>
            <w:vAlign w:val="bottom"/>
          </w:tcPr>
          <w:p>
            <w:pPr>
              <w:spacing w:after="0"/>
              <w:rPr>
                <w:sz w:val="7"/>
                <w:szCs w:val="7"/>
                <w:color w:val="auto"/>
              </w:rPr>
            </w:pPr>
          </w:p>
        </w:tc>
        <w:tc>
          <w:tcPr>
            <w:tcW w:w="700" w:type="dxa"/>
            <w:vAlign w:val="bottom"/>
          </w:tcPr>
          <w:p>
            <w:pPr>
              <w:jc w:val="center"/>
              <w:ind w:left="6"/>
              <w:spacing w:after="0" w:line="92" w:lineRule="exact"/>
              <w:rPr>
                <w:sz w:val="20"/>
                <w:szCs w:val="20"/>
                <w:color w:val="auto"/>
              </w:rPr>
            </w:pPr>
            <w:r>
              <w:rPr>
                <w:rFonts w:ascii="Arial" w:cs="Arial" w:eastAsia="Arial" w:hAnsi="Arial"/>
                <w:sz w:val="10"/>
                <w:szCs w:val="10"/>
                <w:b w:val="1"/>
                <w:bCs w:val="1"/>
                <w:color w:val="auto"/>
                <w:w w:val="80"/>
              </w:rPr>
              <w:t>Average</w:t>
            </w: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980" w:type="dxa"/>
            <w:vAlign w:val="bottom"/>
            <w:gridSpan w:val="2"/>
          </w:tcPr>
          <w:p>
            <w:pPr>
              <w:jc w:val="center"/>
              <w:ind w:left="166"/>
              <w:spacing w:after="0" w:line="92" w:lineRule="exact"/>
              <w:rPr>
                <w:sz w:val="20"/>
                <w:szCs w:val="20"/>
                <w:color w:val="auto"/>
              </w:rPr>
            </w:pPr>
            <w:r>
              <w:rPr>
                <w:rFonts w:ascii="Arial" w:cs="Arial" w:eastAsia="Arial" w:hAnsi="Arial"/>
                <w:sz w:val="10"/>
                <w:szCs w:val="10"/>
                <w:b w:val="1"/>
                <w:bCs w:val="1"/>
                <w:color w:val="auto"/>
                <w:w w:val="80"/>
              </w:rPr>
              <w:t>Average</w:t>
            </w: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1120" w:type="dxa"/>
            <w:vAlign w:val="bottom"/>
            <w:tcBorders>
              <w:top w:val="single" w:sz="8" w:color="auto"/>
            </w:tcBorders>
            <w:gridSpan w:val="3"/>
          </w:tcPr>
          <w:p>
            <w:pPr>
              <w:jc w:val="center"/>
              <w:ind w:right="240"/>
              <w:spacing w:after="0" w:line="92" w:lineRule="exact"/>
              <w:rPr>
                <w:sz w:val="20"/>
                <w:szCs w:val="20"/>
                <w:color w:val="auto"/>
              </w:rPr>
            </w:pPr>
            <w:r>
              <w:rPr>
                <w:rFonts w:ascii="Arial" w:cs="Arial" w:eastAsia="Arial" w:hAnsi="Arial"/>
                <w:sz w:val="10"/>
                <w:szCs w:val="10"/>
                <w:b w:val="1"/>
                <w:bCs w:val="1"/>
                <w:color w:val="auto"/>
                <w:w w:val="82"/>
              </w:rPr>
              <w:t>Gross</w:t>
            </w:r>
          </w:p>
        </w:tc>
        <w:tc>
          <w:tcPr>
            <w:tcW w:w="160" w:type="dxa"/>
            <w:vAlign w:val="bottom"/>
            <w:tcBorders>
              <w:top w:val="single" w:sz="8" w:color="auto"/>
            </w:tcBorders>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96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640" w:type="dxa"/>
            <w:vAlign w:val="bottom"/>
          </w:tcPr>
          <w:p>
            <w:pPr>
              <w:spacing w:after="0"/>
              <w:rPr>
                <w:sz w:val="9"/>
                <w:szCs w:val="9"/>
                <w:color w:val="auto"/>
              </w:rPr>
            </w:pPr>
          </w:p>
        </w:tc>
        <w:tc>
          <w:tcPr>
            <w:tcW w:w="5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jc w:val="center"/>
              <w:ind w:left="6"/>
              <w:spacing w:after="0" w:line="108" w:lineRule="exact"/>
              <w:rPr>
                <w:sz w:val="20"/>
                <w:szCs w:val="20"/>
                <w:color w:val="auto"/>
              </w:rPr>
            </w:pPr>
            <w:r>
              <w:rPr>
                <w:rFonts w:ascii="Arial" w:cs="Arial" w:eastAsia="Arial" w:hAnsi="Arial"/>
                <w:sz w:val="10"/>
                <w:szCs w:val="10"/>
                <w:b w:val="1"/>
                <w:bCs w:val="1"/>
                <w:color w:val="auto"/>
                <w:w w:val="85"/>
              </w:rPr>
              <w:t>Remaining</w:t>
            </w: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gridSpan w:val="2"/>
          </w:tcPr>
          <w:p>
            <w:pPr>
              <w:jc w:val="center"/>
              <w:ind w:left="166"/>
              <w:spacing w:after="0" w:line="108" w:lineRule="exact"/>
              <w:rPr>
                <w:sz w:val="20"/>
                <w:szCs w:val="20"/>
                <w:color w:val="auto"/>
              </w:rPr>
            </w:pPr>
            <w:r>
              <w:rPr>
                <w:rFonts w:ascii="Arial" w:cs="Arial" w:eastAsia="Arial" w:hAnsi="Arial"/>
                <w:sz w:val="10"/>
                <w:szCs w:val="10"/>
                <w:b w:val="1"/>
                <w:bCs w:val="1"/>
                <w:color w:val="auto"/>
                <w:w w:val="91"/>
              </w:rPr>
              <w:t>Amortization</w:t>
            </w: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20" w:type="dxa"/>
            <w:vAlign w:val="bottom"/>
            <w:gridSpan w:val="3"/>
          </w:tcPr>
          <w:p>
            <w:pPr>
              <w:jc w:val="center"/>
              <w:ind w:right="260"/>
              <w:spacing w:after="0" w:line="108" w:lineRule="exact"/>
              <w:rPr>
                <w:sz w:val="20"/>
                <w:szCs w:val="20"/>
                <w:color w:val="auto"/>
              </w:rPr>
            </w:pPr>
            <w:r>
              <w:rPr>
                <w:rFonts w:ascii="Arial" w:cs="Arial" w:eastAsia="Arial" w:hAnsi="Arial"/>
                <w:sz w:val="10"/>
                <w:szCs w:val="10"/>
                <w:b w:val="1"/>
                <w:bCs w:val="1"/>
                <w:color w:val="auto"/>
                <w:w w:val="92"/>
              </w:rPr>
              <w:t>Carrying</w:t>
            </w: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gridSpan w:val="2"/>
          </w:tcPr>
          <w:p>
            <w:pPr>
              <w:ind w:left="120"/>
              <w:spacing w:after="0" w:line="108" w:lineRule="exact"/>
              <w:rPr>
                <w:sz w:val="20"/>
                <w:szCs w:val="20"/>
                <w:color w:val="auto"/>
              </w:rPr>
            </w:pPr>
            <w:r>
              <w:rPr>
                <w:rFonts w:ascii="Arial" w:cs="Arial" w:eastAsia="Arial" w:hAnsi="Arial"/>
                <w:sz w:val="10"/>
                <w:szCs w:val="10"/>
                <w:b w:val="1"/>
                <w:bCs w:val="1"/>
                <w:color w:val="auto"/>
              </w:rPr>
              <w:t>Accumulated</w:t>
            </w:r>
          </w:p>
        </w:tc>
        <w:tc>
          <w:tcPr>
            <w:tcW w:w="0" w:type="dxa"/>
            <w:vAlign w:val="bottom"/>
          </w:tcPr>
          <w:p>
            <w:pPr>
              <w:spacing w:after="0"/>
              <w:rPr>
                <w:sz w:val="1"/>
                <w:szCs w:val="1"/>
                <w:color w:val="auto"/>
              </w:rPr>
            </w:pPr>
          </w:p>
        </w:tc>
      </w:tr>
      <w:tr>
        <w:trPr>
          <w:trHeight w:val="105"/>
        </w:trPr>
        <w:tc>
          <w:tcPr>
            <w:tcW w:w="6280" w:type="dxa"/>
            <w:vAlign w:val="bottom"/>
            <w:gridSpan w:val="3"/>
          </w:tcPr>
          <w:p>
            <w:pPr>
              <w:spacing w:after="0" w:line="105" w:lineRule="exact"/>
              <w:rPr>
                <w:sz w:val="20"/>
                <w:szCs w:val="20"/>
                <w:color w:val="auto"/>
              </w:rPr>
            </w:pPr>
            <w:r>
              <w:rPr>
                <w:rFonts w:ascii="Arial" w:cs="Arial" w:eastAsia="Arial" w:hAnsi="Arial"/>
                <w:sz w:val="10"/>
                <w:szCs w:val="10"/>
                <w:b w:val="1"/>
                <w:bCs w:val="1"/>
                <w:u w:val="single" w:color="auto"/>
                <w:color w:val="auto"/>
              </w:rPr>
              <w:t>(</w:t>
            </w:r>
            <w:r>
              <w:rPr>
                <w:rFonts w:ascii="Arial" w:cs="Arial" w:eastAsia="Arial" w:hAnsi="Arial"/>
                <w:sz w:val="10"/>
                <w:szCs w:val="10"/>
                <w:b w:val="1"/>
                <w:bCs w:val="1"/>
                <w:color w:val="auto"/>
              </w:rPr>
              <w:t>$ in thousands)</w:t>
            </w:r>
          </w:p>
        </w:tc>
        <w:tc>
          <w:tcPr>
            <w:tcW w:w="700" w:type="dxa"/>
            <w:vAlign w:val="bottom"/>
          </w:tcPr>
          <w:p>
            <w:pPr>
              <w:jc w:val="center"/>
              <w:ind w:left="6"/>
              <w:spacing w:after="0" w:line="105" w:lineRule="exact"/>
              <w:rPr>
                <w:sz w:val="20"/>
                <w:szCs w:val="20"/>
                <w:color w:val="auto"/>
              </w:rPr>
            </w:pPr>
            <w:r>
              <w:rPr>
                <w:rFonts w:ascii="Arial" w:cs="Arial" w:eastAsia="Arial" w:hAnsi="Arial"/>
                <w:sz w:val="10"/>
                <w:szCs w:val="10"/>
                <w:b w:val="1"/>
                <w:bCs w:val="1"/>
                <w:color w:val="auto"/>
                <w:w w:val="85"/>
              </w:rPr>
              <w:t>Useful Life</w:t>
            </w: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gridSpan w:val="2"/>
          </w:tcPr>
          <w:p>
            <w:pPr>
              <w:jc w:val="center"/>
              <w:ind w:left="166"/>
              <w:spacing w:after="0" w:line="105" w:lineRule="exact"/>
              <w:rPr>
                <w:sz w:val="20"/>
                <w:szCs w:val="20"/>
                <w:color w:val="auto"/>
              </w:rPr>
            </w:pPr>
            <w:r>
              <w:rPr>
                <w:rFonts w:ascii="Arial" w:cs="Arial" w:eastAsia="Arial" w:hAnsi="Arial"/>
                <w:sz w:val="10"/>
                <w:szCs w:val="10"/>
                <w:b w:val="1"/>
                <w:bCs w:val="1"/>
                <w:color w:val="auto"/>
                <w:w w:val="89"/>
              </w:rPr>
              <w:t>Period</w:t>
            </w: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20" w:type="dxa"/>
            <w:vAlign w:val="bottom"/>
            <w:gridSpan w:val="3"/>
          </w:tcPr>
          <w:p>
            <w:pPr>
              <w:jc w:val="center"/>
              <w:ind w:right="260"/>
              <w:spacing w:after="0" w:line="105" w:lineRule="exact"/>
              <w:rPr>
                <w:sz w:val="20"/>
                <w:szCs w:val="20"/>
                <w:color w:val="auto"/>
              </w:rPr>
            </w:pPr>
            <w:r>
              <w:rPr>
                <w:rFonts w:ascii="Arial" w:cs="Arial" w:eastAsia="Arial" w:hAnsi="Arial"/>
                <w:sz w:val="10"/>
                <w:szCs w:val="10"/>
                <w:b w:val="1"/>
                <w:bCs w:val="1"/>
                <w:color w:val="auto"/>
                <w:w w:val="89"/>
              </w:rPr>
              <w:t>Amount</w:t>
            </w: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gridSpan w:val="2"/>
          </w:tcPr>
          <w:p>
            <w:pPr>
              <w:ind w:left="100"/>
              <w:spacing w:after="0" w:line="105" w:lineRule="exact"/>
              <w:rPr>
                <w:sz w:val="20"/>
                <w:szCs w:val="20"/>
                <w:color w:val="auto"/>
              </w:rPr>
            </w:pPr>
            <w:r>
              <w:rPr>
                <w:rFonts w:ascii="Arial" w:cs="Arial" w:eastAsia="Arial" w:hAnsi="Arial"/>
                <w:sz w:val="10"/>
                <w:szCs w:val="10"/>
                <w:b w:val="1"/>
                <w:bCs w:val="1"/>
                <w:color w:val="auto"/>
              </w:rPr>
              <w:t>Amortization</w:t>
            </w:r>
          </w:p>
        </w:tc>
        <w:tc>
          <w:tcPr>
            <w:tcW w:w="0" w:type="dxa"/>
            <w:vAlign w:val="bottom"/>
          </w:tcPr>
          <w:p>
            <w:pPr>
              <w:spacing w:after="0"/>
              <w:rPr>
                <w:sz w:val="1"/>
                <w:szCs w:val="1"/>
                <w:color w:val="auto"/>
              </w:rPr>
            </w:pPr>
          </w:p>
        </w:tc>
      </w:tr>
      <w:tr>
        <w:trPr>
          <w:trHeight w:val="20"/>
        </w:trPr>
        <w:tc>
          <w:tcPr>
            <w:tcW w:w="640" w:type="dxa"/>
            <w:vAlign w:val="bottom"/>
            <w:tcBorders>
              <w:top w:val="single" w:sz="8" w:color="auto"/>
              <w:right w:val="single" w:sz="8" w:color="CFF0FC"/>
            </w:tcBorders>
            <w:vMerge w:val="restart"/>
            <w:shd w:val="clear" w:color="auto" w:fill="CFF0FC"/>
          </w:tcPr>
          <w:p>
            <w:pPr>
              <w:spacing w:after="0"/>
              <w:rPr>
                <w:sz w:val="20"/>
                <w:szCs w:val="20"/>
                <w:color w:val="auto"/>
              </w:rPr>
            </w:pPr>
            <w:r>
              <w:rPr>
                <w:rFonts w:ascii="Arial" w:cs="Arial" w:eastAsia="Arial" w:hAnsi="Arial"/>
                <w:sz w:val="12"/>
                <w:szCs w:val="12"/>
                <w:color w:val="auto"/>
                <w:w w:val="93"/>
              </w:rPr>
              <w:t>Trademarks</w:t>
            </w:r>
          </w:p>
        </w:tc>
        <w:tc>
          <w:tcPr>
            <w:tcW w:w="5420" w:type="dxa"/>
            <w:vAlign w:val="bottom"/>
            <w:tcBorders>
              <w:right w:val="single" w:sz="8" w:color="auto"/>
            </w:tcBorders>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tcBorders>
              <w:right w:val="single" w:sz="8" w:color="auto"/>
            </w:tcBorders>
            <w:shd w:val="clear" w:color="auto" w:fill="000000"/>
          </w:tcPr>
          <w:p>
            <w:pPr>
              <w:spacing w:after="0" w:line="20" w:lineRule="exact"/>
              <w:rPr>
                <w:sz w:val="1"/>
                <w:szCs w:val="1"/>
                <w:color w:val="auto"/>
              </w:rPr>
            </w:pPr>
          </w:p>
        </w:tc>
        <w:tc>
          <w:tcPr>
            <w:tcW w:w="340" w:type="dxa"/>
            <w:vAlign w:val="bottom"/>
            <w:tcBorders>
              <w:right w:val="single" w:sz="8" w:color="CFF0FC"/>
            </w:tcBorders>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CFF0FC"/>
          </w:tcPr>
          <w:p>
            <w:pPr>
              <w:spacing w:after="0" w:line="20" w:lineRule="exact"/>
              <w:rPr>
                <w:sz w:val="1"/>
                <w:szCs w:val="1"/>
                <w:color w:val="auto"/>
              </w:rPr>
            </w:pPr>
          </w:p>
        </w:tc>
        <w:tc>
          <w:tcPr>
            <w:tcW w:w="98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tcBorders>
              <w:right w:val="single" w:sz="8" w:color="CFF0FC"/>
            </w:tcBorders>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020" w:type="dxa"/>
            <w:vAlign w:val="bottom"/>
            <w:gridSpan w:val="2"/>
            <w:shd w:val="clear" w:color="auto" w:fill="000000"/>
          </w:tcPr>
          <w:p>
            <w:pPr>
              <w:spacing w:after="0" w:line="20" w:lineRule="exact"/>
              <w:rPr>
                <w:sz w:val="1"/>
                <w:szCs w:val="1"/>
                <w:color w:val="auto"/>
              </w:rPr>
            </w:pPr>
          </w:p>
        </w:tc>
        <w:tc>
          <w:tcPr>
            <w:tcW w:w="100" w:type="dxa"/>
            <w:vAlign w:val="bottom"/>
            <w:tcBorders>
              <w:right w:val="single" w:sz="8" w:color="CFF0FC"/>
            </w:tcBorders>
            <w:shd w:val="clear" w:color="auto" w:fill="CFF0FC"/>
          </w:tcPr>
          <w:p>
            <w:pPr>
              <w:spacing w:after="0" w:line="20" w:lineRule="exact"/>
              <w:rPr>
                <w:sz w:val="1"/>
                <w:szCs w:val="1"/>
                <w:color w:val="auto"/>
              </w:rPr>
            </w:pPr>
          </w:p>
        </w:tc>
        <w:tc>
          <w:tcPr>
            <w:tcW w:w="160" w:type="dxa"/>
            <w:vAlign w:val="bottom"/>
            <w:tcBorders>
              <w:right w:val="single" w:sz="8" w:color="auto"/>
            </w:tcBorders>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640" w:type="dxa"/>
            <w:vAlign w:val="bottom"/>
            <w:tcBorders>
              <w:right w:val="single" w:sz="8" w:color="CFF0FC"/>
            </w:tcBorders>
            <w:vMerge w:val="continue"/>
            <w:shd w:val="clear" w:color="auto" w:fill="CFF0FC"/>
          </w:tcPr>
          <w:p>
            <w:pPr>
              <w:spacing w:after="0"/>
              <w:rPr>
                <w:sz w:val="11"/>
                <w:szCs w:val="11"/>
                <w:color w:val="auto"/>
              </w:rPr>
            </w:pPr>
          </w:p>
        </w:tc>
        <w:tc>
          <w:tcPr>
            <w:tcW w:w="5420" w:type="dxa"/>
            <w:vAlign w:val="bottom"/>
            <w:tcBorders>
              <w:right w:val="single" w:sz="8" w:color="CFF0FC"/>
            </w:tcBorders>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00" w:type="dxa"/>
            <w:vAlign w:val="bottom"/>
            <w:tcBorders>
              <w:right w:val="single" w:sz="8" w:color="CFF0FC"/>
            </w:tcBorders>
            <w:shd w:val="clear" w:color="auto" w:fill="CFF0FC"/>
          </w:tcPr>
          <w:p>
            <w:pPr>
              <w:jc w:val="center"/>
              <w:ind w:left="6"/>
              <w:spacing w:after="0" w:line="132" w:lineRule="exact"/>
              <w:rPr>
                <w:sz w:val="20"/>
                <w:szCs w:val="20"/>
                <w:color w:val="auto"/>
              </w:rPr>
            </w:pPr>
            <w:r>
              <w:rPr>
                <w:rFonts w:ascii="Arial" w:cs="Arial" w:eastAsia="Arial" w:hAnsi="Arial"/>
                <w:sz w:val="12"/>
                <w:szCs w:val="12"/>
                <w:color w:val="auto"/>
                <w:w w:val="89"/>
              </w:rPr>
              <w:t>1.5 years</w:t>
            </w:r>
          </w:p>
        </w:tc>
        <w:tc>
          <w:tcPr>
            <w:tcW w:w="340" w:type="dxa"/>
            <w:vAlign w:val="bottom"/>
            <w:tcBorders>
              <w:right w:val="single" w:sz="8" w:color="CFF0FC"/>
            </w:tcBorders>
            <w:shd w:val="clear" w:color="auto" w:fill="CFF0FC"/>
          </w:tcPr>
          <w:p>
            <w:pPr>
              <w:spacing w:after="0"/>
              <w:rPr>
                <w:sz w:val="11"/>
                <w:szCs w:val="11"/>
                <w:color w:val="auto"/>
              </w:rPr>
            </w:pPr>
          </w:p>
        </w:tc>
        <w:tc>
          <w:tcPr>
            <w:tcW w:w="140" w:type="dxa"/>
            <w:vAlign w:val="bottom"/>
            <w:tcBorders>
              <w:right w:val="single" w:sz="8" w:color="CFF0FC"/>
            </w:tcBorders>
            <w:shd w:val="clear" w:color="auto" w:fill="CFF0FC"/>
          </w:tcPr>
          <w:p>
            <w:pPr>
              <w:spacing w:after="0"/>
              <w:rPr>
                <w:sz w:val="11"/>
                <w:szCs w:val="11"/>
                <w:color w:val="auto"/>
              </w:rPr>
            </w:pPr>
          </w:p>
        </w:tc>
        <w:tc>
          <w:tcPr>
            <w:tcW w:w="980" w:type="dxa"/>
            <w:vAlign w:val="bottom"/>
            <w:gridSpan w:val="2"/>
            <w:shd w:val="clear" w:color="auto" w:fill="CFF0FC"/>
          </w:tcPr>
          <w:p>
            <w:pPr>
              <w:jc w:val="center"/>
              <w:ind w:left="166"/>
              <w:spacing w:after="0" w:line="132" w:lineRule="exact"/>
              <w:rPr>
                <w:sz w:val="20"/>
                <w:szCs w:val="20"/>
                <w:color w:val="auto"/>
              </w:rPr>
            </w:pPr>
            <w:r>
              <w:rPr>
                <w:rFonts w:ascii="Arial" w:cs="Arial" w:eastAsia="Arial" w:hAnsi="Arial"/>
                <w:sz w:val="12"/>
                <w:szCs w:val="12"/>
                <w:color w:val="auto"/>
                <w:w w:val="89"/>
              </w:rPr>
              <w:t>3.8 years</w:t>
            </w:r>
          </w:p>
        </w:tc>
        <w:tc>
          <w:tcPr>
            <w:tcW w:w="100" w:type="dxa"/>
            <w:vAlign w:val="bottom"/>
            <w:shd w:val="clear" w:color="auto" w:fill="CFF0FC"/>
          </w:tcPr>
          <w:p>
            <w:pPr>
              <w:spacing w:after="0"/>
              <w:rPr>
                <w:sz w:val="11"/>
                <w:szCs w:val="11"/>
                <w:color w:val="auto"/>
              </w:rPr>
            </w:pPr>
          </w:p>
        </w:tc>
        <w:tc>
          <w:tcPr>
            <w:tcW w:w="180" w:type="dxa"/>
            <w:vAlign w:val="bottom"/>
            <w:tcBorders>
              <w:right w:val="single" w:sz="8" w:color="CFF0FC"/>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40" w:type="dxa"/>
            <w:vAlign w:val="bottom"/>
            <w:tcBorders>
              <w:left w:val="single" w:sz="8" w:color="CFF0FC"/>
            </w:tcBorders>
            <w:shd w:val="clear" w:color="auto" w:fill="CFF0FC"/>
          </w:tcPr>
          <w:p>
            <w:pPr>
              <w:jc w:val="right"/>
              <w:ind w:right="26"/>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FF0FC"/>
          </w:tcPr>
          <w:p>
            <w:pPr>
              <w:jc w:val="right"/>
              <w:ind w:right="20"/>
              <w:spacing w:after="0" w:line="132" w:lineRule="exact"/>
              <w:rPr>
                <w:sz w:val="20"/>
                <w:szCs w:val="20"/>
                <w:color w:val="auto"/>
              </w:rPr>
            </w:pPr>
            <w:r>
              <w:rPr>
                <w:rFonts w:ascii="Arial" w:cs="Arial" w:eastAsia="Arial" w:hAnsi="Arial"/>
                <w:sz w:val="12"/>
                <w:szCs w:val="12"/>
                <w:color w:val="auto"/>
              </w:rPr>
              <w:t>32,127</w:t>
            </w:r>
          </w:p>
        </w:tc>
        <w:tc>
          <w:tcPr>
            <w:tcW w:w="100" w:type="dxa"/>
            <w:vAlign w:val="bottom"/>
            <w:tcBorders>
              <w:right w:val="single" w:sz="8" w:color="CFF0FC"/>
            </w:tcBorders>
            <w:shd w:val="clear" w:color="auto" w:fill="CFF0FC"/>
          </w:tcPr>
          <w:p>
            <w:pPr>
              <w:spacing w:after="0"/>
              <w:rPr>
                <w:sz w:val="11"/>
                <w:szCs w:val="11"/>
                <w:color w:val="auto"/>
              </w:rPr>
            </w:pPr>
          </w:p>
        </w:tc>
        <w:tc>
          <w:tcPr>
            <w:tcW w:w="320" w:type="dxa"/>
            <w:vAlign w:val="bottom"/>
            <w:gridSpan w:val="2"/>
            <w:shd w:val="clear" w:color="auto" w:fill="CFF0FC"/>
          </w:tcPr>
          <w:p>
            <w:pPr>
              <w:jc w:val="right"/>
              <w:ind w:right="120"/>
              <w:spacing w:after="0" w:line="132" w:lineRule="exact"/>
              <w:rPr>
                <w:sz w:val="20"/>
                <w:szCs w:val="20"/>
                <w:color w:val="auto"/>
              </w:rPr>
            </w:pPr>
            <w:r>
              <w:rPr>
                <w:rFonts w:ascii="Arial" w:cs="Arial" w:eastAsia="Arial" w:hAnsi="Arial"/>
                <w:sz w:val="12"/>
                <w:szCs w:val="12"/>
                <w:color w:val="auto"/>
              </w:rPr>
              <w:t>$</w:t>
            </w:r>
          </w:p>
        </w:tc>
        <w:tc>
          <w:tcPr>
            <w:tcW w:w="960" w:type="dxa"/>
            <w:vAlign w:val="bottom"/>
            <w:shd w:val="clear" w:color="auto" w:fill="CFF0FC"/>
          </w:tcPr>
          <w:p>
            <w:pPr>
              <w:jc w:val="right"/>
              <w:spacing w:after="0" w:line="132" w:lineRule="exact"/>
              <w:rPr>
                <w:sz w:val="20"/>
                <w:szCs w:val="20"/>
                <w:color w:val="auto"/>
              </w:rPr>
            </w:pPr>
            <w:r>
              <w:rPr>
                <w:rFonts w:ascii="Arial" w:cs="Arial" w:eastAsia="Arial" w:hAnsi="Arial"/>
                <w:sz w:val="12"/>
                <w:szCs w:val="12"/>
                <w:color w:val="auto"/>
              </w:rPr>
              <w:t>19,106</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6280" w:type="dxa"/>
            <w:vAlign w:val="bottom"/>
            <w:gridSpan w:val="3"/>
          </w:tcPr>
          <w:p>
            <w:pPr>
              <w:spacing w:after="0"/>
              <w:rPr>
                <w:sz w:val="20"/>
                <w:szCs w:val="20"/>
                <w:color w:val="auto"/>
              </w:rPr>
            </w:pPr>
            <w:r>
              <w:rPr>
                <w:rFonts w:ascii="Arial" w:cs="Arial" w:eastAsia="Arial" w:hAnsi="Arial"/>
                <w:sz w:val="12"/>
                <w:szCs w:val="12"/>
                <w:color w:val="auto"/>
              </w:rPr>
              <w:t>Non-compete agreements</w:t>
            </w:r>
          </w:p>
        </w:tc>
        <w:tc>
          <w:tcPr>
            <w:tcW w:w="700" w:type="dxa"/>
            <w:vAlign w:val="bottom"/>
          </w:tcPr>
          <w:p>
            <w:pPr>
              <w:jc w:val="center"/>
              <w:ind w:left="6"/>
              <w:spacing w:after="0"/>
              <w:rPr>
                <w:sz w:val="20"/>
                <w:szCs w:val="20"/>
                <w:color w:val="auto"/>
              </w:rPr>
            </w:pPr>
            <w:r>
              <w:rPr>
                <w:rFonts w:ascii="Arial" w:cs="Arial" w:eastAsia="Arial" w:hAnsi="Arial"/>
                <w:sz w:val="12"/>
                <w:szCs w:val="12"/>
                <w:color w:val="auto"/>
                <w:w w:val="89"/>
              </w:rPr>
              <w:t>3.0 years</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tcPr>
          <w:p>
            <w:pPr>
              <w:jc w:val="center"/>
              <w:ind w:left="166"/>
              <w:spacing w:after="0"/>
              <w:rPr>
                <w:sz w:val="20"/>
                <w:szCs w:val="20"/>
                <w:color w:val="auto"/>
              </w:rPr>
            </w:pPr>
            <w:r>
              <w:rPr>
                <w:rFonts w:ascii="Arial" w:cs="Arial" w:eastAsia="Arial" w:hAnsi="Arial"/>
                <w:sz w:val="12"/>
                <w:szCs w:val="12"/>
                <w:color w:val="auto"/>
                <w:w w:val="89"/>
              </w:rPr>
              <w:t>5.0 years</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2"/>
                <w:szCs w:val="12"/>
                <w:color w:val="auto"/>
              </w:rPr>
              <w:t>62,549</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24,834</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280" w:type="dxa"/>
            <w:vAlign w:val="bottom"/>
            <w:gridSpan w:val="3"/>
            <w:shd w:val="clear" w:color="auto" w:fill="CFF0FC"/>
          </w:tcPr>
          <w:p>
            <w:pPr>
              <w:spacing w:after="0"/>
              <w:rPr>
                <w:sz w:val="20"/>
                <w:szCs w:val="20"/>
                <w:color w:val="auto"/>
              </w:rPr>
            </w:pPr>
            <w:r>
              <w:rPr>
                <w:rFonts w:ascii="Arial" w:cs="Arial" w:eastAsia="Arial" w:hAnsi="Arial"/>
                <w:sz w:val="12"/>
                <w:szCs w:val="12"/>
                <w:color w:val="auto"/>
              </w:rPr>
              <w:t>Customer relationships</w:t>
            </w:r>
          </w:p>
        </w:tc>
        <w:tc>
          <w:tcPr>
            <w:tcW w:w="700" w:type="dxa"/>
            <w:vAlign w:val="bottom"/>
            <w:tcBorders>
              <w:right w:val="single" w:sz="8" w:color="CFF0FC"/>
            </w:tcBorders>
            <w:shd w:val="clear" w:color="auto" w:fill="CFF0FC"/>
          </w:tcPr>
          <w:p>
            <w:pPr>
              <w:jc w:val="center"/>
              <w:ind w:left="6"/>
              <w:spacing w:after="0"/>
              <w:rPr>
                <w:sz w:val="20"/>
                <w:szCs w:val="20"/>
                <w:color w:val="auto"/>
              </w:rPr>
            </w:pPr>
            <w:r>
              <w:rPr>
                <w:rFonts w:ascii="Arial" w:cs="Arial" w:eastAsia="Arial" w:hAnsi="Arial"/>
                <w:sz w:val="12"/>
                <w:szCs w:val="12"/>
                <w:color w:val="auto"/>
                <w:w w:val="89"/>
              </w:rPr>
              <w:t>6.9 years</w:t>
            </w:r>
          </w:p>
        </w:tc>
        <w:tc>
          <w:tcPr>
            <w:tcW w:w="340" w:type="dxa"/>
            <w:vAlign w:val="bottom"/>
            <w:tcBorders>
              <w:right w:val="single" w:sz="8" w:color="CFF0FC"/>
            </w:tcBorders>
            <w:shd w:val="clear" w:color="auto" w:fill="CFF0FC"/>
          </w:tcPr>
          <w:p>
            <w:pPr>
              <w:spacing w:after="0"/>
              <w:rPr>
                <w:sz w:val="13"/>
                <w:szCs w:val="13"/>
                <w:color w:val="auto"/>
              </w:rPr>
            </w:pPr>
          </w:p>
        </w:tc>
        <w:tc>
          <w:tcPr>
            <w:tcW w:w="140" w:type="dxa"/>
            <w:vAlign w:val="bottom"/>
            <w:tcBorders>
              <w:right w:val="single" w:sz="8" w:color="CFF0FC"/>
            </w:tcBorders>
            <w:shd w:val="clear" w:color="auto" w:fill="CFF0FC"/>
          </w:tcPr>
          <w:p>
            <w:pPr>
              <w:spacing w:after="0"/>
              <w:rPr>
                <w:sz w:val="13"/>
                <w:szCs w:val="13"/>
                <w:color w:val="auto"/>
              </w:rPr>
            </w:pPr>
          </w:p>
        </w:tc>
        <w:tc>
          <w:tcPr>
            <w:tcW w:w="980" w:type="dxa"/>
            <w:vAlign w:val="bottom"/>
            <w:gridSpan w:val="2"/>
            <w:shd w:val="clear" w:color="auto" w:fill="CFF0FC"/>
          </w:tcPr>
          <w:p>
            <w:pPr>
              <w:jc w:val="center"/>
              <w:ind w:left="166"/>
              <w:spacing w:after="0"/>
              <w:rPr>
                <w:sz w:val="20"/>
                <w:szCs w:val="20"/>
                <w:color w:val="auto"/>
              </w:rPr>
            </w:pPr>
            <w:r>
              <w:rPr>
                <w:rFonts w:ascii="Arial" w:cs="Arial" w:eastAsia="Arial" w:hAnsi="Arial"/>
                <w:sz w:val="12"/>
                <w:szCs w:val="12"/>
                <w:color w:val="auto"/>
                <w:w w:val="89"/>
              </w:rPr>
              <w:t>8.9 years</w:t>
            </w:r>
          </w:p>
        </w:tc>
        <w:tc>
          <w:tcPr>
            <w:tcW w:w="100" w:type="dxa"/>
            <w:vAlign w:val="bottom"/>
            <w:shd w:val="clear" w:color="auto" w:fill="CFF0FC"/>
          </w:tcPr>
          <w:p>
            <w:pPr>
              <w:spacing w:after="0"/>
              <w:rPr>
                <w:sz w:val="13"/>
                <w:szCs w:val="13"/>
                <w:color w:val="auto"/>
              </w:rPr>
            </w:pPr>
          </w:p>
        </w:tc>
        <w:tc>
          <w:tcPr>
            <w:tcW w:w="180" w:type="dxa"/>
            <w:vAlign w:val="bottom"/>
            <w:tcBorders>
              <w:right w:val="single" w:sz="8" w:color="CFF0FC"/>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0" w:type="dxa"/>
            <w:vAlign w:val="bottom"/>
            <w:tcBorders>
              <w:left w:val="single" w:sz="8" w:color="CFF0FC"/>
            </w:tcBorders>
            <w:shd w:val="clear" w:color="auto" w:fill="CFF0FC"/>
          </w:tcPr>
          <w:p>
            <w:pPr>
              <w:spacing w:after="0"/>
              <w:rPr>
                <w:sz w:val="13"/>
                <w:szCs w:val="13"/>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2"/>
                <w:szCs w:val="12"/>
                <w:color w:val="auto"/>
              </w:rPr>
              <w:t>366,533</w:t>
            </w:r>
          </w:p>
        </w:tc>
        <w:tc>
          <w:tcPr>
            <w:tcW w:w="100" w:type="dxa"/>
            <w:vAlign w:val="bottom"/>
            <w:tcBorders>
              <w:right w:val="single" w:sz="8" w:color="CFF0FC"/>
            </w:tcBorders>
            <w:shd w:val="clear" w:color="auto" w:fill="CFF0FC"/>
          </w:tcPr>
          <w:p>
            <w:pPr>
              <w:spacing w:after="0"/>
              <w:rPr>
                <w:sz w:val="13"/>
                <w:szCs w:val="13"/>
                <w:color w:val="auto"/>
              </w:rPr>
            </w:pPr>
          </w:p>
        </w:tc>
        <w:tc>
          <w:tcPr>
            <w:tcW w:w="160" w:type="dxa"/>
            <w:vAlign w:val="bottom"/>
            <w:tcBorders>
              <w:right w:val="single" w:sz="8" w:color="CFF0FC"/>
            </w:tcBorders>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82,903</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280" w:type="dxa"/>
            <w:vAlign w:val="bottom"/>
            <w:tcBorders>
              <w:bottom w:val="single" w:sz="8" w:color="CFF0FC"/>
            </w:tcBorders>
            <w:gridSpan w:val="3"/>
          </w:tcPr>
          <w:p>
            <w:pPr>
              <w:spacing w:after="0"/>
              <w:rPr>
                <w:sz w:val="20"/>
                <w:szCs w:val="20"/>
                <w:color w:val="auto"/>
              </w:rPr>
            </w:pPr>
            <w:r>
              <w:rPr>
                <w:rFonts w:ascii="Arial" w:cs="Arial" w:eastAsia="Arial" w:hAnsi="Arial"/>
                <w:sz w:val="12"/>
                <w:szCs w:val="12"/>
                <w:color w:val="auto"/>
              </w:rPr>
              <w:t>Developed technology</w:t>
            </w:r>
          </w:p>
        </w:tc>
        <w:tc>
          <w:tcPr>
            <w:tcW w:w="700" w:type="dxa"/>
            <w:vAlign w:val="bottom"/>
            <w:tcBorders>
              <w:bottom w:val="single" w:sz="8" w:color="CFF0FC"/>
            </w:tcBorders>
          </w:tcPr>
          <w:p>
            <w:pPr>
              <w:jc w:val="center"/>
              <w:ind w:left="6"/>
              <w:spacing w:after="0"/>
              <w:rPr>
                <w:sz w:val="20"/>
                <w:szCs w:val="20"/>
                <w:color w:val="auto"/>
              </w:rPr>
            </w:pPr>
            <w:r>
              <w:rPr>
                <w:rFonts w:ascii="Arial" w:cs="Arial" w:eastAsia="Arial" w:hAnsi="Arial"/>
                <w:sz w:val="12"/>
                <w:szCs w:val="12"/>
                <w:color w:val="auto"/>
                <w:w w:val="89"/>
              </w:rPr>
              <w:t>3.3 years</w:t>
            </w:r>
          </w:p>
        </w:tc>
        <w:tc>
          <w:tcPr>
            <w:tcW w:w="340" w:type="dxa"/>
            <w:vAlign w:val="bottom"/>
            <w:tcBorders>
              <w:bottom w:val="single" w:sz="8" w:color="CFF0FC"/>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980" w:type="dxa"/>
            <w:vAlign w:val="bottom"/>
            <w:tcBorders>
              <w:bottom w:val="single" w:sz="8" w:color="CFF0FC"/>
            </w:tcBorders>
            <w:gridSpan w:val="2"/>
          </w:tcPr>
          <w:p>
            <w:pPr>
              <w:jc w:val="center"/>
              <w:ind w:left="166"/>
              <w:spacing w:after="0"/>
              <w:rPr>
                <w:sz w:val="20"/>
                <w:szCs w:val="20"/>
                <w:color w:val="auto"/>
              </w:rPr>
            </w:pPr>
            <w:r>
              <w:rPr>
                <w:rFonts w:ascii="Arial" w:cs="Arial" w:eastAsia="Arial" w:hAnsi="Arial"/>
                <w:sz w:val="12"/>
                <w:szCs w:val="12"/>
                <w:color w:val="auto"/>
                <w:w w:val="89"/>
              </w:rPr>
              <w:t>5.5 years</w:t>
            </w:r>
          </w:p>
        </w:tc>
        <w:tc>
          <w:tcPr>
            <w:tcW w:w="100" w:type="dxa"/>
            <w:vAlign w:val="bottom"/>
            <w:tcBorders>
              <w:bottom w:val="single" w:sz="8" w:color="CFF0FC"/>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2"/>
                <w:szCs w:val="12"/>
                <w:color w:val="auto"/>
              </w:rPr>
              <w:t>165,708</w:t>
            </w:r>
          </w:p>
        </w:tc>
        <w:tc>
          <w:tcPr>
            <w:tcW w:w="100" w:type="dxa"/>
            <w:vAlign w:val="bottom"/>
            <w:tcBorders>
              <w:bottom w:val="single" w:sz="8" w:color="CFF0FC"/>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65,631</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280" w:type="dxa"/>
            <w:vAlign w:val="bottom"/>
            <w:gridSpan w:val="3"/>
            <w:shd w:val="clear" w:color="auto" w:fill="CFF0FC"/>
          </w:tcPr>
          <w:p>
            <w:pPr>
              <w:spacing w:after="0"/>
              <w:rPr>
                <w:sz w:val="20"/>
                <w:szCs w:val="20"/>
                <w:color w:val="auto"/>
              </w:rPr>
            </w:pPr>
            <w:r>
              <w:rPr>
                <w:rFonts w:ascii="Arial" w:cs="Arial" w:eastAsia="Arial" w:hAnsi="Arial"/>
                <w:sz w:val="12"/>
                <w:szCs w:val="12"/>
                <w:color w:val="auto"/>
              </w:rPr>
              <w:t>Gross carrying value of intangible assets</w:t>
            </w:r>
          </w:p>
        </w:tc>
        <w:tc>
          <w:tcPr>
            <w:tcW w:w="700" w:type="dxa"/>
            <w:vAlign w:val="bottom"/>
            <w:tcBorders>
              <w:right w:val="single" w:sz="8" w:color="CFF0FC"/>
            </w:tcBorders>
            <w:shd w:val="clear" w:color="auto" w:fill="CFF0FC"/>
          </w:tcPr>
          <w:p>
            <w:pPr>
              <w:spacing w:after="0"/>
              <w:rPr>
                <w:sz w:val="14"/>
                <w:szCs w:val="14"/>
                <w:color w:val="auto"/>
              </w:rPr>
            </w:pPr>
          </w:p>
        </w:tc>
        <w:tc>
          <w:tcPr>
            <w:tcW w:w="340" w:type="dxa"/>
            <w:vAlign w:val="bottom"/>
            <w:tcBorders>
              <w:right w:val="single" w:sz="8" w:color="CFF0FC"/>
            </w:tcBorders>
            <w:shd w:val="clear" w:color="auto" w:fill="CFF0FC"/>
          </w:tcPr>
          <w:p>
            <w:pPr>
              <w:spacing w:after="0"/>
              <w:rPr>
                <w:sz w:val="14"/>
                <w:szCs w:val="14"/>
                <w:color w:val="auto"/>
              </w:rPr>
            </w:pPr>
          </w:p>
        </w:tc>
        <w:tc>
          <w:tcPr>
            <w:tcW w:w="140" w:type="dxa"/>
            <w:vAlign w:val="bottom"/>
            <w:tcBorders>
              <w:right w:val="single" w:sz="8" w:color="CFF0FC"/>
            </w:tcBorders>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tcBorders>
              <w:right w:val="single" w:sz="8" w:color="CFF0FC"/>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tcBorders>
              <w:left w:val="single" w:sz="8" w:color="CFF0FC"/>
            </w:tcBorders>
            <w:shd w:val="clear" w:color="auto" w:fill="CFF0FC"/>
          </w:tcPr>
          <w:p>
            <w:pPr>
              <w:spacing w:after="0"/>
              <w:rPr>
                <w:sz w:val="14"/>
                <w:szCs w:val="14"/>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2"/>
                <w:szCs w:val="12"/>
                <w:color w:val="auto"/>
              </w:rPr>
              <w:t>626,917</w:t>
            </w:r>
          </w:p>
        </w:tc>
        <w:tc>
          <w:tcPr>
            <w:tcW w:w="100" w:type="dxa"/>
            <w:vAlign w:val="bottom"/>
            <w:tcBorders>
              <w:right w:val="single" w:sz="8" w:color="CFF0FC"/>
            </w:tcBorders>
            <w:shd w:val="clear" w:color="auto" w:fill="CFF0FC"/>
          </w:tcPr>
          <w:p>
            <w:pPr>
              <w:spacing w:after="0"/>
              <w:rPr>
                <w:sz w:val="14"/>
                <w:szCs w:val="14"/>
                <w:color w:val="auto"/>
              </w:rPr>
            </w:pPr>
          </w:p>
        </w:tc>
        <w:tc>
          <w:tcPr>
            <w:tcW w:w="32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192,474</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6280" w:type="dxa"/>
            <w:vAlign w:val="bottom"/>
            <w:tcBorders>
              <w:top w:val="single" w:sz="8" w:color="CFF0FC"/>
            </w:tcBorders>
            <w:gridSpan w:val="3"/>
          </w:tcPr>
          <w:p>
            <w:pPr>
              <w:spacing w:after="0"/>
              <w:rPr>
                <w:sz w:val="20"/>
                <w:szCs w:val="20"/>
                <w:color w:val="auto"/>
              </w:rPr>
            </w:pPr>
            <w:r>
              <w:rPr>
                <w:rFonts w:ascii="Arial" w:cs="Arial" w:eastAsia="Arial" w:hAnsi="Arial"/>
                <w:sz w:val="12"/>
                <w:szCs w:val="12"/>
                <w:color w:val="auto"/>
              </w:rPr>
              <w:t>Less: accumulated amortization</w:t>
            </w:r>
          </w:p>
        </w:tc>
        <w:tc>
          <w:tcPr>
            <w:tcW w:w="700" w:type="dxa"/>
            <w:vAlign w:val="bottom"/>
            <w:tcBorders>
              <w:top w:val="single" w:sz="8" w:color="CFF0FC"/>
            </w:tcBorders>
          </w:tcPr>
          <w:p>
            <w:pPr>
              <w:spacing w:after="0"/>
              <w:rPr>
                <w:sz w:val="12"/>
                <w:szCs w:val="12"/>
                <w:color w:val="auto"/>
              </w:rPr>
            </w:pPr>
          </w:p>
        </w:tc>
        <w:tc>
          <w:tcPr>
            <w:tcW w:w="340" w:type="dxa"/>
            <w:vAlign w:val="bottom"/>
            <w:tcBorders>
              <w:top w:val="single" w:sz="8" w:color="CFF0FC"/>
            </w:tcBorders>
          </w:tcPr>
          <w:p>
            <w:pPr>
              <w:spacing w:after="0"/>
              <w:rPr>
                <w:sz w:val="12"/>
                <w:szCs w:val="12"/>
                <w:color w:val="auto"/>
              </w:rPr>
            </w:pPr>
          </w:p>
        </w:tc>
        <w:tc>
          <w:tcPr>
            <w:tcW w:w="140" w:type="dxa"/>
            <w:vAlign w:val="bottom"/>
            <w:tcBorders>
              <w:top w:val="single" w:sz="8" w:color="CFF0FC"/>
            </w:tcBorders>
          </w:tcPr>
          <w:p>
            <w:pPr>
              <w:spacing w:after="0"/>
              <w:rPr>
                <w:sz w:val="12"/>
                <w:szCs w:val="12"/>
                <w:color w:val="auto"/>
              </w:rPr>
            </w:pPr>
          </w:p>
        </w:tc>
        <w:tc>
          <w:tcPr>
            <w:tcW w:w="800" w:type="dxa"/>
            <w:vAlign w:val="bottom"/>
            <w:tcBorders>
              <w:top w:val="single" w:sz="8" w:color="CFF0FC"/>
            </w:tcBorders>
          </w:tcPr>
          <w:p>
            <w:pPr>
              <w:spacing w:after="0"/>
              <w:rPr>
                <w:sz w:val="12"/>
                <w:szCs w:val="12"/>
                <w:color w:val="auto"/>
              </w:rPr>
            </w:pPr>
          </w:p>
        </w:tc>
        <w:tc>
          <w:tcPr>
            <w:tcW w:w="180" w:type="dxa"/>
            <w:vAlign w:val="bottom"/>
            <w:tcBorders>
              <w:top w:val="single" w:sz="8" w:color="CFF0FC"/>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c>
          <w:tcPr>
            <w:tcW w:w="180" w:type="dxa"/>
            <w:vAlign w:val="bottom"/>
            <w:tcBorders>
              <w:top w:val="single" w:sz="8" w:color="CFF0FC"/>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c>
          <w:tcPr>
            <w:tcW w:w="140" w:type="dxa"/>
            <w:vAlign w:val="bottom"/>
            <w:tcBorders>
              <w:top w:val="single" w:sz="8" w:color="CFF0FC"/>
            </w:tcBorders>
          </w:tcPr>
          <w:p>
            <w:pPr>
              <w:spacing w:after="0"/>
              <w:rPr>
                <w:sz w:val="12"/>
                <w:szCs w:val="12"/>
                <w:color w:val="auto"/>
              </w:rPr>
            </w:pPr>
          </w:p>
        </w:tc>
        <w:tc>
          <w:tcPr>
            <w:tcW w:w="1120" w:type="dxa"/>
            <w:vAlign w:val="bottom"/>
            <w:tcBorders>
              <w:top w:val="single" w:sz="8" w:color="CFF0FC"/>
            </w:tcBorders>
            <w:gridSpan w:val="3"/>
          </w:tcPr>
          <w:p>
            <w:pPr>
              <w:jc w:val="right"/>
              <w:ind w:right="60"/>
              <w:spacing w:after="0"/>
              <w:rPr>
                <w:sz w:val="20"/>
                <w:szCs w:val="20"/>
                <w:color w:val="auto"/>
              </w:rPr>
            </w:pPr>
            <w:r>
              <w:rPr>
                <w:rFonts w:ascii="Arial" w:cs="Arial" w:eastAsia="Arial" w:hAnsi="Arial"/>
                <w:sz w:val="12"/>
                <w:szCs w:val="12"/>
                <w:color w:val="auto"/>
              </w:rPr>
              <w:t>(192,474)</w:t>
            </w:r>
          </w:p>
        </w:tc>
        <w:tc>
          <w:tcPr>
            <w:tcW w:w="160" w:type="dxa"/>
            <w:vAlign w:val="bottom"/>
            <w:tcBorders>
              <w:top w:val="single" w:sz="8" w:color="CFF0FC"/>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20" w:type="dxa"/>
            <w:vAlign w:val="bottom"/>
            <w:tcBorders>
              <w:top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280" w:type="dxa"/>
            <w:vAlign w:val="bottom"/>
            <w:tcBorders>
              <w:top w:val="single" w:sz="8" w:color="CFF0FC"/>
              <w:bottom w:val="single" w:sz="8" w:color="CFF0FC"/>
            </w:tcBorders>
            <w:gridSpan w:val="3"/>
            <w:shd w:val="clear" w:color="auto" w:fill="CFF0FC"/>
          </w:tcPr>
          <w:p>
            <w:pPr>
              <w:ind w:left="80"/>
              <w:spacing w:after="0"/>
              <w:rPr>
                <w:sz w:val="20"/>
                <w:szCs w:val="20"/>
                <w:color w:val="auto"/>
              </w:rPr>
            </w:pPr>
            <w:r>
              <w:rPr>
                <w:rFonts w:ascii="Arial" w:cs="Arial" w:eastAsia="Arial" w:hAnsi="Arial"/>
                <w:sz w:val="12"/>
                <w:szCs w:val="12"/>
                <w:color w:val="auto"/>
              </w:rPr>
              <w:t>Intangible assets, net</w:t>
            </w:r>
          </w:p>
        </w:tc>
        <w:tc>
          <w:tcPr>
            <w:tcW w:w="700" w:type="dxa"/>
            <w:vAlign w:val="bottom"/>
            <w:tcBorders>
              <w:top w:val="single" w:sz="8" w:color="CFF0FC"/>
              <w:bottom w:val="single" w:sz="8" w:color="CFF0FC"/>
              <w:right w:val="single" w:sz="8" w:color="CFF0FC"/>
            </w:tcBorders>
            <w:shd w:val="clear" w:color="auto" w:fill="CFF0FC"/>
          </w:tcPr>
          <w:p>
            <w:pPr>
              <w:spacing w:after="0"/>
              <w:rPr>
                <w:sz w:val="12"/>
                <w:szCs w:val="12"/>
                <w:color w:val="auto"/>
              </w:rPr>
            </w:pPr>
          </w:p>
        </w:tc>
        <w:tc>
          <w:tcPr>
            <w:tcW w:w="340" w:type="dxa"/>
            <w:vAlign w:val="bottom"/>
            <w:tcBorders>
              <w:top w:val="single" w:sz="8" w:color="CFF0FC"/>
              <w:bottom w:val="single" w:sz="8" w:color="CFF0FC"/>
              <w:right w:val="single" w:sz="8" w:color="CFF0FC"/>
            </w:tcBorders>
            <w:shd w:val="clear" w:color="auto" w:fill="CFF0FC"/>
          </w:tcPr>
          <w:p>
            <w:pPr>
              <w:spacing w:after="0"/>
              <w:rPr>
                <w:sz w:val="12"/>
                <w:szCs w:val="12"/>
                <w:color w:val="auto"/>
              </w:rPr>
            </w:pPr>
          </w:p>
        </w:tc>
        <w:tc>
          <w:tcPr>
            <w:tcW w:w="140" w:type="dxa"/>
            <w:vAlign w:val="bottom"/>
            <w:tcBorders>
              <w:top w:val="single" w:sz="8" w:color="CFF0FC"/>
              <w:bottom w:val="single" w:sz="8" w:color="CFF0FC"/>
              <w:right w:val="single" w:sz="8" w:color="CFF0FC"/>
            </w:tcBorders>
            <w:shd w:val="clear" w:color="auto" w:fill="CFF0FC"/>
          </w:tcPr>
          <w:p>
            <w:pPr>
              <w:spacing w:after="0"/>
              <w:rPr>
                <w:sz w:val="12"/>
                <w:szCs w:val="12"/>
                <w:color w:val="auto"/>
              </w:rPr>
            </w:pPr>
          </w:p>
        </w:tc>
        <w:tc>
          <w:tcPr>
            <w:tcW w:w="800" w:type="dxa"/>
            <w:vAlign w:val="bottom"/>
            <w:tcBorders>
              <w:top w:val="single" w:sz="8" w:color="CFF0FC"/>
              <w:bottom w:val="single" w:sz="8" w:color="CFF0FC"/>
            </w:tcBorders>
            <w:shd w:val="clear" w:color="auto" w:fill="CFF0FC"/>
          </w:tcPr>
          <w:p>
            <w:pPr>
              <w:spacing w:after="0"/>
              <w:rPr>
                <w:sz w:val="12"/>
                <w:szCs w:val="12"/>
                <w:color w:val="auto"/>
              </w:rPr>
            </w:pPr>
          </w:p>
        </w:tc>
        <w:tc>
          <w:tcPr>
            <w:tcW w:w="180" w:type="dxa"/>
            <w:vAlign w:val="bottom"/>
            <w:tcBorders>
              <w:top w:val="single" w:sz="8" w:color="CFF0FC"/>
              <w:bottom w:val="single" w:sz="8" w:color="CFF0FC"/>
            </w:tcBorders>
            <w:shd w:val="clear" w:color="auto" w:fill="CFF0FC"/>
          </w:tcPr>
          <w:p>
            <w:pPr>
              <w:spacing w:after="0"/>
              <w:rPr>
                <w:sz w:val="12"/>
                <w:szCs w:val="12"/>
                <w:color w:val="auto"/>
              </w:rPr>
            </w:pPr>
          </w:p>
        </w:tc>
        <w:tc>
          <w:tcPr>
            <w:tcW w:w="100" w:type="dxa"/>
            <w:vAlign w:val="bottom"/>
            <w:tcBorders>
              <w:top w:val="single" w:sz="8" w:color="CFF0FC"/>
              <w:bottom w:val="single" w:sz="8" w:color="CFF0FC"/>
            </w:tcBorders>
            <w:shd w:val="clear" w:color="auto" w:fill="CFF0FC"/>
          </w:tcPr>
          <w:p>
            <w:pPr>
              <w:spacing w:after="0"/>
              <w:rPr>
                <w:sz w:val="12"/>
                <w:szCs w:val="12"/>
                <w:color w:val="auto"/>
              </w:rPr>
            </w:pPr>
          </w:p>
        </w:tc>
        <w:tc>
          <w:tcPr>
            <w:tcW w:w="180" w:type="dxa"/>
            <w:vAlign w:val="bottom"/>
            <w:tcBorders>
              <w:top w:val="single" w:sz="8" w:color="CFF0FC"/>
              <w:bottom w:val="single" w:sz="8" w:color="CFF0FC"/>
              <w:right w:val="single" w:sz="8" w:color="CFF0FC"/>
            </w:tcBorders>
            <w:shd w:val="clear" w:color="auto" w:fill="CFF0FC"/>
          </w:tcPr>
          <w:p>
            <w:pPr>
              <w:spacing w:after="0"/>
              <w:rPr>
                <w:sz w:val="12"/>
                <w:szCs w:val="12"/>
                <w:color w:val="auto"/>
              </w:rPr>
            </w:pPr>
          </w:p>
        </w:tc>
        <w:tc>
          <w:tcPr>
            <w:tcW w:w="100" w:type="dxa"/>
            <w:vAlign w:val="bottom"/>
            <w:tcBorders>
              <w:top w:val="single" w:sz="8" w:color="CFF0FC"/>
              <w:bottom w:val="single" w:sz="8" w:color="CFF0FC"/>
            </w:tcBorders>
            <w:shd w:val="clear" w:color="auto" w:fill="CFF0FC"/>
          </w:tcPr>
          <w:p>
            <w:pPr>
              <w:spacing w:after="0"/>
              <w:rPr>
                <w:sz w:val="12"/>
                <w:szCs w:val="12"/>
                <w:color w:val="auto"/>
              </w:rPr>
            </w:pPr>
          </w:p>
        </w:tc>
        <w:tc>
          <w:tcPr>
            <w:tcW w:w="140" w:type="dxa"/>
            <w:vAlign w:val="bottom"/>
            <w:tcBorders>
              <w:top w:val="single" w:sz="8" w:color="auto"/>
              <w:left w:val="single" w:sz="8" w:color="CFF0FC"/>
              <w:bottom w:val="single" w:sz="8" w:color="auto"/>
            </w:tcBorders>
            <w:shd w:val="clear" w:color="auto" w:fill="CFF0FC"/>
          </w:tcPr>
          <w:p>
            <w:pPr>
              <w:jc w:val="right"/>
              <w:ind w:right="26"/>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2"/>
                <w:szCs w:val="12"/>
                <w:color w:val="auto"/>
              </w:rPr>
              <w:t>434,443</w:t>
            </w:r>
          </w:p>
        </w:tc>
        <w:tc>
          <w:tcPr>
            <w:tcW w:w="100" w:type="dxa"/>
            <w:vAlign w:val="bottom"/>
            <w:tcBorders>
              <w:top w:val="single" w:sz="8" w:color="CFF0FC"/>
              <w:bottom w:val="single" w:sz="8" w:color="CFF0FC"/>
              <w:right w:val="single" w:sz="8" w:color="CFF0FC"/>
            </w:tcBorders>
            <w:shd w:val="clear" w:color="auto" w:fill="CFF0FC"/>
          </w:tcPr>
          <w:p>
            <w:pPr>
              <w:spacing w:after="0"/>
              <w:rPr>
                <w:sz w:val="12"/>
                <w:szCs w:val="12"/>
                <w:color w:val="auto"/>
              </w:rPr>
            </w:pPr>
          </w:p>
        </w:tc>
        <w:tc>
          <w:tcPr>
            <w:tcW w:w="160" w:type="dxa"/>
            <w:vAlign w:val="bottom"/>
            <w:tcBorders>
              <w:top w:val="single" w:sz="8" w:color="CFF0FC"/>
              <w:bottom w:val="single" w:sz="8" w:color="CFF0FC"/>
              <w:right w:val="single" w:sz="8" w:color="CFF0FC"/>
            </w:tcBorders>
            <w:shd w:val="clear" w:color="auto" w:fill="CFF0FC"/>
          </w:tcPr>
          <w:p>
            <w:pPr>
              <w:spacing w:after="0"/>
              <w:rPr>
                <w:sz w:val="12"/>
                <w:szCs w:val="12"/>
                <w:color w:val="auto"/>
              </w:rPr>
            </w:pPr>
          </w:p>
        </w:tc>
        <w:tc>
          <w:tcPr>
            <w:tcW w:w="160" w:type="dxa"/>
            <w:vAlign w:val="bottom"/>
            <w:tcBorders>
              <w:top w:val="single" w:sz="8" w:color="CFF0FC"/>
              <w:bottom w:val="single" w:sz="8" w:color="CFF0FC"/>
            </w:tcBorders>
            <w:shd w:val="clear" w:color="auto" w:fill="CFF0FC"/>
          </w:tcPr>
          <w:p>
            <w:pPr>
              <w:spacing w:after="0"/>
              <w:rPr>
                <w:sz w:val="12"/>
                <w:szCs w:val="12"/>
                <w:color w:val="auto"/>
              </w:rPr>
            </w:pPr>
          </w:p>
        </w:tc>
        <w:tc>
          <w:tcPr>
            <w:tcW w:w="960" w:type="dxa"/>
            <w:vAlign w:val="bottom"/>
            <w:tcBorders>
              <w:top w:val="single" w:sz="8" w:color="CFF0FC"/>
              <w:bottom w:val="single" w:sz="8" w:color="CFF0FC"/>
            </w:tcBorders>
            <w:shd w:val="clear" w:color="auto" w:fill="CFF0FC"/>
          </w:tcPr>
          <w:p>
            <w:pPr>
              <w:spacing w:after="0"/>
              <w:rPr>
                <w:sz w:val="12"/>
                <w:szCs w:val="12"/>
                <w:color w:val="auto"/>
              </w:rPr>
            </w:pPr>
          </w:p>
        </w:tc>
        <w:tc>
          <w:tcPr>
            <w:tcW w:w="120" w:type="dxa"/>
            <w:vAlign w:val="bottom"/>
            <w:tcBorders>
              <w:top w:val="single" w:sz="8" w:color="CFF0FC"/>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97"/>
        </w:trPr>
        <w:tc>
          <w:tcPr>
            <w:tcW w:w="64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jc w:val="center"/>
              <w:ind w:left="46"/>
              <w:spacing w:after="0"/>
              <w:rPr>
                <w:sz w:val="20"/>
                <w:szCs w:val="20"/>
                <w:color w:val="auto"/>
              </w:rPr>
            </w:pPr>
            <w:r>
              <w:rPr>
                <w:rFonts w:ascii="Arial" w:cs="Arial" w:eastAsia="Arial" w:hAnsi="Arial"/>
                <w:sz w:val="10"/>
                <w:szCs w:val="10"/>
                <w:b w:val="1"/>
                <w:bCs w:val="1"/>
                <w:color w:val="auto"/>
                <w:w w:val="88"/>
              </w:rPr>
              <w:t>Weighted</w:t>
            </w: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gridSpan w:val="2"/>
          </w:tcPr>
          <w:p>
            <w:pPr>
              <w:jc w:val="center"/>
              <w:ind w:left="226"/>
              <w:spacing w:after="0"/>
              <w:rPr>
                <w:sz w:val="20"/>
                <w:szCs w:val="20"/>
                <w:color w:val="auto"/>
              </w:rPr>
            </w:pPr>
            <w:r>
              <w:rPr>
                <w:rFonts w:ascii="Arial" w:cs="Arial" w:eastAsia="Arial" w:hAnsi="Arial"/>
                <w:sz w:val="10"/>
                <w:szCs w:val="10"/>
                <w:b w:val="1"/>
                <w:bCs w:val="1"/>
                <w:color w:val="auto"/>
                <w:w w:val="84"/>
              </w:rPr>
              <w:t>Weighted</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520" w:type="dxa"/>
            <w:vAlign w:val="bottom"/>
            <w:gridSpan w:val="7"/>
          </w:tcPr>
          <w:p>
            <w:pPr>
              <w:jc w:val="center"/>
              <w:ind w:right="220"/>
              <w:spacing w:after="0"/>
              <w:rPr>
                <w:sz w:val="20"/>
                <w:szCs w:val="20"/>
                <w:color w:val="auto"/>
              </w:rPr>
            </w:pPr>
            <w:r>
              <w:rPr>
                <w:rFonts w:ascii="Arial" w:cs="Arial" w:eastAsia="Arial" w:hAnsi="Arial"/>
                <w:sz w:val="10"/>
                <w:szCs w:val="10"/>
                <w:b w:val="1"/>
                <w:bCs w:val="1"/>
                <w:color w:val="auto"/>
                <w:w w:val="87"/>
              </w:rPr>
              <w:t>At December 31, 2018</w:t>
            </w:r>
          </w:p>
        </w:tc>
        <w:tc>
          <w:tcPr>
            <w:tcW w:w="0" w:type="dxa"/>
            <w:vAlign w:val="bottom"/>
          </w:tcPr>
          <w:p>
            <w:pPr>
              <w:spacing w:after="0"/>
              <w:rPr>
                <w:sz w:val="1"/>
                <w:szCs w:val="1"/>
                <w:color w:val="auto"/>
              </w:rPr>
            </w:pPr>
          </w:p>
        </w:tc>
      </w:tr>
      <w:tr>
        <w:trPr>
          <w:trHeight w:val="92"/>
        </w:trPr>
        <w:tc>
          <w:tcPr>
            <w:tcW w:w="640" w:type="dxa"/>
            <w:vAlign w:val="bottom"/>
          </w:tcPr>
          <w:p>
            <w:pPr>
              <w:spacing w:after="0"/>
              <w:rPr>
                <w:sz w:val="7"/>
                <w:szCs w:val="7"/>
                <w:color w:val="auto"/>
              </w:rPr>
            </w:pPr>
          </w:p>
        </w:tc>
        <w:tc>
          <w:tcPr>
            <w:tcW w:w="5420" w:type="dxa"/>
            <w:vAlign w:val="bottom"/>
          </w:tcPr>
          <w:p>
            <w:pPr>
              <w:spacing w:after="0"/>
              <w:rPr>
                <w:sz w:val="7"/>
                <w:szCs w:val="7"/>
                <w:color w:val="auto"/>
              </w:rPr>
            </w:pPr>
          </w:p>
        </w:tc>
        <w:tc>
          <w:tcPr>
            <w:tcW w:w="220" w:type="dxa"/>
            <w:vAlign w:val="bottom"/>
          </w:tcPr>
          <w:p>
            <w:pPr>
              <w:spacing w:after="0"/>
              <w:rPr>
                <w:sz w:val="7"/>
                <w:szCs w:val="7"/>
                <w:color w:val="auto"/>
              </w:rPr>
            </w:pPr>
          </w:p>
        </w:tc>
        <w:tc>
          <w:tcPr>
            <w:tcW w:w="700" w:type="dxa"/>
            <w:vAlign w:val="bottom"/>
          </w:tcPr>
          <w:p>
            <w:pPr>
              <w:jc w:val="center"/>
              <w:ind w:left="66"/>
              <w:spacing w:after="0" w:line="92" w:lineRule="exact"/>
              <w:rPr>
                <w:sz w:val="20"/>
                <w:szCs w:val="20"/>
                <w:color w:val="auto"/>
              </w:rPr>
            </w:pPr>
            <w:r>
              <w:rPr>
                <w:rFonts w:ascii="Arial" w:cs="Arial" w:eastAsia="Arial" w:hAnsi="Arial"/>
                <w:sz w:val="10"/>
                <w:szCs w:val="10"/>
                <w:b w:val="1"/>
                <w:bCs w:val="1"/>
                <w:color w:val="auto"/>
                <w:w w:val="86"/>
              </w:rPr>
              <w:t>Average</w:t>
            </w: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980" w:type="dxa"/>
            <w:vAlign w:val="bottom"/>
            <w:gridSpan w:val="2"/>
          </w:tcPr>
          <w:p>
            <w:pPr>
              <w:jc w:val="center"/>
              <w:ind w:left="226"/>
              <w:spacing w:after="0" w:line="92" w:lineRule="exact"/>
              <w:rPr>
                <w:sz w:val="20"/>
                <w:szCs w:val="20"/>
                <w:color w:val="auto"/>
              </w:rPr>
            </w:pPr>
            <w:r>
              <w:rPr>
                <w:rFonts w:ascii="Arial" w:cs="Arial" w:eastAsia="Arial" w:hAnsi="Arial"/>
                <w:sz w:val="10"/>
                <w:szCs w:val="10"/>
                <w:b w:val="1"/>
                <w:bCs w:val="1"/>
                <w:color w:val="auto"/>
                <w:w w:val="86"/>
              </w:rPr>
              <w:t>Average</w:t>
            </w: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1120" w:type="dxa"/>
            <w:vAlign w:val="bottom"/>
            <w:tcBorders>
              <w:top w:val="single" w:sz="8" w:color="auto"/>
            </w:tcBorders>
            <w:gridSpan w:val="3"/>
          </w:tcPr>
          <w:p>
            <w:pPr>
              <w:jc w:val="center"/>
              <w:ind w:right="200"/>
              <w:spacing w:after="0" w:line="92" w:lineRule="exact"/>
              <w:rPr>
                <w:sz w:val="20"/>
                <w:szCs w:val="20"/>
                <w:color w:val="auto"/>
              </w:rPr>
            </w:pPr>
            <w:r>
              <w:rPr>
                <w:rFonts w:ascii="Arial" w:cs="Arial" w:eastAsia="Arial" w:hAnsi="Arial"/>
                <w:sz w:val="10"/>
                <w:szCs w:val="10"/>
                <w:b w:val="1"/>
                <w:bCs w:val="1"/>
                <w:color w:val="auto"/>
                <w:w w:val="82"/>
              </w:rPr>
              <w:t>Gross</w:t>
            </w:r>
          </w:p>
        </w:tc>
        <w:tc>
          <w:tcPr>
            <w:tcW w:w="160" w:type="dxa"/>
            <w:vAlign w:val="bottom"/>
            <w:tcBorders>
              <w:top w:val="single" w:sz="8" w:color="auto"/>
            </w:tcBorders>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96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640" w:type="dxa"/>
            <w:vAlign w:val="bottom"/>
          </w:tcPr>
          <w:p>
            <w:pPr>
              <w:spacing w:after="0"/>
              <w:rPr>
                <w:sz w:val="9"/>
                <w:szCs w:val="9"/>
                <w:color w:val="auto"/>
              </w:rPr>
            </w:pPr>
          </w:p>
        </w:tc>
        <w:tc>
          <w:tcPr>
            <w:tcW w:w="5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jc w:val="center"/>
              <w:ind w:left="46"/>
              <w:spacing w:after="0" w:line="108" w:lineRule="exact"/>
              <w:rPr>
                <w:sz w:val="20"/>
                <w:szCs w:val="20"/>
                <w:color w:val="auto"/>
              </w:rPr>
            </w:pPr>
            <w:r>
              <w:rPr>
                <w:rFonts w:ascii="Arial" w:cs="Arial" w:eastAsia="Arial" w:hAnsi="Arial"/>
                <w:sz w:val="10"/>
                <w:szCs w:val="10"/>
                <w:b w:val="1"/>
                <w:bCs w:val="1"/>
                <w:color w:val="auto"/>
                <w:w w:val="85"/>
              </w:rPr>
              <w:t>Remaining</w:t>
            </w: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gridSpan w:val="2"/>
          </w:tcPr>
          <w:p>
            <w:pPr>
              <w:jc w:val="center"/>
              <w:ind w:left="226"/>
              <w:spacing w:after="0" w:line="108" w:lineRule="exact"/>
              <w:rPr>
                <w:sz w:val="20"/>
                <w:szCs w:val="20"/>
                <w:color w:val="auto"/>
              </w:rPr>
            </w:pPr>
            <w:r>
              <w:rPr>
                <w:rFonts w:ascii="Arial" w:cs="Arial" w:eastAsia="Arial" w:hAnsi="Arial"/>
                <w:sz w:val="10"/>
                <w:szCs w:val="10"/>
                <w:b w:val="1"/>
                <w:bCs w:val="1"/>
                <w:color w:val="auto"/>
                <w:w w:val="88"/>
              </w:rPr>
              <w:t>Amortization</w:t>
            </w: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20" w:type="dxa"/>
            <w:vAlign w:val="bottom"/>
            <w:gridSpan w:val="3"/>
          </w:tcPr>
          <w:p>
            <w:pPr>
              <w:jc w:val="center"/>
              <w:ind w:right="180"/>
              <w:spacing w:after="0" w:line="108" w:lineRule="exact"/>
              <w:rPr>
                <w:sz w:val="20"/>
                <w:szCs w:val="20"/>
                <w:color w:val="auto"/>
              </w:rPr>
            </w:pPr>
            <w:r>
              <w:rPr>
                <w:rFonts w:ascii="Arial" w:cs="Arial" w:eastAsia="Arial" w:hAnsi="Arial"/>
                <w:sz w:val="10"/>
                <w:szCs w:val="10"/>
                <w:b w:val="1"/>
                <w:bCs w:val="1"/>
                <w:color w:val="auto"/>
                <w:w w:val="92"/>
              </w:rPr>
              <w:t>Carrying</w:t>
            </w: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gridSpan w:val="2"/>
          </w:tcPr>
          <w:p>
            <w:pPr>
              <w:ind w:left="120"/>
              <w:spacing w:after="0" w:line="108" w:lineRule="exact"/>
              <w:rPr>
                <w:sz w:val="20"/>
                <w:szCs w:val="20"/>
                <w:color w:val="auto"/>
              </w:rPr>
            </w:pPr>
            <w:r>
              <w:rPr>
                <w:rFonts w:ascii="Arial" w:cs="Arial" w:eastAsia="Arial" w:hAnsi="Arial"/>
                <w:sz w:val="10"/>
                <w:szCs w:val="10"/>
                <w:b w:val="1"/>
                <w:bCs w:val="1"/>
                <w:color w:val="auto"/>
              </w:rPr>
              <w:t>Accumulated</w:t>
            </w:r>
          </w:p>
        </w:tc>
        <w:tc>
          <w:tcPr>
            <w:tcW w:w="0" w:type="dxa"/>
            <w:vAlign w:val="bottom"/>
          </w:tcPr>
          <w:p>
            <w:pPr>
              <w:spacing w:after="0"/>
              <w:rPr>
                <w:sz w:val="1"/>
                <w:szCs w:val="1"/>
                <w:color w:val="auto"/>
              </w:rPr>
            </w:pPr>
          </w:p>
        </w:tc>
      </w:tr>
      <w:tr>
        <w:trPr>
          <w:trHeight w:val="105"/>
        </w:trPr>
        <w:tc>
          <w:tcPr>
            <w:tcW w:w="6280" w:type="dxa"/>
            <w:vAlign w:val="bottom"/>
            <w:gridSpan w:val="3"/>
          </w:tcPr>
          <w:p>
            <w:pPr>
              <w:spacing w:after="0" w:line="105" w:lineRule="exact"/>
              <w:rPr>
                <w:sz w:val="20"/>
                <w:szCs w:val="20"/>
                <w:color w:val="auto"/>
              </w:rPr>
            </w:pPr>
            <w:r>
              <w:rPr>
                <w:rFonts w:ascii="Arial" w:cs="Arial" w:eastAsia="Arial" w:hAnsi="Arial"/>
                <w:sz w:val="10"/>
                <w:szCs w:val="10"/>
                <w:b w:val="1"/>
                <w:bCs w:val="1"/>
                <w:u w:val="single" w:color="auto"/>
                <w:color w:val="auto"/>
              </w:rPr>
              <w:t>(</w:t>
            </w:r>
            <w:r>
              <w:rPr>
                <w:rFonts w:ascii="Arial" w:cs="Arial" w:eastAsia="Arial" w:hAnsi="Arial"/>
                <w:sz w:val="10"/>
                <w:szCs w:val="10"/>
                <w:b w:val="1"/>
                <w:bCs w:val="1"/>
                <w:color w:val="auto"/>
              </w:rPr>
              <w:t>$ in thousands)</w:t>
            </w:r>
          </w:p>
        </w:tc>
        <w:tc>
          <w:tcPr>
            <w:tcW w:w="700" w:type="dxa"/>
            <w:vAlign w:val="bottom"/>
          </w:tcPr>
          <w:p>
            <w:pPr>
              <w:jc w:val="center"/>
              <w:ind w:left="46"/>
              <w:spacing w:after="0" w:line="105" w:lineRule="exact"/>
              <w:rPr>
                <w:sz w:val="20"/>
                <w:szCs w:val="20"/>
                <w:color w:val="auto"/>
              </w:rPr>
            </w:pPr>
            <w:r>
              <w:rPr>
                <w:rFonts w:ascii="Arial" w:cs="Arial" w:eastAsia="Arial" w:hAnsi="Arial"/>
                <w:sz w:val="10"/>
                <w:szCs w:val="10"/>
                <w:b w:val="1"/>
                <w:bCs w:val="1"/>
                <w:color w:val="auto"/>
                <w:w w:val="85"/>
              </w:rPr>
              <w:t>Useful Life</w:t>
            </w: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gridSpan w:val="2"/>
          </w:tcPr>
          <w:p>
            <w:pPr>
              <w:jc w:val="center"/>
              <w:ind w:left="226"/>
              <w:spacing w:after="0" w:line="105" w:lineRule="exact"/>
              <w:rPr>
                <w:sz w:val="20"/>
                <w:szCs w:val="20"/>
                <w:color w:val="auto"/>
              </w:rPr>
            </w:pPr>
            <w:r>
              <w:rPr>
                <w:rFonts w:ascii="Arial" w:cs="Arial" w:eastAsia="Arial" w:hAnsi="Arial"/>
                <w:sz w:val="10"/>
                <w:szCs w:val="10"/>
                <w:b w:val="1"/>
                <w:bCs w:val="1"/>
                <w:color w:val="auto"/>
                <w:w w:val="83"/>
              </w:rPr>
              <w:t>Period</w:t>
            </w: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20" w:type="dxa"/>
            <w:vAlign w:val="bottom"/>
            <w:gridSpan w:val="3"/>
          </w:tcPr>
          <w:p>
            <w:pPr>
              <w:jc w:val="center"/>
              <w:ind w:right="180"/>
              <w:spacing w:after="0" w:line="105" w:lineRule="exact"/>
              <w:rPr>
                <w:sz w:val="20"/>
                <w:szCs w:val="20"/>
                <w:color w:val="auto"/>
              </w:rPr>
            </w:pPr>
            <w:r>
              <w:rPr>
                <w:rFonts w:ascii="Arial" w:cs="Arial" w:eastAsia="Arial" w:hAnsi="Arial"/>
                <w:sz w:val="10"/>
                <w:szCs w:val="10"/>
                <w:b w:val="1"/>
                <w:bCs w:val="1"/>
                <w:color w:val="auto"/>
                <w:w w:val="89"/>
              </w:rPr>
              <w:t>Amount</w:t>
            </w: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gridSpan w:val="2"/>
          </w:tcPr>
          <w:p>
            <w:pPr>
              <w:ind w:left="120"/>
              <w:spacing w:after="0" w:line="105" w:lineRule="exact"/>
              <w:rPr>
                <w:sz w:val="20"/>
                <w:szCs w:val="20"/>
                <w:color w:val="auto"/>
              </w:rPr>
            </w:pPr>
            <w:r>
              <w:rPr>
                <w:rFonts w:ascii="Arial" w:cs="Arial" w:eastAsia="Arial" w:hAnsi="Arial"/>
                <w:sz w:val="10"/>
                <w:szCs w:val="10"/>
                <w:b w:val="1"/>
                <w:bCs w:val="1"/>
                <w:color w:val="auto"/>
              </w:rPr>
              <w:t>Amortization</w:t>
            </w:r>
          </w:p>
        </w:tc>
        <w:tc>
          <w:tcPr>
            <w:tcW w:w="0" w:type="dxa"/>
            <w:vAlign w:val="bottom"/>
          </w:tcPr>
          <w:p>
            <w:pPr>
              <w:spacing w:after="0"/>
              <w:rPr>
                <w:sz w:val="1"/>
                <w:szCs w:val="1"/>
                <w:color w:val="auto"/>
              </w:rPr>
            </w:pPr>
          </w:p>
        </w:tc>
      </w:tr>
      <w:tr>
        <w:trPr>
          <w:trHeight w:val="20"/>
        </w:trPr>
        <w:tc>
          <w:tcPr>
            <w:tcW w:w="640" w:type="dxa"/>
            <w:vAlign w:val="bottom"/>
            <w:tcBorders>
              <w:top w:val="single" w:sz="8" w:color="auto"/>
              <w:right w:val="single" w:sz="8" w:color="CFF0FC"/>
            </w:tcBorders>
            <w:vMerge w:val="restart"/>
            <w:shd w:val="clear" w:color="auto" w:fill="CFF0FC"/>
          </w:tcPr>
          <w:p>
            <w:pPr>
              <w:spacing w:after="0"/>
              <w:rPr>
                <w:sz w:val="20"/>
                <w:szCs w:val="20"/>
                <w:color w:val="auto"/>
              </w:rPr>
            </w:pPr>
            <w:r>
              <w:rPr>
                <w:rFonts w:ascii="Arial" w:cs="Arial" w:eastAsia="Arial" w:hAnsi="Arial"/>
                <w:sz w:val="12"/>
                <w:szCs w:val="12"/>
                <w:color w:val="auto"/>
                <w:w w:val="93"/>
              </w:rPr>
              <w:t>Trademarks</w:t>
            </w:r>
          </w:p>
        </w:tc>
        <w:tc>
          <w:tcPr>
            <w:tcW w:w="5420" w:type="dxa"/>
            <w:vAlign w:val="bottom"/>
            <w:tcBorders>
              <w:right w:val="single" w:sz="8" w:color="CFF0FC"/>
            </w:tcBorders>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tcBorders>
              <w:right w:val="single" w:sz="8" w:color="auto"/>
            </w:tcBorders>
            <w:shd w:val="clear" w:color="auto" w:fill="000000"/>
          </w:tcPr>
          <w:p>
            <w:pPr>
              <w:spacing w:after="0" w:line="20" w:lineRule="exact"/>
              <w:rPr>
                <w:sz w:val="1"/>
                <w:szCs w:val="1"/>
                <w:color w:val="auto"/>
              </w:rPr>
            </w:pPr>
          </w:p>
        </w:tc>
        <w:tc>
          <w:tcPr>
            <w:tcW w:w="34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Borders>
              <w:right w:val="single" w:sz="8" w:color="CFF0FC"/>
            </w:tcBorders>
            <w:shd w:val="clear" w:color="auto" w:fill="CFF0FC"/>
          </w:tcPr>
          <w:p>
            <w:pPr>
              <w:spacing w:after="0" w:line="20" w:lineRule="exact"/>
              <w:rPr>
                <w:sz w:val="1"/>
                <w:szCs w:val="1"/>
                <w:color w:val="auto"/>
              </w:rPr>
            </w:pPr>
          </w:p>
        </w:tc>
        <w:tc>
          <w:tcPr>
            <w:tcW w:w="98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tcBorders>
              <w:left w:val="single" w:sz="8" w:color="CFF0FC"/>
            </w:tcBorders>
            <w:shd w:val="clear" w:color="auto" w:fill="000000"/>
          </w:tcPr>
          <w:p>
            <w:pPr>
              <w:spacing w:after="0" w:line="20" w:lineRule="exact"/>
              <w:rPr>
                <w:sz w:val="1"/>
                <w:szCs w:val="1"/>
                <w:color w:val="auto"/>
              </w:rPr>
            </w:pPr>
          </w:p>
        </w:tc>
        <w:tc>
          <w:tcPr>
            <w:tcW w:w="1020" w:type="dxa"/>
            <w:vAlign w:val="bottom"/>
            <w:gridSpan w:val="2"/>
            <w:shd w:val="clear" w:color="auto" w:fill="000000"/>
          </w:tcPr>
          <w:p>
            <w:pPr>
              <w:spacing w:after="0" w:line="20" w:lineRule="exact"/>
              <w:rPr>
                <w:sz w:val="1"/>
                <w:szCs w:val="1"/>
                <w:color w:val="auto"/>
              </w:rPr>
            </w:pPr>
          </w:p>
        </w:tc>
        <w:tc>
          <w:tcPr>
            <w:tcW w:w="100" w:type="dxa"/>
            <w:vAlign w:val="bottom"/>
            <w:tcBorders>
              <w:right w:val="single" w:sz="8" w:color="CFF0FC"/>
            </w:tcBorders>
            <w:shd w:val="clear" w:color="auto" w:fill="CFF0FC"/>
          </w:tcPr>
          <w:p>
            <w:pPr>
              <w:spacing w:after="0" w:line="20" w:lineRule="exact"/>
              <w:rPr>
                <w:sz w:val="1"/>
                <w:szCs w:val="1"/>
                <w:color w:val="auto"/>
              </w:rPr>
            </w:pPr>
          </w:p>
        </w:tc>
        <w:tc>
          <w:tcPr>
            <w:tcW w:w="160" w:type="dxa"/>
            <w:vAlign w:val="bottom"/>
            <w:tcBorders>
              <w:right w:val="single" w:sz="8" w:color="CFF0FC"/>
            </w:tcBorders>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640" w:type="dxa"/>
            <w:vAlign w:val="bottom"/>
            <w:tcBorders>
              <w:right w:val="single" w:sz="8" w:color="CFF0FC"/>
            </w:tcBorders>
            <w:vMerge w:val="continue"/>
            <w:shd w:val="clear" w:color="auto" w:fill="CFF0FC"/>
          </w:tcPr>
          <w:p>
            <w:pPr>
              <w:spacing w:after="0"/>
              <w:rPr>
                <w:sz w:val="11"/>
                <w:szCs w:val="11"/>
                <w:color w:val="auto"/>
              </w:rPr>
            </w:pPr>
          </w:p>
        </w:tc>
        <w:tc>
          <w:tcPr>
            <w:tcW w:w="5420" w:type="dxa"/>
            <w:vAlign w:val="bottom"/>
            <w:tcBorders>
              <w:right w:val="single" w:sz="8" w:color="CFF0FC"/>
            </w:tcBorders>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00" w:type="dxa"/>
            <w:vAlign w:val="bottom"/>
            <w:tcBorders>
              <w:right w:val="single" w:sz="8" w:color="CFF0FC"/>
            </w:tcBorders>
            <w:shd w:val="clear" w:color="auto" w:fill="CFF0FC"/>
          </w:tcPr>
          <w:p>
            <w:pPr>
              <w:jc w:val="center"/>
              <w:ind w:left="46"/>
              <w:spacing w:after="0" w:line="132" w:lineRule="exact"/>
              <w:rPr>
                <w:sz w:val="20"/>
                <w:szCs w:val="20"/>
                <w:color w:val="auto"/>
              </w:rPr>
            </w:pPr>
            <w:r>
              <w:rPr>
                <w:rFonts w:ascii="Arial" w:cs="Arial" w:eastAsia="Arial" w:hAnsi="Arial"/>
                <w:sz w:val="12"/>
                <w:szCs w:val="12"/>
                <w:color w:val="auto"/>
                <w:w w:val="89"/>
              </w:rPr>
              <w:t>2.7 years</w:t>
            </w:r>
          </w:p>
        </w:tc>
        <w:tc>
          <w:tcPr>
            <w:tcW w:w="340" w:type="dxa"/>
            <w:vAlign w:val="bottom"/>
            <w:tcBorders>
              <w:right w:val="single" w:sz="8" w:color="CFF0FC"/>
            </w:tcBorders>
            <w:shd w:val="clear" w:color="auto" w:fill="CFF0FC"/>
          </w:tcPr>
          <w:p>
            <w:pPr>
              <w:spacing w:after="0"/>
              <w:rPr>
                <w:sz w:val="11"/>
                <w:szCs w:val="11"/>
                <w:color w:val="auto"/>
              </w:rPr>
            </w:pPr>
          </w:p>
        </w:tc>
        <w:tc>
          <w:tcPr>
            <w:tcW w:w="140" w:type="dxa"/>
            <w:vAlign w:val="bottom"/>
            <w:tcBorders>
              <w:right w:val="single" w:sz="8" w:color="CFF0FC"/>
            </w:tcBorders>
            <w:shd w:val="clear" w:color="auto" w:fill="CFF0FC"/>
          </w:tcPr>
          <w:p>
            <w:pPr>
              <w:spacing w:after="0"/>
              <w:rPr>
                <w:sz w:val="11"/>
                <w:szCs w:val="11"/>
                <w:color w:val="auto"/>
              </w:rPr>
            </w:pPr>
          </w:p>
        </w:tc>
        <w:tc>
          <w:tcPr>
            <w:tcW w:w="980" w:type="dxa"/>
            <w:vAlign w:val="bottom"/>
            <w:gridSpan w:val="2"/>
            <w:shd w:val="clear" w:color="auto" w:fill="CFF0FC"/>
          </w:tcPr>
          <w:p>
            <w:pPr>
              <w:jc w:val="center"/>
              <w:ind w:left="226"/>
              <w:spacing w:after="0" w:line="132" w:lineRule="exact"/>
              <w:rPr>
                <w:sz w:val="20"/>
                <w:szCs w:val="20"/>
                <w:color w:val="auto"/>
              </w:rPr>
            </w:pPr>
            <w:r>
              <w:rPr>
                <w:rFonts w:ascii="Arial" w:cs="Arial" w:eastAsia="Arial" w:hAnsi="Arial"/>
                <w:sz w:val="12"/>
                <w:szCs w:val="12"/>
                <w:color w:val="auto"/>
                <w:w w:val="84"/>
              </w:rPr>
              <w:t>3.7 years</w:t>
            </w:r>
          </w:p>
        </w:tc>
        <w:tc>
          <w:tcPr>
            <w:tcW w:w="100" w:type="dxa"/>
            <w:vAlign w:val="bottom"/>
            <w:shd w:val="clear" w:color="auto" w:fill="CFF0FC"/>
          </w:tcPr>
          <w:p>
            <w:pPr>
              <w:spacing w:after="0"/>
              <w:rPr>
                <w:sz w:val="11"/>
                <w:szCs w:val="11"/>
                <w:color w:val="auto"/>
              </w:rPr>
            </w:pPr>
          </w:p>
        </w:tc>
        <w:tc>
          <w:tcPr>
            <w:tcW w:w="180" w:type="dxa"/>
            <w:vAlign w:val="bottom"/>
            <w:tcBorders>
              <w:right w:val="single" w:sz="8" w:color="CFF0FC"/>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40" w:type="dxa"/>
            <w:vAlign w:val="bottom"/>
            <w:tcBorders>
              <w:left w:val="single" w:sz="8" w:color="CFF0FC"/>
            </w:tcBorders>
            <w:shd w:val="clear" w:color="auto" w:fill="CFF0FC"/>
          </w:tcPr>
          <w:p>
            <w:pPr>
              <w:jc w:val="right"/>
              <w:spacing w:after="0" w:line="132" w:lineRule="exact"/>
              <w:rPr>
                <w:sz w:val="20"/>
                <w:szCs w:val="20"/>
                <w:color w:val="auto"/>
              </w:rPr>
            </w:pPr>
            <w:r>
              <w:rPr>
                <w:rFonts w:ascii="Arial" w:cs="Arial" w:eastAsia="Arial" w:hAnsi="Arial"/>
                <w:sz w:val="12"/>
                <w:szCs w:val="12"/>
                <w:color w:val="auto"/>
              </w:rPr>
              <w:t>$</w:t>
            </w:r>
          </w:p>
        </w:tc>
        <w:tc>
          <w:tcPr>
            <w:tcW w:w="1020" w:type="dxa"/>
            <w:vAlign w:val="bottom"/>
            <w:gridSpan w:val="2"/>
            <w:shd w:val="clear" w:color="auto" w:fill="CFF0FC"/>
          </w:tcPr>
          <w:p>
            <w:pPr>
              <w:jc w:val="right"/>
              <w:spacing w:after="0" w:line="132" w:lineRule="exact"/>
              <w:rPr>
                <w:sz w:val="20"/>
                <w:szCs w:val="20"/>
                <w:color w:val="auto"/>
              </w:rPr>
            </w:pPr>
            <w:r>
              <w:rPr>
                <w:rFonts w:ascii="Arial" w:cs="Arial" w:eastAsia="Arial" w:hAnsi="Arial"/>
                <w:sz w:val="12"/>
                <w:szCs w:val="12"/>
                <w:color w:val="auto"/>
              </w:rPr>
              <w:t>31,302</w:t>
            </w:r>
          </w:p>
        </w:tc>
        <w:tc>
          <w:tcPr>
            <w:tcW w:w="100" w:type="dxa"/>
            <w:vAlign w:val="bottom"/>
            <w:tcBorders>
              <w:right w:val="single" w:sz="8" w:color="CFF0FC"/>
            </w:tcBorders>
            <w:shd w:val="clear" w:color="auto" w:fill="CFF0FC"/>
          </w:tcPr>
          <w:p>
            <w:pPr>
              <w:spacing w:after="0"/>
              <w:rPr>
                <w:sz w:val="11"/>
                <w:szCs w:val="11"/>
                <w:color w:val="auto"/>
              </w:rPr>
            </w:pPr>
          </w:p>
        </w:tc>
        <w:tc>
          <w:tcPr>
            <w:tcW w:w="320" w:type="dxa"/>
            <w:vAlign w:val="bottom"/>
            <w:gridSpan w:val="2"/>
            <w:shd w:val="clear" w:color="auto" w:fill="CFF0FC"/>
          </w:tcPr>
          <w:p>
            <w:pPr>
              <w:jc w:val="right"/>
              <w:ind w:right="100"/>
              <w:spacing w:after="0" w:line="132" w:lineRule="exact"/>
              <w:rPr>
                <w:sz w:val="20"/>
                <w:szCs w:val="20"/>
                <w:color w:val="auto"/>
              </w:rPr>
            </w:pPr>
            <w:r>
              <w:rPr>
                <w:rFonts w:ascii="Arial" w:cs="Arial" w:eastAsia="Arial" w:hAnsi="Arial"/>
                <w:sz w:val="12"/>
                <w:szCs w:val="12"/>
                <w:color w:val="auto"/>
              </w:rPr>
              <w:t>$</w:t>
            </w:r>
          </w:p>
        </w:tc>
        <w:tc>
          <w:tcPr>
            <w:tcW w:w="960" w:type="dxa"/>
            <w:vAlign w:val="bottom"/>
            <w:shd w:val="clear" w:color="auto" w:fill="CFF0FC"/>
          </w:tcPr>
          <w:p>
            <w:pPr>
              <w:jc w:val="right"/>
              <w:spacing w:after="0" w:line="132" w:lineRule="exact"/>
              <w:rPr>
                <w:sz w:val="20"/>
                <w:szCs w:val="20"/>
                <w:color w:val="auto"/>
              </w:rPr>
            </w:pPr>
            <w:r>
              <w:rPr>
                <w:rFonts w:ascii="Arial" w:cs="Arial" w:eastAsia="Arial" w:hAnsi="Arial"/>
                <w:sz w:val="12"/>
                <w:szCs w:val="12"/>
                <w:color w:val="auto"/>
              </w:rPr>
              <w:t>8,902</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6280" w:type="dxa"/>
            <w:vAlign w:val="bottom"/>
            <w:gridSpan w:val="3"/>
          </w:tcPr>
          <w:p>
            <w:pPr>
              <w:spacing w:after="0"/>
              <w:rPr>
                <w:sz w:val="20"/>
                <w:szCs w:val="20"/>
                <w:color w:val="auto"/>
              </w:rPr>
            </w:pPr>
            <w:r>
              <w:rPr>
                <w:rFonts w:ascii="Arial" w:cs="Arial" w:eastAsia="Arial" w:hAnsi="Arial"/>
                <w:sz w:val="12"/>
                <w:szCs w:val="12"/>
                <w:color w:val="auto"/>
              </w:rPr>
              <w:t>Non-compete agreements</w:t>
            </w:r>
          </w:p>
        </w:tc>
        <w:tc>
          <w:tcPr>
            <w:tcW w:w="700" w:type="dxa"/>
            <w:vAlign w:val="bottom"/>
          </w:tcPr>
          <w:p>
            <w:pPr>
              <w:jc w:val="center"/>
              <w:ind w:left="46"/>
              <w:spacing w:after="0"/>
              <w:rPr>
                <w:sz w:val="20"/>
                <w:szCs w:val="20"/>
                <w:color w:val="auto"/>
              </w:rPr>
            </w:pPr>
            <w:r>
              <w:rPr>
                <w:rFonts w:ascii="Arial" w:cs="Arial" w:eastAsia="Arial" w:hAnsi="Arial"/>
                <w:sz w:val="12"/>
                <w:szCs w:val="12"/>
                <w:color w:val="auto"/>
                <w:w w:val="89"/>
              </w:rPr>
              <w:t>4.0 years</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tcPr>
          <w:p>
            <w:pPr>
              <w:jc w:val="center"/>
              <w:ind w:left="226"/>
              <w:spacing w:after="0"/>
              <w:rPr>
                <w:sz w:val="20"/>
                <w:szCs w:val="20"/>
                <w:color w:val="auto"/>
              </w:rPr>
            </w:pPr>
            <w:r>
              <w:rPr>
                <w:rFonts w:ascii="Arial" w:cs="Arial" w:eastAsia="Arial" w:hAnsi="Arial"/>
                <w:sz w:val="12"/>
                <w:szCs w:val="12"/>
                <w:color w:val="auto"/>
                <w:w w:val="84"/>
              </w:rPr>
              <w:t>5.0 years</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gridSpan w:val="2"/>
          </w:tcPr>
          <w:p>
            <w:pPr>
              <w:jc w:val="right"/>
              <w:spacing w:after="0"/>
              <w:rPr>
                <w:sz w:val="20"/>
                <w:szCs w:val="20"/>
                <w:color w:val="auto"/>
              </w:rPr>
            </w:pPr>
            <w:r>
              <w:rPr>
                <w:rFonts w:ascii="Arial" w:cs="Arial" w:eastAsia="Arial" w:hAnsi="Arial"/>
                <w:sz w:val="12"/>
                <w:szCs w:val="12"/>
                <w:color w:val="auto"/>
              </w:rPr>
              <w:t>62,100</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12,390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280" w:type="dxa"/>
            <w:vAlign w:val="bottom"/>
            <w:gridSpan w:val="3"/>
            <w:shd w:val="clear" w:color="auto" w:fill="CFF0FC"/>
          </w:tcPr>
          <w:p>
            <w:pPr>
              <w:spacing w:after="0"/>
              <w:rPr>
                <w:sz w:val="20"/>
                <w:szCs w:val="20"/>
                <w:color w:val="auto"/>
              </w:rPr>
            </w:pPr>
            <w:r>
              <w:rPr>
                <w:rFonts w:ascii="Arial" w:cs="Arial" w:eastAsia="Arial" w:hAnsi="Arial"/>
                <w:sz w:val="12"/>
                <w:szCs w:val="12"/>
                <w:color w:val="auto"/>
              </w:rPr>
              <w:t>Customer relationships</w:t>
            </w:r>
          </w:p>
        </w:tc>
        <w:tc>
          <w:tcPr>
            <w:tcW w:w="700" w:type="dxa"/>
            <w:vAlign w:val="bottom"/>
            <w:tcBorders>
              <w:right w:val="single" w:sz="8" w:color="CFF0FC"/>
            </w:tcBorders>
            <w:shd w:val="clear" w:color="auto" w:fill="CFF0FC"/>
          </w:tcPr>
          <w:p>
            <w:pPr>
              <w:jc w:val="center"/>
              <w:ind w:left="46"/>
              <w:spacing w:after="0"/>
              <w:rPr>
                <w:sz w:val="20"/>
                <w:szCs w:val="20"/>
                <w:color w:val="auto"/>
              </w:rPr>
            </w:pPr>
            <w:r>
              <w:rPr>
                <w:rFonts w:ascii="Arial" w:cs="Arial" w:eastAsia="Arial" w:hAnsi="Arial"/>
                <w:sz w:val="12"/>
                <w:szCs w:val="12"/>
                <w:color w:val="auto"/>
                <w:w w:val="89"/>
              </w:rPr>
              <w:t>7.9 years</w:t>
            </w:r>
          </w:p>
        </w:tc>
        <w:tc>
          <w:tcPr>
            <w:tcW w:w="340" w:type="dxa"/>
            <w:vAlign w:val="bottom"/>
            <w:tcBorders>
              <w:right w:val="single" w:sz="8" w:color="CFF0FC"/>
            </w:tcBorders>
            <w:shd w:val="clear" w:color="auto" w:fill="CFF0FC"/>
          </w:tcPr>
          <w:p>
            <w:pPr>
              <w:spacing w:after="0"/>
              <w:rPr>
                <w:sz w:val="13"/>
                <w:szCs w:val="13"/>
                <w:color w:val="auto"/>
              </w:rPr>
            </w:pPr>
          </w:p>
        </w:tc>
        <w:tc>
          <w:tcPr>
            <w:tcW w:w="140" w:type="dxa"/>
            <w:vAlign w:val="bottom"/>
            <w:tcBorders>
              <w:right w:val="single" w:sz="8" w:color="CFF0FC"/>
            </w:tcBorders>
            <w:shd w:val="clear" w:color="auto" w:fill="CFF0FC"/>
          </w:tcPr>
          <w:p>
            <w:pPr>
              <w:spacing w:after="0"/>
              <w:rPr>
                <w:sz w:val="13"/>
                <w:szCs w:val="13"/>
                <w:color w:val="auto"/>
              </w:rPr>
            </w:pPr>
          </w:p>
        </w:tc>
        <w:tc>
          <w:tcPr>
            <w:tcW w:w="980" w:type="dxa"/>
            <w:vAlign w:val="bottom"/>
            <w:gridSpan w:val="2"/>
            <w:shd w:val="clear" w:color="auto" w:fill="CFF0FC"/>
          </w:tcPr>
          <w:p>
            <w:pPr>
              <w:jc w:val="center"/>
              <w:ind w:left="226"/>
              <w:spacing w:after="0"/>
              <w:rPr>
                <w:sz w:val="20"/>
                <w:szCs w:val="20"/>
                <w:color w:val="auto"/>
              </w:rPr>
            </w:pPr>
            <w:r>
              <w:rPr>
                <w:rFonts w:ascii="Arial" w:cs="Arial" w:eastAsia="Arial" w:hAnsi="Arial"/>
                <w:sz w:val="12"/>
                <w:szCs w:val="12"/>
                <w:color w:val="auto"/>
                <w:w w:val="84"/>
              </w:rPr>
              <w:t>8.9 years</w:t>
            </w:r>
          </w:p>
        </w:tc>
        <w:tc>
          <w:tcPr>
            <w:tcW w:w="100" w:type="dxa"/>
            <w:vAlign w:val="bottom"/>
            <w:shd w:val="clear" w:color="auto" w:fill="CFF0FC"/>
          </w:tcPr>
          <w:p>
            <w:pPr>
              <w:spacing w:after="0"/>
              <w:rPr>
                <w:sz w:val="13"/>
                <w:szCs w:val="13"/>
                <w:color w:val="auto"/>
              </w:rPr>
            </w:pPr>
          </w:p>
        </w:tc>
        <w:tc>
          <w:tcPr>
            <w:tcW w:w="180" w:type="dxa"/>
            <w:vAlign w:val="bottom"/>
            <w:tcBorders>
              <w:right w:val="single" w:sz="8" w:color="CFF0FC"/>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0" w:type="dxa"/>
            <w:vAlign w:val="bottom"/>
            <w:tcBorders>
              <w:left w:val="single" w:sz="8" w:color="CFF0FC"/>
            </w:tcBorders>
            <w:shd w:val="clear" w:color="auto" w:fill="CFF0FC"/>
          </w:tcPr>
          <w:p>
            <w:pPr>
              <w:spacing w:after="0"/>
              <w:rPr>
                <w:sz w:val="13"/>
                <w:szCs w:val="13"/>
                <w:color w:val="auto"/>
              </w:rPr>
            </w:pP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359,768</w:t>
            </w:r>
          </w:p>
        </w:tc>
        <w:tc>
          <w:tcPr>
            <w:tcW w:w="100" w:type="dxa"/>
            <w:vAlign w:val="bottom"/>
            <w:tcBorders>
              <w:right w:val="single" w:sz="8" w:color="CFF0FC"/>
            </w:tcBorders>
            <w:shd w:val="clear" w:color="auto" w:fill="CFF0FC"/>
          </w:tcPr>
          <w:p>
            <w:pPr>
              <w:spacing w:after="0"/>
              <w:rPr>
                <w:sz w:val="13"/>
                <w:szCs w:val="13"/>
                <w:color w:val="auto"/>
              </w:rPr>
            </w:pPr>
          </w:p>
        </w:tc>
        <w:tc>
          <w:tcPr>
            <w:tcW w:w="160" w:type="dxa"/>
            <w:vAlign w:val="bottom"/>
            <w:tcBorders>
              <w:right w:val="single" w:sz="8" w:color="CFF0FC"/>
            </w:tcBorders>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42,201</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280" w:type="dxa"/>
            <w:vAlign w:val="bottom"/>
            <w:tcBorders>
              <w:bottom w:val="single" w:sz="8" w:color="CFF0FC"/>
            </w:tcBorders>
            <w:gridSpan w:val="3"/>
          </w:tcPr>
          <w:p>
            <w:pPr>
              <w:spacing w:after="0"/>
              <w:rPr>
                <w:sz w:val="20"/>
                <w:szCs w:val="20"/>
                <w:color w:val="auto"/>
              </w:rPr>
            </w:pPr>
            <w:r>
              <w:rPr>
                <w:rFonts w:ascii="Arial" w:cs="Arial" w:eastAsia="Arial" w:hAnsi="Arial"/>
                <w:sz w:val="12"/>
                <w:szCs w:val="12"/>
                <w:color w:val="auto"/>
              </w:rPr>
              <w:t>Developed technology</w:t>
            </w:r>
          </w:p>
        </w:tc>
        <w:tc>
          <w:tcPr>
            <w:tcW w:w="700" w:type="dxa"/>
            <w:vAlign w:val="bottom"/>
            <w:tcBorders>
              <w:bottom w:val="single" w:sz="8" w:color="CFF0FC"/>
            </w:tcBorders>
          </w:tcPr>
          <w:p>
            <w:pPr>
              <w:jc w:val="center"/>
              <w:ind w:left="46"/>
              <w:spacing w:after="0"/>
              <w:rPr>
                <w:sz w:val="20"/>
                <w:szCs w:val="20"/>
                <w:color w:val="auto"/>
              </w:rPr>
            </w:pPr>
            <w:r>
              <w:rPr>
                <w:rFonts w:ascii="Arial" w:cs="Arial" w:eastAsia="Arial" w:hAnsi="Arial"/>
                <w:sz w:val="12"/>
                <w:szCs w:val="12"/>
                <w:color w:val="auto"/>
                <w:w w:val="89"/>
              </w:rPr>
              <w:t>4.3 years</w:t>
            </w:r>
          </w:p>
        </w:tc>
        <w:tc>
          <w:tcPr>
            <w:tcW w:w="340" w:type="dxa"/>
            <w:vAlign w:val="bottom"/>
            <w:tcBorders>
              <w:bottom w:val="single" w:sz="8" w:color="CFF0FC"/>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980" w:type="dxa"/>
            <w:vAlign w:val="bottom"/>
            <w:tcBorders>
              <w:bottom w:val="single" w:sz="8" w:color="CFF0FC"/>
            </w:tcBorders>
            <w:gridSpan w:val="2"/>
          </w:tcPr>
          <w:p>
            <w:pPr>
              <w:jc w:val="center"/>
              <w:ind w:left="226"/>
              <w:spacing w:after="0"/>
              <w:rPr>
                <w:sz w:val="20"/>
                <w:szCs w:val="20"/>
                <w:color w:val="auto"/>
              </w:rPr>
            </w:pPr>
            <w:r>
              <w:rPr>
                <w:rFonts w:ascii="Arial" w:cs="Arial" w:eastAsia="Arial" w:hAnsi="Arial"/>
                <w:sz w:val="12"/>
                <w:szCs w:val="12"/>
                <w:color w:val="auto"/>
                <w:w w:val="84"/>
              </w:rPr>
              <w:t>5.5 years</w:t>
            </w:r>
          </w:p>
        </w:tc>
        <w:tc>
          <w:tcPr>
            <w:tcW w:w="100" w:type="dxa"/>
            <w:vAlign w:val="bottom"/>
            <w:tcBorders>
              <w:bottom w:val="single" w:sz="8" w:color="CFF0FC"/>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color w:val="auto"/>
              </w:rPr>
              <w:t>160,852</w:t>
            </w:r>
          </w:p>
        </w:tc>
        <w:tc>
          <w:tcPr>
            <w:tcW w:w="100" w:type="dxa"/>
            <w:vAlign w:val="bottom"/>
            <w:tcBorders>
              <w:bottom w:val="single" w:sz="8" w:color="CFF0FC"/>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35,987</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280" w:type="dxa"/>
            <w:vAlign w:val="bottom"/>
            <w:gridSpan w:val="3"/>
            <w:shd w:val="clear" w:color="auto" w:fill="CFF0FC"/>
          </w:tcPr>
          <w:p>
            <w:pPr>
              <w:spacing w:after="0"/>
              <w:rPr>
                <w:sz w:val="20"/>
                <w:szCs w:val="20"/>
                <w:color w:val="auto"/>
              </w:rPr>
            </w:pPr>
            <w:r>
              <w:rPr>
                <w:rFonts w:ascii="Arial" w:cs="Arial" w:eastAsia="Arial" w:hAnsi="Arial"/>
                <w:sz w:val="12"/>
                <w:szCs w:val="12"/>
                <w:color w:val="auto"/>
              </w:rPr>
              <w:t>Gross carrying value of intangible assets</w:t>
            </w:r>
          </w:p>
        </w:tc>
        <w:tc>
          <w:tcPr>
            <w:tcW w:w="700" w:type="dxa"/>
            <w:vAlign w:val="bottom"/>
            <w:tcBorders>
              <w:right w:val="single" w:sz="8" w:color="CFF0FC"/>
            </w:tcBorders>
            <w:shd w:val="clear" w:color="auto" w:fill="CFF0FC"/>
          </w:tcPr>
          <w:p>
            <w:pPr>
              <w:spacing w:after="0"/>
              <w:rPr>
                <w:sz w:val="14"/>
                <w:szCs w:val="14"/>
                <w:color w:val="auto"/>
              </w:rPr>
            </w:pPr>
          </w:p>
        </w:tc>
        <w:tc>
          <w:tcPr>
            <w:tcW w:w="340" w:type="dxa"/>
            <w:vAlign w:val="bottom"/>
            <w:tcBorders>
              <w:right w:val="single" w:sz="8" w:color="CFF0FC"/>
            </w:tcBorders>
            <w:shd w:val="clear" w:color="auto" w:fill="CFF0FC"/>
          </w:tcPr>
          <w:p>
            <w:pPr>
              <w:spacing w:after="0"/>
              <w:rPr>
                <w:sz w:val="14"/>
                <w:szCs w:val="14"/>
                <w:color w:val="auto"/>
              </w:rPr>
            </w:pPr>
          </w:p>
        </w:tc>
        <w:tc>
          <w:tcPr>
            <w:tcW w:w="140" w:type="dxa"/>
            <w:vAlign w:val="bottom"/>
            <w:tcBorders>
              <w:right w:val="single" w:sz="8" w:color="CFF0FC"/>
            </w:tcBorders>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tcBorders>
              <w:right w:val="single" w:sz="8" w:color="CFF0FC"/>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tcBorders>
              <w:left w:val="single" w:sz="8" w:color="CFF0FC"/>
            </w:tcBorders>
            <w:shd w:val="clear" w:color="auto" w:fill="CFF0FC"/>
          </w:tcPr>
          <w:p>
            <w:pPr>
              <w:spacing w:after="0"/>
              <w:rPr>
                <w:sz w:val="14"/>
                <w:szCs w:val="14"/>
                <w:color w:val="auto"/>
              </w:rPr>
            </w:pP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614,022</w:t>
            </w:r>
          </w:p>
        </w:tc>
        <w:tc>
          <w:tcPr>
            <w:tcW w:w="100" w:type="dxa"/>
            <w:vAlign w:val="bottom"/>
            <w:tcBorders>
              <w:right w:val="single" w:sz="8" w:color="CFF0FC"/>
            </w:tcBorders>
            <w:shd w:val="clear" w:color="auto" w:fill="CFF0FC"/>
          </w:tcPr>
          <w:p>
            <w:pPr>
              <w:spacing w:after="0"/>
              <w:rPr>
                <w:sz w:val="14"/>
                <w:szCs w:val="14"/>
                <w:color w:val="auto"/>
              </w:rPr>
            </w:pPr>
          </w:p>
        </w:tc>
        <w:tc>
          <w:tcPr>
            <w:tcW w:w="32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99,480</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6280" w:type="dxa"/>
            <w:vAlign w:val="bottom"/>
            <w:tcBorders>
              <w:top w:val="single" w:sz="8" w:color="CFF0FC"/>
            </w:tcBorders>
            <w:gridSpan w:val="3"/>
          </w:tcPr>
          <w:p>
            <w:pPr>
              <w:spacing w:after="0"/>
              <w:rPr>
                <w:sz w:val="20"/>
                <w:szCs w:val="20"/>
                <w:color w:val="auto"/>
              </w:rPr>
            </w:pPr>
            <w:r>
              <w:rPr>
                <w:rFonts w:ascii="Arial" w:cs="Arial" w:eastAsia="Arial" w:hAnsi="Arial"/>
                <w:sz w:val="12"/>
                <w:szCs w:val="12"/>
                <w:color w:val="auto"/>
              </w:rPr>
              <w:t>Less: accumulated amortization</w:t>
            </w:r>
          </w:p>
        </w:tc>
        <w:tc>
          <w:tcPr>
            <w:tcW w:w="700" w:type="dxa"/>
            <w:vAlign w:val="bottom"/>
            <w:tcBorders>
              <w:top w:val="single" w:sz="8" w:color="CFF0FC"/>
            </w:tcBorders>
          </w:tcPr>
          <w:p>
            <w:pPr>
              <w:spacing w:after="0"/>
              <w:rPr>
                <w:sz w:val="12"/>
                <w:szCs w:val="12"/>
                <w:color w:val="auto"/>
              </w:rPr>
            </w:pPr>
          </w:p>
        </w:tc>
        <w:tc>
          <w:tcPr>
            <w:tcW w:w="340" w:type="dxa"/>
            <w:vAlign w:val="bottom"/>
            <w:tcBorders>
              <w:top w:val="single" w:sz="8" w:color="CFF0FC"/>
            </w:tcBorders>
          </w:tcPr>
          <w:p>
            <w:pPr>
              <w:spacing w:after="0"/>
              <w:rPr>
                <w:sz w:val="12"/>
                <w:szCs w:val="12"/>
                <w:color w:val="auto"/>
              </w:rPr>
            </w:pPr>
          </w:p>
        </w:tc>
        <w:tc>
          <w:tcPr>
            <w:tcW w:w="140" w:type="dxa"/>
            <w:vAlign w:val="bottom"/>
            <w:tcBorders>
              <w:top w:val="single" w:sz="8" w:color="CFF0FC"/>
            </w:tcBorders>
          </w:tcPr>
          <w:p>
            <w:pPr>
              <w:spacing w:after="0"/>
              <w:rPr>
                <w:sz w:val="12"/>
                <w:szCs w:val="12"/>
                <w:color w:val="auto"/>
              </w:rPr>
            </w:pPr>
          </w:p>
        </w:tc>
        <w:tc>
          <w:tcPr>
            <w:tcW w:w="800" w:type="dxa"/>
            <w:vAlign w:val="bottom"/>
            <w:tcBorders>
              <w:top w:val="single" w:sz="8" w:color="CFF0FC"/>
            </w:tcBorders>
          </w:tcPr>
          <w:p>
            <w:pPr>
              <w:spacing w:after="0"/>
              <w:rPr>
                <w:sz w:val="12"/>
                <w:szCs w:val="12"/>
                <w:color w:val="auto"/>
              </w:rPr>
            </w:pPr>
          </w:p>
        </w:tc>
        <w:tc>
          <w:tcPr>
            <w:tcW w:w="180" w:type="dxa"/>
            <w:vAlign w:val="bottom"/>
            <w:tcBorders>
              <w:top w:val="single" w:sz="8" w:color="CFF0FC"/>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c>
          <w:tcPr>
            <w:tcW w:w="180" w:type="dxa"/>
            <w:vAlign w:val="bottom"/>
            <w:tcBorders>
              <w:top w:val="single" w:sz="8" w:color="CFF0FC"/>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c>
          <w:tcPr>
            <w:tcW w:w="140" w:type="dxa"/>
            <w:vAlign w:val="bottom"/>
            <w:tcBorders>
              <w:top w:val="single" w:sz="8" w:color="CFF0FC"/>
            </w:tcBorders>
          </w:tcPr>
          <w:p>
            <w:pPr>
              <w:spacing w:after="0"/>
              <w:rPr>
                <w:sz w:val="12"/>
                <w:szCs w:val="12"/>
                <w:color w:val="auto"/>
              </w:rPr>
            </w:pPr>
          </w:p>
        </w:tc>
        <w:tc>
          <w:tcPr>
            <w:tcW w:w="1120" w:type="dxa"/>
            <w:vAlign w:val="bottom"/>
            <w:tcBorders>
              <w:top w:val="single" w:sz="8" w:color="CFF0FC"/>
            </w:tcBorders>
            <w:gridSpan w:val="3"/>
          </w:tcPr>
          <w:p>
            <w:pPr>
              <w:jc w:val="right"/>
              <w:ind w:right="60"/>
              <w:spacing w:after="0"/>
              <w:rPr>
                <w:sz w:val="20"/>
                <w:szCs w:val="20"/>
                <w:color w:val="auto"/>
              </w:rPr>
            </w:pPr>
            <w:r>
              <w:rPr>
                <w:rFonts w:ascii="Arial" w:cs="Arial" w:eastAsia="Arial" w:hAnsi="Arial"/>
                <w:sz w:val="12"/>
                <w:szCs w:val="12"/>
                <w:color w:val="auto"/>
              </w:rPr>
              <w:t>(99,480)</w:t>
            </w:r>
          </w:p>
        </w:tc>
        <w:tc>
          <w:tcPr>
            <w:tcW w:w="160" w:type="dxa"/>
            <w:vAlign w:val="bottom"/>
            <w:tcBorders>
              <w:top w:val="single" w:sz="8" w:color="CFF0FC"/>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20" w:type="dxa"/>
            <w:vAlign w:val="bottom"/>
            <w:tcBorders>
              <w:top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280" w:type="dxa"/>
            <w:vAlign w:val="bottom"/>
            <w:tcBorders>
              <w:top w:val="single" w:sz="8" w:color="CFF0FC"/>
              <w:bottom w:val="single" w:sz="8" w:color="CFF0FC"/>
            </w:tcBorders>
            <w:gridSpan w:val="3"/>
            <w:shd w:val="clear" w:color="auto" w:fill="CFF0FC"/>
          </w:tcPr>
          <w:p>
            <w:pPr>
              <w:ind w:left="80"/>
              <w:spacing w:after="0"/>
              <w:rPr>
                <w:sz w:val="20"/>
                <w:szCs w:val="20"/>
                <w:color w:val="auto"/>
              </w:rPr>
            </w:pPr>
            <w:r>
              <w:rPr>
                <w:rFonts w:ascii="Arial" w:cs="Arial" w:eastAsia="Arial" w:hAnsi="Arial"/>
                <w:sz w:val="12"/>
                <w:szCs w:val="12"/>
                <w:color w:val="auto"/>
              </w:rPr>
              <w:t>Intangible assets, net</w:t>
            </w:r>
          </w:p>
        </w:tc>
        <w:tc>
          <w:tcPr>
            <w:tcW w:w="700" w:type="dxa"/>
            <w:vAlign w:val="bottom"/>
            <w:tcBorders>
              <w:top w:val="single" w:sz="8" w:color="CFF0FC"/>
              <w:bottom w:val="single" w:sz="8" w:color="CFF0FC"/>
              <w:right w:val="single" w:sz="8" w:color="CFF0FC"/>
            </w:tcBorders>
            <w:shd w:val="clear" w:color="auto" w:fill="CFF0FC"/>
          </w:tcPr>
          <w:p>
            <w:pPr>
              <w:spacing w:after="0"/>
              <w:rPr>
                <w:sz w:val="12"/>
                <w:szCs w:val="12"/>
                <w:color w:val="auto"/>
              </w:rPr>
            </w:pPr>
          </w:p>
        </w:tc>
        <w:tc>
          <w:tcPr>
            <w:tcW w:w="340" w:type="dxa"/>
            <w:vAlign w:val="bottom"/>
            <w:tcBorders>
              <w:top w:val="single" w:sz="8" w:color="CFF0FC"/>
              <w:bottom w:val="single" w:sz="8" w:color="CFF0FC"/>
              <w:right w:val="single" w:sz="8" w:color="CFF0FC"/>
            </w:tcBorders>
            <w:shd w:val="clear" w:color="auto" w:fill="CFF0FC"/>
          </w:tcPr>
          <w:p>
            <w:pPr>
              <w:spacing w:after="0"/>
              <w:rPr>
                <w:sz w:val="12"/>
                <w:szCs w:val="12"/>
                <w:color w:val="auto"/>
              </w:rPr>
            </w:pPr>
          </w:p>
        </w:tc>
        <w:tc>
          <w:tcPr>
            <w:tcW w:w="140" w:type="dxa"/>
            <w:vAlign w:val="bottom"/>
            <w:tcBorders>
              <w:top w:val="single" w:sz="8" w:color="CFF0FC"/>
              <w:bottom w:val="single" w:sz="8" w:color="CFF0FC"/>
              <w:right w:val="single" w:sz="8" w:color="CFF0FC"/>
            </w:tcBorders>
            <w:shd w:val="clear" w:color="auto" w:fill="CFF0FC"/>
          </w:tcPr>
          <w:p>
            <w:pPr>
              <w:spacing w:after="0"/>
              <w:rPr>
                <w:sz w:val="12"/>
                <w:szCs w:val="12"/>
                <w:color w:val="auto"/>
              </w:rPr>
            </w:pPr>
          </w:p>
        </w:tc>
        <w:tc>
          <w:tcPr>
            <w:tcW w:w="800" w:type="dxa"/>
            <w:vAlign w:val="bottom"/>
            <w:tcBorders>
              <w:top w:val="single" w:sz="8" w:color="CFF0FC"/>
              <w:bottom w:val="single" w:sz="8" w:color="CFF0FC"/>
            </w:tcBorders>
            <w:shd w:val="clear" w:color="auto" w:fill="CFF0FC"/>
          </w:tcPr>
          <w:p>
            <w:pPr>
              <w:spacing w:after="0"/>
              <w:rPr>
                <w:sz w:val="12"/>
                <w:szCs w:val="12"/>
                <w:color w:val="auto"/>
              </w:rPr>
            </w:pPr>
          </w:p>
        </w:tc>
        <w:tc>
          <w:tcPr>
            <w:tcW w:w="180" w:type="dxa"/>
            <w:vAlign w:val="bottom"/>
            <w:tcBorders>
              <w:top w:val="single" w:sz="8" w:color="CFF0FC"/>
              <w:bottom w:val="single" w:sz="8" w:color="CFF0FC"/>
            </w:tcBorders>
            <w:shd w:val="clear" w:color="auto" w:fill="CFF0FC"/>
          </w:tcPr>
          <w:p>
            <w:pPr>
              <w:spacing w:after="0"/>
              <w:rPr>
                <w:sz w:val="12"/>
                <w:szCs w:val="12"/>
                <w:color w:val="auto"/>
              </w:rPr>
            </w:pPr>
          </w:p>
        </w:tc>
        <w:tc>
          <w:tcPr>
            <w:tcW w:w="100" w:type="dxa"/>
            <w:vAlign w:val="bottom"/>
            <w:tcBorders>
              <w:top w:val="single" w:sz="8" w:color="CFF0FC"/>
              <w:bottom w:val="single" w:sz="8" w:color="CFF0FC"/>
            </w:tcBorders>
            <w:shd w:val="clear" w:color="auto" w:fill="CFF0FC"/>
          </w:tcPr>
          <w:p>
            <w:pPr>
              <w:spacing w:after="0"/>
              <w:rPr>
                <w:sz w:val="12"/>
                <w:szCs w:val="12"/>
                <w:color w:val="auto"/>
              </w:rPr>
            </w:pPr>
          </w:p>
        </w:tc>
        <w:tc>
          <w:tcPr>
            <w:tcW w:w="180" w:type="dxa"/>
            <w:vAlign w:val="bottom"/>
            <w:tcBorders>
              <w:top w:val="single" w:sz="8" w:color="CFF0FC"/>
              <w:bottom w:val="single" w:sz="8" w:color="CFF0FC"/>
              <w:right w:val="single" w:sz="8" w:color="CFF0FC"/>
            </w:tcBorders>
            <w:shd w:val="clear" w:color="auto" w:fill="CFF0FC"/>
          </w:tcPr>
          <w:p>
            <w:pPr>
              <w:spacing w:after="0"/>
              <w:rPr>
                <w:sz w:val="12"/>
                <w:szCs w:val="12"/>
                <w:color w:val="auto"/>
              </w:rPr>
            </w:pPr>
          </w:p>
        </w:tc>
        <w:tc>
          <w:tcPr>
            <w:tcW w:w="100" w:type="dxa"/>
            <w:vAlign w:val="bottom"/>
            <w:tcBorders>
              <w:top w:val="single" w:sz="8" w:color="CFF0FC"/>
              <w:bottom w:val="single" w:sz="8" w:color="CFF0FC"/>
            </w:tcBorders>
            <w:shd w:val="clear" w:color="auto" w:fill="CFF0FC"/>
          </w:tcPr>
          <w:p>
            <w:pPr>
              <w:spacing w:after="0"/>
              <w:rPr>
                <w:sz w:val="12"/>
                <w:szCs w:val="12"/>
                <w:color w:val="auto"/>
              </w:rPr>
            </w:pPr>
          </w:p>
        </w:tc>
        <w:tc>
          <w:tcPr>
            <w:tcW w:w="140" w:type="dxa"/>
            <w:vAlign w:val="bottom"/>
            <w:tcBorders>
              <w:top w:val="single" w:sz="8" w:color="auto"/>
              <w:left w:val="single" w:sz="8" w:color="CFF0FC"/>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02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2"/>
                <w:szCs w:val="12"/>
                <w:color w:val="auto"/>
              </w:rPr>
              <w:t>514,542</w:t>
            </w:r>
          </w:p>
        </w:tc>
        <w:tc>
          <w:tcPr>
            <w:tcW w:w="100" w:type="dxa"/>
            <w:vAlign w:val="bottom"/>
            <w:tcBorders>
              <w:top w:val="single" w:sz="8" w:color="CFF0FC"/>
              <w:bottom w:val="single" w:sz="8" w:color="CFF0FC"/>
              <w:right w:val="single" w:sz="8" w:color="CFF0FC"/>
            </w:tcBorders>
            <w:shd w:val="clear" w:color="auto" w:fill="CFF0FC"/>
          </w:tcPr>
          <w:p>
            <w:pPr>
              <w:spacing w:after="0"/>
              <w:rPr>
                <w:sz w:val="12"/>
                <w:szCs w:val="12"/>
                <w:color w:val="auto"/>
              </w:rPr>
            </w:pPr>
          </w:p>
        </w:tc>
        <w:tc>
          <w:tcPr>
            <w:tcW w:w="160" w:type="dxa"/>
            <w:vAlign w:val="bottom"/>
            <w:tcBorders>
              <w:top w:val="single" w:sz="8" w:color="CFF0FC"/>
              <w:bottom w:val="single" w:sz="8" w:color="CFF0FC"/>
              <w:right w:val="single" w:sz="8" w:color="CFF0FC"/>
            </w:tcBorders>
            <w:shd w:val="clear" w:color="auto" w:fill="CFF0FC"/>
          </w:tcPr>
          <w:p>
            <w:pPr>
              <w:spacing w:after="0"/>
              <w:rPr>
                <w:sz w:val="12"/>
                <w:szCs w:val="12"/>
                <w:color w:val="auto"/>
              </w:rPr>
            </w:pPr>
          </w:p>
        </w:tc>
        <w:tc>
          <w:tcPr>
            <w:tcW w:w="160" w:type="dxa"/>
            <w:vAlign w:val="bottom"/>
            <w:tcBorders>
              <w:top w:val="single" w:sz="8" w:color="CFF0FC"/>
              <w:bottom w:val="single" w:sz="8" w:color="CFF0FC"/>
            </w:tcBorders>
            <w:shd w:val="clear" w:color="auto" w:fill="CFF0FC"/>
          </w:tcPr>
          <w:p>
            <w:pPr>
              <w:spacing w:after="0"/>
              <w:rPr>
                <w:sz w:val="12"/>
                <w:szCs w:val="12"/>
                <w:color w:val="auto"/>
              </w:rPr>
            </w:pPr>
          </w:p>
        </w:tc>
        <w:tc>
          <w:tcPr>
            <w:tcW w:w="960" w:type="dxa"/>
            <w:vAlign w:val="bottom"/>
            <w:tcBorders>
              <w:top w:val="single" w:sz="8" w:color="CFF0FC"/>
              <w:bottom w:val="single" w:sz="8" w:color="CFF0FC"/>
            </w:tcBorders>
            <w:shd w:val="clear" w:color="auto" w:fill="CFF0FC"/>
          </w:tcPr>
          <w:p>
            <w:pPr>
              <w:spacing w:after="0"/>
              <w:rPr>
                <w:sz w:val="12"/>
                <w:szCs w:val="12"/>
                <w:color w:val="auto"/>
              </w:rPr>
            </w:pPr>
          </w:p>
        </w:tc>
        <w:tc>
          <w:tcPr>
            <w:tcW w:w="120" w:type="dxa"/>
            <w:vAlign w:val="bottom"/>
            <w:tcBorders>
              <w:top w:val="single" w:sz="8" w:color="CFF0FC"/>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bl>
    <w:p>
      <w:pPr>
        <w:spacing w:after="0" w:line="162" w:lineRule="exact"/>
        <w:rPr>
          <w:sz w:val="20"/>
          <w:szCs w:val="20"/>
          <w:color w:val="auto"/>
        </w:rPr>
      </w:pPr>
    </w:p>
    <w:p>
      <w:pPr>
        <w:ind w:right="580" w:firstLine="602"/>
        <w:spacing w:after="0" w:line="276" w:lineRule="auto"/>
        <w:rPr>
          <w:sz w:val="20"/>
          <w:szCs w:val="20"/>
          <w:color w:val="auto"/>
        </w:rPr>
      </w:pPr>
      <w:r>
        <w:rPr>
          <w:rFonts w:ascii="Arial" w:cs="Arial" w:eastAsia="Arial" w:hAnsi="Arial"/>
          <w:sz w:val="12"/>
          <w:szCs w:val="12"/>
          <w:color w:val="auto"/>
        </w:rPr>
        <w:t>Amortization expense for the years ended December 31, 2019 and December 31, 2018, the 2017 Successor Period, and the 2017 Predecessor Period was $92.8 million, $80.8 million, $18.8 million, and $0.8 million, respectively.</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17740" cy="3683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ectPr>
          <w:pgSz w:w="11900" w:h="16838" w:orient="portrait"/>
          <w:cols w:equalWidth="0" w:num="1">
            <w:col w:w="11480"/>
          </w:cols>
          <w:pgMar w:left="220" w:top="487" w:right="199" w:bottom="1440" w:gutter="0" w:footer="0" w:header="0"/>
        </w:sectPr>
      </w:pPr>
    </w:p>
    <w:bookmarkStart w:id="89" w:name="page90"/>
    <w:bookmarkEnd w:id="89"/>
    <w:tbl>
      <w:tblPr>
        <w:tblLayout w:type="fixed"/>
        <w:tblInd w:w="8" w:type="dxa"/>
        <w:tblCellMar>
          <w:top w:w="0" w:type="dxa"/>
          <w:left w:w="0" w:type="dxa"/>
          <w:bottom w:w="0" w:type="dxa"/>
          <w:right w:w="0" w:type="dxa"/>
        </w:tblCellMar>
      </w:tblPr>
      <w:tr>
        <w:trPr>
          <w:trHeight w:val="153"/>
        </w:trPr>
        <w:tc>
          <w:tcPr>
            <w:tcW w:w="9440" w:type="dxa"/>
            <w:vAlign w:val="bottom"/>
            <w:gridSpan w:val="2"/>
          </w:tcPr>
          <w:p>
            <w:pPr>
              <w:ind w:left="600"/>
              <w:spacing w:after="0"/>
              <w:rPr>
                <w:sz w:val="20"/>
                <w:szCs w:val="20"/>
                <w:color w:val="auto"/>
              </w:rPr>
            </w:pPr>
            <w:r>
              <w:rPr>
                <w:rFonts w:ascii="Arial" w:cs="Arial" w:eastAsia="Arial" w:hAnsi="Arial"/>
                <w:sz w:val="12"/>
                <w:szCs w:val="12"/>
                <w:color w:val="auto"/>
              </w:rPr>
              <w:t>Estimated amortization expense in future years is expected to be:</w:t>
            </w: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88"/>
        </w:trPr>
        <w:tc>
          <w:tcPr>
            <w:tcW w:w="9440" w:type="dxa"/>
            <w:vAlign w:val="bottom"/>
            <w:gridSpan w:val="2"/>
          </w:tcPr>
          <w:p>
            <w:pPr>
              <w:spacing w:after="0"/>
              <w:rPr>
                <w:sz w:val="20"/>
                <w:szCs w:val="20"/>
                <w:color w:val="auto"/>
              </w:rPr>
            </w:pPr>
            <w:r>
              <w:rPr>
                <w:rFonts w:ascii="Arial" w:cs="Arial" w:eastAsia="Arial" w:hAnsi="Arial"/>
                <w:sz w:val="10"/>
                <w:szCs w:val="10"/>
                <w:b w:val="1"/>
                <w:bCs w:val="1"/>
                <w:u w:val="single" w:color="auto"/>
                <w:color w:val="auto"/>
              </w:rPr>
              <w:t>(</w:t>
            </w:r>
            <w:r>
              <w:rPr>
                <w:rFonts w:ascii="Arial" w:cs="Arial" w:eastAsia="Arial" w:hAnsi="Arial"/>
                <w:sz w:val="10"/>
                <w:szCs w:val="10"/>
                <w:b w:val="1"/>
                <w:bCs w:val="1"/>
                <w:color w:val="auto"/>
              </w:rPr>
              <w:t>$ in thousands)</w:t>
            </w:r>
          </w:p>
        </w:tc>
        <w:tc>
          <w:tcPr>
            <w:tcW w:w="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42"/>
        </w:trPr>
        <w:tc>
          <w:tcPr>
            <w:tcW w:w="6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2"/>
                <w:szCs w:val="12"/>
                <w:color w:val="auto"/>
              </w:rPr>
              <w:t>2020</w:t>
            </w:r>
          </w:p>
        </w:tc>
        <w:tc>
          <w:tcPr>
            <w:tcW w:w="8800" w:type="dxa"/>
            <w:vAlign w:val="bottom"/>
            <w:shd w:val="clear" w:color="auto" w:fill="CFF0FC"/>
          </w:tcPr>
          <w:p>
            <w:pPr>
              <w:spacing w:after="0"/>
              <w:rPr>
                <w:sz w:val="12"/>
                <w:szCs w:val="12"/>
                <w:color w:val="auto"/>
              </w:rPr>
            </w:pPr>
          </w:p>
        </w:tc>
        <w:tc>
          <w:tcPr>
            <w:tcW w:w="800" w:type="dxa"/>
            <w:vAlign w:val="bottom"/>
            <w:shd w:val="clear" w:color="auto" w:fill="CFF0FC"/>
          </w:tcPr>
          <w:p>
            <w:pPr>
              <w:jc w:val="right"/>
              <w:ind w:right="690"/>
              <w:spacing w:after="0"/>
              <w:rPr>
                <w:sz w:val="20"/>
                <w:szCs w:val="20"/>
                <w:color w:val="auto"/>
              </w:rPr>
            </w:pPr>
            <w:r>
              <w:rPr>
                <w:rFonts w:ascii="Arial" w:cs="Arial" w:eastAsia="Arial" w:hAnsi="Arial"/>
                <w:sz w:val="10"/>
                <w:szCs w:val="10"/>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93,881</w:t>
            </w:r>
          </w:p>
        </w:tc>
        <w:tc>
          <w:tcPr>
            <w:tcW w:w="120" w:type="dxa"/>
            <w:vAlign w:val="bottom"/>
            <w:shd w:val="clear" w:color="auto" w:fill="CFF0FC"/>
          </w:tcPr>
          <w:p>
            <w:pPr>
              <w:spacing w:after="0"/>
              <w:rPr>
                <w:sz w:val="12"/>
                <w:szCs w:val="12"/>
                <w:color w:val="auto"/>
              </w:rPr>
            </w:pPr>
          </w:p>
        </w:tc>
      </w:tr>
      <w:tr>
        <w:trPr>
          <w:trHeight w:val="153"/>
        </w:trPr>
        <w:tc>
          <w:tcPr>
            <w:tcW w:w="640" w:type="dxa"/>
            <w:vAlign w:val="bottom"/>
          </w:tcPr>
          <w:p>
            <w:pPr>
              <w:spacing w:after="0"/>
              <w:rPr>
                <w:sz w:val="20"/>
                <w:szCs w:val="20"/>
                <w:color w:val="auto"/>
              </w:rPr>
            </w:pPr>
            <w:r>
              <w:rPr>
                <w:rFonts w:ascii="Arial" w:cs="Arial" w:eastAsia="Arial" w:hAnsi="Arial"/>
                <w:sz w:val="12"/>
                <w:szCs w:val="12"/>
                <w:color w:val="auto"/>
              </w:rPr>
              <w:t>2021</w:t>
            </w:r>
          </w:p>
        </w:tc>
        <w:tc>
          <w:tcPr>
            <w:tcW w:w="8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85,590</w:t>
            </w:r>
          </w:p>
        </w:tc>
        <w:tc>
          <w:tcPr>
            <w:tcW w:w="120" w:type="dxa"/>
            <w:vAlign w:val="bottom"/>
          </w:tcPr>
          <w:p>
            <w:pPr>
              <w:spacing w:after="0"/>
              <w:rPr>
                <w:sz w:val="13"/>
                <w:szCs w:val="13"/>
                <w:color w:val="auto"/>
              </w:rPr>
            </w:pPr>
          </w:p>
        </w:tc>
      </w:tr>
      <w:tr>
        <w:trPr>
          <w:trHeight w:val="153"/>
        </w:trPr>
        <w:tc>
          <w:tcPr>
            <w:tcW w:w="640" w:type="dxa"/>
            <w:vAlign w:val="bottom"/>
            <w:shd w:val="clear" w:color="auto" w:fill="CFF0FC"/>
          </w:tcPr>
          <w:p>
            <w:pPr>
              <w:spacing w:after="0"/>
              <w:rPr>
                <w:sz w:val="20"/>
                <w:szCs w:val="20"/>
                <w:color w:val="auto"/>
              </w:rPr>
            </w:pPr>
            <w:r>
              <w:rPr>
                <w:rFonts w:ascii="Arial" w:cs="Arial" w:eastAsia="Arial" w:hAnsi="Arial"/>
                <w:sz w:val="12"/>
                <w:szCs w:val="12"/>
                <w:color w:val="auto"/>
              </w:rPr>
              <w:t>2022</w:t>
            </w:r>
          </w:p>
        </w:tc>
        <w:tc>
          <w:tcPr>
            <w:tcW w:w="880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80,846</w:t>
            </w:r>
          </w:p>
        </w:tc>
        <w:tc>
          <w:tcPr>
            <w:tcW w:w="120" w:type="dxa"/>
            <w:vAlign w:val="bottom"/>
            <w:shd w:val="clear" w:color="auto" w:fill="CFF0FC"/>
          </w:tcPr>
          <w:p>
            <w:pPr>
              <w:spacing w:after="0"/>
              <w:rPr>
                <w:sz w:val="13"/>
                <w:szCs w:val="13"/>
                <w:color w:val="auto"/>
              </w:rPr>
            </w:pPr>
          </w:p>
        </w:tc>
      </w:tr>
      <w:tr>
        <w:trPr>
          <w:trHeight w:val="153"/>
        </w:trPr>
        <w:tc>
          <w:tcPr>
            <w:tcW w:w="640" w:type="dxa"/>
            <w:vAlign w:val="bottom"/>
          </w:tcPr>
          <w:p>
            <w:pPr>
              <w:spacing w:after="0"/>
              <w:rPr>
                <w:sz w:val="20"/>
                <w:szCs w:val="20"/>
                <w:color w:val="auto"/>
              </w:rPr>
            </w:pPr>
            <w:r>
              <w:rPr>
                <w:rFonts w:ascii="Arial" w:cs="Arial" w:eastAsia="Arial" w:hAnsi="Arial"/>
                <w:sz w:val="12"/>
                <w:szCs w:val="12"/>
                <w:color w:val="auto"/>
              </w:rPr>
              <w:t>2023</w:t>
            </w:r>
          </w:p>
        </w:tc>
        <w:tc>
          <w:tcPr>
            <w:tcW w:w="8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52,277</w:t>
            </w:r>
          </w:p>
        </w:tc>
        <w:tc>
          <w:tcPr>
            <w:tcW w:w="120" w:type="dxa"/>
            <w:vAlign w:val="bottom"/>
          </w:tcPr>
          <w:p>
            <w:pPr>
              <w:spacing w:after="0"/>
              <w:rPr>
                <w:sz w:val="13"/>
                <w:szCs w:val="13"/>
                <w:color w:val="auto"/>
              </w:rPr>
            </w:pPr>
          </w:p>
        </w:tc>
      </w:tr>
      <w:tr>
        <w:trPr>
          <w:trHeight w:val="153"/>
        </w:trPr>
        <w:tc>
          <w:tcPr>
            <w:tcW w:w="640" w:type="dxa"/>
            <w:vAlign w:val="bottom"/>
            <w:shd w:val="clear" w:color="auto" w:fill="CFF0FC"/>
          </w:tcPr>
          <w:p>
            <w:pPr>
              <w:spacing w:after="0"/>
              <w:rPr>
                <w:sz w:val="20"/>
                <w:szCs w:val="20"/>
                <w:color w:val="auto"/>
              </w:rPr>
            </w:pPr>
            <w:r>
              <w:rPr>
                <w:rFonts w:ascii="Arial" w:cs="Arial" w:eastAsia="Arial" w:hAnsi="Arial"/>
                <w:sz w:val="12"/>
                <w:szCs w:val="12"/>
                <w:color w:val="auto"/>
              </w:rPr>
              <w:t>2024</w:t>
            </w:r>
          </w:p>
        </w:tc>
        <w:tc>
          <w:tcPr>
            <w:tcW w:w="880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41,786</w:t>
            </w:r>
          </w:p>
        </w:tc>
        <w:tc>
          <w:tcPr>
            <w:tcW w:w="120" w:type="dxa"/>
            <w:vAlign w:val="bottom"/>
            <w:shd w:val="clear" w:color="auto" w:fill="CFF0FC"/>
          </w:tcPr>
          <w:p>
            <w:pPr>
              <w:spacing w:after="0"/>
              <w:rPr>
                <w:sz w:val="13"/>
                <w:szCs w:val="13"/>
                <w:color w:val="auto"/>
              </w:rPr>
            </w:pPr>
          </w:p>
        </w:tc>
      </w:tr>
      <w:tr>
        <w:trPr>
          <w:trHeight w:val="153"/>
        </w:trPr>
        <w:tc>
          <w:tcPr>
            <w:tcW w:w="9440" w:type="dxa"/>
            <w:vAlign w:val="bottom"/>
            <w:tcBorders>
              <w:bottom w:val="single" w:sz="8" w:color="CFF0FC"/>
            </w:tcBorders>
            <w:gridSpan w:val="2"/>
          </w:tcPr>
          <w:p>
            <w:pPr>
              <w:spacing w:after="0"/>
              <w:rPr>
                <w:sz w:val="20"/>
                <w:szCs w:val="20"/>
                <w:color w:val="auto"/>
              </w:rPr>
            </w:pPr>
            <w:r>
              <w:rPr>
                <w:rFonts w:ascii="Arial" w:cs="Arial" w:eastAsia="Arial" w:hAnsi="Arial"/>
                <w:sz w:val="12"/>
                <w:szCs w:val="12"/>
                <w:color w:val="auto"/>
              </w:rPr>
              <w:t>Thereafter</w:t>
            </w:r>
          </w:p>
        </w:tc>
        <w:tc>
          <w:tcPr>
            <w:tcW w:w="8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80,063</w:t>
            </w:r>
          </w:p>
        </w:tc>
        <w:tc>
          <w:tcPr>
            <w:tcW w:w="120" w:type="dxa"/>
            <w:vAlign w:val="bottom"/>
            <w:tcBorders>
              <w:bottom w:val="single" w:sz="8" w:color="CFF0FC"/>
            </w:tcBorders>
          </w:tcPr>
          <w:p>
            <w:pPr>
              <w:spacing w:after="0"/>
              <w:rPr>
                <w:sz w:val="13"/>
                <w:szCs w:val="13"/>
                <w:color w:val="auto"/>
              </w:rPr>
            </w:pPr>
          </w:p>
        </w:tc>
      </w:tr>
      <w:tr>
        <w:trPr>
          <w:trHeight w:val="149"/>
        </w:trPr>
        <w:tc>
          <w:tcPr>
            <w:tcW w:w="9440" w:type="dxa"/>
            <w:vAlign w:val="bottom"/>
            <w:tcBorders>
              <w:bottom w:val="single" w:sz="8" w:color="CFF0FC"/>
            </w:tcBorders>
            <w:gridSpan w:val="2"/>
            <w:shd w:val="clear" w:color="auto" w:fill="CFF0FC"/>
          </w:tcPr>
          <w:p>
            <w:pPr>
              <w:ind w:left="80"/>
              <w:spacing w:after="0"/>
              <w:rPr>
                <w:sz w:val="20"/>
                <w:szCs w:val="20"/>
                <w:color w:val="auto"/>
              </w:rPr>
            </w:pPr>
            <w:r>
              <w:rPr>
                <w:rFonts w:ascii="Arial" w:cs="Arial" w:eastAsia="Arial" w:hAnsi="Arial"/>
                <w:sz w:val="12"/>
                <w:szCs w:val="12"/>
                <w:color w:val="auto"/>
              </w:rPr>
              <w:t>Total</w:t>
            </w:r>
          </w:p>
        </w:tc>
        <w:tc>
          <w:tcPr>
            <w:tcW w:w="800" w:type="dxa"/>
            <w:vAlign w:val="bottom"/>
            <w:tcBorders>
              <w:bottom w:val="single" w:sz="8" w:color="auto"/>
            </w:tcBorders>
            <w:shd w:val="clear" w:color="auto" w:fill="CFF0FC"/>
          </w:tcPr>
          <w:p>
            <w:pPr>
              <w:jc w:val="right"/>
              <w:ind w:right="690"/>
              <w:spacing w:after="0"/>
              <w:rPr>
                <w:sz w:val="20"/>
                <w:szCs w:val="20"/>
                <w:color w:val="auto"/>
              </w:rPr>
            </w:pPr>
            <w:r>
              <w:rPr>
                <w:rFonts w:ascii="Arial" w:cs="Arial" w:eastAsia="Arial" w:hAnsi="Arial"/>
                <w:sz w:val="10"/>
                <w:szCs w:val="10"/>
                <w:color w:val="auto"/>
                <w:w w:val="71"/>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434,443</w:t>
            </w:r>
          </w:p>
        </w:tc>
        <w:tc>
          <w:tcPr>
            <w:tcW w:w="120" w:type="dxa"/>
            <w:vAlign w:val="bottom"/>
            <w:tcBorders>
              <w:bottom w:val="single" w:sz="8" w:color="CFF0FC"/>
            </w:tcBorders>
            <w:shd w:val="clear" w:color="auto" w:fill="CFF0FC"/>
          </w:tcPr>
          <w:p>
            <w:pPr>
              <w:spacing w:after="0"/>
              <w:rPr>
                <w:sz w:val="12"/>
                <w:szCs w:val="12"/>
                <w:color w:val="auto"/>
              </w:rPr>
            </w:pPr>
          </w:p>
        </w:tc>
      </w:tr>
    </w:tbl>
    <w:p>
      <w:pPr>
        <w:spacing w:after="0" w:line="230" w:lineRule="exact"/>
        <w:rPr>
          <w:sz w:val="20"/>
          <w:szCs w:val="20"/>
          <w:color w:val="auto"/>
        </w:rPr>
      </w:pPr>
    </w:p>
    <w:p>
      <w:pPr>
        <w:ind w:left="588" w:hanging="588"/>
        <w:spacing w:after="0"/>
        <w:tabs>
          <w:tab w:leader="none" w:pos="588" w:val="left"/>
        </w:tabs>
        <w:numPr>
          <w:ilvl w:val="0"/>
          <w:numId w:val="31"/>
        </w:numPr>
        <w:rPr>
          <w:rFonts w:ascii="Arial" w:cs="Arial" w:eastAsia="Arial" w:hAnsi="Arial"/>
          <w:sz w:val="12"/>
          <w:szCs w:val="12"/>
          <w:b w:val="1"/>
          <w:bCs w:val="1"/>
          <w:color w:val="auto"/>
        </w:rPr>
      </w:pPr>
      <w:r>
        <w:rPr>
          <w:rFonts w:ascii="Arial" w:cs="Arial" w:eastAsia="Arial" w:hAnsi="Arial"/>
          <w:sz w:val="12"/>
          <w:szCs w:val="12"/>
          <w:b w:val="1"/>
          <w:bCs w:val="1"/>
          <w:color w:val="auto"/>
        </w:rPr>
        <w:t>Accrued Liabilities</w:t>
      </w:r>
    </w:p>
    <w:p>
      <w:pPr>
        <w:spacing w:after="0" w:line="82" w:lineRule="exact"/>
        <w:rPr>
          <w:rFonts w:ascii="Arial" w:cs="Arial" w:eastAsia="Arial" w:hAnsi="Arial"/>
          <w:sz w:val="12"/>
          <w:szCs w:val="12"/>
          <w:b w:val="1"/>
          <w:bCs w:val="1"/>
          <w:color w:val="auto"/>
        </w:rPr>
      </w:pPr>
    </w:p>
    <w:p>
      <w:pPr>
        <w:ind w:left="608"/>
        <w:spacing w:after="0"/>
        <w:rPr>
          <w:rFonts w:ascii="Arial" w:cs="Arial" w:eastAsia="Arial" w:hAnsi="Arial"/>
          <w:sz w:val="12"/>
          <w:szCs w:val="12"/>
          <w:b w:val="1"/>
          <w:bCs w:val="1"/>
          <w:color w:val="auto"/>
        </w:rPr>
      </w:pPr>
      <w:r>
        <w:rPr>
          <w:rFonts w:ascii="Arial" w:cs="Arial" w:eastAsia="Arial" w:hAnsi="Arial"/>
          <w:sz w:val="12"/>
          <w:szCs w:val="12"/>
          <w:color w:val="auto"/>
        </w:rPr>
        <w:t>Accrued liabilities consist of the following at December 31:</w:t>
      </w:r>
    </w:p>
    <w:p>
      <w:pPr>
        <w:spacing w:after="0" w:line="143" w:lineRule="exact"/>
        <w:rPr>
          <w:sz w:val="20"/>
          <w:szCs w:val="20"/>
          <w:color w:val="auto"/>
        </w:rPr>
      </w:pPr>
    </w:p>
    <w:tbl>
      <w:tblPr>
        <w:tblLayout w:type="fixed"/>
        <w:tblInd w:w="8" w:type="dxa"/>
        <w:tblCellMar>
          <w:top w:w="0" w:type="dxa"/>
          <w:left w:w="0" w:type="dxa"/>
          <w:bottom w:w="0" w:type="dxa"/>
          <w:right w:w="0" w:type="dxa"/>
        </w:tblCellMar>
      </w:tblPr>
      <w:tr>
        <w:trPr>
          <w:trHeight w:val="115"/>
        </w:trPr>
        <w:tc>
          <w:tcPr>
            <w:tcW w:w="7900" w:type="dxa"/>
            <w:vAlign w:val="bottom"/>
            <w:gridSpan w:val="2"/>
          </w:tcPr>
          <w:p>
            <w:pPr>
              <w:spacing w:after="0"/>
              <w:rPr>
                <w:sz w:val="20"/>
                <w:szCs w:val="20"/>
                <w:color w:val="auto"/>
              </w:rPr>
            </w:pPr>
            <w:r>
              <w:rPr>
                <w:rFonts w:ascii="Arial" w:cs="Arial" w:eastAsia="Arial" w:hAnsi="Arial"/>
                <w:sz w:val="10"/>
                <w:szCs w:val="10"/>
                <w:b w:val="1"/>
                <w:bCs w:val="1"/>
                <w:u w:val="single" w:color="auto"/>
                <w:color w:val="auto"/>
              </w:rPr>
              <w:t>(</w:t>
            </w:r>
            <w:r>
              <w:rPr>
                <w:rFonts w:ascii="Arial" w:cs="Arial" w:eastAsia="Arial" w:hAnsi="Arial"/>
                <w:sz w:val="10"/>
                <w:szCs w:val="10"/>
                <w:b w:val="1"/>
                <w:bCs w:val="1"/>
                <w:color w:val="auto"/>
              </w:rPr>
              <w:t>$ in thousands)</w:t>
            </w:r>
          </w:p>
        </w:tc>
        <w:tc>
          <w:tcPr>
            <w:tcW w:w="360" w:type="dxa"/>
            <w:vAlign w:val="bottom"/>
          </w:tcPr>
          <w:p>
            <w:pPr>
              <w:spacing w:after="0"/>
              <w:rPr>
                <w:sz w:val="10"/>
                <w:szCs w:val="10"/>
                <w:color w:val="auto"/>
              </w:rPr>
            </w:pPr>
          </w:p>
        </w:tc>
        <w:tc>
          <w:tcPr>
            <w:tcW w:w="1220" w:type="dxa"/>
            <w:vAlign w:val="bottom"/>
          </w:tcPr>
          <w:p>
            <w:pPr>
              <w:jc w:val="right"/>
              <w:ind w:right="641"/>
              <w:spacing w:after="0"/>
              <w:rPr>
                <w:sz w:val="20"/>
                <w:szCs w:val="20"/>
                <w:color w:val="auto"/>
              </w:rPr>
            </w:pPr>
            <w:r>
              <w:rPr>
                <w:rFonts w:ascii="Arial" w:cs="Arial" w:eastAsia="Arial" w:hAnsi="Arial"/>
                <w:sz w:val="10"/>
                <w:szCs w:val="10"/>
                <w:b w:val="1"/>
                <w:bCs w:val="1"/>
                <w:color w:val="auto"/>
              </w:rPr>
              <w:t>2019</w:t>
            </w:r>
          </w:p>
        </w:tc>
        <w:tc>
          <w:tcPr>
            <w:tcW w:w="2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20" w:type="dxa"/>
            <w:vAlign w:val="bottom"/>
          </w:tcPr>
          <w:p>
            <w:pPr>
              <w:jc w:val="right"/>
              <w:ind w:right="641"/>
              <w:spacing w:after="0"/>
              <w:rPr>
                <w:sz w:val="20"/>
                <w:szCs w:val="20"/>
                <w:color w:val="auto"/>
              </w:rPr>
            </w:pPr>
            <w:r>
              <w:rPr>
                <w:rFonts w:ascii="Arial" w:cs="Arial" w:eastAsia="Arial" w:hAnsi="Arial"/>
                <w:sz w:val="10"/>
                <w:szCs w:val="10"/>
                <w:b w:val="1"/>
                <w:bCs w:val="1"/>
                <w:color w:val="auto"/>
              </w:rPr>
              <w:t>2018</w:t>
            </w:r>
          </w:p>
        </w:tc>
        <w:tc>
          <w:tcPr>
            <w:tcW w:w="120" w:type="dxa"/>
            <w:vAlign w:val="bottom"/>
          </w:tcPr>
          <w:p>
            <w:pPr>
              <w:spacing w:after="0"/>
              <w:rPr>
                <w:sz w:val="10"/>
                <w:szCs w:val="10"/>
                <w:color w:val="auto"/>
              </w:rPr>
            </w:pPr>
          </w:p>
        </w:tc>
      </w:tr>
      <w:tr>
        <w:trPr>
          <w:trHeight w:val="20"/>
        </w:trPr>
        <w:tc>
          <w:tcPr>
            <w:tcW w:w="640" w:type="dxa"/>
            <w:vAlign w:val="bottom"/>
            <w:tcBorders>
              <w:bottom w:val="single" w:sz="8" w:color="CFF0FC"/>
            </w:tcBorders>
            <w:shd w:val="clear" w:color="auto" w:fill="000000"/>
          </w:tcPr>
          <w:p>
            <w:pPr>
              <w:spacing w:after="0" w:line="20" w:lineRule="exact"/>
              <w:rPr>
                <w:sz w:val="1"/>
                <w:szCs w:val="1"/>
                <w:color w:val="auto"/>
              </w:rPr>
            </w:pPr>
          </w:p>
        </w:tc>
        <w:tc>
          <w:tcPr>
            <w:tcW w:w="7260" w:type="dxa"/>
            <w:vAlign w:val="bottom"/>
            <w:tcBorders>
              <w:bottom w:val="single" w:sz="8" w:color="CFF0FC"/>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FF0FC"/>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r>
      <w:tr>
        <w:trPr>
          <w:trHeight w:val="131"/>
        </w:trPr>
        <w:tc>
          <w:tcPr>
            <w:tcW w:w="7900" w:type="dxa"/>
            <w:vAlign w:val="bottom"/>
            <w:gridSpan w:val="2"/>
            <w:shd w:val="clear" w:color="auto" w:fill="CFF0FC"/>
          </w:tcPr>
          <w:p>
            <w:pPr>
              <w:spacing w:after="0" w:line="132" w:lineRule="exact"/>
              <w:rPr>
                <w:sz w:val="20"/>
                <w:szCs w:val="20"/>
                <w:color w:val="auto"/>
              </w:rPr>
            </w:pPr>
            <w:r>
              <w:rPr>
                <w:rFonts w:ascii="Arial" w:cs="Arial" w:eastAsia="Arial" w:hAnsi="Arial"/>
                <w:sz w:val="12"/>
                <w:szCs w:val="12"/>
                <w:color w:val="auto"/>
              </w:rPr>
              <w:t>Accrued salaries and wages</w:t>
            </w:r>
          </w:p>
        </w:tc>
        <w:tc>
          <w:tcPr>
            <w:tcW w:w="360" w:type="dxa"/>
            <w:vAlign w:val="bottom"/>
            <w:shd w:val="clear" w:color="auto" w:fill="CFF0FC"/>
          </w:tcPr>
          <w:p>
            <w:pPr>
              <w:jc w:val="right"/>
              <w:ind w:right="250"/>
              <w:spacing w:after="0"/>
              <w:rPr>
                <w:sz w:val="20"/>
                <w:szCs w:val="20"/>
                <w:color w:val="auto"/>
              </w:rPr>
            </w:pPr>
            <w:r>
              <w:rPr>
                <w:rFonts w:ascii="Arial" w:cs="Arial" w:eastAsia="Arial" w:hAnsi="Arial"/>
                <w:sz w:val="10"/>
                <w:szCs w:val="10"/>
                <w:color w:val="auto"/>
                <w:w w:val="71"/>
              </w:rPr>
              <w:t>$</w:t>
            </w:r>
          </w:p>
        </w:tc>
        <w:tc>
          <w:tcPr>
            <w:tcW w:w="1220" w:type="dxa"/>
            <w:vAlign w:val="bottom"/>
            <w:shd w:val="clear" w:color="auto" w:fill="CFF0FC"/>
          </w:tcPr>
          <w:p>
            <w:pPr>
              <w:jc w:val="right"/>
              <w:spacing w:after="0" w:line="132" w:lineRule="exact"/>
              <w:rPr>
                <w:sz w:val="20"/>
                <w:szCs w:val="20"/>
                <w:color w:val="auto"/>
              </w:rPr>
            </w:pPr>
            <w:r>
              <w:rPr>
                <w:rFonts w:ascii="Arial" w:cs="Arial" w:eastAsia="Arial" w:hAnsi="Arial"/>
                <w:sz w:val="12"/>
                <w:szCs w:val="12"/>
                <w:color w:val="auto"/>
              </w:rPr>
              <w:t>10,319</w:t>
            </w:r>
          </w:p>
        </w:tc>
        <w:tc>
          <w:tcPr>
            <w:tcW w:w="660" w:type="dxa"/>
            <w:vAlign w:val="bottom"/>
            <w:gridSpan w:val="2"/>
            <w:shd w:val="clear" w:color="auto" w:fill="CFF0FC"/>
          </w:tcPr>
          <w:p>
            <w:pPr>
              <w:jc w:val="right"/>
              <w:ind w:right="270"/>
              <w:spacing w:after="0" w:line="132" w:lineRule="exact"/>
              <w:rPr>
                <w:sz w:val="20"/>
                <w:szCs w:val="20"/>
                <w:color w:val="auto"/>
              </w:rPr>
            </w:pPr>
            <w:r>
              <w:rPr>
                <w:rFonts w:ascii="Arial" w:cs="Arial" w:eastAsia="Arial" w:hAnsi="Arial"/>
                <w:sz w:val="12"/>
                <w:szCs w:val="12"/>
                <w:color w:val="auto"/>
              </w:rPr>
              <w:t>$</w:t>
            </w:r>
          </w:p>
        </w:tc>
        <w:tc>
          <w:tcPr>
            <w:tcW w:w="1220" w:type="dxa"/>
            <w:vAlign w:val="bottom"/>
            <w:shd w:val="clear" w:color="auto" w:fill="CFF0FC"/>
          </w:tcPr>
          <w:p>
            <w:pPr>
              <w:jc w:val="right"/>
              <w:spacing w:after="0" w:line="132" w:lineRule="exact"/>
              <w:rPr>
                <w:sz w:val="20"/>
                <w:szCs w:val="20"/>
                <w:color w:val="auto"/>
              </w:rPr>
            </w:pPr>
            <w:r>
              <w:rPr>
                <w:rFonts w:ascii="Arial" w:cs="Arial" w:eastAsia="Arial" w:hAnsi="Arial"/>
                <w:sz w:val="12"/>
                <w:szCs w:val="12"/>
                <w:color w:val="auto"/>
              </w:rPr>
              <w:t>8,340</w:t>
            </w:r>
          </w:p>
        </w:tc>
        <w:tc>
          <w:tcPr>
            <w:tcW w:w="120" w:type="dxa"/>
            <w:vAlign w:val="bottom"/>
            <w:shd w:val="clear" w:color="auto" w:fill="CFF0FC"/>
          </w:tcPr>
          <w:p>
            <w:pPr>
              <w:spacing w:after="0"/>
              <w:rPr>
                <w:sz w:val="11"/>
                <w:szCs w:val="11"/>
                <w:color w:val="auto"/>
              </w:rPr>
            </w:pPr>
          </w:p>
        </w:tc>
      </w:tr>
      <w:tr>
        <w:trPr>
          <w:trHeight w:val="153"/>
        </w:trPr>
        <w:tc>
          <w:tcPr>
            <w:tcW w:w="7900" w:type="dxa"/>
            <w:vAlign w:val="bottom"/>
            <w:gridSpan w:val="2"/>
          </w:tcPr>
          <w:p>
            <w:pPr>
              <w:spacing w:after="0"/>
              <w:rPr>
                <w:sz w:val="20"/>
                <w:szCs w:val="20"/>
                <w:color w:val="auto"/>
              </w:rPr>
            </w:pPr>
            <w:r>
              <w:rPr>
                <w:rFonts w:ascii="Arial" w:cs="Arial" w:eastAsia="Arial" w:hAnsi="Arial"/>
                <w:sz w:val="12"/>
                <w:szCs w:val="12"/>
                <w:color w:val="auto"/>
              </w:rPr>
              <w:t>Current portion of related party TRA liability</w:t>
            </w:r>
          </w:p>
        </w:tc>
        <w:tc>
          <w:tcPr>
            <w:tcW w:w="36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5,730</w:t>
            </w:r>
          </w:p>
        </w:tc>
        <w:tc>
          <w:tcPr>
            <w:tcW w:w="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r>
      <w:tr>
        <w:trPr>
          <w:trHeight w:val="153"/>
        </w:trPr>
        <w:tc>
          <w:tcPr>
            <w:tcW w:w="790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Current portion of operating lease liabilities</w:t>
            </w:r>
          </w:p>
        </w:tc>
        <w:tc>
          <w:tcPr>
            <w:tcW w:w="360" w:type="dxa"/>
            <w:vAlign w:val="bottom"/>
            <w:shd w:val="clear" w:color="auto" w:fill="CFF0FC"/>
          </w:tcPr>
          <w:p>
            <w:pPr>
              <w:spacing w:after="0"/>
              <w:rPr>
                <w:sz w:val="13"/>
                <w:szCs w:val="13"/>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2,970</w:t>
            </w:r>
          </w:p>
        </w:tc>
        <w:tc>
          <w:tcPr>
            <w:tcW w:w="28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134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w:t>
            </w:r>
          </w:p>
        </w:tc>
      </w:tr>
      <w:tr>
        <w:trPr>
          <w:trHeight w:val="153"/>
        </w:trPr>
        <w:tc>
          <w:tcPr>
            <w:tcW w:w="7900" w:type="dxa"/>
            <w:vAlign w:val="bottom"/>
            <w:gridSpan w:val="2"/>
          </w:tcPr>
          <w:p>
            <w:pPr>
              <w:spacing w:after="0"/>
              <w:rPr>
                <w:sz w:val="20"/>
                <w:szCs w:val="20"/>
                <w:color w:val="auto"/>
              </w:rPr>
            </w:pPr>
            <w:r>
              <w:rPr>
                <w:rFonts w:ascii="Arial" w:cs="Arial" w:eastAsia="Arial" w:hAnsi="Arial"/>
                <w:sz w:val="12"/>
                <w:szCs w:val="12"/>
                <w:color w:val="auto"/>
              </w:rPr>
              <w:t>Advanced deposits payable</w:t>
            </w:r>
          </w:p>
        </w:tc>
        <w:tc>
          <w:tcPr>
            <w:tcW w:w="36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2,875</w:t>
            </w:r>
          </w:p>
        </w:tc>
        <w:tc>
          <w:tcPr>
            <w:tcW w:w="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805</w:t>
            </w:r>
          </w:p>
        </w:tc>
        <w:tc>
          <w:tcPr>
            <w:tcW w:w="120" w:type="dxa"/>
            <w:vAlign w:val="bottom"/>
          </w:tcPr>
          <w:p>
            <w:pPr>
              <w:spacing w:after="0"/>
              <w:rPr>
                <w:sz w:val="13"/>
                <w:szCs w:val="13"/>
                <w:color w:val="auto"/>
              </w:rPr>
            </w:pPr>
          </w:p>
        </w:tc>
      </w:tr>
      <w:tr>
        <w:trPr>
          <w:trHeight w:val="153"/>
        </w:trPr>
        <w:tc>
          <w:tcPr>
            <w:tcW w:w="790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Restricted cash due to customers</w:t>
            </w:r>
          </w:p>
        </w:tc>
        <w:tc>
          <w:tcPr>
            <w:tcW w:w="360" w:type="dxa"/>
            <w:vAlign w:val="bottom"/>
            <w:shd w:val="clear" w:color="auto" w:fill="CFF0FC"/>
          </w:tcPr>
          <w:p>
            <w:pPr>
              <w:spacing w:after="0"/>
              <w:rPr>
                <w:sz w:val="13"/>
                <w:szCs w:val="13"/>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917</w:t>
            </w:r>
          </w:p>
        </w:tc>
        <w:tc>
          <w:tcPr>
            <w:tcW w:w="28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2,033</w:t>
            </w:r>
          </w:p>
        </w:tc>
        <w:tc>
          <w:tcPr>
            <w:tcW w:w="120" w:type="dxa"/>
            <w:vAlign w:val="bottom"/>
            <w:shd w:val="clear" w:color="auto" w:fill="CFF0FC"/>
          </w:tcPr>
          <w:p>
            <w:pPr>
              <w:spacing w:after="0"/>
              <w:rPr>
                <w:sz w:val="13"/>
                <w:szCs w:val="13"/>
                <w:color w:val="auto"/>
              </w:rPr>
            </w:pPr>
          </w:p>
        </w:tc>
      </w:tr>
      <w:tr>
        <w:trPr>
          <w:trHeight w:val="153"/>
        </w:trPr>
        <w:tc>
          <w:tcPr>
            <w:tcW w:w="7900" w:type="dxa"/>
            <w:vAlign w:val="bottom"/>
            <w:gridSpan w:val="2"/>
          </w:tcPr>
          <w:p>
            <w:pPr>
              <w:spacing w:after="0"/>
              <w:rPr>
                <w:sz w:val="20"/>
                <w:szCs w:val="20"/>
                <w:color w:val="auto"/>
              </w:rPr>
            </w:pPr>
            <w:r>
              <w:rPr>
                <w:rFonts w:ascii="Arial" w:cs="Arial" w:eastAsia="Arial" w:hAnsi="Arial"/>
                <w:sz w:val="12"/>
                <w:szCs w:val="12"/>
                <w:color w:val="auto"/>
              </w:rPr>
              <w:t>Accrued sales commissions</w:t>
            </w:r>
          </w:p>
        </w:tc>
        <w:tc>
          <w:tcPr>
            <w:tcW w:w="36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612</w:t>
            </w:r>
          </w:p>
        </w:tc>
        <w:tc>
          <w:tcPr>
            <w:tcW w:w="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463</w:t>
            </w:r>
          </w:p>
        </w:tc>
        <w:tc>
          <w:tcPr>
            <w:tcW w:w="120" w:type="dxa"/>
            <w:vAlign w:val="bottom"/>
          </w:tcPr>
          <w:p>
            <w:pPr>
              <w:spacing w:after="0"/>
              <w:rPr>
                <w:sz w:val="13"/>
                <w:szCs w:val="13"/>
                <w:color w:val="auto"/>
              </w:rPr>
            </w:pPr>
          </w:p>
        </w:tc>
      </w:tr>
      <w:tr>
        <w:trPr>
          <w:trHeight w:val="153"/>
        </w:trPr>
        <w:tc>
          <w:tcPr>
            <w:tcW w:w="790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Income taxes payable</w:t>
            </w:r>
          </w:p>
        </w:tc>
        <w:tc>
          <w:tcPr>
            <w:tcW w:w="360" w:type="dxa"/>
            <w:vAlign w:val="bottom"/>
            <w:shd w:val="clear" w:color="auto" w:fill="CFF0FC"/>
          </w:tcPr>
          <w:p>
            <w:pPr>
              <w:spacing w:after="0"/>
              <w:rPr>
                <w:sz w:val="13"/>
                <w:szCs w:val="13"/>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348</w:t>
            </w:r>
          </w:p>
        </w:tc>
        <w:tc>
          <w:tcPr>
            <w:tcW w:w="28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862</w:t>
            </w:r>
          </w:p>
        </w:tc>
        <w:tc>
          <w:tcPr>
            <w:tcW w:w="120" w:type="dxa"/>
            <w:vAlign w:val="bottom"/>
            <w:shd w:val="clear" w:color="auto" w:fill="CFF0FC"/>
          </w:tcPr>
          <w:p>
            <w:pPr>
              <w:spacing w:after="0"/>
              <w:rPr>
                <w:sz w:val="13"/>
                <w:szCs w:val="13"/>
                <w:color w:val="auto"/>
              </w:rPr>
            </w:pPr>
          </w:p>
        </w:tc>
      </w:tr>
      <w:tr>
        <w:trPr>
          <w:trHeight w:val="153"/>
        </w:trPr>
        <w:tc>
          <w:tcPr>
            <w:tcW w:w="7900" w:type="dxa"/>
            <w:vAlign w:val="bottom"/>
            <w:gridSpan w:val="2"/>
          </w:tcPr>
          <w:p>
            <w:pPr>
              <w:spacing w:after="0"/>
              <w:rPr>
                <w:sz w:val="20"/>
                <w:szCs w:val="20"/>
                <w:color w:val="auto"/>
              </w:rPr>
            </w:pPr>
            <w:r>
              <w:rPr>
                <w:rFonts w:ascii="Arial" w:cs="Arial" w:eastAsia="Arial" w:hAnsi="Arial"/>
                <w:sz w:val="12"/>
                <w:szCs w:val="12"/>
                <w:color w:val="auto"/>
              </w:rPr>
              <w:t>Accrued interest payable</w:t>
            </w:r>
          </w:p>
        </w:tc>
        <w:tc>
          <w:tcPr>
            <w:tcW w:w="36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210</w:t>
            </w:r>
          </w:p>
        </w:tc>
        <w:tc>
          <w:tcPr>
            <w:tcW w:w="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232</w:t>
            </w:r>
          </w:p>
        </w:tc>
        <w:tc>
          <w:tcPr>
            <w:tcW w:w="120" w:type="dxa"/>
            <w:vAlign w:val="bottom"/>
          </w:tcPr>
          <w:p>
            <w:pPr>
              <w:spacing w:after="0"/>
              <w:rPr>
                <w:sz w:val="13"/>
                <w:szCs w:val="13"/>
                <w:color w:val="auto"/>
              </w:rPr>
            </w:pPr>
          </w:p>
        </w:tc>
      </w:tr>
      <w:tr>
        <w:trPr>
          <w:trHeight w:val="153"/>
        </w:trPr>
        <w:tc>
          <w:tcPr>
            <w:tcW w:w="790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Deferred rent</w:t>
            </w:r>
          </w:p>
        </w:tc>
        <w:tc>
          <w:tcPr>
            <w:tcW w:w="360" w:type="dxa"/>
            <w:vAlign w:val="bottom"/>
            <w:shd w:val="clear" w:color="auto" w:fill="CFF0FC"/>
          </w:tcPr>
          <w:p>
            <w:pPr>
              <w:spacing w:after="0"/>
              <w:rPr>
                <w:sz w:val="13"/>
                <w:szCs w:val="13"/>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8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523</w:t>
            </w:r>
          </w:p>
        </w:tc>
        <w:tc>
          <w:tcPr>
            <w:tcW w:w="120" w:type="dxa"/>
            <w:vAlign w:val="bottom"/>
            <w:shd w:val="clear" w:color="auto" w:fill="CFF0FC"/>
          </w:tcPr>
          <w:p>
            <w:pPr>
              <w:spacing w:after="0"/>
              <w:rPr>
                <w:sz w:val="13"/>
                <w:szCs w:val="13"/>
                <w:color w:val="auto"/>
              </w:rPr>
            </w:pPr>
          </w:p>
        </w:tc>
      </w:tr>
      <w:tr>
        <w:trPr>
          <w:trHeight w:val="153"/>
        </w:trPr>
        <w:tc>
          <w:tcPr>
            <w:tcW w:w="7900" w:type="dxa"/>
            <w:vAlign w:val="bottom"/>
            <w:tcBorders>
              <w:bottom w:val="single" w:sz="8" w:color="CFF0FC"/>
            </w:tcBorders>
            <w:gridSpan w:val="2"/>
          </w:tcPr>
          <w:p>
            <w:pPr>
              <w:spacing w:after="0"/>
              <w:rPr>
                <w:sz w:val="20"/>
                <w:szCs w:val="20"/>
                <w:color w:val="auto"/>
              </w:rPr>
            </w:pPr>
            <w:r>
              <w:rPr>
                <w:rFonts w:ascii="Arial" w:cs="Arial" w:eastAsia="Arial" w:hAnsi="Arial"/>
                <w:sz w:val="12"/>
                <w:szCs w:val="12"/>
                <w:color w:val="auto"/>
              </w:rPr>
              <w:t>Other</w:t>
            </w:r>
          </w:p>
        </w:tc>
        <w:tc>
          <w:tcPr>
            <w:tcW w:w="3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1,296</w:t>
            </w:r>
          </w:p>
        </w:tc>
        <w:tc>
          <w:tcPr>
            <w:tcW w:w="280" w:type="dxa"/>
            <w:vAlign w:val="bottom"/>
            <w:tcBorders>
              <w:bottom w:val="single" w:sz="8" w:color="CFF0FC"/>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1,186</w:t>
            </w:r>
          </w:p>
        </w:tc>
        <w:tc>
          <w:tcPr>
            <w:tcW w:w="120" w:type="dxa"/>
            <w:vAlign w:val="bottom"/>
            <w:tcBorders>
              <w:bottom w:val="single" w:sz="8" w:color="CFF0FC"/>
            </w:tcBorders>
          </w:tcPr>
          <w:p>
            <w:pPr>
              <w:spacing w:after="0"/>
              <w:rPr>
                <w:sz w:val="13"/>
                <w:szCs w:val="13"/>
                <w:color w:val="auto"/>
              </w:rPr>
            </w:pPr>
          </w:p>
        </w:tc>
      </w:tr>
      <w:tr>
        <w:trPr>
          <w:trHeight w:val="149"/>
        </w:trPr>
        <w:tc>
          <w:tcPr>
            <w:tcW w:w="7900" w:type="dxa"/>
            <w:vAlign w:val="bottom"/>
            <w:tcBorders>
              <w:bottom w:val="single" w:sz="8" w:color="CFF0FC"/>
            </w:tcBorders>
            <w:gridSpan w:val="2"/>
            <w:shd w:val="clear" w:color="auto" w:fill="CFF0FC"/>
          </w:tcPr>
          <w:p>
            <w:pPr>
              <w:ind w:left="80"/>
              <w:spacing w:after="0"/>
              <w:rPr>
                <w:sz w:val="20"/>
                <w:szCs w:val="20"/>
                <w:color w:val="auto"/>
              </w:rPr>
            </w:pPr>
            <w:r>
              <w:rPr>
                <w:rFonts w:ascii="Arial" w:cs="Arial" w:eastAsia="Arial" w:hAnsi="Arial"/>
                <w:sz w:val="12"/>
                <w:szCs w:val="12"/>
                <w:color w:val="auto"/>
              </w:rPr>
              <w:t>Total accrued liabilities</w:t>
            </w:r>
          </w:p>
        </w:tc>
        <w:tc>
          <w:tcPr>
            <w:tcW w:w="360" w:type="dxa"/>
            <w:vAlign w:val="bottom"/>
            <w:tcBorders>
              <w:bottom w:val="single" w:sz="8" w:color="auto"/>
            </w:tcBorders>
            <w:shd w:val="clear" w:color="auto" w:fill="CFF0FC"/>
          </w:tcPr>
          <w:p>
            <w:pPr>
              <w:jc w:val="right"/>
              <w:ind w:right="250"/>
              <w:spacing w:after="0"/>
              <w:rPr>
                <w:sz w:val="20"/>
                <w:szCs w:val="20"/>
                <w:color w:val="auto"/>
              </w:rPr>
            </w:pPr>
            <w:r>
              <w:rPr>
                <w:rFonts w:ascii="Arial" w:cs="Arial" w:eastAsia="Arial" w:hAnsi="Arial"/>
                <w:sz w:val="10"/>
                <w:szCs w:val="10"/>
                <w:color w:val="auto"/>
                <w:w w:val="71"/>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25,277</w:t>
            </w:r>
          </w:p>
        </w:tc>
        <w:tc>
          <w:tcPr>
            <w:tcW w:w="280" w:type="dxa"/>
            <w:vAlign w:val="bottom"/>
            <w:tcBorders>
              <w:bottom w:val="single" w:sz="8" w:color="CFF0FC"/>
            </w:tcBorders>
            <w:shd w:val="clear" w:color="auto" w:fill="CFF0FC"/>
          </w:tcPr>
          <w:p>
            <w:pPr>
              <w:spacing w:after="0"/>
              <w:rPr>
                <w:sz w:val="12"/>
                <w:szCs w:val="12"/>
                <w:color w:val="auto"/>
              </w:rPr>
            </w:pPr>
          </w:p>
        </w:tc>
        <w:tc>
          <w:tcPr>
            <w:tcW w:w="380" w:type="dxa"/>
            <w:vAlign w:val="bottom"/>
            <w:tcBorders>
              <w:bottom w:val="single" w:sz="8" w:color="auto"/>
            </w:tcBorders>
            <w:shd w:val="clear" w:color="auto" w:fill="CFF0FC"/>
          </w:tcPr>
          <w:p>
            <w:pPr>
              <w:jc w:val="right"/>
              <w:ind w:right="270"/>
              <w:spacing w:after="0"/>
              <w:rPr>
                <w:sz w:val="20"/>
                <w:szCs w:val="20"/>
                <w:color w:val="auto"/>
              </w:rPr>
            </w:pPr>
            <w:r>
              <w:rPr>
                <w:rFonts w:ascii="Arial" w:cs="Arial" w:eastAsia="Arial" w:hAnsi="Arial"/>
                <w:sz w:val="10"/>
                <w:szCs w:val="10"/>
                <w:color w:val="auto"/>
                <w:w w:val="71"/>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14,444</w:t>
            </w:r>
          </w:p>
        </w:tc>
        <w:tc>
          <w:tcPr>
            <w:tcW w:w="120" w:type="dxa"/>
            <w:vAlign w:val="bottom"/>
            <w:tcBorders>
              <w:bottom w:val="single" w:sz="8" w:color="CFF0FC"/>
            </w:tcBorders>
            <w:shd w:val="clear" w:color="auto" w:fill="CFF0FC"/>
          </w:tcPr>
          <w:p>
            <w:pPr>
              <w:spacing w:after="0"/>
              <w:rPr>
                <w:sz w:val="12"/>
                <w:szCs w:val="12"/>
                <w:color w:val="auto"/>
              </w:rPr>
            </w:pPr>
          </w:p>
        </w:tc>
      </w:tr>
    </w:tbl>
    <w:p>
      <w:pPr>
        <w:spacing w:after="0" w:line="230" w:lineRule="exact"/>
        <w:rPr>
          <w:sz w:val="20"/>
          <w:szCs w:val="20"/>
          <w:color w:val="auto"/>
        </w:rPr>
      </w:pPr>
    </w:p>
    <w:p>
      <w:pPr>
        <w:ind w:left="588" w:hanging="588"/>
        <w:spacing w:after="0"/>
        <w:tabs>
          <w:tab w:leader="none" w:pos="588" w:val="left"/>
        </w:tabs>
        <w:numPr>
          <w:ilvl w:val="0"/>
          <w:numId w:val="32"/>
        </w:numPr>
        <w:rPr>
          <w:rFonts w:ascii="Arial" w:cs="Arial" w:eastAsia="Arial" w:hAnsi="Arial"/>
          <w:sz w:val="12"/>
          <w:szCs w:val="12"/>
          <w:b w:val="1"/>
          <w:bCs w:val="1"/>
          <w:color w:val="auto"/>
        </w:rPr>
      </w:pPr>
      <w:r>
        <w:rPr>
          <w:rFonts w:ascii="Arial" w:cs="Arial" w:eastAsia="Arial" w:hAnsi="Arial"/>
          <w:sz w:val="12"/>
          <w:szCs w:val="12"/>
          <w:b w:val="1"/>
          <w:bCs w:val="1"/>
          <w:color w:val="auto"/>
        </w:rPr>
        <w:t>Asset Retirement Obligation</w:t>
      </w:r>
    </w:p>
    <w:p>
      <w:pPr>
        <w:spacing w:after="0" w:line="82" w:lineRule="exact"/>
        <w:rPr>
          <w:rFonts w:ascii="Arial" w:cs="Arial" w:eastAsia="Arial" w:hAnsi="Arial"/>
          <w:sz w:val="12"/>
          <w:szCs w:val="12"/>
          <w:b w:val="1"/>
          <w:bCs w:val="1"/>
          <w:color w:val="auto"/>
        </w:rPr>
      </w:pPr>
    </w:p>
    <w:p>
      <w:pPr>
        <w:ind w:left="608"/>
        <w:spacing w:after="0"/>
        <w:rPr>
          <w:rFonts w:ascii="Arial" w:cs="Arial" w:eastAsia="Arial" w:hAnsi="Arial"/>
          <w:sz w:val="12"/>
          <w:szCs w:val="12"/>
          <w:b w:val="1"/>
          <w:bCs w:val="1"/>
          <w:color w:val="auto"/>
        </w:rPr>
      </w:pPr>
      <w:r>
        <w:rPr>
          <w:rFonts w:ascii="Arial" w:cs="Arial" w:eastAsia="Arial" w:hAnsi="Arial"/>
          <w:sz w:val="12"/>
          <w:szCs w:val="12"/>
          <w:color w:val="auto"/>
        </w:rPr>
        <w:t>The following table summarizes changes in the Company’s asset retirement obligation for the years ended December 31:</w:t>
      </w:r>
    </w:p>
    <w:p>
      <w:pPr>
        <w:spacing w:after="0" w:line="296" w:lineRule="exact"/>
        <w:rPr>
          <w:sz w:val="20"/>
          <w:szCs w:val="20"/>
          <w:color w:val="auto"/>
        </w:rPr>
      </w:pPr>
    </w:p>
    <w:tbl>
      <w:tblPr>
        <w:tblLayout w:type="fixed"/>
        <w:tblInd w:w="8" w:type="dxa"/>
        <w:tblCellMar>
          <w:top w:w="0" w:type="dxa"/>
          <w:left w:w="0" w:type="dxa"/>
          <w:bottom w:w="0" w:type="dxa"/>
          <w:right w:w="0" w:type="dxa"/>
        </w:tblCellMar>
      </w:tblPr>
      <w:tr>
        <w:trPr>
          <w:trHeight w:val="115"/>
        </w:trPr>
        <w:tc>
          <w:tcPr>
            <w:tcW w:w="7900" w:type="dxa"/>
            <w:vAlign w:val="bottom"/>
            <w:gridSpan w:val="2"/>
          </w:tcPr>
          <w:p>
            <w:pPr>
              <w:spacing w:after="0"/>
              <w:rPr>
                <w:sz w:val="20"/>
                <w:szCs w:val="20"/>
                <w:color w:val="auto"/>
              </w:rPr>
            </w:pPr>
            <w:r>
              <w:rPr>
                <w:rFonts w:ascii="Arial" w:cs="Arial" w:eastAsia="Arial" w:hAnsi="Arial"/>
                <w:sz w:val="10"/>
                <w:szCs w:val="10"/>
                <w:b w:val="1"/>
                <w:bCs w:val="1"/>
                <w:u w:val="single" w:color="auto"/>
                <w:color w:val="auto"/>
              </w:rPr>
              <w:t>(</w:t>
            </w:r>
            <w:r>
              <w:rPr>
                <w:rFonts w:ascii="Arial" w:cs="Arial" w:eastAsia="Arial" w:hAnsi="Arial"/>
                <w:sz w:val="10"/>
                <w:szCs w:val="10"/>
                <w:b w:val="1"/>
                <w:bCs w:val="1"/>
                <w:color w:val="auto"/>
              </w:rPr>
              <w:t>$ in thousands)</w:t>
            </w:r>
          </w:p>
        </w:tc>
        <w:tc>
          <w:tcPr>
            <w:tcW w:w="360" w:type="dxa"/>
            <w:vAlign w:val="bottom"/>
          </w:tcPr>
          <w:p>
            <w:pPr>
              <w:spacing w:after="0"/>
              <w:rPr>
                <w:sz w:val="10"/>
                <w:szCs w:val="10"/>
                <w:color w:val="auto"/>
              </w:rPr>
            </w:pPr>
          </w:p>
        </w:tc>
        <w:tc>
          <w:tcPr>
            <w:tcW w:w="1220" w:type="dxa"/>
            <w:vAlign w:val="bottom"/>
          </w:tcPr>
          <w:p>
            <w:pPr>
              <w:jc w:val="right"/>
              <w:ind w:right="642"/>
              <w:spacing w:after="0"/>
              <w:rPr>
                <w:sz w:val="20"/>
                <w:szCs w:val="20"/>
                <w:color w:val="auto"/>
              </w:rPr>
            </w:pPr>
            <w:r>
              <w:rPr>
                <w:rFonts w:ascii="Arial" w:cs="Arial" w:eastAsia="Arial" w:hAnsi="Arial"/>
                <w:sz w:val="10"/>
                <w:szCs w:val="10"/>
                <w:b w:val="1"/>
                <w:bCs w:val="1"/>
                <w:color w:val="auto"/>
              </w:rPr>
              <w:t>2019</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20" w:type="dxa"/>
            <w:vAlign w:val="bottom"/>
          </w:tcPr>
          <w:p>
            <w:pPr>
              <w:jc w:val="right"/>
              <w:ind w:right="642"/>
              <w:spacing w:after="0"/>
              <w:rPr>
                <w:sz w:val="20"/>
                <w:szCs w:val="20"/>
                <w:color w:val="auto"/>
              </w:rPr>
            </w:pPr>
            <w:r>
              <w:rPr>
                <w:rFonts w:ascii="Arial" w:cs="Arial" w:eastAsia="Arial" w:hAnsi="Arial"/>
                <w:sz w:val="10"/>
                <w:szCs w:val="10"/>
                <w:b w:val="1"/>
                <w:bCs w:val="1"/>
                <w:color w:val="auto"/>
              </w:rPr>
              <w:t>2018</w:t>
            </w:r>
          </w:p>
        </w:tc>
        <w:tc>
          <w:tcPr>
            <w:tcW w:w="120" w:type="dxa"/>
            <w:vAlign w:val="bottom"/>
          </w:tcPr>
          <w:p>
            <w:pPr>
              <w:spacing w:after="0"/>
              <w:rPr>
                <w:sz w:val="10"/>
                <w:szCs w:val="10"/>
                <w:color w:val="auto"/>
              </w:rPr>
            </w:pPr>
          </w:p>
        </w:tc>
      </w:tr>
      <w:tr>
        <w:trPr>
          <w:trHeight w:val="20"/>
        </w:trPr>
        <w:tc>
          <w:tcPr>
            <w:tcW w:w="640" w:type="dxa"/>
            <w:vAlign w:val="bottom"/>
            <w:tcBorders>
              <w:bottom w:val="single" w:sz="8" w:color="CFF0FC"/>
            </w:tcBorders>
            <w:shd w:val="clear" w:color="auto" w:fill="000000"/>
          </w:tcPr>
          <w:p>
            <w:pPr>
              <w:spacing w:after="0" w:line="20" w:lineRule="exact"/>
              <w:rPr>
                <w:sz w:val="1"/>
                <w:szCs w:val="1"/>
                <w:color w:val="auto"/>
              </w:rPr>
            </w:pPr>
          </w:p>
        </w:tc>
        <w:tc>
          <w:tcPr>
            <w:tcW w:w="7260" w:type="dxa"/>
            <w:vAlign w:val="bottom"/>
            <w:tcBorders>
              <w:bottom w:val="single" w:sz="8" w:color="CFF0FC"/>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FF0FC"/>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r>
      <w:tr>
        <w:trPr>
          <w:trHeight w:val="131"/>
        </w:trPr>
        <w:tc>
          <w:tcPr>
            <w:tcW w:w="7900" w:type="dxa"/>
            <w:vAlign w:val="bottom"/>
            <w:gridSpan w:val="2"/>
            <w:shd w:val="clear" w:color="auto" w:fill="CFF0FC"/>
          </w:tcPr>
          <w:p>
            <w:pPr>
              <w:spacing w:after="0" w:line="132" w:lineRule="exact"/>
              <w:rPr>
                <w:sz w:val="20"/>
                <w:szCs w:val="20"/>
                <w:color w:val="auto"/>
              </w:rPr>
            </w:pPr>
            <w:r>
              <w:rPr>
                <w:rFonts w:ascii="Arial" w:cs="Arial" w:eastAsia="Arial" w:hAnsi="Arial"/>
                <w:sz w:val="12"/>
                <w:szCs w:val="12"/>
                <w:color w:val="auto"/>
              </w:rPr>
              <w:t>Asset retirement obligation, beginning balance</w:t>
            </w:r>
          </w:p>
        </w:tc>
        <w:tc>
          <w:tcPr>
            <w:tcW w:w="360" w:type="dxa"/>
            <w:vAlign w:val="bottom"/>
            <w:shd w:val="clear" w:color="auto" w:fill="CFF0FC"/>
          </w:tcPr>
          <w:p>
            <w:pPr>
              <w:jc w:val="right"/>
              <w:ind w:right="250"/>
              <w:spacing w:after="0"/>
              <w:rPr>
                <w:sz w:val="20"/>
                <w:szCs w:val="20"/>
                <w:color w:val="auto"/>
              </w:rPr>
            </w:pPr>
            <w:r>
              <w:rPr>
                <w:rFonts w:ascii="Arial" w:cs="Arial" w:eastAsia="Arial" w:hAnsi="Arial"/>
                <w:sz w:val="10"/>
                <w:szCs w:val="10"/>
                <w:color w:val="auto"/>
                <w:w w:val="71"/>
              </w:rPr>
              <w:t>$</w:t>
            </w:r>
          </w:p>
        </w:tc>
        <w:tc>
          <w:tcPr>
            <w:tcW w:w="1220" w:type="dxa"/>
            <w:vAlign w:val="bottom"/>
            <w:shd w:val="clear" w:color="auto" w:fill="CFF0FC"/>
          </w:tcPr>
          <w:p>
            <w:pPr>
              <w:jc w:val="right"/>
              <w:spacing w:after="0" w:line="132" w:lineRule="exact"/>
              <w:rPr>
                <w:sz w:val="20"/>
                <w:szCs w:val="20"/>
                <w:color w:val="auto"/>
              </w:rPr>
            </w:pPr>
            <w:r>
              <w:rPr>
                <w:rFonts w:ascii="Arial" w:cs="Arial" w:eastAsia="Arial" w:hAnsi="Arial"/>
                <w:sz w:val="12"/>
                <w:szCs w:val="12"/>
                <w:color w:val="auto"/>
              </w:rPr>
              <w:t>6,750</w:t>
            </w:r>
          </w:p>
        </w:tc>
        <w:tc>
          <w:tcPr>
            <w:tcW w:w="160" w:type="dxa"/>
            <w:vAlign w:val="bottom"/>
            <w:shd w:val="clear" w:color="auto" w:fill="CFF0FC"/>
          </w:tcPr>
          <w:p>
            <w:pPr>
              <w:spacing w:after="0"/>
              <w:rPr>
                <w:sz w:val="11"/>
                <w:szCs w:val="11"/>
                <w:color w:val="auto"/>
              </w:rPr>
            </w:pPr>
          </w:p>
        </w:tc>
        <w:tc>
          <w:tcPr>
            <w:tcW w:w="500" w:type="dxa"/>
            <w:vAlign w:val="bottom"/>
            <w:gridSpan w:val="2"/>
            <w:shd w:val="clear" w:color="auto" w:fill="CFF0FC"/>
          </w:tcPr>
          <w:p>
            <w:pPr>
              <w:jc w:val="right"/>
              <w:ind w:right="270"/>
              <w:spacing w:after="0" w:line="132" w:lineRule="exact"/>
              <w:rPr>
                <w:sz w:val="20"/>
                <w:szCs w:val="20"/>
                <w:color w:val="auto"/>
              </w:rPr>
            </w:pPr>
            <w:r>
              <w:rPr>
                <w:rFonts w:ascii="Arial" w:cs="Arial" w:eastAsia="Arial" w:hAnsi="Arial"/>
                <w:sz w:val="12"/>
                <w:szCs w:val="12"/>
                <w:color w:val="auto"/>
              </w:rPr>
              <w:t>$</w:t>
            </w:r>
          </w:p>
        </w:tc>
        <w:tc>
          <w:tcPr>
            <w:tcW w:w="1220" w:type="dxa"/>
            <w:vAlign w:val="bottom"/>
            <w:shd w:val="clear" w:color="auto" w:fill="CFF0FC"/>
          </w:tcPr>
          <w:p>
            <w:pPr>
              <w:jc w:val="right"/>
              <w:spacing w:after="0" w:line="132" w:lineRule="exact"/>
              <w:rPr>
                <w:sz w:val="20"/>
                <w:szCs w:val="20"/>
                <w:color w:val="auto"/>
              </w:rPr>
            </w:pPr>
            <w:r>
              <w:rPr>
                <w:rFonts w:ascii="Arial" w:cs="Arial" w:eastAsia="Arial" w:hAnsi="Arial"/>
                <w:sz w:val="12"/>
                <w:szCs w:val="12"/>
                <w:color w:val="auto"/>
              </w:rPr>
              <w:t>6,373</w:t>
            </w:r>
          </w:p>
        </w:tc>
        <w:tc>
          <w:tcPr>
            <w:tcW w:w="120" w:type="dxa"/>
            <w:vAlign w:val="bottom"/>
            <w:shd w:val="clear" w:color="auto" w:fill="CFF0FC"/>
          </w:tcPr>
          <w:p>
            <w:pPr>
              <w:spacing w:after="0"/>
              <w:rPr>
                <w:sz w:val="11"/>
                <w:szCs w:val="11"/>
                <w:color w:val="auto"/>
              </w:rPr>
            </w:pPr>
          </w:p>
        </w:tc>
      </w:tr>
      <w:tr>
        <w:trPr>
          <w:trHeight w:val="153"/>
        </w:trPr>
        <w:tc>
          <w:tcPr>
            <w:tcW w:w="7900" w:type="dxa"/>
            <w:vAlign w:val="bottom"/>
            <w:gridSpan w:val="2"/>
          </w:tcPr>
          <w:p>
            <w:pPr>
              <w:spacing w:after="0"/>
              <w:rPr>
                <w:sz w:val="20"/>
                <w:szCs w:val="20"/>
                <w:color w:val="auto"/>
              </w:rPr>
            </w:pPr>
            <w:r>
              <w:rPr>
                <w:rFonts w:ascii="Arial" w:cs="Arial" w:eastAsia="Arial" w:hAnsi="Arial"/>
                <w:sz w:val="12"/>
                <w:szCs w:val="12"/>
                <w:color w:val="auto"/>
              </w:rPr>
              <w:t>Liabilities incurred</w:t>
            </w:r>
          </w:p>
        </w:tc>
        <w:tc>
          <w:tcPr>
            <w:tcW w:w="36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230</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147</w:t>
            </w:r>
          </w:p>
        </w:tc>
        <w:tc>
          <w:tcPr>
            <w:tcW w:w="120" w:type="dxa"/>
            <w:vAlign w:val="bottom"/>
          </w:tcPr>
          <w:p>
            <w:pPr>
              <w:spacing w:after="0"/>
              <w:rPr>
                <w:sz w:val="13"/>
                <w:szCs w:val="13"/>
                <w:color w:val="auto"/>
              </w:rPr>
            </w:pPr>
          </w:p>
        </w:tc>
      </w:tr>
      <w:tr>
        <w:trPr>
          <w:trHeight w:val="153"/>
        </w:trPr>
        <w:tc>
          <w:tcPr>
            <w:tcW w:w="790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Accretion expense</w:t>
            </w:r>
          </w:p>
        </w:tc>
        <w:tc>
          <w:tcPr>
            <w:tcW w:w="360" w:type="dxa"/>
            <w:vAlign w:val="bottom"/>
            <w:shd w:val="clear" w:color="auto" w:fill="CFF0FC"/>
          </w:tcPr>
          <w:p>
            <w:pPr>
              <w:spacing w:after="0"/>
              <w:rPr>
                <w:sz w:val="13"/>
                <w:szCs w:val="13"/>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350</w:t>
            </w:r>
          </w:p>
        </w:tc>
        <w:tc>
          <w:tcPr>
            <w:tcW w:w="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396</w:t>
            </w:r>
          </w:p>
        </w:tc>
        <w:tc>
          <w:tcPr>
            <w:tcW w:w="120" w:type="dxa"/>
            <w:vAlign w:val="bottom"/>
            <w:shd w:val="clear" w:color="auto" w:fill="CFF0FC"/>
          </w:tcPr>
          <w:p>
            <w:pPr>
              <w:spacing w:after="0"/>
              <w:rPr>
                <w:sz w:val="13"/>
                <w:szCs w:val="13"/>
                <w:color w:val="auto"/>
              </w:rPr>
            </w:pPr>
          </w:p>
        </w:tc>
      </w:tr>
      <w:tr>
        <w:trPr>
          <w:trHeight w:val="153"/>
        </w:trPr>
        <w:tc>
          <w:tcPr>
            <w:tcW w:w="7900" w:type="dxa"/>
            <w:vAlign w:val="bottom"/>
            <w:gridSpan w:val="2"/>
          </w:tcPr>
          <w:p>
            <w:pPr>
              <w:spacing w:after="0"/>
              <w:rPr>
                <w:sz w:val="20"/>
                <w:szCs w:val="20"/>
                <w:color w:val="auto"/>
              </w:rPr>
            </w:pPr>
            <w:r>
              <w:rPr>
                <w:rFonts w:ascii="Arial" w:cs="Arial" w:eastAsia="Arial" w:hAnsi="Arial"/>
                <w:sz w:val="12"/>
                <w:szCs w:val="12"/>
                <w:color w:val="auto"/>
              </w:rPr>
              <w:t>Liabilities settled</w:t>
            </w:r>
          </w:p>
        </w:tc>
        <w:tc>
          <w:tcPr>
            <w:tcW w:w="360" w:type="dxa"/>
            <w:vAlign w:val="bottom"/>
          </w:tcPr>
          <w:p>
            <w:pPr>
              <w:spacing w:after="0"/>
              <w:rPr>
                <w:sz w:val="13"/>
                <w:szCs w:val="13"/>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2"/>
                <w:szCs w:val="12"/>
                <w:color w:val="auto"/>
              </w:rPr>
              <w:t>(1,021)</w:t>
            </w: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2"/>
                <w:szCs w:val="12"/>
                <w:color w:val="auto"/>
              </w:rPr>
              <w:t>(166)</w:t>
            </w:r>
          </w:p>
        </w:tc>
      </w:tr>
      <w:tr>
        <w:trPr>
          <w:trHeight w:val="149"/>
        </w:trPr>
        <w:tc>
          <w:tcPr>
            <w:tcW w:w="790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2"/>
                <w:szCs w:val="12"/>
                <w:color w:val="auto"/>
              </w:rPr>
              <w:t>Asset retirement obligation, ending balance</w:t>
            </w:r>
          </w:p>
        </w:tc>
        <w:tc>
          <w:tcPr>
            <w:tcW w:w="360" w:type="dxa"/>
            <w:vAlign w:val="bottom"/>
            <w:tcBorders>
              <w:top w:val="single" w:sz="8" w:color="auto"/>
              <w:bottom w:val="single" w:sz="8" w:color="auto"/>
            </w:tcBorders>
            <w:shd w:val="clear" w:color="auto" w:fill="CFF0FC"/>
          </w:tcPr>
          <w:p>
            <w:pPr>
              <w:jc w:val="right"/>
              <w:ind w:right="250"/>
              <w:spacing w:after="0"/>
              <w:rPr>
                <w:sz w:val="20"/>
                <w:szCs w:val="20"/>
                <w:color w:val="auto"/>
              </w:rPr>
            </w:pPr>
            <w:r>
              <w:rPr>
                <w:rFonts w:ascii="Arial" w:cs="Arial" w:eastAsia="Arial" w:hAnsi="Arial"/>
                <w:sz w:val="10"/>
                <w:szCs w:val="10"/>
                <w:color w:val="auto"/>
                <w:w w:val="71"/>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6,309</w:t>
            </w:r>
          </w:p>
        </w:tc>
        <w:tc>
          <w:tcPr>
            <w:tcW w:w="160" w:type="dxa"/>
            <w:vAlign w:val="bottom"/>
            <w:tcBorders>
              <w:top w:val="single" w:sz="8" w:color="CFF0FC"/>
              <w:bottom w:val="single" w:sz="8" w:color="CFF0FC"/>
            </w:tcBorders>
            <w:shd w:val="clear" w:color="auto" w:fill="CFF0FC"/>
          </w:tcPr>
          <w:p>
            <w:pPr>
              <w:spacing w:after="0"/>
              <w:rPr>
                <w:sz w:val="12"/>
                <w:szCs w:val="12"/>
                <w:color w:val="auto"/>
              </w:rPr>
            </w:pPr>
          </w:p>
        </w:tc>
        <w:tc>
          <w:tcPr>
            <w:tcW w:w="120" w:type="dxa"/>
            <w:vAlign w:val="bottom"/>
            <w:tcBorders>
              <w:top w:val="single" w:sz="8" w:color="CFF0FC"/>
              <w:bottom w:val="single" w:sz="8" w:color="CFF0FC"/>
            </w:tcBorders>
            <w:shd w:val="clear" w:color="auto" w:fill="CFF0FC"/>
          </w:tcPr>
          <w:p>
            <w:pPr>
              <w:spacing w:after="0"/>
              <w:rPr>
                <w:sz w:val="12"/>
                <w:szCs w:val="12"/>
                <w:color w:val="auto"/>
              </w:rPr>
            </w:pPr>
          </w:p>
        </w:tc>
        <w:tc>
          <w:tcPr>
            <w:tcW w:w="380" w:type="dxa"/>
            <w:vAlign w:val="bottom"/>
            <w:tcBorders>
              <w:top w:val="single" w:sz="8" w:color="auto"/>
              <w:bottom w:val="single" w:sz="8" w:color="auto"/>
            </w:tcBorders>
            <w:shd w:val="clear" w:color="auto" w:fill="CFF0FC"/>
          </w:tcPr>
          <w:p>
            <w:pPr>
              <w:jc w:val="right"/>
              <w:ind w:right="270"/>
              <w:spacing w:after="0"/>
              <w:rPr>
                <w:sz w:val="20"/>
                <w:szCs w:val="20"/>
                <w:color w:val="auto"/>
              </w:rPr>
            </w:pPr>
            <w:r>
              <w:rPr>
                <w:rFonts w:ascii="Arial" w:cs="Arial" w:eastAsia="Arial" w:hAnsi="Arial"/>
                <w:sz w:val="10"/>
                <w:szCs w:val="10"/>
                <w:color w:val="auto"/>
                <w:w w:val="71"/>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6,750</w:t>
            </w:r>
          </w:p>
        </w:tc>
        <w:tc>
          <w:tcPr>
            <w:tcW w:w="120" w:type="dxa"/>
            <w:vAlign w:val="bottom"/>
            <w:tcBorders>
              <w:top w:val="single" w:sz="8" w:color="CFF0FC"/>
              <w:bottom w:val="single" w:sz="8" w:color="CFF0FC"/>
            </w:tcBorders>
            <w:shd w:val="clear" w:color="auto" w:fill="CFF0FC"/>
          </w:tcPr>
          <w:p>
            <w:pPr>
              <w:spacing w:after="0"/>
              <w:rPr>
                <w:sz w:val="12"/>
                <w:szCs w:val="12"/>
                <w:color w:val="auto"/>
              </w:rPr>
            </w:pPr>
          </w:p>
        </w:tc>
      </w:tr>
    </w:tbl>
    <w:p>
      <w:pPr>
        <w:spacing w:after="0" w:line="230" w:lineRule="exact"/>
        <w:rPr>
          <w:sz w:val="20"/>
          <w:szCs w:val="20"/>
          <w:color w:val="auto"/>
        </w:rPr>
      </w:pPr>
    </w:p>
    <w:p>
      <w:pPr>
        <w:ind w:left="588" w:hanging="588"/>
        <w:spacing w:after="0"/>
        <w:tabs>
          <w:tab w:leader="none" w:pos="588" w:val="left"/>
        </w:tabs>
        <w:numPr>
          <w:ilvl w:val="0"/>
          <w:numId w:val="33"/>
        </w:numPr>
        <w:rPr>
          <w:rFonts w:ascii="Arial" w:cs="Arial" w:eastAsia="Arial" w:hAnsi="Arial"/>
          <w:sz w:val="12"/>
          <w:szCs w:val="12"/>
          <w:b w:val="1"/>
          <w:bCs w:val="1"/>
          <w:color w:val="auto"/>
        </w:rPr>
      </w:pPr>
      <w:r>
        <w:rPr>
          <w:rFonts w:ascii="Arial" w:cs="Arial" w:eastAsia="Arial" w:hAnsi="Arial"/>
          <w:sz w:val="12"/>
          <w:szCs w:val="12"/>
          <w:b w:val="1"/>
          <w:bCs w:val="1"/>
          <w:color w:val="auto"/>
        </w:rPr>
        <w:t>Debt</w:t>
      </w:r>
    </w:p>
    <w:p>
      <w:pPr>
        <w:spacing w:after="0" w:line="82" w:lineRule="exact"/>
        <w:rPr>
          <w:rFonts w:ascii="Arial" w:cs="Arial" w:eastAsia="Arial" w:hAnsi="Arial"/>
          <w:sz w:val="12"/>
          <w:szCs w:val="12"/>
          <w:b w:val="1"/>
          <w:bCs w:val="1"/>
          <w:color w:val="auto"/>
        </w:rPr>
      </w:pPr>
    </w:p>
    <w:p>
      <w:pPr>
        <w:ind w:left="608"/>
        <w:spacing w:after="0"/>
        <w:rPr>
          <w:rFonts w:ascii="Arial" w:cs="Arial" w:eastAsia="Arial" w:hAnsi="Arial"/>
          <w:sz w:val="12"/>
          <w:szCs w:val="12"/>
          <w:b w:val="1"/>
          <w:bCs w:val="1"/>
          <w:color w:val="auto"/>
        </w:rPr>
      </w:pPr>
      <w:r>
        <w:rPr>
          <w:rFonts w:ascii="Arial" w:cs="Arial" w:eastAsia="Arial" w:hAnsi="Arial"/>
          <w:sz w:val="12"/>
          <w:szCs w:val="12"/>
          <w:color w:val="auto"/>
        </w:rPr>
        <w:t>The following table provides a summary of the Company’s long-term debt at December 31:</w:t>
      </w:r>
    </w:p>
    <w:p>
      <w:pPr>
        <w:spacing w:after="0" w:line="143" w:lineRule="exact"/>
        <w:rPr>
          <w:sz w:val="20"/>
          <w:szCs w:val="20"/>
          <w:color w:val="auto"/>
        </w:rPr>
      </w:pPr>
    </w:p>
    <w:tbl>
      <w:tblPr>
        <w:tblLayout w:type="fixed"/>
        <w:tblInd w:w="8" w:type="dxa"/>
        <w:tblCellMar>
          <w:top w:w="0" w:type="dxa"/>
          <w:left w:w="0" w:type="dxa"/>
          <w:bottom w:w="0" w:type="dxa"/>
          <w:right w:w="0" w:type="dxa"/>
        </w:tblCellMar>
      </w:tblPr>
      <w:tr>
        <w:trPr>
          <w:trHeight w:val="115"/>
        </w:trPr>
        <w:tc>
          <w:tcPr>
            <w:tcW w:w="4040" w:type="dxa"/>
            <w:vAlign w:val="bottom"/>
            <w:gridSpan w:val="2"/>
          </w:tcPr>
          <w:p>
            <w:pPr>
              <w:spacing w:after="0"/>
              <w:rPr>
                <w:sz w:val="20"/>
                <w:szCs w:val="20"/>
                <w:color w:val="auto"/>
              </w:rPr>
            </w:pPr>
            <w:r>
              <w:rPr>
                <w:rFonts w:ascii="Arial" w:cs="Arial" w:eastAsia="Arial" w:hAnsi="Arial"/>
                <w:sz w:val="10"/>
                <w:szCs w:val="10"/>
                <w:b w:val="1"/>
                <w:bCs w:val="1"/>
                <w:u w:val="single" w:color="auto"/>
                <w:color w:val="auto"/>
              </w:rPr>
              <w:t>(</w:t>
            </w:r>
            <w:r>
              <w:rPr>
                <w:rFonts w:ascii="Arial" w:cs="Arial" w:eastAsia="Arial" w:hAnsi="Arial"/>
                <w:sz w:val="10"/>
                <w:szCs w:val="10"/>
                <w:b w:val="1"/>
                <w:bCs w:val="1"/>
                <w:color w:val="auto"/>
              </w:rPr>
              <w:t>$ in thousands)</w:t>
            </w:r>
          </w:p>
        </w:tc>
        <w:tc>
          <w:tcPr>
            <w:tcW w:w="38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60" w:type="dxa"/>
            <w:vAlign w:val="bottom"/>
          </w:tcPr>
          <w:p>
            <w:pPr>
              <w:jc w:val="right"/>
              <w:ind w:right="682"/>
              <w:spacing w:after="0"/>
              <w:rPr>
                <w:sz w:val="20"/>
                <w:szCs w:val="20"/>
                <w:color w:val="auto"/>
              </w:rPr>
            </w:pPr>
            <w:r>
              <w:rPr>
                <w:rFonts w:ascii="Arial" w:cs="Arial" w:eastAsia="Arial" w:hAnsi="Arial"/>
                <w:sz w:val="10"/>
                <w:szCs w:val="10"/>
                <w:b w:val="1"/>
                <w:bCs w:val="1"/>
                <w:color w:val="auto"/>
              </w:rPr>
              <w:t>2019</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20" w:type="dxa"/>
            <w:vAlign w:val="bottom"/>
          </w:tcPr>
          <w:p>
            <w:pPr>
              <w:jc w:val="right"/>
              <w:ind w:right="662"/>
              <w:spacing w:after="0"/>
              <w:rPr>
                <w:sz w:val="20"/>
                <w:szCs w:val="20"/>
                <w:color w:val="auto"/>
              </w:rPr>
            </w:pPr>
            <w:r>
              <w:rPr>
                <w:rFonts w:ascii="Arial" w:cs="Arial" w:eastAsia="Arial" w:hAnsi="Arial"/>
                <w:sz w:val="10"/>
                <w:szCs w:val="10"/>
                <w:b w:val="1"/>
                <w:bCs w:val="1"/>
                <w:color w:val="auto"/>
              </w:rPr>
              <w:t>2018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 w:type="dxa"/>
            <w:vAlign w:val="bottom"/>
            <w:tcBorders>
              <w:bottom w:val="single" w:sz="8" w:color="CFF0FC"/>
            </w:tcBorders>
            <w:shd w:val="clear" w:color="auto" w:fill="000000"/>
          </w:tcPr>
          <w:p>
            <w:pPr>
              <w:spacing w:after="0" w:line="20" w:lineRule="exact"/>
              <w:rPr>
                <w:sz w:val="1"/>
                <w:szCs w:val="1"/>
                <w:color w:val="auto"/>
              </w:rPr>
            </w:pPr>
          </w:p>
        </w:tc>
        <w:tc>
          <w:tcPr>
            <w:tcW w:w="3400" w:type="dxa"/>
            <w:vAlign w:val="bottom"/>
            <w:tcBorders>
              <w:bottom w:val="single" w:sz="8" w:color="CFF0FC"/>
            </w:tcBorders>
          </w:tcPr>
          <w:p>
            <w:pPr>
              <w:spacing w:after="0" w:line="20" w:lineRule="exact"/>
              <w:rPr>
                <w:sz w:val="1"/>
                <w:szCs w:val="1"/>
                <w:color w:val="auto"/>
              </w:rPr>
            </w:pPr>
          </w:p>
        </w:tc>
        <w:tc>
          <w:tcPr>
            <w:tcW w:w="3820" w:type="dxa"/>
            <w:vAlign w:val="bottom"/>
            <w:tcBorders>
              <w:bottom w:val="single" w:sz="8" w:color="CFF0FC"/>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FF0FC"/>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4040" w:type="dxa"/>
            <w:vAlign w:val="bottom"/>
            <w:gridSpan w:val="2"/>
            <w:shd w:val="clear" w:color="auto" w:fill="CFF0FC"/>
          </w:tcPr>
          <w:p>
            <w:pPr>
              <w:spacing w:after="0" w:line="132" w:lineRule="exact"/>
              <w:rPr>
                <w:sz w:val="20"/>
                <w:szCs w:val="20"/>
                <w:color w:val="auto"/>
              </w:rPr>
            </w:pPr>
            <w:r>
              <w:rPr>
                <w:rFonts w:ascii="Arial" w:cs="Arial" w:eastAsia="Arial" w:hAnsi="Arial"/>
                <w:sz w:val="12"/>
                <w:szCs w:val="12"/>
                <w:color w:val="auto"/>
              </w:rPr>
              <w:t>New First Lien Term Loan, due February 28, 2025</w:t>
            </w:r>
          </w:p>
        </w:tc>
        <w:tc>
          <w:tcPr>
            <w:tcW w:w="4200" w:type="dxa"/>
            <w:vAlign w:val="bottom"/>
            <w:gridSpan w:val="2"/>
            <w:shd w:val="clear" w:color="auto" w:fill="CFF0FC"/>
          </w:tcPr>
          <w:p>
            <w:pPr>
              <w:jc w:val="right"/>
              <w:ind w:right="320"/>
              <w:spacing w:after="0" w:line="132" w:lineRule="exact"/>
              <w:rPr>
                <w:sz w:val="20"/>
                <w:szCs w:val="20"/>
                <w:color w:val="auto"/>
              </w:rPr>
            </w:pPr>
            <w:r>
              <w:rPr>
                <w:rFonts w:ascii="Arial" w:cs="Arial" w:eastAsia="Arial" w:hAnsi="Arial"/>
                <w:sz w:val="12"/>
                <w:szCs w:val="12"/>
                <w:color w:val="auto"/>
              </w:rPr>
              <w:t>$</w:t>
            </w:r>
          </w:p>
        </w:tc>
        <w:tc>
          <w:tcPr>
            <w:tcW w:w="1260" w:type="dxa"/>
            <w:vAlign w:val="bottom"/>
            <w:shd w:val="clear" w:color="auto" w:fill="CFF0FC"/>
          </w:tcPr>
          <w:p>
            <w:pPr>
              <w:jc w:val="right"/>
              <w:spacing w:after="0" w:line="132" w:lineRule="exact"/>
              <w:rPr>
                <w:sz w:val="20"/>
                <w:szCs w:val="20"/>
                <w:color w:val="auto"/>
              </w:rPr>
            </w:pPr>
            <w:r>
              <w:rPr>
                <w:rFonts w:ascii="Arial" w:cs="Arial" w:eastAsia="Arial" w:hAnsi="Arial"/>
                <w:sz w:val="12"/>
                <w:szCs w:val="12"/>
                <w:color w:val="auto"/>
              </w:rPr>
              <w:t>894,421</w:t>
            </w:r>
          </w:p>
        </w:tc>
        <w:tc>
          <w:tcPr>
            <w:tcW w:w="160" w:type="dxa"/>
            <w:vAlign w:val="bottom"/>
            <w:shd w:val="clear" w:color="auto" w:fill="CFF0FC"/>
          </w:tcPr>
          <w:p>
            <w:pPr>
              <w:spacing w:after="0"/>
              <w:rPr>
                <w:sz w:val="11"/>
                <w:szCs w:val="11"/>
                <w:color w:val="auto"/>
              </w:rPr>
            </w:pPr>
          </w:p>
        </w:tc>
        <w:tc>
          <w:tcPr>
            <w:tcW w:w="500" w:type="dxa"/>
            <w:vAlign w:val="bottom"/>
            <w:gridSpan w:val="2"/>
            <w:shd w:val="clear" w:color="auto" w:fill="CFF0FC"/>
          </w:tcPr>
          <w:p>
            <w:pPr>
              <w:jc w:val="right"/>
              <w:ind w:right="320"/>
              <w:spacing w:after="0" w:line="132" w:lineRule="exact"/>
              <w:rPr>
                <w:sz w:val="20"/>
                <w:szCs w:val="20"/>
                <w:color w:val="auto"/>
              </w:rPr>
            </w:pPr>
            <w:r>
              <w:rPr>
                <w:rFonts w:ascii="Arial" w:cs="Arial" w:eastAsia="Arial" w:hAnsi="Arial"/>
                <w:sz w:val="12"/>
                <w:szCs w:val="12"/>
                <w:color w:val="auto"/>
              </w:rPr>
              <w:t>$</w:t>
            </w:r>
          </w:p>
        </w:tc>
        <w:tc>
          <w:tcPr>
            <w:tcW w:w="1220" w:type="dxa"/>
            <w:vAlign w:val="bottom"/>
            <w:shd w:val="clear" w:color="auto" w:fill="CFF0FC"/>
          </w:tcPr>
          <w:p>
            <w:pPr>
              <w:jc w:val="right"/>
              <w:spacing w:after="0" w:line="132" w:lineRule="exact"/>
              <w:rPr>
                <w:sz w:val="20"/>
                <w:szCs w:val="20"/>
                <w:color w:val="auto"/>
              </w:rPr>
            </w:pPr>
            <w:r>
              <w:rPr>
                <w:rFonts w:ascii="Arial" w:cs="Arial" w:eastAsia="Arial" w:hAnsi="Arial"/>
                <w:sz w:val="12"/>
                <w:szCs w:val="12"/>
                <w:color w:val="auto"/>
              </w:rPr>
              <w:t>903,524</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4040" w:type="dxa"/>
            <w:vAlign w:val="bottom"/>
            <w:gridSpan w:val="2"/>
          </w:tcPr>
          <w:p>
            <w:pPr>
              <w:spacing w:after="0"/>
              <w:rPr>
                <w:sz w:val="20"/>
                <w:szCs w:val="20"/>
                <w:color w:val="auto"/>
              </w:rPr>
            </w:pPr>
            <w:r>
              <w:rPr>
                <w:rFonts w:ascii="Arial" w:cs="Arial" w:eastAsia="Arial" w:hAnsi="Arial"/>
                <w:sz w:val="12"/>
                <w:szCs w:val="12"/>
                <w:color w:val="auto"/>
              </w:rPr>
              <w:t>Less: original issue discounts</w:t>
            </w:r>
          </w:p>
        </w:tc>
        <w:tc>
          <w:tcPr>
            <w:tcW w:w="38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2"/>
                <w:szCs w:val="12"/>
                <w:color w:val="auto"/>
              </w:rPr>
              <w:t>(4,778)</w:t>
            </w: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2"/>
                <w:szCs w:val="12"/>
                <w:color w:val="auto"/>
              </w:rPr>
              <w:t>(5,819)</w:t>
            </w:r>
          </w:p>
        </w:tc>
        <w:tc>
          <w:tcPr>
            <w:tcW w:w="0" w:type="dxa"/>
            <w:vAlign w:val="bottom"/>
          </w:tcPr>
          <w:p>
            <w:pPr>
              <w:spacing w:after="0"/>
              <w:rPr>
                <w:sz w:val="1"/>
                <w:szCs w:val="1"/>
                <w:color w:val="auto"/>
              </w:rPr>
            </w:pPr>
          </w:p>
        </w:tc>
      </w:tr>
      <w:tr>
        <w:trPr>
          <w:trHeight w:val="153"/>
        </w:trPr>
        <w:tc>
          <w:tcPr>
            <w:tcW w:w="404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Less: unamortized deferred financing costs</w:t>
            </w:r>
          </w:p>
        </w:tc>
        <w:tc>
          <w:tcPr>
            <w:tcW w:w="382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142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(23,178)</w:t>
            </w:r>
          </w:p>
        </w:tc>
        <w:tc>
          <w:tcPr>
            <w:tcW w:w="12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2"/>
                <w:szCs w:val="12"/>
                <w:color w:val="auto"/>
              </w:rPr>
              <w:t>(28,352)</w:t>
            </w:r>
          </w:p>
        </w:tc>
        <w:tc>
          <w:tcPr>
            <w:tcW w:w="0" w:type="dxa"/>
            <w:vAlign w:val="bottom"/>
          </w:tcPr>
          <w:p>
            <w:pPr>
              <w:spacing w:after="0"/>
              <w:rPr>
                <w:sz w:val="1"/>
                <w:szCs w:val="1"/>
                <w:color w:val="auto"/>
              </w:rPr>
            </w:pPr>
          </w:p>
        </w:tc>
      </w:tr>
      <w:tr>
        <w:trPr>
          <w:trHeight w:val="142"/>
        </w:trPr>
        <w:tc>
          <w:tcPr>
            <w:tcW w:w="4040" w:type="dxa"/>
            <w:vAlign w:val="bottom"/>
            <w:gridSpan w:val="2"/>
          </w:tcPr>
          <w:p>
            <w:pPr>
              <w:spacing w:after="0"/>
              <w:rPr>
                <w:sz w:val="20"/>
                <w:szCs w:val="20"/>
                <w:color w:val="auto"/>
              </w:rPr>
            </w:pPr>
            <w:r>
              <w:rPr>
                <w:rFonts w:ascii="Arial" w:cs="Arial" w:eastAsia="Arial" w:hAnsi="Arial"/>
                <w:sz w:val="12"/>
                <w:szCs w:val="12"/>
                <w:color w:val="auto"/>
              </w:rPr>
              <w:t>Total debt</w:t>
            </w:r>
          </w:p>
        </w:tc>
        <w:tc>
          <w:tcPr>
            <w:tcW w:w="382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866,465</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869,353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404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Less: current portion of long-term debt</w:t>
            </w:r>
          </w:p>
        </w:tc>
        <w:tc>
          <w:tcPr>
            <w:tcW w:w="382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142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(28,779)</w:t>
            </w:r>
          </w:p>
        </w:tc>
        <w:tc>
          <w:tcPr>
            <w:tcW w:w="12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2"/>
                <w:szCs w:val="12"/>
                <w:color w:val="auto"/>
              </w:rPr>
              <w:t>(9,104)</w:t>
            </w:r>
          </w:p>
        </w:tc>
        <w:tc>
          <w:tcPr>
            <w:tcW w:w="0" w:type="dxa"/>
            <w:vAlign w:val="bottom"/>
          </w:tcPr>
          <w:p>
            <w:pPr>
              <w:spacing w:after="0"/>
              <w:rPr>
                <w:sz w:val="1"/>
                <w:szCs w:val="1"/>
                <w:color w:val="auto"/>
              </w:rPr>
            </w:pPr>
          </w:p>
        </w:tc>
      </w:tr>
      <w:tr>
        <w:trPr>
          <w:trHeight w:val="20"/>
        </w:trPr>
        <w:tc>
          <w:tcPr>
            <w:tcW w:w="4040" w:type="dxa"/>
            <w:vAlign w:val="bottom"/>
            <w:gridSpan w:val="2"/>
            <w:vMerge w:val="restart"/>
          </w:tcPr>
          <w:p>
            <w:pPr>
              <w:ind w:left="80"/>
              <w:spacing w:after="0"/>
              <w:rPr>
                <w:sz w:val="20"/>
                <w:szCs w:val="20"/>
                <w:color w:val="auto"/>
              </w:rPr>
            </w:pPr>
            <w:r>
              <w:rPr>
                <w:rFonts w:ascii="Arial" w:cs="Arial" w:eastAsia="Arial" w:hAnsi="Arial"/>
                <w:sz w:val="12"/>
                <w:szCs w:val="12"/>
                <w:color w:val="auto"/>
              </w:rPr>
              <w:t>Total long-term debt, net of current portion</w:t>
            </w:r>
          </w:p>
        </w:tc>
        <w:tc>
          <w:tcPr>
            <w:tcW w:w="38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4040" w:type="dxa"/>
            <w:vAlign w:val="bottom"/>
            <w:gridSpan w:val="2"/>
            <w:vMerge w:val="continue"/>
          </w:tcPr>
          <w:p>
            <w:pPr>
              <w:spacing w:after="0"/>
              <w:rPr>
                <w:sz w:val="12"/>
                <w:szCs w:val="12"/>
                <w:color w:val="auto"/>
              </w:rPr>
            </w:pPr>
          </w:p>
        </w:tc>
        <w:tc>
          <w:tcPr>
            <w:tcW w:w="4200" w:type="dxa"/>
            <w:vAlign w:val="bottom"/>
            <w:gridSpan w:val="2"/>
          </w:tcPr>
          <w:p>
            <w:pPr>
              <w:jc w:val="right"/>
              <w:ind w:right="320"/>
              <w:spacing w:after="0"/>
              <w:rPr>
                <w:sz w:val="20"/>
                <w:szCs w:val="20"/>
                <w:color w:val="auto"/>
              </w:rPr>
            </w:pPr>
            <w:r>
              <w:rPr>
                <w:rFonts w:ascii="Arial" w:cs="Arial" w:eastAsia="Arial" w:hAnsi="Arial"/>
                <w:sz w:val="12"/>
                <w:szCs w:val="12"/>
                <w:color w:val="auto"/>
              </w:rPr>
              <w:t>$</w:t>
            </w:r>
          </w:p>
        </w:tc>
        <w:tc>
          <w:tcPr>
            <w:tcW w:w="1260" w:type="dxa"/>
            <w:vAlign w:val="bottom"/>
          </w:tcPr>
          <w:p>
            <w:pPr>
              <w:jc w:val="right"/>
              <w:spacing w:after="0"/>
              <w:rPr>
                <w:sz w:val="20"/>
                <w:szCs w:val="20"/>
                <w:color w:val="auto"/>
              </w:rPr>
            </w:pPr>
            <w:r>
              <w:rPr>
                <w:rFonts w:ascii="Arial" w:cs="Arial" w:eastAsia="Arial" w:hAnsi="Arial"/>
                <w:sz w:val="12"/>
                <w:szCs w:val="12"/>
                <w:color w:val="auto"/>
              </w:rPr>
              <w:t>837,686</w:t>
            </w:r>
          </w:p>
        </w:tc>
        <w:tc>
          <w:tcPr>
            <w:tcW w:w="160" w:type="dxa"/>
            <w:vAlign w:val="bottom"/>
          </w:tcPr>
          <w:p>
            <w:pPr>
              <w:spacing w:after="0"/>
              <w:rPr>
                <w:sz w:val="12"/>
                <w:szCs w:val="12"/>
                <w:color w:val="auto"/>
              </w:rPr>
            </w:pPr>
          </w:p>
        </w:tc>
        <w:tc>
          <w:tcPr>
            <w:tcW w:w="500" w:type="dxa"/>
            <w:vAlign w:val="bottom"/>
            <w:gridSpan w:val="2"/>
          </w:tcPr>
          <w:p>
            <w:pPr>
              <w:jc w:val="right"/>
              <w:ind w:right="320"/>
              <w:spacing w:after="0"/>
              <w:rPr>
                <w:sz w:val="20"/>
                <w:szCs w:val="20"/>
                <w:color w:val="auto"/>
              </w:rPr>
            </w:pPr>
            <w:r>
              <w:rPr>
                <w:rFonts w:ascii="Arial" w:cs="Arial" w:eastAsia="Arial" w:hAnsi="Arial"/>
                <w:sz w:val="12"/>
                <w:szCs w:val="12"/>
                <w:color w:val="auto"/>
              </w:rPr>
              <w:t>$</w:t>
            </w:r>
          </w:p>
        </w:tc>
        <w:tc>
          <w:tcPr>
            <w:tcW w:w="1220" w:type="dxa"/>
            <w:vAlign w:val="bottom"/>
          </w:tcPr>
          <w:p>
            <w:pPr>
              <w:jc w:val="right"/>
              <w:spacing w:after="0"/>
              <w:rPr>
                <w:sz w:val="20"/>
                <w:szCs w:val="20"/>
                <w:color w:val="auto"/>
              </w:rPr>
            </w:pPr>
            <w:r>
              <w:rPr>
                <w:rFonts w:ascii="Arial" w:cs="Arial" w:eastAsia="Arial" w:hAnsi="Arial"/>
                <w:sz w:val="12"/>
                <w:szCs w:val="12"/>
                <w:color w:val="auto"/>
              </w:rPr>
              <w:t>860,249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32"/>
        </w:trPr>
        <w:tc>
          <w:tcPr>
            <w:tcW w:w="64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3820" w:type="dxa"/>
            <w:vAlign w:val="bottom"/>
          </w:tcPr>
          <w:p>
            <w:pPr>
              <w:jc w:val="right"/>
              <w:ind w:right="2000"/>
              <w:spacing w:after="0"/>
              <w:rPr>
                <w:sz w:val="20"/>
                <w:szCs w:val="20"/>
                <w:color w:val="auto"/>
              </w:rPr>
            </w:pPr>
            <w:r>
              <w:rPr>
                <w:rFonts w:ascii="Arial" w:cs="Arial" w:eastAsia="Arial" w:hAnsi="Arial"/>
                <w:sz w:val="12"/>
                <w:szCs w:val="12"/>
                <w:color w:val="auto"/>
              </w:rPr>
              <w:t>89</w:t>
            </w:r>
          </w:p>
        </w:tc>
        <w:tc>
          <w:tcPr>
            <w:tcW w:w="38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640" w:type="dxa"/>
            <w:vAlign w:val="bottom"/>
            <w:tcBorders>
              <w:bottom w:val="single" w:sz="8" w:color="9A9A9A"/>
            </w:tcBorders>
          </w:tcPr>
          <w:p>
            <w:pPr>
              <w:spacing w:after="0"/>
              <w:rPr>
                <w:sz w:val="6"/>
                <w:szCs w:val="6"/>
                <w:color w:val="auto"/>
              </w:rPr>
            </w:pPr>
          </w:p>
        </w:tc>
        <w:tc>
          <w:tcPr>
            <w:tcW w:w="3400" w:type="dxa"/>
            <w:vAlign w:val="bottom"/>
            <w:tcBorders>
              <w:bottom w:val="single" w:sz="8" w:color="9A9A9A"/>
            </w:tcBorders>
          </w:tcPr>
          <w:p>
            <w:pPr>
              <w:spacing w:after="0"/>
              <w:rPr>
                <w:sz w:val="6"/>
                <w:szCs w:val="6"/>
                <w:color w:val="auto"/>
              </w:rPr>
            </w:pPr>
          </w:p>
        </w:tc>
        <w:tc>
          <w:tcPr>
            <w:tcW w:w="3820" w:type="dxa"/>
            <w:vAlign w:val="bottom"/>
            <w:tcBorders>
              <w:bottom w:val="single" w:sz="8" w:color="9A9A9A"/>
            </w:tcBorders>
          </w:tcPr>
          <w:p>
            <w:pPr>
              <w:spacing w:after="0"/>
              <w:rPr>
                <w:sz w:val="6"/>
                <w:szCs w:val="6"/>
                <w:color w:val="auto"/>
              </w:rPr>
            </w:pPr>
          </w:p>
        </w:tc>
        <w:tc>
          <w:tcPr>
            <w:tcW w:w="380" w:type="dxa"/>
            <w:vAlign w:val="bottom"/>
            <w:tcBorders>
              <w:bottom w:val="single" w:sz="8" w:color="9A9A9A"/>
            </w:tcBorders>
          </w:tcPr>
          <w:p>
            <w:pPr>
              <w:spacing w:after="0"/>
              <w:rPr>
                <w:sz w:val="6"/>
                <w:szCs w:val="6"/>
                <w:color w:val="auto"/>
              </w:rPr>
            </w:pPr>
          </w:p>
        </w:tc>
        <w:tc>
          <w:tcPr>
            <w:tcW w:w="126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380" w:type="dxa"/>
            <w:vAlign w:val="bottom"/>
            <w:tcBorders>
              <w:bottom w:val="single" w:sz="8" w:color="9A9A9A"/>
            </w:tcBorders>
          </w:tcPr>
          <w:p>
            <w:pPr>
              <w:spacing w:after="0"/>
              <w:rPr>
                <w:sz w:val="6"/>
                <w:szCs w:val="6"/>
                <w:color w:val="auto"/>
              </w:rPr>
            </w:pPr>
          </w:p>
        </w:tc>
        <w:tc>
          <w:tcPr>
            <w:tcW w:w="122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7273925</wp:posOffset>
            </wp:positionH>
            <wp:positionV relativeFrom="paragraph">
              <wp:posOffset>-23495</wp:posOffset>
            </wp:positionV>
            <wp:extent cx="31115" cy="3683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-23495</wp:posOffset>
            </wp:positionV>
            <wp:extent cx="31115" cy="3683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488"/>
          </w:cols>
          <w:pgMar w:left="212" w:top="275" w:right="199" w:bottom="1440" w:gutter="0" w:footer="0" w:header="0"/>
        </w:sectPr>
      </w:pPr>
    </w:p>
    <w:bookmarkStart w:id="90" w:name="page91"/>
    <w:bookmarkEnd w:id="90"/>
    <w:tbl>
      <w:tblPr>
        <w:tblLayout w:type="fixed"/>
        <w:tblInd w:w="0" w:type="dxa"/>
        <w:tblCellMar>
          <w:top w:w="0" w:type="dxa"/>
          <w:left w:w="0" w:type="dxa"/>
          <w:bottom w:w="0" w:type="dxa"/>
          <w:right w:w="0" w:type="dxa"/>
        </w:tblCellMar>
      </w:tblPr>
      <w:tr>
        <w:trPr>
          <w:trHeight w:val="153"/>
        </w:trPr>
        <w:tc>
          <w:tcPr>
            <w:tcW w:w="9440" w:type="dxa"/>
            <w:vAlign w:val="bottom"/>
            <w:gridSpan w:val="2"/>
          </w:tcPr>
          <w:p>
            <w:pPr>
              <w:ind w:left="600"/>
              <w:spacing w:after="0"/>
              <w:rPr>
                <w:sz w:val="20"/>
                <w:szCs w:val="20"/>
                <w:color w:val="auto"/>
              </w:rPr>
            </w:pPr>
            <w:r>
              <w:rPr>
                <w:rFonts w:ascii="Arial" w:cs="Arial" w:eastAsia="Arial" w:hAnsi="Arial"/>
                <w:sz w:val="12"/>
                <w:szCs w:val="12"/>
                <w:color w:val="auto"/>
              </w:rPr>
              <w:t>The following table presents the aggregate principal payments in future years of long-term debt at December 31, 2019:</w:t>
            </w: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88"/>
        </w:trPr>
        <w:tc>
          <w:tcPr>
            <w:tcW w:w="9440" w:type="dxa"/>
            <w:vAlign w:val="bottom"/>
            <w:gridSpan w:val="2"/>
          </w:tcPr>
          <w:p>
            <w:pPr>
              <w:spacing w:after="0"/>
              <w:rPr>
                <w:sz w:val="20"/>
                <w:szCs w:val="20"/>
                <w:color w:val="auto"/>
              </w:rPr>
            </w:pPr>
            <w:r>
              <w:rPr>
                <w:rFonts w:ascii="Arial" w:cs="Arial" w:eastAsia="Arial" w:hAnsi="Arial"/>
                <w:sz w:val="10"/>
                <w:szCs w:val="10"/>
                <w:b w:val="1"/>
                <w:bCs w:val="1"/>
                <w:u w:val="single" w:color="auto"/>
                <w:color w:val="auto"/>
              </w:rPr>
              <w:t>(</w:t>
            </w:r>
            <w:r>
              <w:rPr>
                <w:rFonts w:ascii="Arial" w:cs="Arial" w:eastAsia="Arial" w:hAnsi="Arial"/>
                <w:sz w:val="10"/>
                <w:szCs w:val="10"/>
                <w:b w:val="1"/>
                <w:bCs w:val="1"/>
                <w:color w:val="auto"/>
              </w:rPr>
              <w:t>$ in thousands)</w:t>
            </w:r>
          </w:p>
        </w:tc>
        <w:tc>
          <w:tcPr>
            <w:tcW w:w="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42"/>
        </w:trPr>
        <w:tc>
          <w:tcPr>
            <w:tcW w:w="6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2"/>
                <w:szCs w:val="12"/>
                <w:color w:val="auto"/>
              </w:rPr>
              <w:t>2020</w:t>
            </w:r>
          </w:p>
        </w:tc>
        <w:tc>
          <w:tcPr>
            <w:tcW w:w="8800" w:type="dxa"/>
            <w:vAlign w:val="bottom"/>
            <w:shd w:val="clear" w:color="auto" w:fill="CFF0FC"/>
          </w:tcPr>
          <w:p>
            <w:pPr>
              <w:spacing w:after="0"/>
              <w:rPr>
                <w:sz w:val="12"/>
                <w:szCs w:val="12"/>
                <w:color w:val="auto"/>
              </w:rPr>
            </w:pPr>
          </w:p>
        </w:tc>
        <w:tc>
          <w:tcPr>
            <w:tcW w:w="800" w:type="dxa"/>
            <w:vAlign w:val="bottom"/>
            <w:shd w:val="clear" w:color="auto" w:fill="CFF0FC"/>
          </w:tcPr>
          <w:p>
            <w:pPr>
              <w:jc w:val="right"/>
              <w:ind w:right="690"/>
              <w:spacing w:after="0"/>
              <w:rPr>
                <w:sz w:val="20"/>
                <w:szCs w:val="20"/>
                <w:color w:val="auto"/>
              </w:rPr>
            </w:pPr>
            <w:r>
              <w:rPr>
                <w:rFonts w:ascii="Arial" w:cs="Arial" w:eastAsia="Arial" w:hAnsi="Arial"/>
                <w:sz w:val="10"/>
                <w:szCs w:val="10"/>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28,779</w:t>
            </w:r>
          </w:p>
        </w:tc>
        <w:tc>
          <w:tcPr>
            <w:tcW w:w="120" w:type="dxa"/>
            <w:vAlign w:val="bottom"/>
            <w:shd w:val="clear" w:color="auto" w:fill="CFF0FC"/>
          </w:tcPr>
          <w:p>
            <w:pPr>
              <w:spacing w:after="0"/>
              <w:rPr>
                <w:sz w:val="12"/>
                <w:szCs w:val="12"/>
                <w:color w:val="auto"/>
              </w:rPr>
            </w:pPr>
          </w:p>
        </w:tc>
      </w:tr>
      <w:tr>
        <w:trPr>
          <w:trHeight w:val="153"/>
        </w:trPr>
        <w:tc>
          <w:tcPr>
            <w:tcW w:w="640" w:type="dxa"/>
            <w:vAlign w:val="bottom"/>
          </w:tcPr>
          <w:p>
            <w:pPr>
              <w:spacing w:after="0"/>
              <w:rPr>
                <w:sz w:val="20"/>
                <w:szCs w:val="20"/>
                <w:color w:val="auto"/>
              </w:rPr>
            </w:pPr>
            <w:r>
              <w:rPr>
                <w:rFonts w:ascii="Arial" w:cs="Arial" w:eastAsia="Arial" w:hAnsi="Arial"/>
                <w:sz w:val="12"/>
                <w:szCs w:val="12"/>
                <w:color w:val="auto"/>
              </w:rPr>
              <w:t>2021</w:t>
            </w:r>
          </w:p>
        </w:tc>
        <w:tc>
          <w:tcPr>
            <w:tcW w:w="8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9,104</w:t>
            </w:r>
          </w:p>
        </w:tc>
        <w:tc>
          <w:tcPr>
            <w:tcW w:w="120" w:type="dxa"/>
            <w:vAlign w:val="bottom"/>
          </w:tcPr>
          <w:p>
            <w:pPr>
              <w:spacing w:after="0"/>
              <w:rPr>
                <w:sz w:val="13"/>
                <w:szCs w:val="13"/>
                <w:color w:val="auto"/>
              </w:rPr>
            </w:pPr>
          </w:p>
        </w:tc>
      </w:tr>
      <w:tr>
        <w:trPr>
          <w:trHeight w:val="153"/>
        </w:trPr>
        <w:tc>
          <w:tcPr>
            <w:tcW w:w="640" w:type="dxa"/>
            <w:vAlign w:val="bottom"/>
            <w:shd w:val="clear" w:color="auto" w:fill="CFF0FC"/>
          </w:tcPr>
          <w:p>
            <w:pPr>
              <w:spacing w:after="0"/>
              <w:rPr>
                <w:sz w:val="20"/>
                <w:szCs w:val="20"/>
                <w:color w:val="auto"/>
              </w:rPr>
            </w:pPr>
            <w:r>
              <w:rPr>
                <w:rFonts w:ascii="Arial" w:cs="Arial" w:eastAsia="Arial" w:hAnsi="Arial"/>
                <w:sz w:val="12"/>
                <w:szCs w:val="12"/>
                <w:color w:val="auto"/>
              </w:rPr>
              <w:t>2022</w:t>
            </w:r>
          </w:p>
        </w:tc>
        <w:tc>
          <w:tcPr>
            <w:tcW w:w="880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9,104</w:t>
            </w:r>
          </w:p>
        </w:tc>
        <w:tc>
          <w:tcPr>
            <w:tcW w:w="120" w:type="dxa"/>
            <w:vAlign w:val="bottom"/>
            <w:shd w:val="clear" w:color="auto" w:fill="CFF0FC"/>
          </w:tcPr>
          <w:p>
            <w:pPr>
              <w:spacing w:after="0"/>
              <w:rPr>
                <w:sz w:val="13"/>
                <w:szCs w:val="13"/>
                <w:color w:val="auto"/>
              </w:rPr>
            </w:pPr>
          </w:p>
        </w:tc>
      </w:tr>
      <w:tr>
        <w:trPr>
          <w:trHeight w:val="153"/>
        </w:trPr>
        <w:tc>
          <w:tcPr>
            <w:tcW w:w="640" w:type="dxa"/>
            <w:vAlign w:val="bottom"/>
          </w:tcPr>
          <w:p>
            <w:pPr>
              <w:spacing w:after="0"/>
              <w:rPr>
                <w:sz w:val="20"/>
                <w:szCs w:val="20"/>
                <w:color w:val="auto"/>
              </w:rPr>
            </w:pPr>
            <w:r>
              <w:rPr>
                <w:rFonts w:ascii="Arial" w:cs="Arial" w:eastAsia="Arial" w:hAnsi="Arial"/>
                <w:sz w:val="12"/>
                <w:szCs w:val="12"/>
                <w:color w:val="auto"/>
              </w:rPr>
              <w:t>2023</w:t>
            </w:r>
          </w:p>
        </w:tc>
        <w:tc>
          <w:tcPr>
            <w:tcW w:w="8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9,104</w:t>
            </w:r>
          </w:p>
        </w:tc>
        <w:tc>
          <w:tcPr>
            <w:tcW w:w="120" w:type="dxa"/>
            <w:vAlign w:val="bottom"/>
          </w:tcPr>
          <w:p>
            <w:pPr>
              <w:spacing w:after="0"/>
              <w:rPr>
                <w:sz w:val="13"/>
                <w:szCs w:val="13"/>
                <w:color w:val="auto"/>
              </w:rPr>
            </w:pPr>
          </w:p>
        </w:tc>
      </w:tr>
      <w:tr>
        <w:trPr>
          <w:trHeight w:val="153"/>
        </w:trPr>
        <w:tc>
          <w:tcPr>
            <w:tcW w:w="640" w:type="dxa"/>
            <w:vAlign w:val="bottom"/>
            <w:shd w:val="clear" w:color="auto" w:fill="CFF0FC"/>
          </w:tcPr>
          <w:p>
            <w:pPr>
              <w:spacing w:after="0"/>
              <w:rPr>
                <w:sz w:val="20"/>
                <w:szCs w:val="20"/>
                <w:color w:val="auto"/>
              </w:rPr>
            </w:pPr>
            <w:r>
              <w:rPr>
                <w:rFonts w:ascii="Arial" w:cs="Arial" w:eastAsia="Arial" w:hAnsi="Arial"/>
                <w:sz w:val="12"/>
                <w:szCs w:val="12"/>
                <w:color w:val="auto"/>
              </w:rPr>
              <w:t>2024</w:t>
            </w:r>
          </w:p>
        </w:tc>
        <w:tc>
          <w:tcPr>
            <w:tcW w:w="880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9,104</w:t>
            </w:r>
          </w:p>
        </w:tc>
        <w:tc>
          <w:tcPr>
            <w:tcW w:w="120" w:type="dxa"/>
            <w:vAlign w:val="bottom"/>
            <w:shd w:val="clear" w:color="auto" w:fill="CFF0FC"/>
          </w:tcPr>
          <w:p>
            <w:pPr>
              <w:spacing w:after="0"/>
              <w:rPr>
                <w:sz w:val="13"/>
                <w:szCs w:val="13"/>
                <w:color w:val="auto"/>
              </w:rPr>
            </w:pPr>
          </w:p>
        </w:tc>
      </w:tr>
      <w:tr>
        <w:trPr>
          <w:trHeight w:val="153"/>
        </w:trPr>
        <w:tc>
          <w:tcPr>
            <w:tcW w:w="9440" w:type="dxa"/>
            <w:vAlign w:val="bottom"/>
            <w:tcBorders>
              <w:bottom w:val="single" w:sz="8" w:color="CFF0FC"/>
            </w:tcBorders>
            <w:gridSpan w:val="2"/>
          </w:tcPr>
          <w:p>
            <w:pPr>
              <w:spacing w:after="0"/>
              <w:rPr>
                <w:sz w:val="20"/>
                <w:szCs w:val="20"/>
                <w:color w:val="auto"/>
              </w:rPr>
            </w:pPr>
            <w:r>
              <w:rPr>
                <w:rFonts w:ascii="Arial" w:cs="Arial" w:eastAsia="Arial" w:hAnsi="Arial"/>
                <w:sz w:val="12"/>
                <w:szCs w:val="12"/>
                <w:color w:val="auto"/>
              </w:rPr>
              <w:t>Thereafter</w:t>
            </w:r>
          </w:p>
        </w:tc>
        <w:tc>
          <w:tcPr>
            <w:tcW w:w="8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829,226</w:t>
            </w:r>
          </w:p>
        </w:tc>
        <w:tc>
          <w:tcPr>
            <w:tcW w:w="120" w:type="dxa"/>
            <w:vAlign w:val="bottom"/>
            <w:tcBorders>
              <w:bottom w:val="single" w:sz="8" w:color="CFF0FC"/>
            </w:tcBorders>
          </w:tcPr>
          <w:p>
            <w:pPr>
              <w:spacing w:after="0"/>
              <w:rPr>
                <w:sz w:val="13"/>
                <w:szCs w:val="13"/>
                <w:color w:val="auto"/>
              </w:rPr>
            </w:pPr>
          </w:p>
        </w:tc>
      </w:tr>
      <w:tr>
        <w:trPr>
          <w:trHeight w:val="149"/>
        </w:trPr>
        <w:tc>
          <w:tcPr>
            <w:tcW w:w="9440" w:type="dxa"/>
            <w:vAlign w:val="bottom"/>
            <w:tcBorders>
              <w:bottom w:val="single" w:sz="8" w:color="CFF0FC"/>
            </w:tcBorders>
            <w:gridSpan w:val="2"/>
            <w:shd w:val="clear" w:color="auto" w:fill="CFF0FC"/>
          </w:tcPr>
          <w:p>
            <w:pPr>
              <w:ind w:left="80"/>
              <w:spacing w:after="0"/>
              <w:rPr>
                <w:sz w:val="20"/>
                <w:szCs w:val="20"/>
                <w:color w:val="auto"/>
              </w:rPr>
            </w:pPr>
            <w:r>
              <w:rPr>
                <w:rFonts w:ascii="Arial" w:cs="Arial" w:eastAsia="Arial" w:hAnsi="Arial"/>
                <w:sz w:val="12"/>
                <w:szCs w:val="12"/>
                <w:color w:val="auto"/>
              </w:rPr>
              <w:t>Total</w:t>
            </w:r>
          </w:p>
        </w:tc>
        <w:tc>
          <w:tcPr>
            <w:tcW w:w="800" w:type="dxa"/>
            <w:vAlign w:val="bottom"/>
            <w:tcBorders>
              <w:bottom w:val="single" w:sz="8" w:color="auto"/>
            </w:tcBorders>
            <w:shd w:val="clear" w:color="auto" w:fill="CFF0FC"/>
          </w:tcPr>
          <w:p>
            <w:pPr>
              <w:jc w:val="right"/>
              <w:ind w:right="690"/>
              <w:spacing w:after="0"/>
              <w:rPr>
                <w:sz w:val="20"/>
                <w:szCs w:val="20"/>
                <w:color w:val="auto"/>
              </w:rPr>
            </w:pPr>
            <w:r>
              <w:rPr>
                <w:rFonts w:ascii="Arial" w:cs="Arial" w:eastAsia="Arial" w:hAnsi="Arial"/>
                <w:sz w:val="10"/>
                <w:szCs w:val="10"/>
                <w:color w:val="auto"/>
                <w:w w:val="71"/>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894,421</w:t>
            </w:r>
          </w:p>
        </w:tc>
        <w:tc>
          <w:tcPr>
            <w:tcW w:w="120" w:type="dxa"/>
            <w:vAlign w:val="bottom"/>
            <w:tcBorders>
              <w:bottom w:val="single" w:sz="8" w:color="CFF0FC"/>
            </w:tcBorders>
            <w:shd w:val="clear" w:color="auto" w:fill="CFF0FC"/>
          </w:tcPr>
          <w:p>
            <w:pPr>
              <w:spacing w:after="0"/>
              <w:rPr>
                <w:sz w:val="12"/>
                <w:szCs w:val="12"/>
                <w:color w:val="auto"/>
              </w:rPr>
            </w:pPr>
          </w:p>
        </w:tc>
      </w:tr>
    </w:tbl>
    <w:p>
      <w:pPr>
        <w:spacing w:after="0" w:line="153" w:lineRule="exact"/>
        <w:rPr>
          <w:sz w:val="20"/>
          <w:szCs w:val="20"/>
          <w:color w:val="auto"/>
        </w:rPr>
      </w:pPr>
    </w:p>
    <w:p>
      <w:pPr>
        <w:ind w:right="180" w:firstLine="602"/>
        <w:spacing w:after="0" w:line="290" w:lineRule="auto"/>
        <w:rPr>
          <w:sz w:val="20"/>
          <w:szCs w:val="20"/>
          <w:color w:val="auto"/>
        </w:rPr>
      </w:pPr>
      <w:r>
        <w:rPr>
          <w:rFonts w:ascii="Arial" w:cs="Arial" w:eastAsia="Arial" w:hAnsi="Arial"/>
          <w:sz w:val="11"/>
          <w:szCs w:val="11"/>
          <w:color w:val="auto"/>
        </w:rPr>
        <w:t>In connection with the ATS Merger, ATS Consolidated, Inc., subsequently renamed VM Consolidated, Inc., a wholly-owned subsidiary of the Company, entered into a First Lien Term Loan Credit Agreement (the “</w:t>
      </w:r>
      <w:r>
        <w:rPr>
          <w:rFonts w:ascii="Arial" w:cs="Arial" w:eastAsia="Arial" w:hAnsi="Arial"/>
          <w:sz w:val="11"/>
          <w:szCs w:val="11"/>
          <w:b w:val="1"/>
          <w:bCs w:val="1"/>
          <w:i w:val="1"/>
          <w:iCs w:val="1"/>
          <w:color w:val="auto"/>
        </w:rPr>
        <w:t>Old First</w:t>
      </w:r>
      <w:r>
        <w:rPr>
          <w:rFonts w:ascii="Arial" w:cs="Arial" w:eastAsia="Arial" w:hAnsi="Arial"/>
          <w:sz w:val="11"/>
          <w:szCs w:val="11"/>
          <w:color w:val="auto"/>
        </w:rPr>
        <w:t xml:space="preserve"> </w:t>
      </w:r>
      <w:r>
        <w:rPr>
          <w:rFonts w:ascii="Arial" w:cs="Arial" w:eastAsia="Arial" w:hAnsi="Arial"/>
          <w:sz w:val="11"/>
          <w:szCs w:val="11"/>
          <w:b w:val="1"/>
          <w:bCs w:val="1"/>
          <w:i w:val="1"/>
          <w:iCs w:val="1"/>
          <w:color w:val="auto"/>
        </w:rPr>
        <w:t>Lien</w:t>
      </w:r>
      <w:r>
        <w:rPr>
          <w:rFonts w:ascii="Arial" w:cs="Arial" w:eastAsia="Arial" w:hAnsi="Arial"/>
          <w:sz w:val="11"/>
          <w:szCs w:val="11"/>
          <w:color w:val="auto"/>
        </w:rPr>
        <w:t>”), a Second Lien Term Loan Credit Agreement (the “</w:t>
      </w:r>
      <w:r>
        <w:rPr>
          <w:rFonts w:ascii="Arial" w:cs="Arial" w:eastAsia="Arial" w:hAnsi="Arial"/>
          <w:sz w:val="11"/>
          <w:szCs w:val="11"/>
          <w:b w:val="1"/>
          <w:bCs w:val="1"/>
          <w:i w:val="1"/>
          <w:iCs w:val="1"/>
          <w:color w:val="auto"/>
        </w:rPr>
        <w:t>Old Second Lien</w:t>
      </w:r>
      <w:r>
        <w:rPr>
          <w:rFonts w:ascii="Arial" w:cs="Arial" w:eastAsia="Arial" w:hAnsi="Arial"/>
          <w:sz w:val="11"/>
          <w:szCs w:val="11"/>
          <w:color w:val="auto"/>
        </w:rPr>
        <w:t>”), (collectively the “</w:t>
      </w:r>
      <w:r>
        <w:rPr>
          <w:rFonts w:ascii="Arial" w:cs="Arial" w:eastAsia="Arial" w:hAnsi="Arial"/>
          <w:sz w:val="11"/>
          <w:szCs w:val="11"/>
          <w:b w:val="1"/>
          <w:bCs w:val="1"/>
          <w:i w:val="1"/>
          <w:iCs w:val="1"/>
          <w:color w:val="auto"/>
        </w:rPr>
        <w:t>Old Term Loans</w:t>
      </w:r>
      <w:r>
        <w:rPr>
          <w:rFonts w:ascii="Arial" w:cs="Arial" w:eastAsia="Arial" w:hAnsi="Arial"/>
          <w:sz w:val="11"/>
          <w:szCs w:val="11"/>
          <w:color w:val="auto"/>
        </w:rPr>
        <w:t>”), and a Revolving Credit Agreement (the “</w:t>
      </w:r>
      <w:r>
        <w:rPr>
          <w:rFonts w:ascii="Arial" w:cs="Arial" w:eastAsia="Arial" w:hAnsi="Arial"/>
          <w:sz w:val="11"/>
          <w:szCs w:val="11"/>
          <w:b w:val="1"/>
          <w:bCs w:val="1"/>
          <w:i w:val="1"/>
          <w:iCs w:val="1"/>
          <w:color w:val="auto"/>
        </w:rPr>
        <w:t>Old Revolver</w:t>
      </w:r>
      <w:r>
        <w:rPr>
          <w:rFonts w:ascii="Arial" w:cs="Arial" w:eastAsia="Arial" w:hAnsi="Arial"/>
          <w:sz w:val="11"/>
          <w:szCs w:val="11"/>
          <w:color w:val="auto"/>
        </w:rPr>
        <w:t>”) with a syndicate of lenders (collectively, the “</w:t>
      </w:r>
      <w:r>
        <w:rPr>
          <w:rFonts w:ascii="Arial" w:cs="Arial" w:eastAsia="Arial" w:hAnsi="Arial"/>
          <w:sz w:val="11"/>
          <w:szCs w:val="11"/>
          <w:b w:val="1"/>
          <w:bCs w:val="1"/>
          <w:i w:val="1"/>
          <w:iCs w:val="1"/>
          <w:color w:val="auto"/>
        </w:rPr>
        <w:t>2017 Credit Facilities</w:t>
      </w:r>
      <w:r>
        <w:rPr>
          <w:rFonts w:ascii="Arial" w:cs="Arial" w:eastAsia="Arial" w:hAnsi="Arial"/>
          <w:sz w:val="11"/>
          <w:szCs w:val="11"/>
          <w:color w:val="auto"/>
        </w:rPr>
        <w:t>”). The 2017 Credit Facilities provided for committed senior secured financing of $490.0 million, consisting of the following: the Old Term Loans with an aggregate principal amount of $450.0 million; and the Old Revolver,</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available for loans and letters of credit with an aggregate revolving commitment of up to $40.0 million (based on borrowing based eligibility as described below).</w:t>
      </w:r>
    </w:p>
    <w:p>
      <w:pPr>
        <w:spacing w:after="0" w:line="109" w:lineRule="exact"/>
        <w:rPr>
          <w:sz w:val="20"/>
          <w:szCs w:val="20"/>
          <w:color w:val="auto"/>
        </w:rPr>
      </w:pPr>
    </w:p>
    <w:p>
      <w:pPr>
        <w:ind w:right="240" w:firstLine="602"/>
        <w:spacing w:after="0" w:line="259" w:lineRule="auto"/>
        <w:rPr>
          <w:sz w:val="20"/>
          <w:szCs w:val="20"/>
          <w:color w:val="auto"/>
        </w:rPr>
      </w:pPr>
      <w:r>
        <w:rPr>
          <w:rFonts w:ascii="Arial" w:cs="Arial" w:eastAsia="Arial" w:hAnsi="Arial"/>
          <w:sz w:val="12"/>
          <w:szCs w:val="12"/>
          <w:color w:val="auto"/>
        </w:rPr>
        <w:t>In connection with the HTA Acquisition, the Company replaced the 2017 Credit Facilities by entering into a First Lien Term Loan Credit Agreement (the “</w:t>
      </w:r>
      <w:r>
        <w:rPr>
          <w:rFonts w:ascii="Arial" w:cs="Arial" w:eastAsia="Arial" w:hAnsi="Arial"/>
          <w:sz w:val="12"/>
          <w:szCs w:val="12"/>
          <w:b w:val="1"/>
          <w:bCs w:val="1"/>
          <w:i w:val="1"/>
          <w:iCs w:val="1"/>
          <w:color w:val="auto"/>
        </w:rPr>
        <w:t>New First Lien Term Loan</w:t>
      </w:r>
      <w:r>
        <w:rPr>
          <w:rFonts w:ascii="Arial" w:cs="Arial" w:eastAsia="Arial" w:hAnsi="Arial"/>
          <w:sz w:val="12"/>
          <w:szCs w:val="12"/>
          <w:color w:val="auto"/>
        </w:rPr>
        <w:t>”), a Second Lien Term Loan Credit Agreement (the “</w:t>
      </w:r>
      <w:r>
        <w:rPr>
          <w:rFonts w:ascii="Arial" w:cs="Arial" w:eastAsia="Arial" w:hAnsi="Arial"/>
          <w:sz w:val="12"/>
          <w:szCs w:val="12"/>
          <w:b w:val="1"/>
          <w:bCs w:val="1"/>
          <w:i w:val="1"/>
          <w:iCs w:val="1"/>
          <w:color w:val="auto"/>
        </w:rPr>
        <w:t>New Second Lien Term Loan</w:t>
      </w:r>
      <w:r>
        <w:rPr>
          <w:rFonts w:ascii="Arial" w:cs="Arial" w:eastAsia="Arial" w:hAnsi="Arial"/>
          <w:sz w:val="12"/>
          <w:szCs w:val="12"/>
          <w:color w:val="auto"/>
        </w:rPr>
        <w:t>”), (collectively the “</w:t>
      </w:r>
      <w:r>
        <w:rPr>
          <w:rFonts w:ascii="Arial" w:cs="Arial" w:eastAsia="Arial" w:hAnsi="Arial"/>
          <w:sz w:val="12"/>
          <w:szCs w:val="12"/>
          <w:b w:val="1"/>
          <w:bCs w:val="1"/>
          <w:i w:val="1"/>
          <w:iCs w:val="1"/>
          <w:color w:val="auto"/>
        </w:rPr>
        <w:t>New Term Loans</w:t>
      </w:r>
      <w:r>
        <w:rPr>
          <w:rFonts w:ascii="Arial" w:cs="Arial" w:eastAsia="Arial" w:hAnsi="Arial"/>
          <w:sz w:val="12"/>
          <w:szCs w:val="12"/>
          <w:color w:val="auto"/>
        </w:rPr>
        <w:t>”) and a Revolving Credit Agreement (the “</w:t>
      </w:r>
      <w:r>
        <w:rPr>
          <w:rFonts w:ascii="Arial" w:cs="Arial" w:eastAsia="Arial" w:hAnsi="Arial"/>
          <w:sz w:val="12"/>
          <w:szCs w:val="12"/>
          <w:b w:val="1"/>
          <w:bCs w:val="1"/>
          <w:i w:val="1"/>
          <w:iCs w:val="1"/>
          <w:color w:val="auto"/>
        </w:rPr>
        <w:t>New Revolver</w:t>
      </w:r>
      <w:r>
        <w:rPr>
          <w:rFonts w:ascii="Arial" w:cs="Arial" w:eastAsia="Arial" w:hAnsi="Arial"/>
          <w:sz w:val="12"/>
          <w:szCs w:val="12"/>
          <w:color w:val="auto"/>
        </w:rPr>
        <w:t>”) with a syndicate of lenders (collectively, the “</w:t>
      </w:r>
      <w:r>
        <w:rPr>
          <w:rFonts w:ascii="Arial" w:cs="Arial" w:eastAsia="Arial" w:hAnsi="Arial"/>
          <w:sz w:val="12"/>
          <w:szCs w:val="12"/>
          <w:b w:val="1"/>
          <w:bCs w:val="1"/>
          <w:i w:val="1"/>
          <w:iCs w:val="1"/>
          <w:color w:val="auto"/>
        </w:rPr>
        <w:t>2018 Credit Facilities</w:t>
      </w:r>
      <w:r>
        <w:rPr>
          <w:rFonts w:ascii="Arial" w:cs="Arial" w:eastAsia="Arial" w:hAnsi="Arial"/>
          <w:sz w:val="12"/>
          <w:szCs w:val="12"/>
          <w:color w:val="auto"/>
        </w:rPr>
        <w:t>”). The 2018 Credit Facilities provide for committed senior secured financing of $1.115 billion, consisting of the New Term Loans with an aggregate principal amount of $1.04 billion and the New Revolver available for loans and letters of credit with an aggregate revolving commitment of up to $75 million (based on borrowing based eligibility as described below).</w:t>
      </w:r>
    </w:p>
    <w:p>
      <w:pPr>
        <w:spacing w:after="0" w:line="125" w:lineRule="exact"/>
        <w:rPr>
          <w:sz w:val="20"/>
          <w:szCs w:val="20"/>
          <w:color w:val="auto"/>
        </w:rPr>
      </w:pPr>
    </w:p>
    <w:p>
      <w:pPr>
        <w:ind w:right="200" w:firstLine="602"/>
        <w:spacing w:after="0" w:line="276" w:lineRule="auto"/>
        <w:rPr>
          <w:sz w:val="20"/>
          <w:szCs w:val="20"/>
          <w:color w:val="auto"/>
        </w:rPr>
      </w:pPr>
      <w:r>
        <w:rPr>
          <w:rFonts w:ascii="Arial" w:cs="Arial" w:eastAsia="Arial" w:hAnsi="Arial"/>
          <w:sz w:val="12"/>
          <w:szCs w:val="12"/>
          <w:color w:val="auto"/>
        </w:rPr>
        <w:t>The pre-existing Old Term Loans were repaid concurrent with the closing on the 2018 Credit Facilities and the pre-existing Old Revolver was undrawn at close. The outstanding balances at the date of close on the Old Term Loans, which were repaid with proceeds from the 2018 Credit Facilities, were $323.4 million and $125 million, respectively.</w:t>
      </w:r>
    </w:p>
    <w:p>
      <w:pPr>
        <w:spacing w:after="0" w:line="142" w:lineRule="exact"/>
        <w:rPr>
          <w:sz w:val="20"/>
          <w:szCs w:val="20"/>
          <w:color w:val="auto"/>
        </w:rPr>
      </w:pPr>
    </w:p>
    <w:p>
      <w:pPr>
        <w:ind w:right="200" w:firstLine="602"/>
        <w:spacing w:after="0" w:line="298" w:lineRule="auto"/>
        <w:rPr>
          <w:sz w:val="20"/>
          <w:szCs w:val="20"/>
          <w:color w:val="auto"/>
        </w:rPr>
      </w:pPr>
      <w:r>
        <w:rPr>
          <w:rFonts w:ascii="Arial" w:cs="Arial" w:eastAsia="Arial" w:hAnsi="Arial"/>
          <w:sz w:val="11"/>
          <w:szCs w:val="11"/>
          <w:color w:val="auto"/>
        </w:rPr>
        <w:t>In July 2018, the Company amended the New First Lien Term Loan (the “</w:t>
      </w:r>
      <w:r>
        <w:rPr>
          <w:rFonts w:ascii="Arial" w:cs="Arial" w:eastAsia="Arial" w:hAnsi="Arial"/>
          <w:sz w:val="11"/>
          <w:szCs w:val="11"/>
          <w:b w:val="1"/>
          <w:bCs w:val="1"/>
          <w:i w:val="1"/>
          <w:iCs w:val="1"/>
          <w:color w:val="auto"/>
        </w:rPr>
        <w:t>New First Lien Term Loan Amendment</w:t>
      </w:r>
      <w:r>
        <w:rPr>
          <w:rFonts w:ascii="Arial" w:cs="Arial" w:eastAsia="Arial" w:hAnsi="Arial"/>
          <w:sz w:val="11"/>
          <w:szCs w:val="11"/>
          <w:color w:val="auto"/>
        </w:rPr>
        <w:t>”) to expand the aggregate principal loan amount from $840 million to $910 million and to modify certain defined terms. In connection with this amendment, the Company incurred a consent fee of $0.4 million, which was capitalized as deferred financing costs and is being amortized over the remaining life of the New First Lien Term Loan. The additional $70 million along with funds contributed by Platinum were used to repay the $200 million New Second Lien Term Loan in full contemporaneously with the close of the Business Combination on October 17, 2018.</w:t>
      </w:r>
    </w:p>
    <w:p>
      <w:pPr>
        <w:spacing w:after="0" w:line="132" w:lineRule="exact"/>
        <w:rPr>
          <w:sz w:val="20"/>
          <w:szCs w:val="20"/>
          <w:color w:val="auto"/>
        </w:rPr>
      </w:pPr>
    </w:p>
    <w:p>
      <w:pPr>
        <w:jc w:val="both"/>
        <w:ind w:right="120" w:firstLine="602"/>
        <w:spacing w:after="0" w:line="298" w:lineRule="auto"/>
        <w:rPr>
          <w:sz w:val="20"/>
          <w:szCs w:val="20"/>
          <w:color w:val="auto"/>
        </w:rPr>
      </w:pPr>
      <w:r>
        <w:rPr>
          <w:rFonts w:ascii="Arial" w:cs="Arial" w:eastAsia="Arial" w:hAnsi="Arial"/>
          <w:sz w:val="11"/>
          <w:szCs w:val="11"/>
          <w:color w:val="auto"/>
        </w:rPr>
        <w:t>The New First Lien Term Loan is repayable at 1.0% per annum of the amount initially borrowed, paid in quarterly installments. The New First Lien Term Loan matures on February 28, 2025. The New First Lien Term Loan bears interest based, at our option, on either (1) LIBOR plus an applicable margin of 3.75% per annum, or (2) an alternate base rate plus an applicable margin of 2.75% per annum. At December 31, 2019, the interest rate on the New First Lien Term Loan was 5.5%. See Note 21</w:t>
      </w:r>
      <w:r>
        <w:rPr>
          <w:rFonts w:ascii="Arial" w:cs="Arial" w:eastAsia="Arial" w:hAnsi="Arial"/>
          <w:sz w:val="11"/>
          <w:szCs w:val="11"/>
          <w:i w:val="1"/>
          <w:iCs w:val="1"/>
          <w:color w:val="auto"/>
        </w:rPr>
        <w:t>, Subsequent Events</w:t>
      </w:r>
      <w:r>
        <w:rPr>
          <w:rFonts w:ascii="Arial" w:cs="Arial" w:eastAsia="Arial" w:hAnsi="Arial"/>
          <w:sz w:val="11"/>
          <w:szCs w:val="11"/>
          <w:color w:val="auto"/>
        </w:rPr>
        <w:t>, for information on the refinancing of the Company’s debt which reduced the interest rate by 50 basis points, effective February 20, 2020.</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17740" cy="3683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ectPr>
          <w:pgSz w:w="11900" w:h="16838" w:orient="portrait"/>
          <w:cols w:equalWidth="0" w:num="1">
            <w:col w:w="11480"/>
          </w:cols>
          <w:pgMar w:left="220" w:top="302" w:right="199" w:bottom="1440" w:gutter="0" w:footer="0" w:header="0"/>
        </w:sectPr>
      </w:pPr>
    </w:p>
    <w:bookmarkStart w:id="91" w:name="page92"/>
    <w:bookmarkEnd w:id="91"/>
    <w:p>
      <w:pPr>
        <w:ind w:right="280" w:firstLine="602"/>
        <w:spacing w:after="0" w:line="276" w:lineRule="auto"/>
        <w:rPr>
          <w:sz w:val="20"/>
          <w:szCs w:val="20"/>
          <w:color w:val="auto"/>
        </w:rPr>
      </w:pPr>
      <w:r>
        <w:rPr>
          <w:rFonts w:ascii="Arial" w:cs="Arial" w:eastAsia="Arial" w:hAnsi="Arial"/>
          <w:sz w:val="12"/>
          <w:szCs w:val="12"/>
          <w:color w:val="auto"/>
        </w:rPr>
        <w:t>In addition, the New First Lien Term Loan contains provisions that require mandatory prepayments to be calculated as of the last day of the fiscal year, beginning with year ending December 31, 2019, as the product of the excess cash flows of the Company (as defined in the loan agreement) and the applicable percentages set forth in the following table:</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3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36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w w:val="86"/>
              </w:rPr>
              <w:t>Applicable</w:t>
            </w:r>
          </w:p>
        </w:tc>
      </w:tr>
      <w:tr>
        <w:trPr>
          <w:trHeight w:val="99"/>
        </w:trPr>
        <w:tc>
          <w:tcPr>
            <w:tcW w:w="378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4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360" w:type="dxa"/>
            <w:vAlign w:val="bottom"/>
            <w:gridSpan w:val="2"/>
          </w:tcPr>
          <w:p>
            <w:pPr>
              <w:jc w:val="center"/>
              <w:ind w:right="120"/>
              <w:spacing w:after="0" w:line="99" w:lineRule="exact"/>
              <w:rPr>
                <w:sz w:val="20"/>
                <w:szCs w:val="20"/>
                <w:color w:val="auto"/>
              </w:rPr>
            </w:pPr>
            <w:r>
              <w:rPr>
                <w:rFonts w:ascii="Arial" w:cs="Arial" w:eastAsia="Arial" w:hAnsi="Arial"/>
                <w:sz w:val="10"/>
                <w:szCs w:val="10"/>
                <w:b w:val="1"/>
                <w:bCs w:val="1"/>
                <w:color w:val="auto"/>
                <w:w w:val="84"/>
              </w:rPr>
              <w:t>prepayment</w:t>
            </w:r>
          </w:p>
        </w:tc>
      </w:tr>
      <w:tr>
        <w:trPr>
          <w:trHeight w:val="114"/>
        </w:trPr>
        <w:tc>
          <w:tcPr>
            <w:tcW w:w="9120" w:type="dxa"/>
            <w:vAlign w:val="bottom"/>
            <w:gridSpan w:val="5"/>
          </w:tcPr>
          <w:p>
            <w:pPr>
              <w:jc w:val="center"/>
              <w:ind w:right="220"/>
              <w:spacing w:after="0" w:line="114" w:lineRule="exact"/>
              <w:rPr>
                <w:sz w:val="20"/>
                <w:szCs w:val="20"/>
                <w:color w:val="auto"/>
              </w:rPr>
            </w:pPr>
            <w:r>
              <w:rPr>
                <w:rFonts w:ascii="Arial" w:cs="Arial" w:eastAsia="Arial" w:hAnsi="Arial"/>
                <w:sz w:val="10"/>
                <w:szCs w:val="10"/>
                <w:b w:val="1"/>
                <w:bCs w:val="1"/>
                <w:color w:val="auto"/>
                <w:w w:val="86"/>
              </w:rPr>
              <w:t>Consolidated first lien net leverage ratio (as defined by the New First Lien Term Loan agreement)</w:t>
            </w:r>
          </w:p>
        </w:tc>
        <w:tc>
          <w:tcPr>
            <w:tcW w:w="2360" w:type="dxa"/>
            <w:vAlign w:val="bottom"/>
            <w:gridSpan w:val="2"/>
          </w:tcPr>
          <w:p>
            <w:pPr>
              <w:jc w:val="center"/>
              <w:ind w:right="120"/>
              <w:spacing w:after="0" w:line="114" w:lineRule="exact"/>
              <w:rPr>
                <w:sz w:val="20"/>
                <w:szCs w:val="20"/>
                <w:color w:val="auto"/>
              </w:rPr>
            </w:pPr>
            <w:r>
              <w:rPr>
                <w:rFonts w:ascii="Arial" w:cs="Arial" w:eastAsia="Arial" w:hAnsi="Arial"/>
                <w:sz w:val="10"/>
                <w:szCs w:val="10"/>
                <w:b w:val="1"/>
                <w:bCs w:val="1"/>
                <w:color w:val="auto"/>
                <w:w w:val="82"/>
              </w:rPr>
              <w:t>percentage</w:t>
            </w:r>
          </w:p>
        </w:tc>
      </w:tr>
      <w:tr>
        <w:trPr>
          <w:trHeight w:val="142"/>
        </w:trPr>
        <w:tc>
          <w:tcPr>
            <w:tcW w:w="8920" w:type="dxa"/>
            <w:vAlign w:val="bottom"/>
            <w:tcBorders>
              <w:top w:val="single" w:sz="8" w:color="auto"/>
            </w:tcBorders>
            <w:gridSpan w:val="4"/>
            <w:shd w:val="clear" w:color="auto" w:fill="CFF0FC"/>
          </w:tcPr>
          <w:p>
            <w:pPr>
              <w:jc w:val="center"/>
              <w:ind w:right="20"/>
              <w:spacing w:after="0"/>
              <w:rPr>
                <w:sz w:val="20"/>
                <w:szCs w:val="20"/>
                <w:color w:val="auto"/>
              </w:rPr>
            </w:pPr>
            <w:r>
              <w:rPr>
                <w:rFonts w:ascii="Arial" w:cs="Arial" w:eastAsia="Arial" w:hAnsi="Arial"/>
                <w:sz w:val="12"/>
                <w:szCs w:val="12"/>
                <w:color w:val="auto"/>
                <w:w w:val="89"/>
              </w:rPr>
              <w:t>&gt; 3.70:1.00</w:t>
            </w:r>
          </w:p>
        </w:tc>
        <w:tc>
          <w:tcPr>
            <w:tcW w:w="200" w:type="dxa"/>
            <w:vAlign w:val="bottom"/>
            <w:tcBorders>
              <w:top w:val="single" w:sz="8" w:color="CFF0FC"/>
            </w:tcBorders>
            <w:shd w:val="clear" w:color="auto" w:fill="CFF0FC"/>
          </w:tcPr>
          <w:p>
            <w:pPr>
              <w:spacing w:after="0"/>
              <w:rPr>
                <w:sz w:val="12"/>
                <w:szCs w:val="12"/>
                <w:color w:val="auto"/>
              </w:rPr>
            </w:pPr>
          </w:p>
        </w:tc>
        <w:tc>
          <w:tcPr>
            <w:tcW w:w="224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2"/>
                <w:szCs w:val="12"/>
                <w:color w:val="auto"/>
                <w:w w:val="91"/>
              </w:rPr>
              <w:t>50%</w:t>
            </w:r>
          </w:p>
        </w:tc>
        <w:tc>
          <w:tcPr>
            <w:tcW w:w="120" w:type="dxa"/>
            <w:vAlign w:val="bottom"/>
            <w:tcBorders>
              <w:top w:val="single" w:sz="8" w:color="CFF0FC"/>
            </w:tcBorders>
            <w:shd w:val="clear" w:color="auto" w:fill="CFF0FC"/>
          </w:tcPr>
          <w:p>
            <w:pPr>
              <w:spacing w:after="0"/>
              <w:rPr>
                <w:sz w:val="12"/>
                <w:szCs w:val="12"/>
                <w:color w:val="auto"/>
              </w:rPr>
            </w:pPr>
          </w:p>
        </w:tc>
      </w:tr>
      <w:tr>
        <w:trPr>
          <w:trHeight w:val="133"/>
        </w:trPr>
        <w:tc>
          <w:tcPr>
            <w:tcW w:w="3780" w:type="dxa"/>
            <w:vAlign w:val="bottom"/>
          </w:tcPr>
          <w:p>
            <w:pPr>
              <w:spacing w:after="0"/>
              <w:rPr>
                <w:sz w:val="11"/>
                <w:szCs w:val="11"/>
                <w:color w:val="auto"/>
              </w:rPr>
            </w:pPr>
          </w:p>
        </w:tc>
        <w:tc>
          <w:tcPr>
            <w:tcW w:w="5340" w:type="dxa"/>
            <w:vAlign w:val="bottom"/>
            <w:gridSpan w:val="4"/>
          </w:tcPr>
          <w:p>
            <w:pPr>
              <w:jc w:val="center"/>
              <w:ind w:right="4000"/>
              <w:spacing w:after="0" w:line="126" w:lineRule="exact"/>
              <w:rPr>
                <w:sz w:val="20"/>
                <w:szCs w:val="20"/>
                <w:color w:val="auto"/>
              </w:rPr>
            </w:pPr>
            <w:r>
              <w:rPr>
                <w:rFonts w:ascii="Arial" w:cs="Arial" w:eastAsia="Arial" w:hAnsi="Arial"/>
                <w:sz w:val="12"/>
                <w:szCs w:val="12"/>
                <w:color w:val="auto"/>
                <w:w w:val="90"/>
              </w:rPr>
              <w:t>&lt; 3.70:1.00 and &gt; 3.20:1.00</w:t>
            </w:r>
          </w:p>
        </w:tc>
        <w:tc>
          <w:tcPr>
            <w:tcW w:w="2240" w:type="dxa"/>
            <w:vAlign w:val="bottom"/>
          </w:tcPr>
          <w:p>
            <w:pPr>
              <w:jc w:val="center"/>
              <w:spacing w:after="0" w:line="126" w:lineRule="exact"/>
              <w:rPr>
                <w:sz w:val="20"/>
                <w:szCs w:val="20"/>
                <w:color w:val="auto"/>
              </w:rPr>
            </w:pPr>
            <w:r>
              <w:rPr>
                <w:rFonts w:ascii="Arial" w:cs="Arial" w:eastAsia="Arial" w:hAnsi="Arial"/>
                <w:sz w:val="12"/>
                <w:szCs w:val="12"/>
                <w:color w:val="auto"/>
                <w:w w:val="91"/>
              </w:rPr>
              <w:t>25%</w:t>
            </w:r>
          </w:p>
        </w:tc>
        <w:tc>
          <w:tcPr>
            <w:tcW w:w="120" w:type="dxa"/>
            <w:vAlign w:val="bottom"/>
          </w:tcPr>
          <w:p>
            <w:pPr>
              <w:spacing w:after="0"/>
              <w:rPr>
                <w:sz w:val="11"/>
                <w:szCs w:val="11"/>
                <w:color w:val="auto"/>
              </w:rPr>
            </w:pPr>
          </w:p>
        </w:tc>
      </w:tr>
      <w:tr>
        <w:trPr>
          <w:trHeight w:val="126"/>
        </w:trPr>
        <w:tc>
          <w:tcPr>
            <w:tcW w:w="3780" w:type="dxa"/>
            <w:vAlign w:val="bottom"/>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5060" w:type="dxa"/>
            <w:vAlign w:val="bottom"/>
            <w:gridSpan w:val="2"/>
            <w:shd w:val="clear" w:color="auto" w:fill="CFF0FC"/>
          </w:tcPr>
          <w:p>
            <w:pPr>
              <w:jc w:val="center"/>
              <w:ind w:right="3880"/>
              <w:spacing w:after="0" w:line="126" w:lineRule="exact"/>
              <w:rPr>
                <w:sz w:val="20"/>
                <w:szCs w:val="20"/>
                <w:color w:val="auto"/>
              </w:rPr>
            </w:pPr>
            <w:r>
              <w:rPr>
                <w:rFonts w:ascii="Arial" w:cs="Arial" w:eastAsia="Arial" w:hAnsi="Arial"/>
                <w:sz w:val="12"/>
                <w:szCs w:val="12"/>
                <w:color w:val="auto"/>
                <w:w w:val="89"/>
              </w:rPr>
              <w:t>&lt; 3.20:1.00</w:t>
            </w:r>
          </w:p>
        </w:tc>
        <w:tc>
          <w:tcPr>
            <w:tcW w:w="200" w:type="dxa"/>
            <w:vAlign w:val="bottom"/>
            <w:shd w:val="clear" w:color="auto" w:fill="CFF0FC"/>
          </w:tcPr>
          <w:p>
            <w:pPr>
              <w:spacing w:after="0"/>
              <w:rPr>
                <w:sz w:val="10"/>
                <w:szCs w:val="10"/>
                <w:color w:val="auto"/>
              </w:rPr>
            </w:pPr>
          </w:p>
        </w:tc>
        <w:tc>
          <w:tcPr>
            <w:tcW w:w="2240" w:type="dxa"/>
            <w:vAlign w:val="bottom"/>
            <w:shd w:val="clear" w:color="auto" w:fill="CFF0FC"/>
          </w:tcPr>
          <w:p>
            <w:pPr>
              <w:jc w:val="center"/>
              <w:spacing w:after="0" w:line="126" w:lineRule="exact"/>
              <w:rPr>
                <w:sz w:val="20"/>
                <w:szCs w:val="20"/>
                <w:color w:val="auto"/>
              </w:rPr>
            </w:pPr>
            <w:r>
              <w:rPr>
                <w:rFonts w:ascii="Arial" w:cs="Arial" w:eastAsia="Arial" w:hAnsi="Arial"/>
                <w:sz w:val="12"/>
                <w:szCs w:val="12"/>
                <w:color w:val="auto"/>
                <w:w w:val="91"/>
              </w:rPr>
              <w:t>0%</w:t>
            </w:r>
          </w:p>
        </w:tc>
        <w:tc>
          <w:tcPr>
            <w:tcW w:w="120" w:type="dxa"/>
            <w:vAlign w:val="bottom"/>
            <w:shd w:val="clear" w:color="auto" w:fill="CFF0FC"/>
          </w:tcPr>
          <w:p>
            <w:pPr>
              <w:spacing w:after="0"/>
              <w:rPr>
                <w:sz w:val="10"/>
                <w:szCs w:val="10"/>
                <w:color w:val="auto"/>
              </w:rPr>
            </w:pPr>
          </w:p>
        </w:tc>
      </w:tr>
      <w:tr>
        <w:trPr>
          <w:trHeight w:val="27"/>
        </w:trPr>
        <w:tc>
          <w:tcPr>
            <w:tcW w:w="3780" w:type="dxa"/>
            <w:vAlign w:val="bottom"/>
            <w:shd w:val="clear" w:color="auto" w:fill="CFF0FC"/>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380" w:type="dxa"/>
            <w:vAlign w:val="bottom"/>
            <w:tcBorders>
              <w:right w:val="single" w:sz="8" w:color="auto"/>
            </w:tcBorders>
            <w:shd w:val="clear" w:color="auto" w:fill="CFF0FC"/>
          </w:tcPr>
          <w:p>
            <w:pPr>
              <w:spacing w:after="0"/>
              <w:rPr>
                <w:sz w:val="2"/>
                <w:szCs w:val="2"/>
                <w:color w:val="auto"/>
              </w:rPr>
            </w:pPr>
          </w:p>
        </w:tc>
        <w:tc>
          <w:tcPr>
            <w:tcW w:w="4680" w:type="dxa"/>
            <w:vAlign w:val="bottom"/>
            <w:shd w:val="clear" w:color="auto" w:fill="CFF0FC"/>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224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r>
      <w:tr>
        <w:trPr>
          <w:trHeight w:val="315"/>
        </w:trPr>
        <w:tc>
          <w:tcPr>
            <w:tcW w:w="9120" w:type="dxa"/>
            <w:vAlign w:val="bottom"/>
            <w:gridSpan w:val="5"/>
          </w:tcPr>
          <w:p>
            <w:pPr>
              <w:ind w:left="600"/>
              <w:spacing w:after="0"/>
              <w:rPr>
                <w:sz w:val="20"/>
                <w:szCs w:val="20"/>
                <w:color w:val="auto"/>
              </w:rPr>
            </w:pPr>
            <w:r>
              <w:rPr>
                <w:rFonts w:ascii="Arial" w:cs="Arial" w:eastAsia="Arial" w:hAnsi="Arial"/>
                <w:sz w:val="12"/>
                <w:szCs w:val="12"/>
                <w:color w:val="auto"/>
                <w:w w:val="92"/>
              </w:rPr>
              <w:t>The Company will make a mandatory prepayment of excess cash flow calculated per the loan agreement for approximately $19.7 million during the first quarter of fiscal 2020.</w:t>
            </w:r>
          </w:p>
        </w:tc>
        <w:tc>
          <w:tcPr>
            <w:tcW w:w="224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pacing w:after="0" w:line="135" w:lineRule="exact"/>
        <w:rPr>
          <w:sz w:val="20"/>
          <w:szCs w:val="20"/>
          <w:color w:val="auto"/>
        </w:rPr>
      </w:pPr>
    </w:p>
    <w:p>
      <w:pPr>
        <w:ind w:firstLine="602"/>
        <w:spacing w:after="0" w:line="290" w:lineRule="auto"/>
        <w:rPr>
          <w:sz w:val="20"/>
          <w:szCs w:val="20"/>
          <w:color w:val="auto"/>
        </w:rPr>
      </w:pPr>
      <w:r>
        <w:rPr>
          <w:rFonts w:ascii="Arial" w:cs="Arial" w:eastAsia="Arial" w:hAnsi="Arial"/>
          <w:sz w:val="11"/>
          <w:szCs w:val="11"/>
          <w:color w:val="auto"/>
        </w:rPr>
        <w:t>The New Revolver matures on February 28, 2023. Borrowing eligibility under the New Revolver is subject to a monthly borrowing base calculation based on (i) certain percentages of eligible accounts receivable and inventory, less (ii) certain reserve items, including outstanding letters of credit and other reserves. The New Revolver bears interest on either (1) LIBOR plus an applicable margin, or (2) an alternate base rate, plus an applicable margin. The margin percentage applied to (1) LIBOR is either 1.25%, 1.50%, or 1.75%, or (2) the base rate is either 0.25%, 0.50%, or 0.75%, depending on the Company’s average availability to borrow under the commitment. At December 31, 2019, the Company had no outstanding borrowings on the New Revolver and availability to borrow was $63.5 million, net of $0.1 million of outstanding letters of credit.</w:t>
      </w:r>
    </w:p>
    <w:p>
      <w:pPr>
        <w:spacing w:after="0" w:line="109" w:lineRule="exact"/>
        <w:rPr>
          <w:sz w:val="20"/>
          <w:szCs w:val="20"/>
          <w:color w:val="auto"/>
        </w:rPr>
      </w:pPr>
    </w:p>
    <w:p>
      <w:pPr>
        <w:ind w:right="160" w:firstLine="602"/>
        <w:spacing w:after="0" w:line="276" w:lineRule="auto"/>
        <w:rPr>
          <w:sz w:val="20"/>
          <w:szCs w:val="20"/>
          <w:color w:val="auto"/>
        </w:rPr>
      </w:pPr>
      <w:r>
        <w:rPr>
          <w:rFonts w:ascii="Arial" w:cs="Arial" w:eastAsia="Arial" w:hAnsi="Arial"/>
          <w:sz w:val="12"/>
          <w:szCs w:val="12"/>
          <w:color w:val="auto"/>
        </w:rPr>
        <w:t>Interest on the unused portion of the New Revolver is payable quarterly at 0.375% at December 31, 2019. The Company is also required to pay participation and fronting fees on $0.1 million in outstanding letters of credit at 1.38% as of December 31, 2019.</w:t>
      </w:r>
    </w:p>
    <w:p>
      <w:pPr>
        <w:spacing w:after="0" w:line="115" w:lineRule="exact"/>
        <w:rPr>
          <w:sz w:val="20"/>
          <w:szCs w:val="20"/>
          <w:color w:val="auto"/>
        </w:rPr>
      </w:pPr>
    </w:p>
    <w:p>
      <w:pPr>
        <w:jc w:val="both"/>
        <w:ind w:right="60" w:firstLine="602"/>
        <w:spacing w:after="0" w:line="263" w:lineRule="auto"/>
        <w:rPr>
          <w:sz w:val="20"/>
          <w:szCs w:val="20"/>
          <w:color w:val="auto"/>
        </w:rPr>
      </w:pPr>
      <w:r>
        <w:rPr>
          <w:rFonts w:ascii="Arial" w:cs="Arial" w:eastAsia="Arial" w:hAnsi="Arial"/>
          <w:sz w:val="12"/>
          <w:szCs w:val="12"/>
          <w:color w:val="auto"/>
        </w:rPr>
        <w:t>All borrowings and other extensions of credits under the 2018 Credit Facilities are subject to the satisfaction of customary conditions and restrictive covenants including absence of defaults and accuracy in material respects of representations and warranties. At December 31, 2019, the Company was compliant with the 2018 Credit Facilities covenants. Substantially all of the Company’s assets are pledged as collateral to secure the Company’s indebtedness under the 2018 Credit Facilities.</w:t>
      </w:r>
    </w:p>
    <w:p>
      <w:pPr>
        <w:spacing w:after="0" w:line="123" w:lineRule="exact"/>
        <w:rPr>
          <w:sz w:val="20"/>
          <w:szCs w:val="20"/>
          <w:color w:val="auto"/>
        </w:rPr>
      </w:pPr>
    </w:p>
    <w:p>
      <w:pPr>
        <w:ind w:right="80" w:firstLine="602"/>
        <w:spacing w:after="0" w:line="276" w:lineRule="auto"/>
        <w:rPr>
          <w:sz w:val="20"/>
          <w:szCs w:val="20"/>
          <w:color w:val="auto"/>
        </w:rPr>
      </w:pPr>
      <w:r>
        <w:rPr>
          <w:rFonts w:ascii="Arial" w:cs="Arial" w:eastAsia="Arial" w:hAnsi="Arial"/>
          <w:sz w:val="12"/>
          <w:szCs w:val="12"/>
          <w:color w:val="auto"/>
        </w:rPr>
        <w:t>The Company recognized a charge of $10.2 million in fiscal year 2018 consisting of a $3.8 million prepayment penalty on the Old Term Loan balances, a $2.0 million write-off of pre-existing deferred financing costs and $4.4 million of lender and third-party costs associated with the issuance of the 2018 Credit Facilities.</w:t>
      </w:r>
    </w:p>
    <w:p>
      <w:pPr>
        <w:spacing w:after="0" w:line="115" w:lineRule="exact"/>
        <w:rPr>
          <w:sz w:val="20"/>
          <w:szCs w:val="20"/>
          <w:color w:val="auto"/>
        </w:rPr>
      </w:pPr>
    </w:p>
    <w:p>
      <w:pPr>
        <w:ind w:right="160" w:firstLine="602"/>
        <w:spacing w:after="0" w:line="276" w:lineRule="auto"/>
        <w:rPr>
          <w:sz w:val="20"/>
          <w:szCs w:val="20"/>
          <w:color w:val="auto"/>
        </w:rPr>
      </w:pPr>
      <w:r>
        <w:rPr>
          <w:rFonts w:ascii="Arial" w:cs="Arial" w:eastAsia="Arial" w:hAnsi="Arial"/>
          <w:sz w:val="12"/>
          <w:szCs w:val="12"/>
          <w:color w:val="auto"/>
        </w:rPr>
        <w:t>The Company recognized a charge of $16.3 million in fiscal year 2018 consisting of a $4.0 million prepayment penalty on the New Second Lien Term Loan balance, a $3.4 million write-off of pre-existing deferred financing costs and $8.9 million of lender and third-party costs associated with the issuance of the New Second Lien Term Loan.</w:t>
      </w:r>
    </w:p>
    <w:p>
      <w:pPr>
        <w:spacing w:after="0" w:line="115" w:lineRule="exact"/>
        <w:rPr>
          <w:sz w:val="20"/>
          <w:szCs w:val="20"/>
          <w:color w:val="auto"/>
        </w:rPr>
      </w:pPr>
    </w:p>
    <w:p>
      <w:pPr>
        <w:ind w:right="140" w:firstLine="602"/>
        <w:spacing w:after="0" w:line="276" w:lineRule="auto"/>
        <w:rPr>
          <w:sz w:val="20"/>
          <w:szCs w:val="20"/>
          <w:color w:val="auto"/>
        </w:rPr>
      </w:pPr>
      <w:r>
        <w:rPr>
          <w:rFonts w:ascii="Arial" w:cs="Arial" w:eastAsia="Arial" w:hAnsi="Arial"/>
          <w:sz w:val="12"/>
          <w:szCs w:val="12"/>
          <w:color w:val="auto"/>
        </w:rPr>
        <w:t>The Company recorded interest expense, including amortization of deferred financing costs and discounts, of $60.7 million, $69.6 million, $20.9 million and $0.9 million for the years ended December 31, 2019 and 2018, the 2017 Successor Period and 2017 Predecessor Period, respectively.</w:t>
      </w:r>
    </w:p>
    <w:p>
      <w:pPr>
        <w:spacing w:after="0" w:line="115" w:lineRule="exact"/>
        <w:rPr>
          <w:sz w:val="20"/>
          <w:szCs w:val="20"/>
          <w:color w:val="auto"/>
        </w:rPr>
      </w:pPr>
    </w:p>
    <w:p>
      <w:pPr>
        <w:ind w:left="600"/>
        <w:spacing w:after="0"/>
        <w:rPr>
          <w:sz w:val="20"/>
          <w:szCs w:val="20"/>
          <w:color w:val="auto"/>
        </w:rPr>
      </w:pPr>
      <w:r>
        <w:rPr>
          <w:rFonts w:ascii="Arial" w:cs="Arial" w:eastAsia="Arial" w:hAnsi="Arial"/>
          <w:sz w:val="12"/>
          <w:szCs w:val="12"/>
          <w:color w:val="auto"/>
        </w:rPr>
        <w:t>The weighted average effective interest rate of the Company’s outstanding borrowing under the 2018 Credit Facilities was 5.5% at December 31, 2019.</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17740" cy="3683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ectPr>
          <w:pgSz w:w="11900" w:h="16838" w:orient="portrait"/>
          <w:cols w:equalWidth="0" w:num="1">
            <w:col w:w="11480"/>
          </w:cols>
          <w:pgMar w:left="220" w:top="419" w:right="199" w:bottom="1440" w:gutter="0" w:footer="0" w:header="0"/>
        </w:sectPr>
      </w:pPr>
    </w:p>
    <w:bookmarkStart w:id="92" w:name="page93"/>
    <w:bookmarkEnd w:id="92"/>
    <w:p>
      <w:pPr>
        <w:ind w:left="8"/>
        <w:spacing w:after="0"/>
        <w:tabs>
          <w:tab w:leader="none" w:pos="568" w:val="left"/>
        </w:tabs>
        <w:rPr>
          <w:sz w:val="20"/>
          <w:szCs w:val="20"/>
          <w:color w:val="auto"/>
        </w:rPr>
      </w:pPr>
      <w:r>
        <w:rPr>
          <w:rFonts w:ascii="Arial" w:cs="Arial" w:eastAsia="Arial" w:hAnsi="Arial"/>
          <w:sz w:val="12"/>
          <w:szCs w:val="12"/>
          <w:b w:val="1"/>
          <w:bCs w:val="1"/>
          <w:color w:val="auto"/>
        </w:rPr>
        <w:t>10</w:t>
      </w:r>
      <w:r>
        <w:rPr>
          <w:rFonts w:ascii="Arial" w:cs="Arial" w:eastAsia="Arial" w:hAnsi="Arial"/>
          <w:sz w:val="12"/>
          <w:szCs w:val="12"/>
          <w:color w:val="auto"/>
        </w:rPr>
        <w:t>.</w:t>
      </w:r>
      <w:r>
        <w:rPr>
          <w:sz w:val="20"/>
          <w:szCs w:val="20"/>
          <w:color w:val="auto"/>
        </w:rPr>
        <w:tab/>
      </w:r>
      <w:r>
        <w:rPr>
          <w:rFonts w:ascii="Arial" w:cs="Arial" w:eastAsia="Arial" w:hAnsi="Arial"/>
          <w:sz w:val="10"/>
          <w:szCs w:val="10"/>
          <w:b w:val="1"/>
          <w:bCs w:val="1"/>
          <w:color w:val="auto"/>
        </w:rPr>
        <w:t>Leases</w:t>
      </w:r>
    </w:p>
    <w:p>
      <w:pPr>
        <w:spacing w:after="0" w:line="82" w:lineRule="exact"/>
        <w:rPr>
          <w:sz w:val="20"/>
          <w:szCs w:val="20"/>
          <w:color w:val="auto"/>
        </w:rPr>
      </w:pPr>
    </w:p>
    <w:p>
      <w:pPr>
        <w:ind w:left="8" w:right="120" w:firstLine="602"/>
        <w:spacing w:after="0" w:line="290" w:lineRule="auto"/>
        <w:rPr>
          <w:sz w:val="20"/>
          <w:szCs w:val="20"/>
          <w:color w:val="auto"/>
        </w:rPr>
      </w:pPr>
      <w:r>
        <w:rPr>
          <w:rFonts w:ascii="Arial" w:cs="Arial" w:eastAsia="Arial" w:hAnsi="Arial"/>
          <w:sz w:val="11"/>
          <w:szCs w:val="11"/>
          <w:color w:val="auto"/>
        </w:rPr>
        <w:t>The Company’s operating leases primarily consist of office and data center space expiring at various dates through April 2035. Certain leases include options to renew or terminate at the Company’s discretion. The lease term includes periods covered by options to extend when it is reasonably certain the Company will exercise such options as well as periods subsequent to an option to terminate the lease if it is reasonably certain the Company will not exercise the termination option. The Company’s lease agreements do not contain any material residual value guarantees or material restrictive covenants. The Company does not have material short term leases and does not engage in subleasing activities. Upon adoption of ASC 842 as of January 1, 2019, the Company recognized $33.6 million of operating lease assets and $34.0 million of operating lease liabilities.</w:t>
      </w:r>
    </w:p>
    <w:p>
      <w:pPr>
        <w:spacing w:after="0" w:line="109" w:lineRule="exact"/>
        <w:rPr>
          <w:sz w:val="20"/>
          <w:szCs w:val="20"/>
          <w:color w:val="auto"/>
        </w:rPr>
      </w:pPr>
    </w:p>
    <w:p>
      <w:pPr>
        <w:ind w:left="8" w:right="240" w:firstLine="602"/>
        <w:spacing w:after="0" w:line="276" w:lineRule="auto"/>
        <w:rPr>
          <w:sz w:val="20"/>
          <w:szCs w:val="20"/>
          <w:color w:val="auto"/>
        </w:rPr>
      </w:pPr>
      <w:r>
        <w:rPr>
          <w:rFonts w:ascii="Arial" w:cs="Arial" w:eastAsia="Arial" w:hAnsi="Arial"/>
          <w:sz w:val="12"/>
          <w:szCs w:val="12"/>
          <w:color w:val="auto"/>
        </w:rPr>
        <w:t>As of December 31, 2019, operating leases have a remaining weighted average lease term of 12.8 years and operating lease liabilities were measured using a weighted average discount rate of 5.5%. The Company does not have any finance leases. The total operating lease expense for the year ended December 31, 2019 was $5.7 million.</w:t>
      </w:r>
    </w:p>
    <w:p>
      <w:pPr>
        <w:spacing w:after="0" w:line="115" w:lineRule="exact"/>
        <w:rPr>
          <w:sz w:val="20"/>
          <w:szCs w:val="20"/>
          <w:color w:val="auto"/>
        </w:rPr>
      </w:pPr>
    </w:p>
    <w:p>
      <w:pPr>
        <w:ind w:left="608"/>
        <w:spacing w:after="0"/>
        <w:rPr>
          <w:sz w:val="20"/>
          <w:szCs w:val="20"/>
          <w:color w:val="auto"/>
        </w:rPr>
      </w:pPr>
      <w:r>
        <w:rPr>
          <w:rFonts w:ascii="Arial" w:cs="Arial" w:eastAsia="Arial" w:hAnsi="Arial"/>
          <w:sz w:val="12"/>
          <w:szCs w:val="12"/>
          <w:color w:val="auto"/>
        </w:rPr>
        <w:t>The following is a summary of the Company’s operating lease liabilities as of December 31, 2019:</w:t>
      </w:r>
    </w:p>
    <w:p>
      <w:pPr>
        <w:spacing w:after="0" w:line="188" w:lineRule="exact"/>
        <w:rPr>
          <w:sz w:val="20"/>
          <w:szCs w:val="20"/>
          <w:color w:val="auto"/>
        </w:rPr>
      </w:pPr>
    </w:p>
    <w:tbl>
      <w:tblPr>
        <w:tblLayout w:type="fixed"/>
        <w:tblInd w:w="8" w:type="dxa"/>
        <w:tblCellMar>
          <w:top w:w="0" w:type="dxa"/>
          <w:left w:w="0" w:type="dxa"/>
          <w:bottom w:w="0" w:type="dxa"/>
          <w:right w:w="0" w:type="dxa"/>
        </w:tblCellMar>
      </w:tblPr>
      <w:tr>
        <w:trPr>
          <w:trHeight w:val="115"/>
        </w:trPr>
        <w:tc>
          <w:tcPr>
            <w:tcW w:w="6960" w:type="dxa"/>
            <w:vAlign w:val="bottom"/>
            <w:gridSpan w:val="2"/>
          </w:tcPr>
          <w:p>
            <w:pPr>
              <w:spacing w:after="0"/>
              <w:rPr>
                <w:sz w:val="20"/>
                <w:szCs w:val="20"/>
                <w:color w:val="auto"/>
              </w:rPr>
            </w:pPr>
            <w:r>
              <w:rPr>
                <w:rFonts w:ascii="Arial" w:cs="Arial" w:eastAsia="Arial" w:hAnsi="Arial"/>
                <w:sz w:val="10"/>
                <w:szCs w:val="10"/>
                <w:b w:val="1"/>
                <w:bCs w:val="1"/>
                <w:u w:val="single" w:color="auto"/>
                <w:color w:val="auto"/>
              </w:rPr>
              <w:t>(</w:t>
            </w:r>
            <w:r>
              <w:rPr>
                <w:rFonts w:ascii="Arial" w:cs="Arial" w:eastAsia="Arial" w:hAnsi="Arial"/>
                <w:sz w:val="10"/>
                <w:szCs w:val="10"/>
                <w:b w:val="1"/>
                <w:bCs w:val="1"/>
                <w:color w:val="auto"/>
              </w:rPr>
              <w:t>$ in thousands)</w:t>
            </w:r>
          </w:p>
        </w:tc>
        <w:tc>
          <w:tcPr>
            <w:tcW w:w="17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 w:type="dxa"/>
            <w:vAlign w:val="bottom"/>
            <w:shd w:val="clear" w:color="auto" w:fill="000000"/>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960" w:type="dxa"/>
            <w:vAlign w:val="bottom"/>
            <w:gridSpan w:val="2"/>
            <w:shd w:val="clear" w:color="auto" w:fill="CFF2FA"/>
          </w:tcPr>
          <w:p>
            <w:pPr>
              <w:spacing w:after="0"/>
              <w:rPr>
                <w:sz w:val="20"/>
                <w:szCs w:val="20"/>
                <w:color w:val="auto"/>
              </w:rPr>
            </w:pPr>
            <w:r>
              <w:rPr>
                <w:rFonts w:ascii="Arial" w:cs="Arial" w:eastAsia="Arial" w:hAnsi="Arial"/>
                <w:sz w:val="12"/>
                <w:szCs w:val="12"/>
                <w:color w:val="auto"/>
              </w:rPr>
              <w:t>Operating lease liabilities, net of current portion</w:t>
            </w:r>
          </w:p>
        </w:tc>
        <w:tc>
          <w:tcPr>
            <w:tcW w:w="2920" w:type="dxa"/>
            <w:vAlign w:val="bottom"/>
            <w:gridSpan w:val="2"/>
            <w:shd w:val="clear" w:color="auto" w:fill="CFF2FA"/>
          </w:tcPr>
          <w:p>
            <w:pPr>
              <w:jc w:val="right"/>
              <w:ind w:right="1080"/>
              <w:spacing w:after="0"/>
              <w:rPr>
                <w:sz w:val="20"/>
                <w:szCs w:val="20"/>
                <w:color w:val="auto"/>
              </w:rPr>
            </w:pPr>
            <w:r>
              <w:rPr>
                <w:rFonts w:ascii="Arial" w:cs="Arial" w:eastAsia="Arial" w:hAnsi="Arial"/>
                <w:sz w:val="12"/>
                <w:szCs w:val="12"/>
                <w:color w:val="auto"/>
              </w:rPr>
              <w:t>$</w:t>
            </w:r>
          </w:p>
        </w:tc>
        <w:tc>
          <w:tcPr>
            <w:tcW w:w="1480" w:type="dxa"/>
            <w:vAlign w:val="bottom"/>
            <w:shd w:val="clear" w:color="auto" w:fill="CFF2FA"/>
          </w:tcPr>
          <w:p>
            <w:pPr>
              <w:jc w:val="right"/>
              <w:spacing w:after="0"/>
              <w:rPr>
                <w:sz w:val="20"/>
                <w:szCs w:val="20"/>
                <w:color w:val="auto"/>
              </w:rPr>
            </w:pPr>
            <w:r>
              <w:rPr>
                <w:rFonts w:ascii="Arial" w:cs="Arial" w:eastAsia="Arial" w:hAnsi="Arial"/>
                <w:sz w:val="12"/>
                <w:szCs w:val="12"/>
                <w:color w:val="auto"/>
              </w:rPr>
              <w:t>30,130</w:t>
            </w:r>
          </w:p>
        </w:tc>
        <w:tc>
          <w:tcPr>
            <w:tcW w:w="120" w:type="dxa"/>
            <w:vAlign w:val="bottom"/>
            <w:shd w:val="clear" w:color="auto" w:fill="CFF2FA"/>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6960" w:type="dxa"/>
            <w:vAlign w:val="bottom"/>
            <w:tcBorders>
              <w:bottom w:val="single" w:sz="8" w:color="CFF2FA"/>
            </w:tcBorders>
            <w:gridSpan w:val="2"/>
          </w:tcPr>
          <w:p>
            <w:pPr>
              <w:spacing w:after="0"/>
              <w:rPr>
                <w:sz w:val="20"/>
                <w:szCs w:val="20"/>
                <w:color w:val="auto"/>
              </w:rPr>
            </w:pPr>
            <w:r>
              <w:rPr>
                <w:rFonts w:ascii="Arial" w:cs="Arial" w:eastAsia="Arial" w:hAnsi="Arial"/>
                <w:sz w:val="12"/>
                <w:szCs w:val="12"/>
                <w:color w:val="auto"/>
              </w:rPr>
              <w:t>Current portion</w:t>
            </w:r>
          </w:p>
        </w:tc>
        <w:tc>
          <w:tcPr>
            <w:tcW w:w="1780" w:type="dxa"/>
            <w:vAlign w:val="bottom"/>
            <w:tcBorders>
              <w:bottom w:val="single" w:sz="8" w:color="CFF2FA"/>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2,970</w:t>
            </w:r>
          </w:p>
        </w:tc>
        <w:tc>
          <w:tcPr>
            <w:tcW w:w="120" w:type="dxa"/>
            <w:vAlign w:val="bottom"/>
            <w:tcBorders>
              <w:bottom w:val="single" w:sz="8" w:color="CFF2FA"/>
            </w:tcBorders>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960" w:type="dxa"/>
            <w:vAlign w:val="bottom"/>
            <w:gridSpan w:val="2"/>
            <w:shd w:val="clear" w:color="auto" w:fill="CFF2FA"/>
          </w:tcPr>
          <w:p>
            <w:pPr>
              <w:spacing w:after="0"/>
              <w:rPr>
                <w:sz w:val="20"/>
                <w:szCs w:val="20"/>
                <w:color w:val="auto"/>
              </w:rPr>
            </w:pPr>
            <w:r>
              <w:rPr>
                <w:rFonts w:ascii="Arial" w:cs="Arial" w:eastAsia="Arial" w:hAnsi="Arial"/>
                <w:sz w:val="12"/>
                <w:szCs w:val="12"/>
                <w:color w:val="auto"/>
              </w:rPr>
              <w:t>Total operating lease liabilities</w:t>
            </w:r>
          </w:p>
        </w:tc>
        <w:tc>
          <w:tcPr>
            <w:tcW w:w="2920" w:type="dxa"/>
            <w:vAlign w:val="bottom"/>
            <w:gridSpan w:val="2"/>
            <w:shd w:val="clear" w:color="auto" w:fill="CFF2FA"/>
          </w:tcPr>
          <w:p>
            <w:pPr>
              <w:jc w:val="right"/>
              <w:ind w:right="1080"/>
              <w:spacing w:after="0"/>
              <w:rPr>
                <w:sz w:val="20"/>
                <w:szCs w:val="20"/>
                <w:color w:val="auto"/>
              </w:rPr>
            </w:pPr>
            <w:r>
              <w:rPr>
                <w:rFonts w:ascii="Arial" w:cs="Arial" w:eastAsia="Arial" w:hAnsi="Arial"/>
                <w:sz w:val="12"/>
                <w:szCs w:val="12"/>
                <w:color w:val="auto"/>
              </w:rPr>
              <w:t>$</w:t>
            </w:r>
          </w:p>
        </w:tc>
        <w:tc>
          <w:tcPr>
            <w:tcW w:w="1480" w:type="dxa"/>
            <w:vAlign w:val="bottom"/>
            <w:shd w:val="clear" w:color="auto" w:fill="CFF2FA"/>
          </w:tcPr>
          <w:p>
            <w:pPr>
              <w:jc w:val="right"/>
              <w:spacing w:after="0"/>
              <w:rPr>
                <w:sz w:val="20"/>
                <w:szCs w:val="20"/>
                <w:color w:val="auto"/>
              </w:rPr>
            </w:pPr>
            <w:r>
              <w:rPr>
                <w:rFonts w:ascii="Arial" w:cs="Arial" w:eastAsia="Arial" w:hAnsi="Arial"/>
                <w:sz w:val="12"/>
                <w:szCs w:val="12"/>
                <w:color w:val="auto"/>
              </w:rPr>
              <w:t>33,100</w:t>
            </w:r>
          </w:p>
        </w:tc>
        <w:tc>
          <w:tcPr>
            <w:tcW w:w="120" w:type="dxa"/>
            <w:vAlign w:val="bottom"/>
            <w:shd w:val="clear" w:color="auto" w:fill="CFF2FA"/>
          </w:tcPr>
          <w:p>
            <w:pPr>
              <w:spacing w:after="0"/>
              <w:rPr>
                <w:sz w:val="14"/>
                <w:szCs w:val="14"/>
                <w:color w:val="auto"/>
              </w:rPr>
            </w:pPr>
          </w:p>
        </w:tc>
        <w:tc>
          <w:tcPr>
            <w:tcW w:w="0" w:type="dxa"/>
            <w:vAlign w:val="bottom"/>
          </w:tcPr>
          <w:p>
            <w:pPr>
              <w:spacing w:after="0"/>
              <w:rPr>
                <w:sz w:val="1"/>
                <w:szCs w:val="1"/>
                <w:color w:val="auto"/>
              </w:rPr>
            </w:pPr>
          </w:p>
        </w:tc>
      </w:tr>
      <w:tr>
        <w:trPr>
          <w:trHeight w:val="293"/>
        </w:trPr>
        <w:tc>
          <w:tcPr>
            <w:tcW w:w="6960" w:type="dxa"/>
            <w:vAlign w:val="bottom"/>
            <w:tcBorders>
              <w:top w:val="single" w:sz="8" w:color="CFF2FA"/>
            </w:tcBorders>
            <w:gridSpan w:val="2"/>
          </w:tcPr>
          <w:p>
            <w:pPr>
              <w:ind w:left="600"/>
              <w:spacing w:after="0"/>
              <w:rPr>
                <w:sz w:val="20"/>
                <w:szCs w:val="20"/>
                <w:color w:val="auto"/>
              </w:rPr>
            </w:pPr>
            <w:r>
              <w:rPr>
                <w:rFonts w:ascii="Arial" w:cs="Arial" w:eastAsia="Arial" w:hAnsi="Arial"/>
                <w:sz w:val="12"/>
                <w:szCs w:val="12"/>
                <w:color w:val="auto"/>
              </w:rPr>
              <w:t>The following provides future maturities of operating lease liabilities as of December 31, 2019:</w:t>
            </w:r>
          </w:p>
        </w:tc>
        <w:tc>
          <w:tcPr>
            <w:tcW w:w="1780" w:type="dxa"/>
            <w:vAlign w:val="bottom"/>
            <w:tcBorders>
              <w:top w:val="single" w:sz="8" w:color="CFF2FA"/>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480" w:type="dxa"/>
            <w:vAlign w:val="bottom"/>
            <w:tcBorders>
              <w:top w:val="single" w:sz="8" w:color="auto"/>
            </w:tcBorders>
          </w:tcPr>
          <w:p>
            <w:pPr>
              <w:spacing w:after="0"/>
              <w:rPr>
                <w:sz w:val="24"/>
                <w:szCs w:val="24"/>
                <w:color w:val="auto"/>
              </w:rPr>
            </w:pPr>
          </w:p>
        </w:tc>
        <w:tc>
          <w:tcPr>
            <w:tcW w:w="120" w:type="dxa"/>
            <w:vAlign w:val="bottom"/>
            <w:tcBorders>
              <w:top w:val="single" w:sz="8" w:color="CFF2FA"/>
            </w:tcBorders>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6960" w:type="dxa"/>
            <w:vAlign w:val="bottom"/>
            <w:gridSpan w:val="2"/>
          </w:tcPr>
          <w:p>
            <w:pPr>
              <w:spacing w:after="0"/>
              <w:rPr>
                <w:sz w:val="20"/>
                <w:szCs w:val="20"/>
                <w:color w:val="auto"/>
              </w:rPr>
            </w:pPr>
            <w:r>
              <w:rPr>
                <w:rFonts w:ascii="Arial" w:cs="Arial" w:eastAsia="Arial" w:hAnsi="Arial"/>
                <w:sz w:val="10"/>
                <w:szCs w:val="10"/>
                <w:b w:val="1"/>
                <w:bCs w:val="1"/>
                <w:u w:val="single" w:color="auto"/>
                <w:color w:val="auto"/>
              </w:rPr>
              <w:t>(</w:t>
            </w:r>
            <w:r>
              <w:rPr>
                <w:rFonts w:ascii="Arial" w:cs="Arial" w:eastAsia="Arial" w:hAnsi="Arial"/>
                <w:sz w:val="10"/>
                <w:szCs w:val="10"/>
                <w:b w:val="1"/>
                <w:bCs w:val="1"/>
                <w:color w:val="auto"/>
              </w:rPr>
              <w:t>$ in thousands)</w:t>
            </w:r>
          </w:p>
        </w:tc>
        <w:tc>
          <w:tcPr>
            <w:tcW w:w="17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6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2"/>
                <w:szCs w:val="12"/>
                <w:color w:val="auto"/>
              </w:rPr>
              <w:t>2020</w:t>
            </w:r>
          </w:p>
        </w:tc>
        <w:tc>
          <w:tcPr>
            <w:tcW w:w="6320" w:type="dxa"/>
            <w:vAlign w:val="bottom"/>
            <w:shd w:val="clear" w:color="auto" w:fill="CFF0FC"/>
          </w:tcPr>
          <w:p>
            <w:pPr>
              <w:spacing w:after="0"/>
              <w:rPr>
                <w:sz w:val="12"/>
                <w:szCs w:val="12"/>
                <w:color w:val="auto"/>
              </w:rPr>
            </w:pPr>
          </w:p>
        </w:tc>
        <w:tc>
          <w:tcPr>
            <w:tcW w:w="2920" w:type="dxa"/>
            <w:vAlign w:val="bottom"/>
            <w:gridSpan w:val="2"/>
            <w:shd w:val="clear" w:color="auto" w:fill="CFF0FC"/>
          </w:tcPr>
          <w:p>
            <w:pPr>
              <w:jc w:val="right"/>
              <w:ind w:right="1080"/>
              <w:spacing w:after="0"/>
              <w:rPr>
                <w:sz w:val="20"/>
                <w:szCs w:val="20"/>
                <w:color w:val="auto"/>
              </w:rPr>
            </w:pPr>
            <w:r>
              <w:rPr>
                <w:rFonts w:ascii="Arial" w:cs="Arial" w:eastAsia="Arial" w:hAnsi="Arial"/>
                <w:sz w:val="12"/>
                <w:szCs w:val="12"/>
                <w:color w:val="auto"/>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4,709</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640" w:type="dxa"/>
            <w:vAlign w:val="bottom"/>
          </w:tcPr>
          <w:p>
            <w:pPr>
              <w:spacing w:after="0"/>
              <w:rPr>
                <w:sz w:val="20"/>
                <w:szCs w:val="20"/>
                <w:color w:val="auto"/>
              </w:rPr>
            </w:pPr>
            <w:r>
              <w:rPr>
                <w:rFonts w:ascii="Arial" w:cs="Arial" w:eastAsia="Arial" w:hAnsi="Arial"/>
                <w:sz w:val="12"/>
                <w:szCs w:val="12"/>
                <w:color w:val="auto"/>
              </w:rPr>
              <w:t>2021</w:t>
            </w:r>
          </w:p>
        </w:tc>
        <w:tc>
          <w:tcPr>
            <w:tcW w:w="632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480" w:type="dxa"/>
            <w:vAlign w:val="bottom"/>
          </w:tcPr>
          <w:p>
            <w:pPr>
              <w:jc w:val="right"/>
              <w:spacing w:after="0"/>
              <w:rPr>
                <w:sz w:val="20"/>
                <w:szCs w:val="20"/>
                <w:color w:val="auto"/>
              </w:rPr>
            </w:pPr>
            <w:r>
              <w:rPr>
                <w:rFonts w:ascii="Arial" w:cs="Arial" w:eastAsia="Arial" w:hAnsi="Arial"/>
                <w:sz w:val="12"/>
                <w:szCs w:val="12"/>
                <w:color w:val="auto"/>
              </w:rPr>
              <w:t>4,305</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40" w:type="dxa"/>
            <w:vAlign w:val="bottom"/>
            <w:shd w:val="clear" w:color="auto" w:fill="CFF0FC"/>
          </w:tcPr>
          <w:p>
            <w:pPr>
              <w:spacing w:after="0"/>
              <w:rPr>
                <w:sz w:val="20"/>
                <w:szCs w:val="20"/>
                <w:color w:val="auto"/>
              </w:rPr>
            </w:pPr>
            <w:r>
              <w:rPr>
                <w:rFonts w:ascii="Arial" w:cs="Arial" w:eastAsia="Arial" w:hAnsi="Arial"/>
                <w:sz w:val="12"/>
                <w:szCs w:val="12"/>
                <w:color w:val="auto"/>
              </w:rPr>
              <w:t>2022</w:t>
            </w:r>
          </w:p>
        </w:tc>
        <w:tc>
          <w:tcPr>
            <w:tcW w:w="6320" w:type="dxa"/>
            <w:vAlign w:val="bottom"/>
            <w:shd w:val="clear" w:color="auto" w:fill="CFF0FC"/>
          </w:tcPr>
          <w:p>
            <w:pPr>
              <w:spacing w:after="0"/>
              <w:rPr>
                <w:sz w:val="13"/>
                <w:szCs w:val="13"/>
                <w:color w:val="auto"/>
              </w:rPr>
            </w:pPr>
          </w:p>
        </w:tc>
        <w:tc>
          <w:tcPr>
            <w:tcW w:w="178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3,273</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40" w:type="dxa"/>
            <w:vAlign w:val="bottom"/>
          </w:tcPr>
          <w:p>
            <w:pPr>
              <w:spacing w:after="0"/>
              <w:rPr>
                <w:sz w:val="20"/>
                <w:szCs w:val="20"/>
                <w:color w:val="auto"/>
              </w:rPr>
            </w:pPr>
            <w:r>
              <w:rPr>
                <w:rFonts w:ascii="Arial" w:cs="Arial" w:eastAsia="Arial" w:hAnsi="Arial"/>
                <w:sz w:val="12"/>
                <w:szCs w:val="12"/>
                <w:color w:val="auto"/>
              </w:rPr>
              <w:t>2023</w:t>
            </w:r>
          </w:p>
        </w:tc>
        <w:tc>
          <w:tcPr>
            <w:tcW w:w="632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480" w:type="dxa"/>
            <w:vAlign w:val="bottom"/>
          </w:tcPr>
          <w:p>
            <w:pPr>
              <w:jc w:val="right"/>
              <w:spacing w:after="0"/>
              <w:rPr>
                <w:sz w:val="20"/>
                <w:szCs w:val="20"/>
                <w:color w:val="auto"/>
              </w:rPr>
            </w:pPr>
            <w:r>
              <w:rPr>
                <w:rFonts w:ascii="Arial" w:cs="Arial" w:eastAsia="Arial" w:hAnsi="Arial"/>
                <w:sz w:val="12"/>
                <w:szCs w:val="12"/>
                <w:color w:val="auto"/>
              </w:rPr>
              <w:t>2,957</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40" w:type="dxa"/>
            <w:vAlign w:val="bottom"/>
            <w:shd w:val="clear" w:color="auto" w:fill="CFF0FC"/>
          </w:tcPr>
          <w:p>
            <w:pPr>
              <w:spacing w:after="0"/>
              <w:rPr>
                <w:sz w:val="20"/>
                <w:szCs w:val="20"/>
                <w:color w:val="auto"/>
              </w:rPr>
            </w:pPr>
            <w:r>
              <w:rPr>
                <w:rFonts w:ascii="Arial" w:cs="Arial" w:eastAsia="Arial" w:hAnsi="Arial"/>
                <w:sz w:val="12"/>
                <w:szCs w:val="12"/>
                <w:color w:val="auto"/>
              </w:rPr>
              <w:t>2024</w:t>
            </w:r>
          </w:p>
        </w:tc>
        <w:tc>
          <w:tcPr>
            <w:tcW w:w="6320" w:type="dxa"/>
            <w:vAlign w:val="bottom"/>
            <w:shd w:val="clear" w:color="auto" w:fill="CFF0FC"/>
          </w:tcPr>
          <w:p>
            <w:pPr>
              <w:spacing w:after="0"/>
              <w:rPr>
                <w:sz w:val="13"/>
                <w:szCs w:val="13"/>
                <w:color w:val="auto"/>
              </w:rPr>
            </w:pPr>
          </w:p>
        </w:tc>
        <w:tc>
          <w:tcPr>
            <w:tcW w:w="178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2,949</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960" w:type="dxa"/>
            <w:vAlign w:val="bottom"/>
            <w:tcBorders>
              <w:bottom w:val="single" w:sz="8" w:color="CFF0FC"/>
            </w:tcBorders>
            <w:gridSpan w:val="2"/>
          </w:tcPr>
          <w:p>
            <w:pPr>
              <w:spacing w:after="0"/>
              <w:rPr>
                <w:sz w:val="20"/>
                <w:szCs w:val="20"/>
                <w:color w:val="auto"/>
              </w:rPr>
            </w:pPr>
            <w:r>
              <w:rPr>
                <w:rFonts w:ascii="Arial" w:cs="Arial" w:eastAsia="Arial" w:hAnsi="Arial"/>
                <w:sz w:val="12"/>
                <w:szCs w:val="12"/>
                <w:color w:val="auto"/>
              </w:rPr>
              <w:t>Thereafter</w:t>
            </w:r>
          </w:p>
        </w:tc>
        <w:tc>
          <w:tcPr>
            <w:tcW w:w="1780" w:type="dxa"/>
            <w:vAlign w:val="bottom"/>
            <w:tcBorders>
              <w:bottom w:val="single" w:sz="8" w:color="CFF0FC"/>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29,066</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6960" w:type="dxa"/>
            <w:vAlign w:val="bottom"/>
            <w:gridSpan w:val="2"/>
            <w:shd w:val="clear" w:color="auto" w:fill="CFF0FC"/>
          </w:tcPr>
          <w:p>
            <w:pPr>
              <w:ind w:left="80"/>
              <w:spacing w:after="0"/>
              <w:rPr>
                <w:sz w:val="20"/>
                <w:szCs w:val="20"/>
                <w:color w:val="auto"/>
              </w:rPr>
            </w:pPr>
            <w:r>
              <w:rPr>
                <w:rFonts w:ascii="Arial" w:cs="Arial" w:eastAsia="Arial" w:hAnsi="Arial"/>
                <w:sz w:val="12"/>
                <w:szCs w:val="12"/>
                <w:color w:val="auto"/>
              </w:rPr>
              <w:t>Total minimum payments</w:t>
            </w:r>
          </w:p>
        </w:tc>
        <w:tc>
          <w:tcPr>
            <w:tcW w:w="2920" w:type="dxa"/>
            <w:vAlign w:val="bottom"/>
            <w:gridSpan w:val="2"/>
            <w:shd w:val="clear" w:color="auto" w:fill="CFF0FC"/>
          </w:tcPr>
          <w:p>
            <w:pPr>
              <w:jc w:val="right"/>
              <w:ind w:right="1080"/>
              <w:spacing w:after="0"/>
              <w:rPr>
                <w:sz w:val="20"/>
                <w:szCs w:val="20"/>
                <w:color w:val="auto"/>
              </w:rPr>
            </w:pPr>
            <w:r>
              <w:rPr>
                <w:rFonts w:ascii="Arial" w:cs="Arial" w:eastAsia="Arial" w:hAnsi="Arial"/>
                <w:sz w:val="12"/>
                <w:szCs w:val="12"/>
                <w:color w:val="auto"/>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47,259</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6960" w:type="dxa"/>
            <w:vAlign w:val="bottom"/>
            <w:gridSpan w:val="2"/>
          </w:tcPr>
          <w:p>
            <w:pPr>
              <w:ind w:left="80"/>
              <w:spacing w:after="0"/>
              <w:rPr>
                <w:sz w:val="20"/>
                <w:szCs w:val="20"/>
                <w:color w:val="auto"/>
              </w:rPr>
            </w:pPr>
            <w:r>
              <w:rPr>
                <w:rFonts w:ascii="Arial" w:cs="Arial" w:eastAsia="Arial" w:hAnsi="Arial"/>
                <w:sz w:val="12"/>
                <w:szCs w:val="12"/>
                <w:color w:val="auto"/>
              </w:rPr>
              <w:t>Less: Amount representing interest</w:t>
            </w:r>
          </w:p>
        </w:tc>
        <w:tc>
          <w:tcPr>
            <w:tcW w:w="17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600" w:type="dxa"/>
            <w:vAlign w:val="bottom"/>
            <w:gridSpan w:val="2"/>
          </w:tcPr>
          <w:p>
            <w:pPr>
              <w:jc w:val="right"/>
              <w:ind w:right="80"/>
              <w:spacing w:after="0"/>
              <w:rPr>
                <w:sz w:val="20"/>
                <w:szCs w:val="20"/>
                <w:color w:val="auto"/>
              </w:rPr>
            </w:pPr>
            <w:r>
              <w:rPr>
                <w:rFonts w:ascii="Arial" w:cs="Arial" w:eastAsia="Arial" w:hAnsi="Arial"/>
                <w:sz w:val="12"/>
                <w:szCs w:val="12"/>
                <w:color w:val="auto"/>
              </w:rPr>
              <w:t>(14,159)</w:t>
            </w:r>
          </w:p>
        </w:tc>
        <w:tc>
          <w:tcPr>
            <w:tcW w:w="0" w:type="dxa"/>
            <w:vAlign w:val="bottom"/>
          </w:tcPr>
          <w:p>
            <w:pPr>
              <w:spacing w:after="0"/>
              <w:rPr>
                <w:sz w:val="1"/>
                <w:szCs w:val="1"/>
                <w:color w:val="auto"/>
              </w:rPr>
            </w:pPr>
          </w:p>
        </w:tc>
      </w:tr>
      <w:tr>
        <w:trPr>
          <w:trHeight w:val="20"/>
        </w:trPr>
        <w:tc>
          <w:tcPr>
            <w:tcW w:w="6960" w:type="dxa"/>
            <w:vAlign w:val="bottom"/>
            <w:gridSpan w:val="2"/>
            <w:vMerge w:val="restart"/>
            <w:shd w:val="clear" w:color="auto" w:fill="CFF0FC"/>
          </w:tcPr>
          <w:p>
            <w:pPr>
              <w:ind w:left="80"/>
              <w:spacing w:after="0"/>
              <w:rPr>
                <w:sz w:val="20"/>
                <w:szCs w:val="20"/>
                <w:color w:val="auto"/>
              </w:rPr>
            </w:pPr>
            <w:r>
              <w:rPr>
                <w:rFonts w:ascii="Arial" w:cs="Arial" w:eastAsia="Arial" w:hAnsi="Arial"/>
                <w:sz w:val="12"/>
                <w:szCs w:val="12"/>
                <w:color w:val="auto"/>
              </w:rPr>
              <w:t>Total</w:t>
            </w:r>
          </w:p>
        </w:tc>
        <w:tc>
          <w:tcPr>
            <w:tcW w:w="1780" w:type="dxa"/>
            <w:vAlign w:val="bottom"/>
            <w:shd w:val="clear" w:color="auto" w:fill="CFF0F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960" w:type="dxa"/>
            <w:vAlign w:val="bottom"/>
            <w:gridSpan w:val="2"/>
            <w:vMerge w:val="continue"/>
            <w:shd w:val="clear" w:color="auto" w:fill="CFF0FC"/>
          </w:tcPr>
          <w:p>
            <w:pPr>
              <w:spacing w:after="0"/>
              <w:rPr>
                <w:sz w:val="12"/>
                <w:szCs w:val="12"/>
                <w:color w:val="auto"/>
              </w:rPr>
            </w:pPr>
          </w:p>
        </w:tc>
        <w:tc>
          <w:tcPr>
            <w:tcW w:w="2920" w:type="dxa"/>
            <w:vAlign w:val="bottom"/>
            <w:gridSpan w:val="2"/>
            <w:shd w:val="clear" w:color="auto" w:fill="CFF0FC"/>
          </w:tcPr>
          <w:p>
            <w:pPr>
              <w:jc w:val="right"/>
              <w:ind w:right="1080"/>
              <w:spacing w:after="0"/>
              <w:rPr>
                <w:sz w:val="20"/>
                <w:szCs w:val="20"/>
                <w:color w:val="auto"/>
              </w:rPr>
            </w:pPr>
            <w:r>
              <w:rPr>
                <w:rFonts w:ascii="Arial" w:cs="Arial" w:eastAsia="Arial" w:hAnsi="Arial"/>
                <w:sz w:val="12"/>
                <w:szCs w:val="12"/>
                <w:color w:val="auto"/>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33,100</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640" w:type="dxa"/>
            <w:vAlign w:val="bottom"/>
            <w:shd w:val="clear" w:color="auto" w:fill="CFF0FC"/>
          </w:tcPr>
          <w:p>
            <w:pPr>
              <w:spacing w:after="0"/>
              <w:rPr>
                <w:sz w:val="2"/>
                <w:szCs w:val="2"/>
                <w:color w:val="auto"/>
              </w:rPr>
            </w:pPr>
          </w:p>
        </w:tc>
        <w:tc>
          <w:tcPr>
            <w:tcW w:w="6320" w:type="dxa"/>
            <w:vAlign w:val="bottom"/>
            <w:shd w:val="clear" w:color="auto" w:fill="CFF0FC"/>
          </w:tcPr>
          <w:p>
            <w:pPr>
              <w:spacing w:after="0"/>
              <w:rPr>
                <w:sz w:val="2"/>
                <w:szCs w:val="2"/>
                <w:color w:val="auto"/>
              </w:rPr>
            </w:pPr>
          </w:p>
        </w:tc>
        <w:tc>
          <w:tcPr>
            <w:tcW w:w="1780" w:type="dxa"/>
            <w:vAlign w:val="bottom"/>
            <w:shd w:val="clear" w:color="auto" w:fill="CFF0F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480" w:type="dxa"/>
            <w:vAlign w:val="bottom"/>
            <w:shd w:val="clear" w:color="auto" w:fill="000000"/>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57" w:lineRule="exact"/>
        <w:rPr>
          <w:sz w:val="20"/>
          <w:szCs w:val="20"/>
          <w:color w:val="auto"/>
        </w:rPr>
      </w:pPr>
    </w:p>
    <w:p>
      <w:pPr>
        <w:ind w:left="588" w:hanging="588"/>
        <w:spacing w:after="0"/>
        <w:tabs>
          <w:tab w:leader="none" w:pos="588" w:val="left"/>
        </w:tabs>
        <w:numPr>
          <w:ilvl w:val="0"/>
          <w:numId w:val="34"/>
        </w:numPr>
        <w:rPr>
          <w:rFonts w:ascii="Arial" w:cs="Arial" w:eastAsia="Arial" w:hAnsi="Arial"/>
          <w:sz w:val="12"/>
          <w:szCs w:val="12"/>
          <w:b w:val="1"/>
          <w:bCs w:val="1"/>
          <w:color w:val="auto"/>
        </w:rPr>
      </w:pPr>
      <w:r>
        <w:rPr>
          <w:rFonts w:ascii="Arial" w:cs="Arial" w:eastAsia="Arial" w:hAnsi="Arial"/>
          <w:sz w:val="12"/>
          <w:szCs w:val="12"/>
          <w:b w:val="1"/>
          <w:bCs w:val="1"/>
          <w:color w:val="auto"/>
        </w:rPr>
        <w:t>Net Income (Loss) Per Share</w:t>
      </w:r>
    </w:p>
    <w:p>
      <w:pPr>
        <w:spacing w:after="0" w:line="82" w:lineRule="exact"/>
        <w:rPr>
          <w:sz w:val="20"/>
          <w:szCs w:val="20"/>
          <w:color w:val="auto"/>
        </w:rPr>
      </w:pPr>
    </w:p>
    <w:p>
      <w:pPr>
        <w:ind w:left="8" w:right="260" w:firstLine="602"/>
        <w:spacing w:after="0" w:line="323" w:lineRule="auto"/>
        <w:rPr>
          <w:sz w:val="20"/>
          <w:szCs w:val="20"/>
          <w:color w:val="auto"/>
        </w:rPr>
      </w:pPr>
      <w:r>
        <w:rPr>
          <w:rFonts w:ascii="Arial" w:cs="Arial" w:eastAsia="Arial" w:hAnsi="Arial"/>
          <w:sz w:val="11"/>
          <w:szCs w:val="11"/>
          <w:color w:val="auto"/>
        </w:rPr>
        <w:t>Basic net income (loss) per share is calculated by dividing net income (loss) by the weighted average shares outstanding during the period, without consideration of common stock equivalents. Diluted net income (loss) per share is calculated by adjusting the weighted average shares outstanding for the dilutive effect of common stock equivalents outstanding for the period, determined using the treasury-stock method.</w:t>
      </w:r>
    </w:p>
    <w:p>
      <w:pPr>
        <w:spacing w:after="0" w:line="92"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42545</wp:posOffset>
            </wp:positionV>
            <wp:extent cx="7317740" cy="3683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ectPr>
          <w:pgSz w:w="11900" w:h="16838" w:orient="portrait"/>
          <w:cols w:equalWidth="0" w:num="1">
            <w:col w:w="11488"/>
          </w:cols>
          <w:pgMar w:left="212" w:top="379" w:right="199" w:bottom="1440" w:gutter="0" w:footer="0" w:header="0"/>
        </w:sectPr>
      </w:pPr>
    </w:p>
    <w:bookmarkStart w:id="93" w:name="page94"/>
    <w:bookmarkEnd w:id="93"/>
    <w:p>
      <w:pPr>
        <w:ind w:left="600"/>
        <w:spacing w:after="0"/>
        <w:rPr>
          <w:sz w:val="20"/>
          <w:szCs w:val="20"/>
          <w:color w:val="auto"/>
        </w:rPr>
      </w:pPr>
      <w:r>
        <w:rPr>
          <w:rFonts w:ascii="Arial" w:cs="Arial" w:eastAsia="Arial" w:hAnsi="Arial"/>
          <w:sz w:val="12"/>
          <w:szCs w:val="12"/>
          <w:color w:val="auto"/>
        </w:rPr>
        <w:t>The components of basic and diluted net income (loss) per share are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1520" w:type="dxa"/>
            <w:vAlign w:val="bottom"/>
          </w:tcPr>
          <w:p>
            <w:pPr>
              <w:spacing w:after="0"/>
              <w:rPr>
                <w:sz w:val="13"/>
                <w:szCs w:val="13"/>
                <w:color w:val="auto"/>
              </w:rPr>
            </w:pPr>
          </w:p>
        </w:tc>
        <w:tc>
          <w:tcPr>
            <w:tcW w:w="3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320" w:type="dxa"/>
            <w:vAlign w:val="bottom"/>
            <w:gridSpan w:val="2"/>
          </w:tcPr>
          <w:p>
            <w:pPr>
              <w:jc w:val="right"/>
              <w:ind w:right="800"/>
              <w:spacing w:after="0"/>
              <w:rPr>
                <w:sz w:val="20"/>
                <w:szCs w:val="20"/>
                <w:color w:val="auto"/>
              </w:rPr>
            </w:pPr>
            <w:r>
              <w:rPr>
                <w:rFonts w:ascii="Arial" w:cs="Arial" w:eastAsia="Arial" w:hAnsi="Arial"/>
                <w:sz w:val="10"/>
                <w:szCs w:val="10"/>
                <w:b w:val="1"/>
                <w:bCs w:val="1"/>
                <w:color w:val="auto"/>
                <w:w w:val="98"/>
              </w:rPr>
              <w:t>Successor</w:t>
            </w:r>
          </w:p>
        </w:tc>
        <w:tc>
          <w:tcPr>
            <w:tcW w:w="10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w w:val="83"/>
              </w:rPr>
              <w:t>Predecessor</w:t>
            </w:r>
          </w:p>
        </w:tc>
      </w:tr>
      <w:tr>
        <w:trPr>
          <w:trHeight w:val="83"/>
        </w:trPr>
        <w:tc>
          <w:tcPr>
            <w:tcW w:w="1520" w:type="dxa"/>
            <w:vAlign w:val="bottom"/>
          </w:tcPr>
          <w:p>
            <w:pPr>
              <w:spacing w:after="0"/>
              <w:rPr>
                <w:sz w:val="7"/>
                <w:szCs w:val="7"/>
                <w:color w:val="auto"/>
              </w:rPr>
            </w:pPr>
          </w:p>
        </w:tc>
        <w:tc>
          <w:tcPr>
            <w:tcW w:w="3480" w:type="dxa"/>
            <w:vAlign w:val="bottom"/>
          </w:tcPr>
          <w:p>
            <w:pPr>
              <w:spacing w:after="0"/>
              <w:rPr>
                <w:sz w:val="7"/>
                <w:szCs w:val="7"/>
                <w:color w:val="auto"/>
              </w:rPr>
            </w:pPr>
          </w:p>
        </w:tc>
        <w:tc>
          <w:tcPr>
            <w:tcW w:w="320" w:type="dxa"/>
            <w:vAlign w:val="bottom"/>
            <w:tcBorders>
              <w:top w:val="single" w:sz="8" w:color="auto"/>
            </w:tcBorders>
          </w:tcPr>
          <w:p>
            <w:pPr>
              <w:spacing w:after="0"/>
              <w:rPr>
                <w:sz w:val="7"/>
                <w:szCs w:val="7"/>
                <w:color w:val="auto"/>
              </w:rPr>
            </w:pPr>
          </w:p>
        </w:tc>
        <w:tc>
          <w:tcPr>
            <w:tcW w:w="1060" w:type="dxa"/>
            <w:vAlign w:val="bottom"/>
            <w:tcBorders>
              <w:top w:val="single" w:sz="8" w:color="auto"/>
            </w:tcBorders>
          </w:tcPr>
          <w:p>
            <w:pPr>
              <w:spacing w:after="0"/>
              <w:rPr>
                <w:sz w:val="7"/>
                <w:szCs w:val="7"/>
                <w:color w:val="auto"/>
              </w:rPr>
            </w:pPr>
          </w:p>
        </w:tc>
        <w:tc>
          <w:tcPr>
            <w:tcW w:w="300" w:type="dxa"/>
            <w:vAlign w:val="bottom"/>
            <w:tcBorders>
              <w:top w:val="single" w:sz="8" w:color="auto"/>
            </w:tcBorders>
          </w:tcPr>
          <w:p>
            <w:pPr>
              <w:spacing w:after="0"/>
              <w:rPr>
                <w:sz w:val="7"/>
                <w:szCs w:val="7"/>
                <w:color w:val="auto"/>
              </w:rPr>
            </w:pPr>
          </w:p>
        </w:tc>
        <w:tc>
          <w:tcPr>
            <w:tcW w:w="360" w:type="dxa"/>
            <w:vAlign w:val="bottom"/>
            <w:tcBorders>
              <w:top w:val="single" w:sz="8" w:color="auto"/>
            </w:tcBorders>
          </w:tcPr>
          <w:p>
            <w:pPr>
              <w:spacing w:after="0"/>
              <w:rPr>
                <w:sz w:val="7"/>
                <w:szCs w:val="7"/>
                <w:color w:val="auto"/>
              </w:rPr>
            </w:pPr>
          </w:p>
        </w:tc>
        <w:tc>
          <w:tcPr>
            <w:tcW w:w="1020" w:type="dxa"/>
            <w:vAlign w:val="bottom"/>
            <w:tcBorders>
              <w:top w:val="single" w:sz="8" w:color="auto"/>
            </w:tcBorders>
          </w:tcPr>
          <w:p>
            <w:pPr>
              <w:spacing w:after="0"/>
              <w:rPr>
                <w:sz w:val="7"/>
                <w:szCs w:val="7"/>
                <w:color w:val="auto"/>
              </w:rPr>
            </w:pPr>
          </w:p>
        </w:tc>
        <w:tc>
          <w:tcPr>
            <w:tcW w:w="300" w:type="dxa"/>
            <w:vAlign w:val="bottom"/>
            <w:tcBorders>
              <w:top w:val="single" w:sz="8" w:color="auto"/>
            </w:tcBorders>
          </w:tcPr>
          <w:p>
            <w:pPr>
              <w:spacing w:after="0"/>
              <w:rPr>
                <w:sz w:val="7"/>
                <w:szCs w:val="7"/>
                <w:color w:val="auto"/>
              </w:rPr>
            </w:pPr>
          </w:p>
        </w:tc>
        <w:tc>
          <w:tcPr>
            <w:tcW w:w="1000" w:type="dxa"/>
            <w:vAlign w:val="bottom"/>
            <w:tcBorders>
              <w:top w:val="single" w:sz="8" w:color="auto"/>
            </w:tcBorders>
          </w:tcPr>
          <w:p>
            <w:pPr>
              <w:jc w:val="center"/>
              <w:ind w:left="292"/>
              <w:spacing w:after="0" w:line="83" w:lineRule="exact"/>
              <w:rPr>
                <w:sz w:val="20"/>
                <w:szCs w:val="20"/>
                <w:color w:val="auto"/>
              </w:rPr>
            </w:pPr>
            <w:r>
              <w:rPr>
                <w:rFonts w:ascii="Arial" w:cs="Arial" w:eastAsia="Arial" w:hAnsi="Arial"/>
                <w:sz w:val="8"/>
                <w:szCs w:val="8"/>
                <w:b w:val="1"/>
                <w:bCs w:val="1"/>
                <w:color w:val="auto"/>
              </w:rPr>
              <w:t>Period from</w:t>
            </w:r>
          </w:p>
        </w:tc>
        <w:tc>
          <w:tcPr>
            <w:tcW w:w="360" w:type="dxa"/>
            <w:vAlign w:val="bottom"/>
            <w:tcBorders>
              <w:top w:val="single" w:sz="8" w:color="auto"/>
            </w:tcBorders>
          </w:tcPr>
          <w:p>
            <w:pPr>
              <w:spacing w:after="0"/>
              <w:rPr>
                <w:sz w:val="7"/>
                <w:szCs w:val="7"/>
                <w:color w:val="auto"/>
              </w:rPr>
            </w:pPr>
          </w:p>
        </w:tc>
        <w:tc>
          <w:tcPr>
            <w:tcW w:w="240" w:type="dxa"/>
            <w:vAlign w:val="bottom"/>
            <w:tcBorders>
              <w:righ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1160" w:type="dxa"/>
            <w:vAlign w:val="bottom"/>
            <w:tcBorders>
              <w:top w:val="single" w:sz="8" w:color="auto"/>
            </w:tcBorders>
          </w:tcPr>
          <w:p>
            <w:pPr>
              <w:jc w:val="center"/>
              <w:ind w:right="170"/>
              <w:spacing w:after="0" w:line="83" w:lineRule="exact"/>
              <w:rPr>
                <w:sz w:val="20"/>
                <w:szCs w:val="20"/>
                <w:color w:val="auto"/>
              </w:rPr>
            </w:pPr>
            <w:r>
              <w:rPr>
                <w:rFonts w:ascii="Arial" w:cs="Arial" w:eastAsia="Arial" w:hAnsi="Arial"/>
                <w:sz w:val="8"/>
                <w:szCs w:val="8"/>
                <w:b w:val="1"/>
                <w:bCs w:val="1"/>
                <w:color w:val="auto"/>
              </w:rPr>
              <w:t>Period from</w:t>
            </w:r>
          </w:p>
        </w:tc>
        <w:tc>
          <w:tcPr>
            <w:tcW w:w="60" w:type="dxa"/>
            <w:vAlign w:val="bottom"/>
          </w:tcPr>
          <w:p>
            <w:pPr>
              <w:spacing w:after="0"/>
              <w:rPr>
                <w:sz w:val="7"/>
                <w:szCs w:val="7"/>
                <w:color w:val="auto"/>
              </w:rPr>
            </w:pPr>
          </w:p>
        </w:tc>
      </w:tr>
      <w:tr>
        <w:trPr>
          <w:trHeight w:val="99"/>
        </w:trPr>
        <w:tc>
          <w:tcPr>
            <w:tcW w:w="1520" w:type="dxa"/>
            <w:vAlign w:val="bottom"/>
          </w:tcPr>
          <w:p>
            <w:pPr>
              <w:spacing w:after="0"/>
              <w:rPr>
                <w:sz w:val="8"/>
                <w:szCs w:val="8"/>
                <w:color w:val="auto"/>
              </w:rPr>
            </w:pPr>
          </w:p>
        </w:tc>
        <w:tc>
          <w:tcPr>
            <w:tcW w:w="34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720" w:type="dxa"/>
            <w:vAlign w:val="bottom"/>
            <w:gridSpan w:val="3"/>
          </w:tcPr>
          <w:p>
            <w:pPr>
              <w:jc w:val="right"/>
              <w:ind w:right="100"/>
              <w:spacing w:after="0" w:line="99" w:lineRule="exact"/>
              <w:rPr>
                <w:sz w:val="20"/>
                <w:szCs w:val="20"/>
                <w:color w:val="auto"/>
              </w:rPr>
            </w:pPr>
            <w:r>
              <w:rPr>
                <w:rFonts w:ascii="Arial" w:cs="Arial" w:eastAsia="Arial" w:hAnsi="Arial"/>
                <w:sz w:val="10"/>
                <w:szCs w:val="10"/>
                <w:b w:val="1"/>
                <w:bCs w:val="1"/>
                <w:color w:val="auto"/>
              </w:rPr>
              <w:t>For the Year Ended</w:t>
            </w:r>
          </w:p>
        </w:tc>
        <w:tc>
          <w:tcPr>
            <w:tcW w:w="10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jc w:val="center"/>
              <w:ind w:left="292"/>
              <w:spacing w:after="0" w:line="99" w:lineRule="exact"/>
              <w:rPr>
                <w:sz w:val="20"/>
                <w:szCs w:val="20"/>
                <w:color w:val="auto"/>
              </w:rPr>
            </w:pPr>
            <w:r>
              <w:rPr>
                <w:rFonts w:ascii="Arial" w:cs="Arial" w:eastAsia="Arial" w:hAnsi="Arial"/>
                <w:sz w:val="10"/>
                <w:szCs w:val="10"/>
                <w:b w:val="1"/>
                <w:bCs w:val="1"/>
                <w:color w:val="auto"/>
                <w:w w:val="86"/>
              </w:rPr>
              <w:t>June 1, 2017 to</w:t>
            </w:r>
          </w:p>
        </w:tc>
        <w:tc>
          <w:tcPr>
            <w:tcW w:w="360" w:type="dxa"/>
            <w:vAlign w:val="bottom"/>
          </w:tcPr>
          <w:p>
            <w:pPr>
              <w:spacing w:after="0"/>
              <w:rPr>
                <w:sz w:val="8"/>
                <w:szCs w:val="8"/>
                <w:color w:val="auto"/>
              </w:rPr>
            </w:pPr>
          </w:p>
        </w:tc>
        <w:tc>
          <w:tcPr>
            <w:tcW w:w="240" w:type="dxa"/>
            <w:vAlign w:val="bottom"/>
            <w:tcBorders>
              <w:right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20" w:type="dxa"/>
            <w:vAlign w:val="bottom"/>
            <w:gridSpan w:val="2"/>
          </w:tcPr>
          <w:p>
            <w:pPr>
              <w:jc w:val="center"/>
              <w:ind w:right="280"/>
              <w:spacing w:after="0" w:line="99" w:lineRule="exact"/>
              <w:rPr>
                <w:sz w:val="20"/>
                <w:szCs w:val="20"/>
                <w:color w:val="auto"/>
              </w:rPr>
            </w:pPr>
            <w:r>
              <w:rPr>
                <w:rFonts w:ascii="Arial" w:cs="Arial" w:eastAsia="Arial" w:hAnsi="Arial"/>
                <w:sz w:val="10"/>
                <w:szCs w:val="10"/>
                <w:b w:val="1"/>
                <w:bCs w:val="1"/>
                <w:color w:val="auto"/>
                <w:w w:val="88"/>
              </w:rPr>
              <w:t>January 1, 2017</w:t>
            </w:r>
          </w:p>
        </w:tc>
      </w:tr>
      <w:tr>
        <w:trPr>
          <w:trHeight w:val="114"/>
        </w:trPr>
        <w:tc>
          <w:tcPr>
            <w:tcW w:w="1520" w:type="dxa"/>
            <w:vAlign w:val="bottom"/>
          </w:tcPr>
          <w:p>
            <w:pPr>
              <w:spacing w:after="0"/>
              <w:rPr>
                <w:sz w:val="9"/>
                <w:szCs w:val="9"/>
                <w:color w:val="auto"/>
              </w:rPr>
            </w:pPr>
          </w:p>
        </w:tc>
        <w:tc>
          <w:tcPr>
            <w:tcW w:w="3480" w:type="dxa"/>
            <w:vAlign w:val="bottom"/>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720" w:type="dxa"/>
            <w:vAlign w:val="bottom"/>
            <w:tcBorders>
              <w:bottom w:val="single" w:sz="8" w:color="auto"/>
            </w:tcBorders>
            <w:gridSpan w:val="3"/>
          </w:tcPr>
          <w:p>
            <w:pPr>
              <w:jc w:val="right"/>
              <w:ind w:right="240"/>
              <w:spacing w:after="0" w:line="114" w:lineRule="exact"/>
              <w:rPr>
                <w:sz w:val="20"/>
                <w:szCs w:val="20"/>
                <w:color w:val="auto"/>
              </w:rPr>
            </w:pPr>
            <w:r>
              <w:rPr>
                <w:rFonts w:ascii="Arial" w:cs="Arial" w:eastAsia="Arial" w:hAnsi="Arial"/>
                <w:sz w:val="10"/>
                <w:szCs w:val="10"/>
                <w:b w:val="1"/>
                <w:bCs w:val="1"/>
                <w:color w:val="auto"/>
              </w:rPr>
              <w:t>December 31,</w:t>
            </w:r>
          </w:p>
        </w:tc>
        <w:tc>
          <w:tcPr>
            <w:tcW w:w="102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000" w:type="dxa"/>
            <w:vAlign w:val="bottom"/>
          </w:tcPr>
          <w:p>
            <w:pPr>
              <w:jc w:val="center"/>
              <w:ind w:left="312"/>
              <w:spacing w:after="0" w:line="114" w:lineRule="exact"/>
              <w:rPr>
                <w:sz w:val="20"/>
                <w:szCs w:val="20"/>
                <w:color w:val="auto"/>
              </w:rPr>
            </w:pPr>
            <w:r>
              <w:rPr>
                <w:rFonts w:ascii="Arial" w:cs="Arial" w:eastAsia="Arial" w:hAnsi="Arial"/>
                <w:sz w:val="10"/>
                <w:szCs w:val="10"/>
                <w:b w:val="1"/>
                <w:bCs w:val="1"/>
                <w:color w:val="auto"/>
                <w:w w:val="86"/>
              </w:rPr>
              <w:t>December 31,</w:t>
            </w:r>
          </w:p>
        </w:tc>
        <w:tc>
          <w:tcPr>
            <w:tcW w:w="360" w:type="dxa"/>
            <w:vAlign w:val="bottom"/>
          </w:tcPr>
          <w:p>
            <w:pPr>
              <w:spacing w:after="0"/>
              <w:rPr>
                <w:sz w:val="9"/>
                <w:szCs w:val="9"/>
                <w:color w:val="auto"/>
              </w:rPr>
            </w:pPr>
          </w:p>
        </w:tc>
        <w:tc>
          <w:tcPr>
            <w:tcW w:w="24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20" w:type="dxa"/>
            <w:vAlign w:val="bottom"/>
            <w:gridSpan w:val="2"/>
          </w:tcPr>
          <w:p>
            <w:pPr>
              <w:jc w:val="center"/>
              <w:ind w:right="260"/>
              <w:spacing w:after="0" w:line="114" w:lineRule="exact"/>
              <w:rPr>
                <w:sz w:val="20"/>
                <w:szCs w:val="20"/>
                <w:color w:val="auto"/>
              </w:rPr>
            </w:pPr>
            <w:r>
              <w:rPr>
                <w:rFonts w:ascii="Arial" w:cs="Arial" w:eastAsia="Arial" w:hAnsi="Arial"/>
                <w:sz w:val="10"/>
                <w:szCs w:val="10"/>
                <w:b w:val="1"/>
                <w:bCs w:val="1"/>
                <w:color w:val="auto"/>
                <w:w w:val="90"/>
              </w:rPr>
              <w:t>to May 31,</w:t>
            </w:r>
          </w:p>
        </w:tc>
      </w:tr>
      <w:tr>
        <w:trPr>
          <w:trHeight w:val="108"/>
        </w:trPr>
        <w:tc>
          <w:tcPr>
            <w:tcW w:w="1520" w:type="dxa"/>
            <w:vAlign w:val="bottom"/>
            <w:tcBorders>
              <w:bottom w:val="single" w:sz="8" w:color="auto"/>
            </w:tcBorders>
          </w:tcPr>
          <w:p>
            <w:pPr>
              <w:spacing w:after="0" w:line="88" w:lineRule="exact"/>
              <w:rPr>
                <w:sz w:val="20"/>
                <w:szCs w:val="20"/>
                <w:color w:val="auto"/>
              </w:rPr>
            </w:pPr>
            <w:r>
              <w:rPr>
                <w:rFonts w:ascii="Arial" w:cs="Arial" w:eastAsia="Arial" w:hAnsi="Arial"/>
                <w:sz w:val="10"/>
                <w:szCs w:val="10"/>
                <w:b w:val="1"/>
                <w:bCs w:val="1"/>
                <w:color w:val="auto"/>
                <w:w w:val="84"/>
              </w:rPr>
              <w:t>(In thousands, except per share data)</w:t>
            </w:r>
          </w:p>
        </w:tc>
        <w:tc>
          <w:tcPr>
            <w:tcW w:w="34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60" w:type="dxa"/>
            <w:vAlign w:val="bottom"/>
          </w:tcPr>
          <w:p>
            <w:pPr>
              <w:jc w:val="right"/>
              <w:ind w:right="543"/>
              <w:spacing w:after="0" w:line="88" w:lineRule="exact"/>
              <w:rPr>
                <w:sz w:val="20"/>
                <w:szCs w:val="20"/>
                <w:color w:val="auto"/>
              </w:rPr>
            </w:pPr>
            <w:r>
              <w:rPr>
                <w:rFonts w:ascii="Arial" w:cs="Arial" w:eastAsia="Arial" w:hAnsi="Arial"/>
                <w:sz w:val="10"/>
                <w:szCs w:val="10"/>
                <w:b w:val="1"/>
                <w:bCs w:val="1"/>
                <w:color w:val="auto"/>
              </w:rPr>
              <w:t>2019</w:t>
            </w:r>
          </w:p>
        </w:tc>
        <w:tc>
          <w:tcPr>
            <w:tcW w:w="3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20" w:type="dxa"/>
            <w:vAlign w:val="bottom"/>
          </w:tcPr>
          <w:p>
            <w:pPr>
              <w:jc w:val="right"/>
              <w:ind w:right="542"/>
              <w:spacing w:after="0" w:line="88" w:lineRule="exact"/>
              <w:rPr>
                <w:sz w:val="20"/>
                <w:szCs w:val="20"/>
                <w:color w:val="auto"/>
              </w:rPr>
            </w:pPr>
            <w:r>
              <w:rPr>
                <w:rFonts w:ascii="Arial" w:cs="Arial" w:eastAsia="Arial" w:hAnsi="Arial"/>
                <w:sz w:val="10"/>
                <w:szCs w:val="10"/>
                <w:b w:val="1"/>
                <w:bCs w:val="1"/>
                <w:color w:val="auto"/>
              </w:rPr>
              <w:t>2018</w:t>
            </w:r>
          </w:p>
        </w:tc>
        <w:tc>
          <w:tcPr>
            <w:tcW w:w="300" w:type="dxa"/>
            <w:vAlign w:val="bottom"/>
          </w:tcPr>
          <w:p>
            <w:pPr>
              <w:spacing w:after="0"/>
              <w:rPr>
                <w:sz w:val="9"/>
                <w:szCs w:val="9"/>
                <w:color w:val="auto"/>
              </w:rPr>
            </w:pPr>
          </w:p>
        </w:tc>
        <w:tc>
          <w:tcPr>
            <w:tcW w:w="1000" w:type="dxa"/>
            <w:vAlign w:val="bottom"/>
          </w:tcPr>
          <w:p>
            <w:pPr>
              <w:jc w:val="center"/>
              <w:ind w:left="312"/>
              <w:spacing w:after="0" w:line="88" w:lineRule="exact"/>
              <w:rPr>
                <w:sz w:val="20"/>
                <w:szCs w:val="20"/>
                <w:color w:val="auto"/>
              </w:rPr>
            </w:pPr>
            <w:r>
              <w:rPr>
                <w:rFonts w:ascii="Arial" w:cs="Arial" w:eastAsia="Arial" w:hAnsi="Arial"/>
                <w:sz w:val="10"/>
                <w:szCs w:val="10"/>
                <w:b w:val="1"/>
                <w:bCs w:val="1"/>
                <w:color w:val="auto"/>
                <w:w w:val="89"/>
              </w:rPr>
              <w:t>2017</w:t>
            </w:r>
          </w:p>
        </w:tc>
        <w:tc>
          <w:tcPr>
            <w:tcW w:w="360" w:type="dxa"/>
            <w:vAlign w:val="bottom"/>
          </w:tcPr>
          <w:p>
            <w:pPr>
              <w:spacing w:after="0"/>
              <w:rPr>
                <w:sz w:val="9"/>
                <w:szCs w:val="9"/>
                <w:color w:val="auto"/>
              </w:rPr>
            </w:pPr>
          </w:p>
        </w:tc>
        <w:tc>
          <w:tcPr>
            <w:tcW w:w="24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tcPr>
          <w:p>
            <w:pPr>
              <w:jc w:val="center"/>
              <w:ind w:right="170"/>
              <w:spacing w:after="0" w:line="88" w:lineRule="exact"/>
              <w:rPr>
                <w:sz w:val="20"/>
                <w:szCs w:val="20"/>
                <w:color w:val="auto"/>
              </w:rPr>
            </w:pPr>
            <w:r>
              <w:rPr>
                <w:rFonts w:ascii="Arial" w:cs="Arial" w:eastAsia="Arial" w:hAnsi="Arial"/>
                <w:sz w:val="10"/>
                <w:szCs w:val="10"/>
                <w:b w:val="1"/>
                <w:bCs w:val="1"/>
                <w:color w:val="auto"/>
                <w:w w:val="80"/>
              </w:rPr>
              <w:t>2017</w:t>
            </w:r>
          </w:p>
        </w:tc>
        <w:tc>
          <w:tcPr>
            <w:tcW w:w="60" w:type="dxa"/>
            <w:vAlign w:val="bottom"/>
          </w:tcPr>
          <w:p>
            <w:pPr>
              <w:spacing w:after="0"/>
              <w:rPr>
                <w:sz w:val="9"/>
                <w:szCs w:val="9"/>
                <w:color w:val="auto"/>
              </w:rPr>
            </w:pPr>
          </w:p>
        </w:tc>
      </w:tr>
      <w:tr>
        <w:trPr>
          <w:trHeight w:val="131"/>
        </w:trPr>
        <w:tc>
          <w:tcPr>
            <w:tcW w:w="5000" w:type="dxa"/>
            <w:vAlign w:val="bottom"/>
            <w:tcBorders>
              <w:top w:val="single" w:sz="8" w:color="CFF0FC"/>
            </w:tcBorders>
            <w:gridSpan w:val="2"/>
            <w:shd w:val="clear" w:color="auto" w:fill="CFF0FC"/>
          </w:tcPr>
          <w:p>
            <w:pPr>
              <w:spacing w:after="0" w:line="132" w:lineRule="exact"/>
              <w:rPr>
                <w:sz w:val="20"/>
                <w:szCs w:val="20"/>
                <w:color w:val="auto"/>
              </w:rPr>
            </w:pPr>
            <w:r>
              <w:rPr>
                <w:rFonts w:ascii="Arial" w:cs="Arial" w:eastAsia="Arial" w:hAnsi="Arial"/>
                <w:sz w:val="12"/>
                <w:szCs w:val="12"/>
                <w:color w:val="auto"/>
              </w:rPr>
              <w:t>Numerator:</w:t>
            </w:r>
          </w:p>
        </w:tc>
        <w:tc>
          <w:tcPr>
            <w:tcW w:w="320" w:type="dxa"/>
            <w:vAlign w:val="bottom"/>
            <w:tcBorders>
              <w:top w:val="single" w:sz="8" w:color="auto"/>
            </w:tcBorders>
            <w:shd w:val="clear" w:color="auto" w:fill="CFF0FC"/>
          </w:tcPr>
          <w:p>
            <w:pPr>
              <w:spacing w:after="0"/>
              <w:rPr>
                <w:sz w:val="11"/>
                <w:szCs w:val="11"/>
                <w:color w:val="auto"/>
              </w:rPr>
            </w:pPr>
          </w:p>
        </w:tc>
        <w:tc>
          <w:tcPr>
            <w:tcW w:w="1060" w:type="dxa"/>
            <w:vAlign w:val="bottom"/>
            <w:tcBorders>
              <w:top w:val="single" w:sz="8" w:color="auto"/>
            </w:tcBorders>
            <w:shd w:val="clear" w:color="auto" w:fill="CFF0FC"/>
          </w:tcPr>
          <w:p>
            <w:pPr>
              <w:spacing w:after="0"/>
              <w:rPr>
                <w:sz w:val="11"/>
                <w:szCs w:val="11"/>
                <w:color w:val="auto"/>
              </w:rPr>
            </w:pPr>
          </w:p>
        </w:tc>
        <w:tc>
          <w:tcPr>
            <w:tcW w:w="300" w:type="dxa"/>
            <w:vAlign w:val="bottom"/>
            <w:tcBorders>
              <w:top w:val="single" w:sz="8" w:color="CFF0FC"/>
            </w:tcBorders>
            <w:shd w:val="clear" w:color="auto" w:fill="CFF0FC"/>
          </w:tcPr>
          <w:p>
            <w:pPr>
              <w:spacing w:after="0"/>
              <w:rPr>
                <w:sz w:val="11"/>
                <w:szCs w:val="11"/>
                <w:color w:val="auto"/>
              </w:rPr>
            </w:pPr>
          </w:p>
        </w:tc>
        <w:tc>
          <w:tcPr>
            <w:tcW w:w="360" w:type="dxa"/>
            <w:vAlign w:val="bottom"/>
            <w:tcBorders>
              <w:top w:val="single" w:sz="8" w:color="auto"/>
            </w:tcBorders>
            <w:shd w:val="clear" w:color="auto" w:fill="CFF0FC"/>
          </w:tcPr>
          <w:p>
            <w:pPr>
              <w:spacing w:after="0"/>
              <w:rPr>
                <w:sz w:val="11"/>
                <w:szCs w:val="11"/>
                <w:color w:val="auto"/>
              </w:rPr>
            </w:pPr>
          </w:p>
        </w:tc>
        <w:tc>
          <w:tcPr>
            <w:tcW w:w="1020" w:type="dxa"/>
            <w:vAlign w:val="bottom"/>
            <w:tcBorders>
              <w:top w:val="single" w:sz="8" w:color="auto"/>
            </w:tcBorders>
            <w:shd w:val="clear" w:color="auto" w:fill="CFF0FC"/>
          </w:tcPr>
          <w:p>
            <w:pPr>
              <w:spacing w:after="0"/>
              <w:rPr>
                <w:sz w:val="11"/>
                <w:szCs w:val="11"/>
                <w:color w:val="auto"/>
              </w:rPr>
            </w:pPr>
          </w:p>
        </w:tc>
        <w:tc>
          <w:tcPr>
            <w:tcW w:w="300" w:type="dxa"/>
            <w:vAlign w:val="bottom"/>
            <w:tcBorders>
              <w:top w:val="single" w:sz="8" w:color="CFF0FC"/>
            </w:tcBorders>
            <w:shd w:val="clear" w:color="auto" w:fill="CFF0FC"/>
          </w:tcPr>
          <w:p>
            <w:pPr>
              <w:spacing w:after="0"/>
              <w:rPr>
                <w:sz w:val="11"/>
                <w:szCs w:val="11"/>
                <w:color w:val="auto"/>
              </w:rPr>
            </w:pPr>
          </w:p>
        </w:tc>
        <w:tc>
          <w:tcPr>
            <w:tcW w:w="1000" w:type="dxa"/>
            <w:vAlign w:val="bottom"/>
            <w:tcBorders>
              <w:top w:val="single" w:sz="8" w:color="auto"/>
            </w:tcBorders>
            <w:shd w:val="clear" w:color="auto" w:fill="CFF0FC"/>
          </w:tcPr>
          <w:p>
            <w:pPr>
              <w:spacing w:after="0"/>
              <w:rPr>
                <w:sz w:val="11"/>
                <w:szCs w:val="11"/>
                <w:color w:val="auto"/>
              </w:rPr>
            </w:pPr>
          </w:p>
        </w:tc>
        <w:tc>
          <w:tcPr>
            <w:tcW w:w="360" w:type="dxa"/>
            <w:vAlign w:val="bottom"/>
            <w:tcBorders>
              <w:top w:val="single" w:sz="8" w:color="auto"/>
            </w:tcBorders>
            <w:shd w:val="clear" w:color="auto" w:fill="CFF0FC"/>
          </w:tcPr>
          <w:p>
            <w:pPr>
              <w:spacing w:after="0"/>
              <w:rPr>
                <w:sz w:val="11"/>
                <w:szCs w:val="11"/>
                <w:color w:val="auto"/>
              </w:rPr>
            </w:pPr>
          </w:p>
        </w:tc>
        <w:tc>
          <w:tcPr>
            <w:tcW w:w="240" w:type="dxa"/>
            <w:vAlign w:val="bottom"/>
            <w:tcBorders>
              <w:top w:val="single" w:sz="8" w:color="CFF0FC"/>
              <w:right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200" w:type="dxa"/>
            <w:vAlign w:val="bottom"/>
            <w:tcBorders>
              <w:top w:val="single" w:sz="8" w:color="auto"/>
            </w:tcBorders>
            <w:shd w:val="clear" w:color="auto" w:fill="CFF0FC"/>
          </w:tcPr>
          <w:p>
            <w:pPr>
              <w:spacing w:after="0"/>
              <w:rPr>
                <w:sz w:val="11"/>
                <w:szCs w:val="11"/>
                <w:color w:val="auto"/>
              </w:rPr>
            </w:pPr>
          </w:p>
        </w:tc>
        <w:tc>
          <w:tcPr>
            <w:tcW w:w="1160" w:type="dxa"/>
            <w:vAlign w:val="bottom"/>
            <w:tcBorders>
              <w:top w:val="single" w:sz="8" w:color="auto"/>
            </w:tcBorders>
            <w:shd w:val="clear" w:color="auto" w:fill="CFF0FC"/>
          </w:tcPr>
          <w:p>
            <w:pPr>
              <w:spacing w:after="0"/>
              <w:rPr>
                <w:sz w:val="11"/>
                <w:szCs w:val="11"/>
                <w:color w:val="auto"/>
              </w:rPr>
            </w:pPr>
          </w:p>
        </w:tc>
        <w:tc>
          <w:tcPr>
            <w:tcW w:w="60" w:type="dxa"/>
            <w:vAlign w:val="bottom"/>
            <w:tcBorders>
              <w:top w:val="single" w:sz="8" w:color="CFF0FC"/>
            </w:tcBorders>
            <w:shd w:val="clear" w:color="auto" w:fill="CFF0FC"/>
          </w:tcPr>
          <w:p>
            <w:pPr>
              <w:spacing w:after="0"/>
              <w:rPr>
                <w:sz w:val="11"/>
                <w:szCs w:val="11"/>
                <w:color w:val="auto"/>
              </w:rPr>
            </w:pPr>
          </w:p>
        </w:tc>
      </w:tr>
      <w:tr>
        <w:trPr>
          <w:trHeight w:val="153"/>
        </w:trPr>
        <w:tc>
          <w:tcPr>
            <w:tcW w:w="5000" w:type="dxa"/>
            <w:vAlign w:val="bottom"/>
            <w:gridSpan w:val="2"/>
          </w:tcPr>
          <w:p>
            <w:pPr>
              <w:ind w:left="160"/>
              <w:spacing w:after="0"/>
              <w:rPr>
                <w:sz w:val="20"/>
                <w:szCs w:val="20"/>
                <w:color w:val="auto"/>
              </w:rPr>
            </w:pPr>
            <w:r>
              <w:rPr>
                <w:rFonts w:ascii="Arial" w:cs="Arial" w:eastAsia="Arial" w:hAnsi="Arial"/>
                <w:sz w:val="12"/>
                <w:szCs w:val="12"/>
                <w:color w:val="auto"/>
              </w:rPr>
              <w:t>Net income (loss)</w:t>
            </w:r>
          </w:p>
        </w:tc>
        <w:tc>
          <w:tcPr>
            <w:tcW w:w="320" w:type="dxa"/>
            <w:vAlign w:val="bottom"/>
          </w:tcPr>
          <w:p>
            <w:pPr>
              <w:jc w:val="right"/>
              <w:ind w:right="210"/>
              <w:spacing w:after="0"/>
              <w:rPr>
                <w:sz w:val="20"/>
                <w:szCs w:val="20"/>
                <w:color w:val="auto"/>
              </w:rPr>
            </w:pPr>
            <w:r>
              <w:rPr>
                <w:rFonts w:ascii="Arial" w:cs="Arial" w:eastAsia="Arial" w:hAnsi="Arial"/>
                <w:sz w:val="10"/>
                <w:szCs w:val="10"/>
                <w:color w:val="auto"/>
                <w:w w:val="71"/>
              </w:rPr>
              <w:t>$</w:t>
            </w:r>
          </w:p>
        </w:tc>
        <w:tc>
          <w:tcPr>
            <w:tcW w:w="1060" w:type="dxa"/>
            <w:vAlign w:val="bottom"/>
          </w:tcPr>
          <w:p>
            <w:pPr>
              <w:jc w:val="right"/>
              <w:spacing w:after="0"/>
              <w:rPr>
                <w:sz w:val="20"/>
                <w:szCs w:val="20"/>
                <w:color w:val="auto"/>
              </w:rPr>
            </w:pPr>
            <w:r>
              <w:rPr>
                <w:rFonts w:ascii="Arial" w:cs="Arial" w:eastAsia="Arial" w:hAnsi="Arial"/>
                <w:sz w:val="12"/>
                <w:szCs w:val="12"/>
                <w:color w:val="auto"/>
              </w:rPr>
              <w:t>33,343</w:t>
            </w:r>
          </w:p>
        </w:tc>
        <w:tc>
          <w:tcPr>
            <w:tcW w:w="6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1320" w:type="dxa"/>
            <w:vAlign w:val="bottom"/>
            <w:gridSpan w:val="2"/>
          </w:tcPr>
          <w:p>
            <w:pPr>
              <w:jc w:val="right"/>
              <w:ind w:right="260"/>
              <w:spacing w:after="0"/>
              <w:rPr>
                <w:sz w:val="20"/>
                <w:szCs w:val="20"/>
                <w:color w:val="auto"/>
              </w:rPr>
            </w:pPr>
            <w:r>
              <w:rPr>
                <w:rFonts w:ascii="Arial" w:cs="Arial" w:eastAsia="Arial" w:hAnsi="Arial"/>
                <w:sz w:val="12"/>
                <w:szCs w:val="12"/>
                <w:color w:val="auto"/>
              </w:rPr>
              <w:t>(58,394)</w:t>
            </w:r>
          </w:p>
        </w:tc>
        <w:tc>
          <w:tcPr>
            <w:tcW w:w="1000" w:type="dxa"/>
            <w:vAlign w:val="bottom"/>
          </w:tcPr>
          <w:p>
            <w:pPr>
              <w:jc w:val="right"/>
              <w:ind w:right="892"/>
              <w:spacing w:after="0"/>
              <w:rPr>
                <w:sz w:val="20"/>
                <w:szCs w:val="20"/>
                <w:color w:val="auto"/>
              </w:rPr>
            </w:pPr>
            <w:r>
              <w:rPr>
                <w:rFonts w:ascii="Arial" w:cs="Arial" w:eastAsia="Arial" w:hAnsi="Arial"/>
                <w:sz w:val="10"/>
                <w:szCs w:val="10"/>
                <w:color w:val="auto"/>
                <w:w w:val="71"/>
              </w:rPr>
              <w:t>$</w:t>
            </w:r>
          </w:p>
        </w:tc>
        <w:tc>
          <w:tcPr>
            <w:tcW w:w="360" w:type="dxa"/>
            <w:vAlign w:val="bottom"/>
          </w:tcPr>
          <w:p>
            <w:pPr>
              <w:jc w:val="right"/>
              <w:spacing w:after="0"/>
              <w:rPr>
                <w:sz w:val="20"/>
                <w:szCs w:val="20"/>
                <w:color w:val="auto"/>
              </w:rPr>
            </w:pPr>
            <w:r>
              <w:rPr>
                <w:rFonts w:ascii="Arial" w:cs="Arial" w:eastAsia="Arial" w:hAnsi="Arial"/>
                <w:sz w:val="12"/>
                <w:szCs w:val="12"/>
                <w:color w:val="auto"/>
                <w:w w:val="92"/>
              </w:rPr>
              <w:t>18,238</w:t>
            </w:r>
          </w:p>
        </w:tc>
        <w:tc>
          <w:tcPr>
            <w:tcW w:w="240" w:type="dxa"/>
            <w:vAlign w:val="bottom"/>
            <w:tcBorders>
              <w:right w:val="single" w:sz="8" w:color="auto"/>
            </w:tcBorders>
          </w:tcPr>
          <w:p>
            <w:pPr>
              <w:spacing w:after="0"/>
              <w:rPr>
                <w:sz w:val="13"/>
                <w:szCs w:val="13"/>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160" w:type="dxa"/>
            <w:vAlign w:val="bottom"/>
          </w:tcPr>
          <w:p>
            <w:pPr>
              <w:jc w:val="right"/>
              <w:spacing w:after="0"/>
              <w:rPr>
                <w:sz w:val="20"/>
                <w:szCs w:val="20"/>
                <w:color w:val="auto"/>
              </w:rPr>
            </w:pPr>
            <w:r>
              <w:rPr>
                <w:rFonts w:ascii="Arial" w:cs="Arial" w:eastAsia="Arial" w:hAnsi="Arial"/>
                <w:sz w:val="12"/>
                <w:szCs w:val="12"/>
                <w:color w:val="auto"/>
              </w:rPr>
              <w:t>1,240</w:t>
            </w:r>
          </w:p>
        </w:tc>
        <w:tc>
          <w:tcPr>
            <w:tcW w:w="60" w:type="dxa"/>
            <w:vAlign w:val="bottom"/>
          </w:tcPr>
          <w:p>
            <w:pPr>
              <w:spacing w:after="0"/>
              <w:rPr>
                <w:sz w:val="13"/>
                <w:szCs w:val="13"/>
                <w:color w:val="auto"/>
              </w:rPr>
            </w:pPr>
          </w:p>
        </w:tc>
      </w:tr>
      <w:tr>
        <w:trPr>
          <w:trHeight w:val="153"/>
        </w:trPr>
        <w:tc>
          <w:tcPr>
            <w:tcW w:w="500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Denominator:</w:t>
            </w:r>
          </w:p>
        </w:tc>
        <w:tc>
          <w:tcPr>
            <w:tcW w:w="32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240" w:type="dxa"/>
            <w:vAlign w:val="bottom"/>
            <w:tcBorders>
              <w:right w:val="single" w:sz="8" w:color="auto"/>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1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r>
      <w:tr>
        <w:trPr>
          <w:trHeight w:val="153"/>
        </w:trPr>
        <w:tc>
          <w:tcPr>
            <w:tcW w:w="5000" w:type="dxa"/>
            <w:vAlign w:val="bottom"/>
            <w:gridSpan w:val="2"/>
          </w:tcPr>
          <w:p>
            <w:pPr>
              <w:ind w:left="160"/>
              <w:spacing w:after="0"/>
              <w:rPr>
                <w:sz w:val="20"/>
                <w:szCs w:val="20"/>
                <w:color w:val="auto"/>
              </w:rPr>
            </w:pPr>
            <w:r>
              <w:rPr>
                <w:rFonts w:ascii="Arial" w:cs="Arial" w:eastAsia="Arial" w:hAnsi="Arial"/>
                <w:sz w:val="12"/>
                <w:szCs w:val="12"/>
                <w:color w:val="auto"/>
              </w:rPr>
              <w:t>Weighted average shares - basic</w:t>
            </w:r>
          </w:p>
        </w:tc>
        <w:tc>
          <w:tcPr>
            <w:tcW w:w="32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157,890</w:t>
            </w:r>
          </w:p>
        </w:tc>
        <w:tc>
          <w:tcPr>
            <w:tcW w:w="3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87,320</w:t>
            </w: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2"/>
                <w:szCs w:val="12"/>
                <w:color w:val="auto"/>
                <w:w w:val="92"/>
              </w:rPr>
              <w:t>60,484</w:t>
            </w:r>
          </w:p>
        </w:tc>
        <w:tc>
          <w:tcPr>
            <w:tcW w:w="24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tcPr>
          <w:p>
            <w:pPr>
              <w:jc w:val="center"/>
              <w:ind w:right="150"/>
              <w:spacing w:after="0"/>
              <w:rPr>
                <w:sz w:val="20"/>
                <w:szCs w:val="20"/>
                <w:color w:val="auto"/>
              </w:rPr>
            </w:pPr>
            <w:r>
              <w:rPr>
                <w:rFonts w:ascii="Arial" w:cs="Arial" w:eastAsia="Arial" w:hAnsi="Arial"/>
                <w:sz w:val="10"/>
                <w:szCs w:val="10"/>
                <w:color w:val="auto"/>
                <w:w w:val="97"/>
              </w:rPr>
              <w:t>(1)</w:t>
            </w:r>
          </w:p>
        </w:tc>
        <w:tc>
          <w:tcPr>
            <w:tcW w:w="60" w:type="dxa"/>
            <w:vAlign w:val="bottom"/>
          </w:tcPr>
          <w:p>
            <w:pPr>
              <w:spacing w:after="0"/>
              <w:rPr>
                <w:sz w:val="13"/>
                <w:szCs w:val="13"/>
                <w:color w:val="auto"/>
              </w:rPr>
            </w:pPr>
          </w:p>
        </w:tc>
      </w:tr>
      <w:tr>
        <w:trPr>
          <w:trHeight w:val="153"/>
        </w:trPr>
        <w:tc>
          <w:tcPr>
            <w:tcW w:w="5000" w:type="dxa"/>
            <w:vAlign w:val="bottom"/>
            <w:gridSpan w:val="2"/>
            <w:shd w:val="clear" w:color="auto" w:fill="CFF0FC"/>
          </w:tcPr>
          <w:p>
            <w:pPr>
              <w:ind w:left="160"/>
              <w:spacing w:after="0"/>
              <w:rPr>
                <w:sz w:val="20"/>
                <w:szCs w:val="20"/>
                <w:color w:val="auto"/>
              </w:rPr>
            </w:pPr>
            <w:r>
              <w:rPr>
                <w:rFonts w:ascii="Arial" w:cs="Arial" w:eastAsia="Arial" w:hAnsi="Arial"/>
                <w:sz w:val="12"/>
                <w:szCs w:val="12"/>
                <w:color w:val="auto"/>
              </w:rPr>
              <w:t>Common stock equivalents</w:t>
            </w:r>
          </w:p>
        </w:tc>
        <w:tc>
          <w:tcPr>
            <w:tcW w:w="320" w:type="dxa"/>
            <w:vAlign w:val="bottom"/>
            <w:shd w:val="clear" w:color="auto" w:fill="CFF0FC"/>
          </w:tcPr>
          <w:p>
            <w:pPr>
              <w:spacing w:after="0"/>
              <w:rPr>
                <w:sz w:val="13"/>
                <w:szCs w:val="13"/>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3,632</w:t>
            </w:r>
          </w:p>
        </w:tc>
        <w:tc>
          <w:tcPr>
            <w:tcW w:w="30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320" w:type="dxa"/>
            <w:vAlign w:val="bottom"/>
            <w:gridSpan w:val="2"/>
            <w:shd w:val="clear" w:color="auto" w:fill="CFF0FC"/>
          </w:tcPr>
          <w:p>
            <w:pPr>
              <w:jc w:val="right"/>
              <w:ind w:right="300"/>
              <w:spacing w:after="0"/>
              <w:rPr>
                <w:sz w:val="20"/>
                <w:szCs w:val="20"/>
                <w:color w:val="auto"/>
              </w:rPr>
            </w:pPr>
            <w:r>
              <w:rPr>
                <w:rFonts w:ascii="Arial" w:cs="Arial" w:eastAsia="Arial" w:hAnsi="Arial"/>
                <w:sz w:val="12"/>
                <w:szCs w:val="12"/>
                <w:color w:val="auto"/>
              </w:rPr>
              <w:t>—</w:t>
            </w:r>
          </w:p>
        </w:tc>
        <w:tc>
          <w:tcPr>
            <w:tcW w:w="1000" w:type="dxa"/>
            <w:vAlign w:val="bottom"/>
            <w:shd w:val="clear" w:color="auto" w:fill="CFF0FC"/>
          </w:tcPr>
          <w:p>
            <w:pPr>
              <w:spacing w:after="0"/>
              <w:rPr>
                <w:sz w:val="13"/>
                <w:szCs w:val="13"/>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40" w:type="dxa"/>
            <w:vAlign w:val="bottom"/>
            <w:tcBorders>
              <w:right w:val="single" w:sz="8" w:color="auto"/>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160" w:type="dxa"/>
            <w:vAlign w:val="bottom"/>
            <w:shd w:val="clear" w:color="auto" w:fill="CFF0FC"/>
          </w:tcPr>
          <w:p>
            <w:pPr>
              <w:jc w:val="center"/>
              <w:ind w:right="150"/>
              <w:spacing w:after="0"/>
              <w:rPr>
                <w:sz w:val="20"/>
                <w:szCs w:val="20"/>
                <w:color w:val="auto"/>
              </w:rPr>
            </w:pPr>
            <w:r>
              <w:rPr>
                <w:rFonts w:ascii="Arial" w:cs="Arial" w:eastAsia="Arial" w:hAnsi="Arial"/>
                <w:sz w:val="10"/>
                <w:szCs w:val="10"/>
                <w:color w:val="auto"/>
                <w:w w:val="97"/>
              </w:rPr>
              <w:t>(1)</w:t>
            </w:r>
          </w:p>
        </w:tc>
        <w:tc>
          <w:tcPr>
            <w:tcW w:w="60" w:type="dxa"/>
            <w:vAlign w:val="bottom"/>
            <w:shd w:val="clear" w:color="auto" w:fill="CFF0FC"/>
          </w:tcPr>
          <w:p>
            <w:pPr>
              <w:spacing w:after="0"/>
              <w:rPr>
                <w:sz w:val="13"/>
                <w:szCs w:val="13"/>
                <w:color w:val="auto"/>
              </w:rPr>
            </w:pPr>
          </w:p>
        </w:tc>
      </w:tr>
      <w:tr>
        <w:trPr>
          <w:trHeight w:val="142"/>
        </w:trPr>
        <w:tc>
          <w:tcPr>
            <w:tcW w:w="5000" w:type="dxa"/>
            <w:vAlign w:val="bottom"/>
            <w:gridSpan w:val="2"/>
          </w:tcPr>
          <w:p>
            <w:pPr>
              <w:ind w:left="160"/>
              <w:spacing w:after="0"/>
              <w:rPr>
                <w:sz w:val="20"/>
                <w:szCs w:val="20"/>
                <w:color w:val="auto"/>
              </w:rPr>
            </w:pPr>
            <w:r>
              <w:rPr>
                <w:rFonts w:ascii="Arial" w:cs="Arial" w:eastAsia="Arial" w:hAnsi="Arial"/>
                <w:sz w:val="12"/>
                <w:szCs w:val="12"/>
                <w:color w:val="auto"/>
              </w:rPr>
              <w:t>Weighted average shares - diluted</w:t>
            </w:r>
          </w:p>
        </w:tc>
        <w:tc>
          <w:tcPr>
            <w:tcW w:w="32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161,522</w:t>
            </w:r>
          </w:p>
        </w:tc>
        <w:tc>
          <w:tcPr>
            <w:tcW w:w="30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87,320</w:t>
            </w:r>
          </w:p>
        </w:tc>
        <w:tc>
          <w:tcPr>
            <w:tcW w:w="300" w:type="dxa"/>
            <w:vAlign w:val="bottom"/>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w w:val="92"/>
              </w:rPr>
              <w:t>60,484</w:t>
            </w:r>
          </w:p>
        </w:tc>
        <w:tc>
          <w:tcPr>
            <w:tcW w:w="24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jc w:val="center"/>
              <w:ind w:right="150"/>
              <w:spacing w:after="0"/>
              <w:rPr>
                <w:sz w:val="20"/>
                <w:szCs w:val="20"/>
                <w:color w:val="auto"/>
              </w:rPr>
            </w:pPr>
            <w:r>
              <w:rPr>
                <w:rFonts w:ascii="Arial" w:cs="Arial" w:eastAsia="Arial" w:hAnsi="Arial"/>
                <w:sz w:val="10"/>
                <w:szCs w:val="10"/>
                <w:color w:val="auto"/>
                <w:w w:val="97"/>
              </w:rPr>
              <w:t>(1)</w:t>
            </w:r>
          </w:p>
        </w:tc>
        <w:tc>
          <w:tcPr>
            <w:tcW w:w="60" w:type="dxa"/>
            <w:vAlign w:val="bottom"/>
          </w:tcPr>
          <w:p>
            <w:pPr>
              <w:spacing w:after="0"/>
              <w:rPr>
                <w:sz w:val="12"/>
                <w:szCs w:val="12"/>
                <w:color w:val="auto"/>
              </w:rPr>
            </w:pPr>
          </w:p>
        </w:tc>
      </w:tr>
      <w:tr>
        <w:trPr>
          <w:trHeight w:val="153"/>
        </w:trPr>
        <w:tc>
          <w:tcPr>
            <w:tcW w:w="500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Net income (loss) per common share - basic</w:t>
            </w:r>
          </w:p>
        </w:tc>
        <w:tc>
          <w:tcPr>
            <w:tcW w:w="320" w:type="dxa"/>
            <w:vAlign w:val="bottom"/>
            <w:shd w:val="clear" w:color="auto" w:fill="CFF0FC"/>
          </w:tcPr>
          <w:p>
            <w:pPr>
              <w:jc w:val="right"/>
              <w:ind w:right="210"/>
              <w:spacing w:after="0"/>
              <w:rPr>
                <w:sz w:val="20"/>
                <w:szCs w:val="20"/>
                <w:color w:val="auto"/>
              </w:rPr>
            </w:pPr>
            <w:r>
              <w:rPr>
                <w:rFonts w:ascii="Arial" w:cs="Arial" w:eastAsia="Arial" w:hAnsi="Arial"/>
                <w:sz w:val="10"/>
                <w:szCs w:val="10"/>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0.21</w:t>
            </w:r>
          </w:p>
        </w:tc>
        <w:tc>
          <w:tcPr>
            <w:tcW w:w="660" w:type="dxa"/>
            <w:vAlign w:val="bottom"/>
            <w:gridSpan w:val="2"/>
            <w:shd w:val="clear" w:color="auto" w:fill="CFF0FC"/>
          </w:tcPr>
          <w:p>
            <w:pPr>
              <w:jc w:val="right"/>
              <w:ind w:right="300"/>
              <w:spacing w:after="0"/>
              <w:rPr>
                <w:sz w:val="20"/>
                <w:szCs w:val="20"/>
                <w:color w:val="auto"/>
              </w:rPr>
            </w:pPr>
            <w:r>
              <w:rPr>
                <w:rFonts w:ascii="Arial" w:cs="Arial" w:eastAsia="Arial" w:hAnsi="Arial"/>
                <w:sz w:val="12"/>
                <w:szCs w:val="12"/>
                <w:color w:val="auto"/>
              </w:rPr>
              <w:t>$</w:t>
            </w:r>
          </w:p>
        </w:tc>
        <w:tc>
          <w:tcPr>
            <w:tcW w:w="1320" w:type="dxa"/>
            <w:vAlign w:val="bottom"/>
            <w:gridSpan w:val="2"/>
            <w:shd w:val="clear" w:color="auto" w:fill="CFF0FC"/>
          </w:tcPr>
          <w:p>
            <w:pPr>
              <w:jc w:val="right"/>
              <w:ind w:right="260"/>
              <w:spacing w:after="0"/>
              <w:rPr>
                <w:sz w:val="20"/>
                <w:szCs w:val="20"/>
                <w:color w:val="auto"/>
              </w:rPr>
            </w:pPr>
            <w:r>
              <w:rPr>
                <w:rFonts w:ascii="Arial" w:cs="Arial" w:eastAsia="Arial" w:hAnsi="Arial"/>
                <w:sz w:val="12"/>
                <w:szCs w:val="12"/>
                <w:color w:val="auto"/>
              </w:rPr>
              <w:t>(0.67)</w:t>
            </w:r>
          </w:p>
        </w:tc>
        <w:tc>
          <w:tcPr>
            <w:tcW w:w="1000" w:type="dxa"/>
            <w:vAlign w:val="bottom"/>
            <w:shd w:val="clear" w:color="auto" w:fill="CFF0FC"/>
          </w:tcPr>
          <w:p>
            <w:pPr>
              <w:jc w:val="right"/>
              <w:ind w:right="892"/>
              <w:spacing w:after="0"/>
              <w:rPr>
                <w:sz w:val="20"/>
                <w:szCs w:val="20"/>
                <w:color w:val="auto"/>
              </w:rPr>
            </w:pPr>
            <w:r>
              <w:rPr>
                <w:rFonts w:ascii="Arial" w:cs="Arial" w:eastAsia="Arial" w:hAnsi="Arial"/>
                <w:sz w:val="10"/>
                <w:szCs w:val="10"/>
                <w:color w:val="auto"/>
                <w:w w:val="71"/>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0.30</w:t>
            </w:r>
          </w:p>
        </w:tc>
        <w:tc>
          <w:tcPr>
            <w:tcW w:w="240" w:type="dxa"/>
            <w:vAlign w:val="bottom"/>
            <w:tcBorders>
              <w:right w:val="single" w:sz="8" w:color="auto"/>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160" w:type="dxa"/>
            <w:vAlign w:val="bottom"/>
            <w:shd w:val="clear" w:color="auto" w:fill="CFF0FC"/>
          </w:tcPr>
          <w:p>
            <w:pPr>
              <w:jc w:val="center"/>
              <w:ind w:right="150"/>
              <w:spacing w:after="0"/>
              <w:rPr>
                <w:sz w:val="20"/>
                <w:szCs w:val="20"/>
                <w:color w:val="auto"/>
              </w:rPr>
            </w:pPr>
            <w:r>
              <w:rPr>
                <w:rFonts w:ascii="Arial" w:cs="Arial" w:eastAsia="Arial" w:hAnsi="Arial"/>
                <w:sz w:val="10"/>
                <w:szCs w:val="10"/>
                <w:color w:val="auto"/>
                <w:w w:val="97"/>
              </w:rPr>
              <w:t>(1)</w:t>
            </w:r>
          </w:p>
        </w:tc>
        <w:tc>
          <w:tcPr>
            <w:tcW w:w="60" w:type="dxa"/>
            <w:vAlign w:val="bottom"/>
            <w:shd w:val="clear" w:color="auto" w:fill="CFF0FC"/>
          </w:tcPr>
          <w:p>
            <w:pPr>
              <w:spacing w:after="0"/>
              <w:rPr>
                <w:sz w:val="13"/>
                <w:szCs w:val="13"/>
                <w:color w:val="auto"/>
              </w:rPr>
            </w:pPr>
          </w:p>
        </w:tc>
      </w:tr>
      <w:tr>
        <w:trPr>
          <w:trHeight w:val="153"/>
        </w:trPr>
        <w:tc>
          <w:tcPr>
            <w:tcW w:w="5000" w:type="dxa"/>
            <w:vAlign w:val="bottom"/>
            <w:gridSpan w:val="2"/>
          </w:tcPr>
          <w:p>
            <w:pPr>
              <w:spacing w:after="0"/>
              <w:rPr>
                <w:sz w:val="20"/>
                <w:szCs w:val="20"/>
                <w:color w:val="auto"/>
              </w:rPr>
            </w:pPr>
            <w:r>
              <w:rPr>
                <w:rFonts w:ascii="Arial" w:cs="Arial" w:eastAsia="Arial" w:hAnsi="Arial"/>
                <w:sz w:val="12"/>
                <w:szCs w:val="12"/>
                <w:color w:val="auto"/>
              </w:rPr>
              <w:t>Net income (loss) per common share - diluted</w:t>
            </w:r>
          </w:p>
        </w:tc>
        <w:tc>
          <w:tcPr>
            <w:tcW w:w="320" w:type="dxa"/>
            <w:vAlign w:val="bottom"/>
          </w:tcPr>
          <w:p>
            <w:pPr>
              <w:jc w:val="right"/>
              <w:ind w:right="210"/>
              <w:spacing w:after="0"/>
              <w:rPr>
                <w:sz w:val="20"/>
                <w:szCs w:val="20"/>
                <w:color w:val="auto"/>
              </w:rPr>
            </w:pPr>
            <w:r>
              <w:rPr>
                <w:rFonts w:ascii="Arial" w:cs="Arial" w:eastAsia="Arial" w:hAnsi="Arial"/>
                <w:sz w:val="10"/>
                <w:szCs w:val="10"/>
                <w:color w:val="auto"/>
                <w:w w:val="71"/>
              </w:rPr>
              <w:t>$</w:t>
            </w:r>
          </w:p>
        </w:tc>
        <w:tc>
          <w:tcPr>
            <w:tcW w:w="1060" w:type="dxa"/>
            <w:vAlign w:val="bottom"/>
          </w:tcPr>
          <w:p>
            <w:pPr>
              <w:jc w:val="right"/>
              <w:spacing w:after="0"/>
              <w:rPr>
                <w:sz w:val="20"/>
                <w:szCs w:val="20"/>
                <w:color w:val="auto"/>
              </w:rPr>
            </w:pPr>
            <w:r>
              <w:rPr>
                <w:rFonts w:ascii="Arial" w:cs="Arial" w:eastAsia="Arial" w:hAnsi="Arial"/>
                <w:sz w:val="12"/>
                <w:szCs w:val="12"/>
                <w:color w:val="auto"/>
              </w:rPr>
              <w:t>0.21</w:t>
            </w:r>
          </w:p>
        </w:tc>
        <w:tc>
          <w:tcPr>
            <w:tcW w:w="6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1320" w:type="dxa"/>
            <w:vAlign w:val="bottom"/>
            <w:gridSpan w:val="2"/>
          </w:tcPr>
          <w:p>
            <w:pPr>
              <w:jc w:val="right"/>
              <w:ind w:right="260"/>
              <w:spacing w:after="0"/>
              <w:rPr>
                <w:sz w:val="20"/>
                <w:szCs w:val="20"/>
                <w:color w:val="auto"/>
              </w:rPr>
            </w:pPr>
            <w:r>
              <w:rPr>
                <w:rFonts w:ascii="Arial" w:cs="Arial" w:eastAsia="Arial" w:hAnsi="Arial"/>
                <w:sz w:val="12"/>
                <w:szCs w:val="12"/>
                <w:color w:val="auto"/>
              </w:rPr>
              <w:t>(0.67)</w:t>
            </w:r>
          </w:p>
        </w:tc>
        <w:tc>
          <w:tcPr>
            <w:tcW w:w="1000" w:type="dxa"/>
            <w:vAlign w:val="bottom"/>
          </w:tcPr>
          <w:p>
            <w:pPr>
              <w:jc w:val="right"/>
              <w:ind w:right="892"/>
              <w:spacing w:after="0"/>
              <w:rPr>
                <w:sz w:val="20"/>
                <w:szCs w:val="20"/>
                <w:color w:val="auto"/>
              </w:rPr>
            </w:pPr>
            <w:r>
              <w:rPr>
                <w:rFonts w:ascii="Arial" w:cs="Arial" w:eastAsia="Arial" w:hAnsi="Arial"/>
                <w:sz w:val="10"/>
                <w:szCs w:val="10"/>
                <w:color w:val="auto"/>
                <w:w w:val="71"/>
              </w:rPr>
              <w:t>$</w:t>
            </w:r>
          </w:p>
        </w:tc>
        <w:tc>
          <w:tcPr>
            <w:tcW w:w="360" w:type="dxa"/>
            <w:vAlign w:val="bottom"/>
          </w:tcPr>
          <w:p>
            <w:pPr>
              <w:jc w:val="right"/>
              <w:spacing w:after="0"/>
              <w:rPr>
                <w:sz w:val="20"/>
                <w:szCs w:val="20"/>
                <w:color w:val="auto"/>
              </w:rPr>
            </w:pPr>
            <w:r>
              <w:rPr>
                <w:rFonts w:ascii="Arial" w:cs="Arial" w:eastAsia="Arial" w:hAnsi="Arial"/>
                <w:sz w:val="12"/>
                <w:szCs w:val="12"/>
                <w:color w:val="auto"/>
              </w:rPr>
              <w:t>0.30</w:t>
            </w:r>
          </w:p>
        </w:tc>
        <w:tc>
          <w:tcPr>
            <w:tcW w:w="24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tcPr>
          <w:p>
            <w:pPr>
              <w:jc w:val="center"/>
              <w:ind w:right="150"/>
              <w:spacing w:after="0"/>
              <w:rPr>
                <w:sz w:val="20"/>
                <w:szCs w:val="20"/>
                <w:color w:val="auto"/>
              </w:rPr>
            </w:pPr>
            <w:r>
              <w:rPr>
                <w:rFonts w:ascii="Arial" w:cs="Arial" w:eastAsia="Arial" w:hAnsi="Arial"/>
                <w:sz w:val="10"/>
                <w:szCs w:val="10"/>
                <w:color w:val="auto"/>
                <w:w w:val="97"/>
              </w:rPr>
              <w:t>(1)</w:t>
            </w:r>
          </w:p>
        </w:tc>
        <w:tc>
          <w:tcPr>
            <w:tcW w:w="60" w:type="dxa"/>
            <w:vAlign w:val="bottom"/>
          </w:tcPr>
          <w:p>
            <w:pPr>
              <w:spacing w:after="0"/>
              <w:rPr>
                <w:sz w:val="13"/>
                <w:szCs w:val="13"/>
                <w:color w:val="auto"/>
              </w:rPr>
            </w:pPr>
          </w:p>
        </w:tc>
      </w:tr>
      <w:tr>
        <w:trPr>
          <w:trHeight w:val="153"/>
        </w:trPr>
        <w:tc>
          <w:tcPr>
            <w:tcW w:w="500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Antidilutive weighted average shares excluded from diluted net income (loss) per share:</w:t>
            </w:r>
          </w:p>
        </w:tc>
        <w:tc>
          <w:tcPr>
            <w:tcW w:w="32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240" w:type="dxa"/>
            <w:vAlign w:val="bottom"/>
            <w:tcBorders>
              <w:right w:val="single" w:sz="8" w:color="auto"/>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1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r>
      <w:tr>
        <w:trPr>
          <w:trHeight w:val="153"/>
        </w:trPr>
        <w:tc>
          <w:tcPr>
            <w:tcW w:w="5000" w:type="dxa"/>
            <w:vAlign w:val="bottom"/>
            <w:gridSpan w:val="2"/>
          </w:tcPr>
          <w:p>
            <w:pPr>
              <w:ind w:left="160"/>
              <w:spacing w:after="0"/>
              <w:rPr>
                <w:sz w:val="20"/>
                <w:szCs w:val="20"/>
                <w:color w:val="auto"/>
              </w:rPr>
            </w:pPr>
            <w:r>
              <w:rPr>
                <w:rFonts w:ascii="Arial" w:cs="Arial" w:eastAsia="Arial" w:hAnsi="Arial"/>
                <w:sz w:val="12"/>
                <w:szCs w:val="12"/>
                <w:color w:val="auto"/>
              </w:rPr>
              <w:t xml:space="preserve">Contingently issuable shares </w:t>
            </w:r>
            <w:r>
              <w:rPr>
                <w:rFonts w:ascii="Arial" w:cs="Arial" w:eastAsia="Arial" w:hAnsi="Arial"/>
                <w:sz w:val="10"/>
                <w:szCs w:val="10"/>
                <w:color w:val="auto"/>
              </w:rPr>
              <w:t>(2)</w:t>
            </w:r>
          </w:p>
        </w:tc>
        <w:tc>
          <w:tcPr>
            <w:tcW w:w="32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8,304</w:t>
            </w:r>
          </w:p>
        </w:tc>
        <w:tc>
          <w:tcPr>
            <w:tcW w:w="3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10,000</w:t>
            </w: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tcPr>
          <w:p>
            <w:pPr>
              <w:jc w:val="center"/>
              <w:ind w:right="150"/>
              <w:spacing w:after="0"/>
              <w:rPr>
                <w:sz w:val="20"/>
                <w:szCs w:val="20"/>
                <w:color w:val="auto"/>
              </w:rPr>
            </w:pPr>
            <w:r>
              <w:rPr>
                <w:rFonts w:ascii="Arial" w:cs="Arial" w:eastAsia="Arial" w:hAnsi="Arial"/>
                <w:sz w:val="10"/>
                <w:szCs w:val="10"/>
                <w:color w:val="auto"/>
                <w:w w:val="97"/>
              </w:rPr>
              <w:t>(1)</w:t>
            </w:r>
          </w:p>
        </w:tc>
        <w:tc>
          <w:tcPr>
            <w:tcW w:w="60" w:type="dxa"/>
            <w:vAlign w:val="bottom"/>
          </w:tcPr>
          <w:p>
            <w:pPr>
              <w:spacing w:after="0"/>
              <w:rPr>
                <w:sz w:val="13"/>
                <w:szCs w:val="13"/>
                <w:color w:val="auto"/>
              </w:rPr>
            </w:pPr>
          </w:p>
        </w:tc>
      </w:tr>
      <w:tr>
        <w:trPr>
          <w:trHeight w:val="153"/>
        </w:trPr>
        <w:tc>
          <w:tcPr>
            <w:tcW w:w="5000" w:type="dxa"/>
            <w:vAlign w:val="bottom"/>
            <w:gridSpan w:val="2"/>
            <w:shd w:val="clear" w:color="auto" w:fill="CFF0FC"/>
          </w:tcPr>
          <w:p>
            <w:pPr>
              <w:ind w:left="160"/>
              <w:spacing w:after="0"/>
              <w:rPr>
                <w:sz w:val="20"/>
                <w:szCs w:val="20"/>
                <w:color w:val="auto"/>
              </w:rPr>
            </w:pPr>
            <w:r>
              <w:rPr>
                <w:rFonts w:ascii="Arial" w:cs="Arial" w:eastAsia="Arial" w:hAnsi="Arial"/>
                <w:sz w:val="12"/>
                <w:szCs w:val="12"/>
                <w:color w:val="auto"/>
              </w:rPr>
              <w:t>Warrants</w:t>
            </w:r>
          </w:p>
        </w:tc>
        <w:tc>
          <w:tcPr>
            <w:tcW w:w="320" w:type="dxa"/>
            <w:vAlign w:val="bottom"/>
            <w:shd w:val="clear" w:color="auto" w:fill="CFF0FC"/>
          </w:tcPr>
          <w:p>
            <w:pPr>
              <w:spacing w:after="0"/>
              <w:rPr>
                <w:sz w:val="13"/>
                <w:szCs w:val="13"/>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5,000</w:t>
            </w:r>
          </w:p>
        </w:tc>
        <w:tc>
          <w:tcPr>
            <w:tcW w:w="30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20,000</w:t>
            </w:r>
          </w:p>
        </w:tc>
        <w:tc>
          <w:tcPr>
            <w:tcW w:w="30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2"/>
                <w:szCs w:val="12"/>
                <w:color w:val="auto"/>
                <w:w w:val="92"/>
              </w:rPr>
              <w:t>20,000</w:t>
            </w:r>
          </w:p>
        </w:tc>
        <w:tc>
          <w:tcPr>
            <w:tcW w:w="240" w:type="dxa"/>
            <w:vAlign w:val="bottom"/>
            <w:tcBorders>
              <w:right w:val="single" w:sz="8" w:color="auto"/>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160" w:type="dxa"/>
            <w:vAlign w:val="bottom"/>
            <w:shd w:val="clear" w:color="auto" w:fill="CFF0FC"/>
          </w:tcPr>
          <w:p>
            <w:pPr>
              <w:jc w:val="center"/>
              <w:ind w:right="150"/>
              <w:spacing w:after="0"/>
              <w:rPr>
                <w:sz w:val="20"/>
                <w:szCs w:val="20"/>
                <w:color w:val="auto"/>
              </w:rPr>
            </w:pPr>
            <w:r>
              <w:rPr>
                <w:rFonts w:ascii="Arial" w:cs="Arial" w:eastAsia="Arial" w:hAnsi="Arial"/>
                <w:sz w:val="10"/>
                <w:szCs w:val="10"/>
                <w:color w:val="auto"/>
                <w:w w:val="97"/>
              </w:rPr>
              <w:t>(1)</w:t>
            </w:r>
          </w:p>
        </w:tc>
        <w:tc>
          <w:tcPr>
            <w:tcW w:w="60" w:type="dxa"/>
            <w:vAlign w:val="bottom"/>
            <w:shd w:val="clear" w:color="auto" w:fill="CFF0FC"/>
          </w:tcPr>
          <w:p>
            <w:pPr>
              <w:spacing w:after="0"/>
              <w:rPr>
                <w:sz w:val="13"/>
                <w:szCs w:val="13"/>
                <w:color w:val="auto"/>
              </w:rPr>
            </w:pPr>
          </w:p>
        </w:tc>
      </w:tr>
      <w:tr>
        <w:trPr>
          <w:trHeight w:val="153"/>
        </w:trPr>
        <w:tc>
          <w:tcPr>
            <w:tcW w:w="5000" w:type="dxa"/>
            <w:vAlign w:val="bottom"/>
            <w:tcBorders>
              <w:bottom w:val="single" w:sz="8" w:color="CFF0FC"/>
            </w:tcBorders>
            <w:gridSpan w:val="2"/>
          </w:tcPr>
          <w:p>
            <w:pPr>
              <w:ind w:left="160"/>
              <w:spacing w:after="0"/>
              <w:rPr>
                <w:sz w:val="20"/>
                <w:szCs w:val="20"/>
                <w:color w:val="auto"/>
              </w:rPr>
            </w:pPr>
            <w:r>
              <w:rPr>
                <w:rFonts w:ascii="Arial" w:cs="Arial" w:eastAsia="Arial" w:hAnsi="Arial"/>
                <w:sz w:val="12"/>
                <w:szCs w:val="12"/>
                <w:color w:val="auto"/>
              </w:rPr>
              <w:t>Restricted stock units</w:t>
            </w:r>
          </w:p>
        </w:tc>
        <w:tc>
          <w:tcPr>
            <w:tcW w:w="3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21</w:t>
            </w:r>
          </w:p>
        </w:tc>
        <w:tc>
          <w:tcPr>
            <w:tcW w:w="30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4,437</w:t>
            </w:r>
          </w:p>
        </w:tc>
        <w:tc>
          <w:tcPr>
            <w:tcW w:w="300" w:type="dxa"/>
            <w:vAlign w:val="bottom"/>
            <w:tcBorders>
              <w:bottom w:val="single" w:sz="8" w:color="CFF0FC"/>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40" w:type="dxa"/>
            <w:vAlign w:val="bottom"/>
            <w:tcBorders>
              <w:bottom w:val="single" w:sz="8" w:color="CFF0FC"/>
              <w:right w:val="single" w:sz="8" w:color="auto"/>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center"/>
              <w:ind w:right="150"/>
              <w:spacing w:after="0"/>
              <w:rPr>
                <w:sz w:val="20"/>
                <w:szCs w:val="20"/>
                <w:color w:val="auto"/>
              </w:rPr>
            </w:pPr>
            <w:r>
              <w:rPr>
                <w:rFonts w:ascii="Arial" w:cs="Arial" w:eastAsia="Arial" w:hAnsi="Arial"/>
                <w:sz w:val="10"/>
                <w:szCs w:val="10"/>
                <w:color w:val="auto"/>
                <w:w w:val="97"/>
              </w:rPr>
              <w:t>(1)</w:t>
            </w:r>
          </w:p>
        </w:tc>
        <w:tc>
          <w:tcPr>
            <w:tcW w:w="60" w:type="dxa"/>
            <w:vAlign w:val="bottom"/>
            <w:tcBorders>
              <w:bottom w:val="single" w:sz="8" w:color="CFF0FC"/>
            </w:tcBorders>
          </w:tcPr>
          <w:p>
            <w:pPr>
              <w:spacing w:after="0"/>
              <w:rPr>
                <w:sz w:val="13"/>
                <w:szCs w:val="13"/>
                <w:color w:val="auto"/>
              </w:rPr>
            </w:pPr>
          </w:p>
        </w:tc>
      </w:tr>
      <w:tr>
        <w:trPr>
          <w:trHeight w:val="149"/>
        </w:trPr>
        <w:tc>
          <w:tcPr>
            <w:tcW w:w="500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2"/>
                <w:szCs w:val="12"/>
                <w:color w:val="auto"/>
              </w:rPr>
              <w:t>Total antidilutive shares excluded</w:t>
            </w:r>
          </w:p>
        </w:tc>
        <w:tc>
          <w:tcPr>
            <w:tcW w:w="320" w:type="dxa"/>
            <w:vAlign w:val="bottom"/>
            <w:tcBorders>
              <w:bottom w:val="single" w:sz="8" w:color="auto"/>
            </w:tcBorders>
            <w:shd w:val="clear" w:color="auto" w:fill="CFF0FC"/>
          </w:tcPr>
          <w:p>
            <w:pPr>
              <w:spacing w:after="0"/>
              <w:rPr>
                <w:sz w:val="12"/>
                <w:szCs w:val="12"/>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13,325</w:t>
            </w:r>
          </w:p>
        </w:tc>
        <w:tc>
          <w:tcPr>
            <w:tcW w:w="300" w:type="dxa"/>
            <w:vAlign w:val="bottom"/>
            <w:tcBorders>
              <w:bottom w:val="single" w:sz="8" w:color="CFF0FC"/>
            </w:tcBorders>
            <w:shd w:val="clear" w:color="auto" w:fill="CFF0FC"/>
          </w:tcPr>
          <w:p>
            <w:pPr>
              <w:spacing w:after="0"/>
              <w:rPr>
                <w:sz w:val="12"/>
                <w:szCs w:val="12"/>
                <w:color w:val="auto"/>
              </w:rPr>
            </w:pPr>
          </w:p>
        </w:tc>
        <w:tc>
          <w:tcPr>
            <w:tcW w:w="360" w:type="dxa"/>
            <w:vAlign w:val="bottom"/>
            <w:tcBorders>
              <w:bottom w:val="single" w:sz="8" w:color="auto"/>
            </w:tcBorders>
            <w:shd w:val="clear" w:color="auto" w:fill="CFF0FC"/>
          </w:tcPr>
          <w:p>
            <w:pPr>
              <w:spacing w:after="0"/>
              <w:rPr>
                <w:sz w:val="12"/>
                <w:szCs w:val="12"/>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34,437</w:t>
            </w:r>
          </w:p>
        </w:tc>
        <w:tc>
          <w:tcPr>
            <w:tcW w:w="300" w:type="dxa"/>
            <w:vAlign w:val="bottom"/>
            <w:tcBorders>
              <w:bottom w:val="single" w:sz="8" w:color="CFF0FC"/>
            </w:tcBorders>
            <w:shd w:val="clear" w:color="auto" w:fill="CFF0FC"/>
          </w:tcPr>
          <w:p>
            <w:pPr>
              <w:spacing w:after="0"/>
              <w:rPr>
                <w:sz w:val="12"/>
                <w:szCs w:val="12"/>
                <w:color w:val="auto"/>
              </w:rPr>
            </w:pPr>
          </w:p>
        </w:tc>
        <w:tc>
          <w:tcPr>
            <w:tcW w:w="1000" w:type="dxa"/>
            <w:vAlign w:val="bottom"/>
            <w:tcBorders>
              <w:bottom w:val="single" w:sz="8" w:color="auto"/>
            </w:tcBorders>
            <w:shd w:val="clear" w:color="auto" w:fill="CFF0FC"/>
          </w:tcPr>
          <w:p>
            <w:pPr>
              <w:spacing w:after="0"/>
              <w:rPr>
                <w:sz w:val="12"/>
                <w:szCs w:val="12"/>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w w:val="92"/>
              </w:rPr>
              <w:t>20,000</w:t>
            </w:r>
          </w:p>
        </w:tc>
        <w:tc>
          <w:tcPr>
            <w:tcW w:w="240" w:type="dxa"/>
            <w:vAlign w:val="bottom"/>
            <w:tcBorders>
              <w:bottom w:val="single" w:sz="8" w:color="CFF0FC"/>
              <w:right w:val="single" w:sz="8" w:color="auto"/>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200" w:type="dxa"/>
            <w:vAlign w:val="bottom"/>
            <w:tcBorders>
              <w:bottom w:val="single" w:sz="8" w:color="auto"/>
            </w:tcBorders>
            <w:shd w:val="clear" w:color="auto" w:fill="CFF0FC"/>
          </w:tcPr>
          <w:p>
            <w:pPr>
              <w:spacing w:after="0"/>
              <w:rPr>
                <w:sz w:val="12"/>
                <w:szCs w:val="12"/>
                <w:color w:val="auto"/>
              </w:rPr>
            </w:pPr>
          </w:p>
        </w:tc>
        <w:tc>
          <w:tcPr>
            <w:tcW w:w="1160" w:type="dxa"/>
            <w:vAlign w:val="bottom"/>
            <w:tcBorders>
              <w:bottom w:val="single" w:sz="8" w:color="auto"/>
            </w:tcBorders>
            <w:shd w:val="clear" w:color="auto" w:fill="CFF0FC"/>
          </w:tcPr>
          <w:p>
            <w:pPr>
              <w:jc w:val="center"/>
              <w:ind w:right="150"/>
              <w:spacing w:after="0"/>
              <w:rPr>
                <w:sz w:val="20"/>
                <w:szCs w:val="20"/>
                <w:color w:val="auto"/>
              </w:rPr>
            </w:pPr>
            <w:r>
              <w:rPr>
                <w:rFonts w:ascii="Arial" w:cs="Arial" w:eastAsia="Arial" w:hAnsi="Arial"/>
                <w:sz w:val="10"/>
                <w:szCs w:val="10"/>
                <w:color w:val="auto"/>
                <w:w w:val="97"/>
              </w:rPr>
              <w:t>(1)</w:t>
            </w:r>
          </w:p>
        </w:tc>
        <w:tc>
          <w:tcPr>
            <w:tcW w:w="60" w:type="dxa"/>
            <w:vAlign w:val="bottom"/>
            <w:tcBorders>
              <w:bottom w:val="single" w:sz="8" w:color="CFF0FC"/>
            </w:tcBorders>
            <w:shd w:val="clear" w:color="auto" w:fill="CFF0FC"/>
          </w:tcPr>
          <w:p>
            <w:pPr>
              <w:spacing w:after="0"/>
              <w:rPr>
                <w:sz w:val="12"/>
                <w:szCs w:val="12"/>
                <w:color w:val="auto"/>
              </w:rPr>
            </w:pPr>
          </w:p>
        </w:tc>
      </w:tr>
    </w:tbl>
    <w:p>
      <w:pPr>
        <w:spacing w:after="0" w:line="162" w:lineRule="exact"/>
        <w:rPr>
          <w:sz w:val="20"/>
          <w:szCs w:val="20"/>
          <w:color w:val="auto"/>
        </w:rPr>
      </w:pPr>
    </w:p>
    <w:p>
      <w:pPr>
        <w:ind w:left="1020" w:right="300" w:hanging="587"/>
        <w:spacing w:after="0" w:line="258" w:lineRule="auto"/>
        <w:tabs>
          <w:tab w:leader="none" w:pos="1020" w:val="left"/>
        </w:tabs>
        <w:numPr>
          <w:ilvl w:val="0"/>
          <w:numId w:val="35"/>
        </w:numPr>
        <w:rPr>
          <w:rFonts w:ascii="Arial" w:cs="Arial" w:eastAsia="Arial" w:hAnsi="Arial"/>
          <w:sz w:val="10"/>
          <w:szCs w:val="10"/>
          <w:color w:val="auto"/>
        </w:rPr>
      </w:pPr>
      <w:r>
        <w:rPr>
          <w:rFonts w:ascii="Arial" w:cs="Arial" w:eastAsia="Arial" w:hAnsi="Arial"/>
          <w:sz w:val="12"/>
          <w:szCs w:val="12"/>
          <w:color w:val="auto"/>
        </w:rPr>
        <w:t>The net income (loss) per share in the Predecessor Period is not meaningful or comparable as the Company had a significantly different capital structure than in the Successor period. Accordingly, the Predecessor earnings (loss) per share are not presented.</w:t>
      </w:r>
    </w:p>
    <w:p>
      <w:pPr>
        <w:ind w:left="1020" w:hanging="587"/>
        <w:spacing w:after="0"/>
        <w:tabs>
          <w:tab w:leader="none" w:pos="1020" w:val="left"/>
        </w:tabs>
        <w:numPr>
          <w:ilvl w:val="0"/>
          <w:numId w:val="35"/>
        </w:numPr>
        <w:rPr>
          <w:rFonts w:ascii="Arial" w:cs="Arial" w:eastAsia="Arial" w:hAnsi="Arial"/>
          <w:sz w:val="10"/>
          <w:szCs w:val="10"/>
          <w:color w:val="auto"/>
        </w:rPr>
      </w:pPr>
      <w:r>
        <w:rPr>
          <w:rFonts w:ascii="Arial" w:cs="Arial" w:eastAsia="Arial" w:hAnsi="Arial"/>
          <w:sz w:val="12"/>
          <w:szCs w:val="12"/>
          <w:color w:val="auto"/>
        </w:rPr>
        <w:t xml:space="preserve">Contingently issuable shares relate to the earn-out agreement as discussed in Note 16, </w:t>
      </w:r>
      <w:r>
        <w:rPr>
          <w:rFonts w:ascii="Arial" w:cs="Arial" w:eastAsia="Arial" w:hAnsi="Arial"/>
          <w:sz w:val="12"/>
          <w:szCs w:val="12"/>
          <w:i w:val="1"/>
          <w:iCs w:val="1"/>
          <w:color w:val="auto"/>
        </w:rPr>
        <w:t>Related Party Transactions</w:t>
      </w:r>
      <w:r>
        <w:rPr>
          <w:rFonts w:ascii="Arial" w:cs="Arial" w:eastAsia="Arial" w:hAnsi="Arial"/>
          <w:sz w:val="12"/>
          <w:szCs w:val="12"/>
          <w:color w:val="auto"/>
        </w:rPr>
        <w:t>.</w:t>
      </w:r>
    </w:p>
    <w:p>
      <w:pPr>
        <w:spacing w:after="0" w:line="209" w:lineRule="exact"/>
        <w:rPr>
          <w:sz w:val="20"/>
          <w:szCs w:val="20"/>
          <w:color w:val="auto"/>
        </w:rPr>
      </w:pPr>
    </w:p>
    <w:p>
      <w:pPr>
        <w:spacing w:after="0"/>
        <w:tabs>
          <w:tab w:leader="none" w:pos="560" w:val="left"/>
        </w:tabs>
        <w:rPr>
          <w:sz w:val="20"/>
          <w:szCs w:val="20"/>
          <w:color w:val="auto"/>
        </w:rPr>
      </w:pPr>
      <w:r>
        <w:rPr>
          <w:rFonts w:ascii="Arial" w:cs="Arial" w:eastAsia="Arial" w:hAnsi="Arial"/>
          <w:sz w:val="12"/>
          <w:szCs w:val="12"/>
          <w:b w:val="1"/>
          <w:bCs w:val="1"/>
          <w:color w:val="auto"/>
        </w:rPr>
        <w:t>12</w:t>
      </w:r>
      <w:r>
        <w:rPr>
          <w:rFonts w:ascii="Arial" w:cs="Arial" w:eastAsia="Arial" w:hAnsi="Arial"/>
          <w:sz w:val="12"/>
          <w:szCs w:val="12"/>
          <w:color w:val="auto"/>
        </w:rPr>
        <w:t>.</w:t>
      </w:r>
      <w:r>
        <w:rPr>
          <w:sz w:val="20"/>
          <w:szCs w:val="20"/>
          <w:color w:val="auto"/>
        </w:rPr>
        <w:tab/>
      </w:r>
      <w:r>
        <w:rPr>
          <w:rFonts w:ascii="Arial" w:cs="Arial" w:eastAsia="Arial" w:hAnsi="Arial"/>
          <w:sz w:val="10"/>
          <w:szCs w:val="10"/>
          <w:b w:val="1"/>
          <w:bCs w:val="1"/>
          <w:color w:val="auto"/>
        </w:rPr>
        <w:t>Income Taxes</w:t>
      </w:r>
    </w:p>
    <w:p>
      <w:pPr>
        <w:spacing w:after="0" w:line="82" w:lineRule="exact"/>
        <w:rPr>
          <w:sz w:val="20"/>
          <w:szCs w:val="20"/>
          <w:color w:val="auto"/>
        </w:rPr>
      </w:pPr>
    </w:p>
    <w:p>
      <w:pPr>
        <w:ind w:right="60" w:firstLine="602"/>
        <w:spacing w:after="0" w:line="259" w:lineRule="auto"/>
        <w:rPr>
          <w:sz w:val="20"/>
          <w:szCs w:val="20"/>
          <w:color w:val="auto"/>
        </w:rPr>
      </w:pPr>
      <w:r>
        <w:rPr>
          <w:rFonts w:ascii="Arial" w:cs="Arial" w:eastAsia="Arial" w:hAnsi="Arial"/>
          <w:sz w:val="12"/>
          <w:szCs w:val="12"/>
          <w:color w:val="auto"/>
        </w:rPr>
        <w:t>On December 22, 2017, the U.S. enacted the Tax Cuts and Jobs Act (the “</w:t>
      </w:r>
      <w:r>
        <w:rPr>
          <w:rFonts w:ascii="Arial" w:cs="Arial" w:eastAsia="Arial" w:hAnsi="Arial"/>
          <w:sz w:val="12"/>
          <w:szCs w:val="12"/>
          <w:b w:val="1"/>
          <w:bCs w:val="1"/>
          <w:i w:val="1"/>
          <w:iCs w:val="1"/>
          <w:color w:val="auto"/>
        </w:rPr>
        <w:t>Tax Act</w:t>
      </w:r>
      <w:r>
        <w:rPr>
          <w:rFonts w:ascii="Arial" w:cs="Arial" w:eastAsia="Arial" w:hAnsi="Arial"/>
          <w:sz w:val="12"/>
          <w:szCs w:val="12"/>
          <w:color w:val="auto"/>
        </w:rPr>
        <w:t>”) which significantly changed U.S. tax law. The Tax Act lowered the Company’s U.S. statutory federal income tax rate from 35% to 21% effective January 1, 2018. The Tax Act made modifications to allowable tax depreciation, the deductibility of compensation for officers, meals and entertainment expenses, and interest expense, among other provisions. In addition, the Tax Act created a new minimum tax on certain foreign earnings, for which the Company has elected to take into account in the period where applicable. The Company completed its accounting for the income tax effects of the Tax Act in the year ended December 31, 2018, in accordance with the U.S. Securities and Exchange Commission Staff Accounting Bulletin No. 118.</w:t>
      </w:r>
    </w:p>
    <w:p>
      <w:pPr>
        <w:spacing w:after="0" w:line="125" w:lineRule="exact"/>
        <w:rPr>
          <w:sz w:val="20"/>
          <w:szCs w:val="20"/>
          <w:color w:val="auto"/>
        </w:rPr>
      </w:pPr>
    </w:p>
    <w:p>
      <w:pPr>
        <w:ind w:left="600"/>
        <w:spacing w:after="0"/>
        <w:rPr>
          <w:sz w:val="20"/>
          <w:szCs w:val="20"/>
          <w:color w:val="auto"/>
        </w:rPr>
      </w:pPr>
      <w:r>
        <w:rPr>
          <w:rFonts w:ascii="Arial" w:cs="Arial" w:eastAsia="Arial" w:hAnsi="Arial"/>
          <w:sz w:val="12"/>
          <w:szCs w:val="12"/>
          <w:color w:val="auto"/>
        </w:rPr>
        <w:t>The income (loss) before income tax provision (benefit) consisted of:</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40" w:type="dxa"/>
            <w:vAlign w:val="bottom"/>
          </w:tcPr>
          <w:p>
            <w:pPr>
              <w:spacing w:after="0"/>
              <w:rPr>
                <w:sz w:val="10"/>
                <w:szCs w:val="10"/>
                <w:color w:val="auto"/>
              </w:rPr>
            </w:pPr>
          </w:p>
        </w:tc>
        <w:tc>
          <w:tcPr>
            <w:tcW w:w="43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320" w:type="dxa"/>
            <w:vAlign w:val="bottom"/>
            <w:gridSpan w:val="2"/>
          </w:tcPr>
          <w:p>
            <w:pPr>
              <w:jc w:val="right"/>
              <w:ind w:right="800"/>
              <w:spacing w:after="0"/>
              <w:rPr>
                <w:sz w:val="20"/>
                <w:szCs w:val="20"/>
                <w:color w:val="auto"/>
              </w:rPr>
            </w:pPr>
            <w:r>
              <w:rPr>
                <w:rFonts w:ascii="Arial" w:cs="Arial" w:eastAsia="Arial" w:hAnsi="Arial"/>
                <w:sz w:val="10"/>
                <w:szCs w:val="10"/>
                <w:b w:val="1"/>
                <w:bCs w:val="1"/>
                <w:color w:val="auto"/>
                <w:w w:val="98"/>
              </w:rPr>
              <w:t>Successor</w:t>
            </w:r>
          </w:p>
        </w:tc>
        <w:tc>
          <w:tcPr>
            <w:tcW w:w="2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20" w:type="dxa"/>
            <w:vAlign w:val="bottom"/>
          </w:tcPr>
          <w:p>
            <w:pPr>
              <w:jc w:val="center"/>
              <w:ind w:right="228"/>
              <w:spacing w:after="0"/>
              <w:rPr>
                <w:sz w:val="20"/>
                <w:szCs w:val="20"/>
                <w:color w:val="auto"/>
              </w:rPr>
            </w:pPr>
            <w:r>
              <w:rPr>
                <w:rFonts w:ascii="Arial" w:cs="Arial" w:eastAsia="Arial" w:hAnsi="Arial"/>
                <w:sz w:val="10"/>
                <w:szCs w:val="10"/>
                <w:b w:val="1"/>
                <w:bCs w:val="1"/>
                <w:color w:val="auto"/>
                <w:w w:val="83"/>
              </w:rPr>
              <w:t>Predecessor</w:t>
            </w:r>
          </w:p>
        </w:tc>
        <w:tc>
          <w:tcPr>
            <w:tcW w:w="0" w:type="dxa"/>
            <w:vAlign w:val="bottom"/>
          </w:tcPr>
          <w:p>
            <w:pPr>
              <w:spacing w:after="0"/>
              <w:rPr>
                <w:sz w:val="1"/>
                <w:szCs w:val="1"/>
                <w:color w:val="auto"/>
              </w:rPr>
            </w:pPr>
          </w:p>
        </w:tc>
      </w:tr>
      <w:tr>
        <w:trPr>
          <w:trHeight w:val="83"/>
        </w:trPr>
        <w:tc>
          <w:tcPr>
            <w:tcW w:w="640" w:type="dxa"/>
            <w:vAlign w:val="bottom"/>
          </w:tcPr>
          <w:p>
            <w:pPr>
              <w:spacing w:after="0"/>
              <w:rPr>
                <w:sz w:val="7"/>
                <w:szCs w:val="7"/>
                <w:color w:val="auto"/>
              </w:rPr>
            </w:pPr>
          </w:p>
        </w:tc>
        <w:tc>
          <w:tcPr>
            <w:tcW w:w="4360" w:type="dxa"/>
            <w:vAlign w:val="bottom"/>
          </w:tcPr>
          <w:p>
            <w:pPr>
              <w:spacing w:after="0"/>
              <w:rPr>
                <w:sz w:val="7"/>
                <w:szCs w:val="7"/>
                <w:color w:val="auto"/>
              </w:rPr>
            </w:pPr>
          </w:p>
        </w:tc>
        <w:tc>
          <w:tcPr>
            <w:tcW w:w="320" w:type="dxa"/>
            <w:vAlign w:val="bottom"/>
            <w:tcBorders>
              <w:top w:val="single" w:sz="8" w:color="auto"/>
            </w:tcBorders>
          </w:tcPr>
          <w:p>
            <w:pPr>
              <w:spacing w:after="0"/>
              <w:rPr>
                <w:sz w:val="7"/>
                <w:szCs w:val="7"/>
                <w:color w:val="auto"/>
              </w:rPr>
            </w:pPr>
          </w:p>
        </w:tc>
        <w:tc>
          <w:tcPr>
            <w:tcW w:w="1060" w:type="dxa"/>
            <w:vAlign w:val="bottom"/>
            <w:tcBorders>
              <w:top w:val="single" w:sz="8" w:color="auto"/>
            </w:tcBorders>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360" w:type="dxa"/>
            <w:vAlign w:val="bottom"/>
            <w:tcBorders>
              <w:top w:val="single" w:sz="8" w:color="auto"/>
            </w:tcBorders>
          </w:tcPr>
          <w:p>
            <w:pPr>
              <w:spacing w:after="0"/>
              <w:rPr>
                <w:sz w:val="7"/>
                <w:szCs w:val="7"/>
                <w:color w:val="auto"/>
              </w:rPr>
            </w:pPr>
          </w:p>
        </w:tc>
        <w:tc>
          <w:tcPr>
            <w:tcW w:w="1020" w:type="dxa"/>
            <w:vAlign w:val="bottom"/>
            <w:tcBorders>
              <w:top w:val="single" w:sz="8" w:color="auto"/>
            </w:tcBorders>
          </w:tcPr>
          <w:p>
            <w:pPr>
              <w:spacing w:after="0"/>
              <w:rPr>
                <w:sz w:val="7"/>
                <w:szCs w:val="7"/>
                <w:color w:val="auto"/>
              </w:rPr>
            </w:pPr>
          </w:p>
        </w:tc>
        <w:tc>
          <w:tcPr>
            <w:tcW w:w="300" w:type="dxa"/>
            <w:vAlign w:val="bottom"/>
            <w:tcBorders>
              <w:top w:val="single" w:sz="8" w:color="auto"/>
            </w:tcBorders>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1160" w:type="dxa"/>
            <w:vAlign w:val="bottom"/>
            <w:tcBorders>
              <w:top w:val="single" w:sz="8" w:color="auto"/>
            </w:tcBorders>
          </w:tcPr>
          <w:p>
            <w:pPr>
              <w:jc w:val="center"/>
              <w:ind w:right="168"/>
              <w:spacing w:after="0" w:line="83" w:lineRule="exact"/>
              <w:rPr>
                <w:sz w:val="20"/>
                <w:szCs w:val="20"/>
                <w:color w:val="auto"/>
              </w:rPr>
            </w:pPr>
            <w:r>
              <w:rPr>
                <w:rFonts w:ascii="Arial" w:cs="Arial" w:eastAsia="Arial" w:hAnsi="Arial"/>
                <w:sz w:val="8"/>
                <w:szCs w:val="8"/>
                <w:b w:val="1"/>
                <w:bCs w:val="1"/>
                <w:color w:val="auto"/>
              </w:rPr>
              <w:t>Period from</w:t>
            </w:r>
          </w:p>
        </w:tc>
        <w:tc>
          <w:tcPr>
            <w:tcW w:w="240" w:type="dxa"/>
            <w:vAlign w:val="bottom"/>
            <w:tcBorders>
              <w:righ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1220" w:type="dxa"/>
            <w:vAlign w:val="bottom"/>
            <w:tcBorders>
              <w:top w:val="single" w:sz="8" w:color="auto"/>
            </w:tcBorders>
          </w:tcPr>
          <w:p>
            <w:pPr>
              <w:jc w:val="center"/>
              <w:ind w:right="228"/>
              <w:spacing w:after="0" w:line="83" w:lineRule="exact"/>
              <w:rPr>
                <w:sz w:val="20"/>
                <w:szCs w:val="20"/>
                <w:color w:val="auto"/>
              </w:rPr>
            </w:pPr>
            <w:r>
              <w:rPr>
                <w:rFonts w:ascii="Arial" w:cs="Arial" w:eastAsia="Arial" w:hAnsi="Arial"/>
                <w:sz w:val="8"/>
                <w:szCs w:val="8"/>
                <w:b w:val="1"/>
                <w:bCs w:val="1"/>
                <w:color w:val="auto"/>
              </w:rPr>
              <w:t>Period from</w:t>
            </w:r>
          </w:p>
        </w:tc>
        <w:tc>
          <w:tcPr>
            <w:tcW w:w="0" w:type="dxa"/>
            <w:vAlign w:val="bottom"/>
          </w:tcPr>
          <w:p>
            <w:pPr>
              <w:spacing w:after="0"/>
              <w:rPr>
                <w:sz w:val="1"/>
                <w:szCs w:val="1"/>
                <w:color w:val="auto"/>
              </w:rPr>
            </w:pPr>
          </w:p>
        </w:tc>
      </w:tr>
      <w:tr>
        <w:trPr>
          <w:trHeight w:val="99"/>
        </w:trPr>
        <w:tc>
          <w:tcPr>
            <w:tcW w:w="640" w:type="dxa"/>
            <w:vAlign w:val="bottom"/>
          </w:tcPr>
          <w:p>
            <w:pPr>
              <w:spacing w:after="0"/>
              <w:rPr>
                <w:sz w:val="8"/>
                <w:szCs w:val="8"/>
                <w:color w:val="auto"/>
              </w:rPr>
            </w:pPr>
          </w:p>
        </w:tc>
        <w:tc>
          <w:tcPr>
            <w:tcW w:w="4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720" w:type="dxa"/>
            <w:vAlign w:val="bottom"/>
            <w:gridSpan w:val="4"/>
          </w:tcPr>
          <w:p>
            <w:pPr>
              <w:jc w:val="right"/>
              <w:ind w:right="100"/>
              <w:spacing w:after="0" w:line="99" w:lineRule="exact"/>
              <w:rPr>
                <w:sz w:val="20"/>
                <w:szCs w:val="20"/>
                <w:color w:val="auto"/>
              </w:rPr>
            </w:pPr>
            <w:r>
              <w:rPr>
                <w:rFonts w:ascii="Arial" w:cs="Arial" w:eastAsia="Arial" w:hAnsi="Arial"/>
                <w:sz w:val="10"/>
                <w:szCs w:val="10"/>
                <w:b w:val="1"/>
                <w:bCs w:val="1"/>
                <w:color w:val="auto"/>
              </w:rPr>
              <w:t>For the Year Ended</w:t>
            </w:r>
          </w:p>
        </w:tc>
        <w:tc>
          <w:tcPr>
            <w:tcW w:w="10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0" w:type="dxa"/>
            <w:vAlign w:val="bottom"/>
            <w:tcBorders>
              <w:right w:val="single" w:sz="8" w:color="auto"/>
            </w:tcBorders>
            <w:gridSpan w:val="2"/>
          </w:tcPr>
          <w:p>
            <w:pPr>
              <w:jc w:val="center"/>
              <w:ind w:right="460"/>
              <w:spacing w:after="0" w:line="99" w:lineRule="exact"/>
              <w:rPr>
                <w:sz w:val="20"/>
                <w:szCs w:val="20"/>
                <w:color w:val="auto"/>
              </w:rPr>
            </w:pPr>
            <w:r>
              <w:rPr>
                <w:rFonts w:ascii="Arial" w:cs="Arial" w:eastAsia="Arial" w:hAnsi="Arial"/>
                <w:sz w:val="10"/>
                <w:szCs w:val="10"/>
                <w:b w:val="1"/>
                <w:bCs w:val="1"/>
                <w:color w:val="auto"/>
                <w:w w:val="86"/>
              </w:rPr>
              <w:t>June 1, 2017 to</w:t>
            </w: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20" w:type="dxa"/>
            <w:vAlign w:val="bottom"/>
          </w:tcPr>
          <w:p>
            <w:pPr>
              <w:jc w:val="center"/>
              <w:ind w:right="228"/>
              <w:spacing w:after="0" w:line="99" w:lineRule="exact"/>
              <w:rPr>
                <w:sz w:val="20"/>
                <w:szCs w:val="20"/>
                <w:color w:val="auto"/>
              </w:rPr>
            </w:pPr>
            <w:r>
              <w:rPr>
                <w:rFonts w:ascii="Arial" w:cs="Arial" w:eastAsia="Arial" w:hAnsi="Arial"/>
                <w:sz w:val="10"/>
                <w:szCs w:val="10"/>
                <w:b w:val="1"/>
                <w:bCs w:val="1"/>
                <w:color w:val="auto"/>
                <w:w w:val="88"/>
              </w:rPr>
              <w:t>January 1, 2017</w:t>
            </w:r>
          </w:p>
        </w:tc>
        <w:tc>
          <w:tcPr>
            <w:tcW w:w="0" w:type="dxa"/>
            <w:vAlign w:val="bottom"/>
          </w:tcPr>
          <w:p>
            <w:pPr>
              <w:spacing w:after="0"/>
              <w:rPr>
                <w:sz w:val="1"/>
                <w:szCs w:val="1"/>
                <w:color w:val="auto"/>
              </w:rPr>
            </w:pPr>
          </w:p>
        </w:tc>
      </w:tr>
      <w:tr>
        <w:trPr>
          <w:trHeight w:val="114"/>
        </w:trPr>
        <w:tc>
          <w:tcPr>
            <w:tcW w:w="640" w:type="dxa"/>
            <w:vAlign w:val="bottom"/>
          </w:tcPr>
          <w:p>
            <w:pPr>
              <w:spacing w:after="0"/>
              <w:rPr>
                <w:sz w:val="9"/>
                <w:szCs w:val="9"/>
                <w:color w:val="auto"/>
              </w:rPr>
            </w:pPr>
          </w:p>
        </w:tc>
        <w:tc>
          <w:tcPr>
            <w:tcW w:w="4360" w:type="dxa"/>
            <w:vAlign w:val="bottom"/>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720" w:type="dxa"/>
            <w:vAlign w:val="bottom"/>
            <w:tcBorders>
              <w:bottom w:val="single" w:sz="8" w:color="auto"/>
            </w:tcBorders>
            <w:gridSpan w:val="4"/>
          </w:tcPr>
          <w:p>
            <w:pPr>
              <w:jc w:val="right"/>
              <w:ind w:right="240"/>
              <w:spacing w:after="0" w:line="114" w:lineRule="exact"/>
              <w:rPr>
                <w:sz w:val="20"/>
                <w:szCs w:val="20"/>
                <w:color w:val="auto"/>
              </w:rPr>
            </w:pPr>
            <w:r>
              <w:rPr>
                <w:rFonts w:ascii="Arial" w:cs="Arial" w:eastAsia="Arial" w:hAnsi="Arial"/>
                <w:sz w:val="10"/>
                <w:szCs w:val="10"/>
                <w:b w:val="1"/>
                <w:bCs w:val="1"/>
                <w:color w:val="auto"/>
              </w:rPr>
              <w:t>December 31,</w:t>
            </w:r>
          </w:p>
        </w:tc>
        <w:tc>
          <w:tcPr>
            <w:tcW w:w="102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0" w:type="dxa"/>
            <w:vAlign w:val="bottom"/>
            <w:tcBorders>
              <w:right w:val="single" w:sz="8" w:color="auto"/>
            </w:tcBorders>
            <w:gridSpan w:val="2"/>
          </w:tcPr>
          <w:p>
            <w:pPr>
              <w:jc w:val="center"/>
              <w:ind w:right="440"/>
              <w:spacing w:after="0" w:line="114" w:lineRule="exact"/>
              <w:rPr>
                <w:sz w:val="20"/>
                <w:szCs w:val="20"/>
                <w:color w:val="auto"/>
              </w:rPr>
            </w:pPr>
            <w:r>
              <w:rPr>
                <w:rFonts w:ascii="Arial" w:cs="Arial" w:eastAsia="Arial" w:hAnsi="Arial"/>
                <w:sz w:val="10"/>
                <w:szCs w:val="10"/>
                <w:b w:val="1"/>
                <w:bCs w:val="1"/>
                <w:color w:val="auto"/>
                <w:w w:val="86"/>
              </w:rPr>
              <w:t>December 31,</w:t>
            </w: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20" w:type="dxa"/>
            <w:vAlign w:val="bottom"/>
          </w:tcPr>
          <w:p>
            <w:pPr>
              <w:jc w:val="center"/>
              <w:ind w:right="208"/>
              <w:spacing w:after="0" w:line="114" w:lineRule="exact"/>
              <w:rPr>
                <w:sz w:val="20"/>
                <w:szCs w:val="20"/>
                <w:color w:val="auto"/>
              </w:rPr>
            </w:pPr>
            <w:r>
              <w:rPr>
                <w:rFonts w:ascii="Arial" w:cs="Arial" w:eastAsia="Arial" w:hAnsi="Arial"/>
                <w:sz w:val="10"/>
                <w:szCs w:val="10"/>
                <w:b w:val="1"/>
                <w:bCs w:val="1"/>
                <w:color w:val="auto"/>
                <w:w w:val="90"/>
              </w:rPr>
              <w:t>to May 31,</w:t>
            </w:r>
          </w:p>
        </w:tc>
        <w:tc>
          <w:tcPr>
            <w:tcW w:w="0" w:type="dxa"/>
            <w:vAlign w:val="bottom"/>
          </w:tcPr>
          <w:p>
            <w:pPr>
              <w:spacing w:after="0"/>
              <w:rPr>
                <w:sz w:val="1"/>
                <w:szCs w:val="1"/>
                <w:color w:val="auto"/>
              </w:rPr>
            </w:pPr>
          </w:p>
        </w:tc>
      </w:tr>
      <w:tr>
        <w:trPr>
          <w:trHeight w:val="88"/>
        </w:trPr>
        <w:tc>
          <w:tcPr>
            <w:tcW w:w="5000" w:type="dxa"/>
            <w:vAlign w:val="bottom"/>
            <w:gridSpan w:val="2"/>
          </w:tcPr>
          <w:p>
            <w:pPr>
              <w:spacing w:after="0" w:line="88" w:lineRule="exact"/>
              <w:rPr>
                <w:sz w:val="20"/>
                <w:szCs w:val="20"/>
                <w:color w:val="auto"/>
              </w:rPr>
            </w:pPr>
            <w:r>
              <w:rPr>
                <w:rFonts w:ascii="Arial" w:cs="Arial" w:eastAsia="Arial" w:hAnsi="Arial"/>
                <w:sz w:val="10"/>
                <w:szCs w:val="10"/>
                <w:b w:val="1"/>
                <w:bCs w:val="1"/>
                <w:u w:val="single" w:color="auto"/>
                <w:color w:val="auto"/>
              </w:rPr>
              <w:t>(</w:t>
            </w:r>
            <w:r>
              <w:rPr>
                <w:rFonts w:ascii="Arial" w:cs="Arial" w:eastAsia="Arial" w:hAnsi="Arial"/>
                <w:sz w:val="10"/>
                <w:szCs w:val="10"/>
                <w:b w:val="1"/>
                <w:bCs w:val="1"/>
                <w:color w:val="auto"/>
              </w:rPr>
              <w:t>$ in thousands)</w:t>
            </w:r>
          </w:p>
        </w:tc>
        <w:tc>
          <w:tcPr>
            <w:tcW w:w="320" w:type="dxa"/>
            <w:vAlign w:val="bottom"/>
          </w:tcPr>
          <w:p>
            <w:pPr>
              <w:spacing w:after="0"/>
              <w:rPr>
                <w:sz w:val="7"/>
                <w:szCs w:val="7"/>
                <w:color w:val="auto"/>
              </w:rPr>
            </w:pPr>
          </w:p>
        </w:tc>
        <w:tc>
          <w:tcPr>
            <w:tcW w:w="1060" w:type="dxa"/>
            <w:vAlign w:val="bottom"/>
          </w:tcPr>
          <w:p>
            <w:pPr>
              <w:jc w:val="right"/>
              <w:ind w:right="545"/>
              <w:spacing w:after="0" w:line="88" w:lineRule="exact"/>
              <w:rPr>
                <w:sz w:val="20"/>
                <w:szCs w:val="20"/>
                <w:color w:val="auto"/>
              </w:rPr>
            </w:pPr>
            <w:r>
              <w:rPr>
                <w:rFonts w:ascii="Arial" w:cs="Arial" w:eastAsia="Arial" w:hAnsi="Arial"/>
                <w:sz w:val="10"/>
                <w:szCs w:val="10"/>
                <w:b w:val="1"/>
                <w:bCs w:val="1"/>
                <w:color w:val="auto"/>
              </w:rPr>
              <w:t>2019</w:t>
            </w: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20" w:type="dxa"/>
            <w:vAlign w:val="bottom"/>
          </w:tcPr>
          <w:p>
            <w:pPr>
              <w:jc w:val="right"/>
              <w:ind w:right="545"/>
              <w:spacing w:after="0" w:line="88" w:lineRule="exact"/>
              <w:rPr>
                <w:sz w:val="20"/>
                <w:szCs w:val="20"/>
                <w:color w:val="auto"/>
              </w:rPr>
            </w:pPr>
            <w:r>
              <w:rPr>
                <w:rFonts w:ascii="Arial" w:cs="Arial" w:eastAsia="Arial" w:hAnsi="Arial"/>
                <w:sz w:val="10"/>
                <w:szCs w:val="10"/>
                <w:b w:val="1"/>
                <w:bCs w:val="1"/>
                <w:color w:val="auto"/>
              </w:rPr>
              <w:t>2018</w:t>
            </w:r>
          </w:p>
        </w:tc>
        <w:tc>
          <w:tcPr>
            <w:tcW w:w="3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160" w:type="dxa"/>
            <w:vAlign w:val="bottom"/>
          </w:tcPr>
          <w:p>
            <w:pPr>
              <w:jc w:val="center"/>
              <w:ind w:right="148"/>
              <w:spacing w:after="0" w:line="88" w:lineRule="exact"/>
              <w:rPr>
                <w:sz w:val="20"/>
                <w:szCs w:val="20"/>
                <w:color w:val="auto"/>
              </w:rPr>
            </w:pPr>
            <w:r>
              <w:rPr>
                <w:rFonts w:ascii="Arial" w:cs="Arial" w:eastAsia="Arial" w:hAnsi="Arial"/>
                <w:sz w:val="10"/>
                <w:szCs w:val="10"/>
                <w:b w:val="1"/>
                <w:bCs w:val="1"/>
                <w:color w:val="auto"/>
                <w:w w:val="89"/>
              </w:rPr>
              <w:t>2017</w:t>
            </w:r>
          </w:p>
        </w:tc>
        <w:tc>
          <w:tcPr>
            <w:tcW w:w="240" w:type="dxa"/>
            <w:vAlign w:val="bottom"/>
            <w:tcBorders>
              <w:righ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20" w:type="dxa"/>
            <w:vAlign w:val="bottom"/>
          </w:tcPr>
          <w:p>
            <w:pPr>
              <w:jc w:val="center"/>
              <w:ind w:right="228"/>
              <w:spacing w:after="0" w:line="88" w:lineRule="exact"/>
              <w:rPr>
                <w:sz w:val="20"/>
                <w:szCs w:val="20"/>
                <w:color w:val="auto"/>
              </w:rPr>
            </w:pPr>
            <w:r>
              <w:rPr>
                <w:rFonts w:ascii="Arial" w:cs="Arial" w:eastAsia="Arial" w:hAnsi="Arial"/>
                <w:sz w:val="10"/>
                <w:szCs w:val="10"/>
                <w:b w:val="1"/>
                <w:bCs w:val="1"/>
                <w:color w:val="auto"/>
                <w:w w:val="80"/>
              </w:rPr>
              <w:t>2017</w:t>
            </w:r>
          </w:p>
        </w:tc>
        <w:tc>
          <w:tcPr>
            <w:tcW w:w="0" w:type="dxa"/>
            <w:vAlign w:val="bottom"/>
          </w:tcPr>
          <w:p>
            <w:pPr>
              <w:spacing w:after="0"/>
              <w:rPr>
                <w:sz w:val="1"/>
                <w:szCs w:val="1"/>
                <w:color w:val="auto"/>
              </w:rPr>
            </w:pPr>
          </w:p>
        </w:tc>
      </w:tr>
      <w:tr>
        <w:trPr>
          <w:trHeight w:val="20"/>
        </w:trPr>
        <w:tc>
          <w:tcPr>
            <w:tcW w:w="640" w:type="dxa"/>
            <w:vAlign w:val="bottom"/>
            <w:tcBorders>
              <w:top w:val="single" w:sz="8" w:color="auto"/>
            </w:tcBorders>
            <w:vMerge w:val="restart"/>
            <w:shd w:val="clear" w:color="auto" w:fill="CFF0FC"/>
          </w:tcPr>
          <w:p>
            <w:pPr>
              <w:spacing w:after="0"/>
              <w:rPr>
                <w:sz w:val="20"/>
                <w:szCs w:val="20"/>
                <w:color w:val="auto"/>
              </w:rPr>
            </w:pPr>
            <w:r>
              <w:rPr>
                <w:rFonts w:ascii="Arial" w:cs="Arial" w:eastAsia="Arial" w:hAnsi="Arial"/>
                <w:sz w:val="12"/>
                <w:szCs w:val="12"/>
                <w:color w:val="auto"/>
              </w:rPr>
              <w:t>U.S.</w:t>
            </w:r>
          </w:p>
        </w:tc>
        <w:tc>
          <w:tcPr>
            <w:tcW w:w="4360" w:type="dxa"/>
            <w:vAlign w:val="bottom"/>
            <w:vMerge w:val="restart"/>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20" w:type="dxa"/>
            <w:vAlign w:val="bottom"/>
            <w:tcBorders>
              <w:right w:val="single" w:sz="8" w:color="CFF0FC"/>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640" w:type="dxa"/>
            <w:vAlign w:val="bottom"/>
            <w:vMerge w:val="continue"/>
            <w:shd w:val="clear" w:color="auto" w:fill="CFF0FC"/>
          </w:tcPr>
          <w:p>
            <w:pPr>
              <w:spacing w:after="0"/>
              <w:rPr>
                <w:sz w:val="11"/>
                <w:szCs w:val="11"/>
                <w:color w:val="auto"/>
              </w:rPr>
            </w:pPr>
          </w:p>
        </w:tc>
        <w:tc>
          <w:tcPr>
            <w:tcW w:w="4360" w:type="dxa"/>
            <w:vAlign w:val="bottom"/>
            <w:vMerge w:val="continue"/>
            <w:shd w:val="clear" w:color="auto" w:fill="CFF0FC"/>
          </w:tcPr>
          <w:p>
            <w:pPr>
              <w:spacing w:after="0"/>
              <w:rPr>
                <w:sz w:val="11"/>
                <w:szCs w:val="11"/>
                <w:color w:val="auto"/>
              </w:rPr>
            </w:pPr>
          </w:p>
        </w:tc>
        <w:tc>
          <w:tcPr>
            <w:tcW w:w="320" w:type="dxa"/>
            <w:vAlign w:val="bottom"/>
            <w:shd w:val="clear" w:color="auto" w:fill="CFF0FC"/>
          </w:tcPr>
          <w:p>
            <w:pPr>
              <w:jc w:val="right"/>
              <w:ind w:right="210"/>
              <w:spacing w:after="0"/>
              <w:rPr>
                <w:sz w:val="20"/>
                <w:szCs w:val="20"/>
                <w:color w:val="auto"/>
              </w:rPr>
            </w:pPr>
            <w:r>
              <w:rPr>
                <w:rFonts w:ascii="Arial" w:cs="Arial" w:eastAsia="Arial" w:hAnsi="Arial"/>
                <w:sz w:val="10"/>
                <w:szCs w:val="10"/>
                <w:color w:val="auto"/>
                <w:w w:val="71"/>
              </w:rPr>
              <w:t>$</w:t>
            </w:r>
          </w:p>
        </w:tc>
        <w:tc>
          <w:tcPr>
            <w:tcW w:w="1060" w:type="dxa"/>
            <w:vAlign w:val="bottom"/>
            <w:shd w:val="clear" w:color="auto" w:fill="CFF0FC"/>
          </w:tcPr>
          <w:p>
            <w:pPr>
              <w:jc w:val="right"/>
              <w:spacing w:after="0" w:line="132" w:lineRule="exact"/>
              <w:rPr>
                <w:sz w:val="20"/>
                <w:szCs w:val="20"/>
                <w:color w:val="auto"/>
              </w:rPr>
            </w:pPr>
            <w:r>
              <w:rPr>
                <w:rFonts w:ascii="Arial" w:cs="Arial" w:eastAsia="Arial" w:hAnsi="Arial"/>
                <w:sz w:val="12"/>
                <w:szCs w:val="12"/>
                <w:color w:val="auto"/>
              </w:rPr>
              <w:t>49,922</w:t>
            </w:r>
          </w:p>
        </w:tc>
        <w:tc>
          <w:tcPr>
            <w:tcW w:w="180" w:type="dxa"/>
            <w:vAlign w:val="bottom"/>
            <w:shd w:val="clear" w:color="auto" w:fill="CFF0FC"/>
          </w:tcPr>
          <w:p>
            <w:pPr>
              <w:spacing w:after="0"/>
              <w:rPr>
                <w:sz w:val="11"/>
                <w:szCs w:val="11"/>
                <w:color w:val="auto"/>
              </w:rPr>
            </w:pPr>
          </w:p>
        </w:tc>
        <w:tc>
          <w:tcPr>
            <w:tcW w:w="480" w:type="dxa"/>
            <w:vAlign w:val="bottom"/>
            <w:gridSpan w:val="2"/>
            <w:shd w:val="clear" w:color="auto" w:fill="CFF0FC"/>
          </w:tcPr>
          <w:p>
            <w:pPr>
              <w:jc w:val="right"/>
              <w:ind w:right="300"/>
              <w:spacing w:after="0" w:line="132" w:lineRule="exact"/>
              <w:rPr>
                <w:sz w:val="20"/>
                <w:szCs w:val="20"/>
                <w:color w:val="auto"/>
              </w:rPr>
            </w:pPr>
            <w:r>
              <w:rPr>
                <w:rFonts w:ascii="Arial" w:cs="Arial" w:eastAsia="Arial" w:hAnsi="Arial"/>
                <w:sz w:val="12"/>
                <w:szCs w:val="12"/>
                <w:color w:val="auto"/>
              </w:rPr>
              <w:t>$</w:t>
            </w:r>
          </w:p>
        </w:tc>
        <w:tc>
          <w:tcPr>
            <w:tcW w:w="1320" w:type="dxa"/>
            <w:vAlign w:val="bottom"/>
            <w:gridSpan w:val="2"/>
            <w:shd w:val="clear" w:color="auto" w:fill="CFF0FC"/>
          </w:tcPr>
          <w:p>
            <w:pPr>
              <w:jc w:val="right"/>
              <w:ind w:right="260"/>
              <w:spacing w:after="0" w:line="132" w:lineRule="exact"/>
              <w:rPr>
                <w:sz w:val="20"/>
                <w:szCs w:val="20"/>
                <w:color w:val="auto"/>
              </w:rPr>
            </w:pPr>
            <w:r>
              <w:rPr>
                <w:rFonts w:ascii="Arial" w:cs="Arial" w:eastAsia="Arial" w:hAnsi="Arial"/>
                <w:sz w:val="12"/>
                <w:szCs w:val="12"/>
                <w:color w:val="auto"/>
              </w:rPr>
              <w:t>(75,283)</w:t>
            </w:r>
          </w:p>
        </w:tc>
        <w:tc>
          <w:tcPr>
            <w:tcW w:w="200" w:type="dxa"/>
            <w:vAlign w:val="bottom"/>
            <w:shd w:val="clear" w:color="auto" w:fill="CFF0FC"/>
          </w:tcPr>
          <w:p>
            <w:pPr>
              <w:jc w:val="right"/>
              <w:ind w:right="90"/>
              <w:spacing w:after="0"/>
              <w:rPr>
                <w:sz w:val="20"/>
                <w:szCs w:val="20"/>
                <w:color w:val="auto"/>
              </w:rPr>
            </w:pPr>
            <w:r>
              <w:rPr>
                <w:rFonts w:ascii="Arial" w:cs="Arial" w:eastAsia="Arial" w:hAnsi="Arial"/>
                <w:sz w:val="10"/>
                <w:szCs w:val="10"/>
                <w:color w:val="auto"/>
                <w:w w:val="71"/>
              </w:rPr>
              <w:t>$</w:t>
            </w:r>
          </w:p>
        </w:tc>
        <w:tc>
          <w:tcPr>
            <w:tcW w:w="1400" w:type="dxa"/>
            <w:vAlign w:val="bottom"/>
            <w:tcBorders>
              <w:right w:val="single" w:sz="8" w:color="auto"/>
            </w:tcBorders>
            <w:gridSpan w:val="2"/>
            <w:shd w:val="clear" w:color="auto" w:fill="CFF0FC"/>
          </w:tcPr>
          <w:p>
            <w:pPr>
              <w:jc w:val="right"/>
              <w:ind w:right="200"/>
              <w:spacing w:after="0" w:line="132" w:lineRule="exact"/>
              <w:rPr>
                <w:sz w:val="20"/>
                <w:szCs w:val="20"/>
                <w:color w:val="auto"/>
              </w:rPr>
            </w:pPr>
            <w:r>
              <w:rPr>
                <w:rFonts w:ascii="Arial" w:cs="Arial" w:eastAsia="Arial" w:hAnsi="Arial"/>
                <w:sz w:val="12"/>
                <w:szCs w:val="12"/>
                <w:color w:val="auto"/>
              </w:rPr>
              <w:t>(12,439)</w:t>
            </w:r>
          </w:p>
        </w:tc>
        <w:tc>
          <w:tcPr>
            <w:tcW w:w="300" w:type="dxa"/>
            <w:vAlign w:val="bottom"/>
            <w:gridSpan w:val="2"/>
            <w:shd w:val="clear" w:color="auto" w:fill="CFF0FC"/>
          </w:tcPr>
          <w:p>
            <w:pPr>
              <w:jc w:val="right"/>
              <w:ind w:right="140"/>
              <w:spacing w:after="0" w:line="132" w:lineRule="exact"/>
              <w:rPr>
                <w:sz w:val="20"/>
                <w:szCs w:val="20"/>
                <w:color w:val="auto"/>
              </w:rPr>
            </w:pPr>
            <w:r>
              <w:rPr>
                <w:rFonts w:ascii="Arial" w:cs="Arial" w:eastAsia="Arial" w:hAnsi="Arial"/>
                <w:sz w:val="12"/>
                <w:szCs w:val="12"/>
                <w:color w:val="auto"/>
              </w:rPr>
              <w:t>$</w:t>
            </w:r>
          </w:p>
        </w:tc>
        <w:tc>
          <w:tcPr>
            <w:tcW w:w="1220" w:type="dxa"/>
            <w:vAlign w:val="bottom"/>
            <w:tcBorders>
              <w:right w:val="single" w:sz="8" w:color="CFF0FC"/>
            </w:tcBorders>
            <w:shd w:val="clear" w:color="auto" w:fill="CFF0FC"/>
          </w:tcPr>
          <w:p>
            <w:pPr>
              <w:jc w:val="right"/>
              <w:ind w:right="8"/>
              <w:spacing w:after="0" w:line="132" w:lineRule="exact"/>
              <w:rPr>
                <w:sz w:val="20"/>
                <w:szCs w:val="20"/>
                <w:color w:val="auto"/>
              </w:rPr>
            </w:pPr>
            <w:r>
              <w:rPr>
                <w:rFonts w:ascii="Arial" w:cs="Arial" w:eastAsia="Arial" w:hAnsi="Arial"/>
                <w:sz w:val="12"/>
                <w:szCs w:val="12"/>
                <w:color w:val="auto"/>
              </w:rPr>
              <w:t>2,492</w:t>
            </w:r>
          </w:p>
        </w:tc>
        <w:tc>
          <w:tcPr>
            <w:tcW w:w="0" w:type="dxa"/>
            <w:vAlign w:val="bottom"/>
          </w:tcPr>
          <w:p>
            <w:pPr>
              <w:spacing w:after="0"/>
              <w:rPr>
                <w:sz w:val="1"/>
                <w:szCs w:val="1"/>
                <w:color w:val="auto"/>
              </w:rPr>
            </w:pPr>
          </w:p>
        </w:tc>
      </w:tr>
      <w:tr>
        <w:trPr>
          <w:trHeight w:val="153"/>
        </w:trPr>
        <w:tc>
          <w:tcPr>
            <w:tcW w:w="5000" w:type="dxa"/>
            <w:vAlign w:val="bottom"/>
            <w:gridSpan w:val="2"/>
          </w:tcPr>
          <w:p>
            <w:pPr>
              <w:spacing w:after="0"/>
              <w:rPr>
                <w:sz w:val="20"/>
                <w:szCs w:val="20"/>
                <w:color w:val="auto"/>
              </w:rPr>
            </w:pPr>
            <w:r>
              <w:rPr>
                <w:rFonts w:ascii="Arial" w:cs="Arial" w:eastAsia="Arial" w:hAnsi="Arial"/>
                <w:sz w:val="12"/>
                <w:szCs w:val="12"/>
                <w:color w:val="auto"/>
              </w:rPr>
              <w:t>Foreign</w:t>
            </w:r>
          </w:p>
        </w:tc>
        <w:tc>
          <w:tcPr>
            <w:tcW w:w="320" w:type="dxa"/>
            <w:vAlign w:val="bottom"/>
          </w:tcPr>
          <w:p>
            <w:pPr>
              <w:spacing w:after="0"/>
              <w:rPr>
                <w:sz w:val="13"/>
                <w:szCs w:val="13"/>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2"/>
                <w:szCs w:val="12"/>
                <w:color w:val="auto"/>
              </w:rPr>
              <w:t>(2,998)</w:t>
            </w: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648</w:t>
            </w: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tcPr>
          <w:p>
            <w:pPr>
              <w:jc w:val="right"/>
              <w:ind w:right="8"/>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
        </w:trPr>
        <w:tc>
          <w:tcPr>
            <w:tcW w:w="5000" w:type="dxa"/>
            <w:vAlign w:val="bottom"/>
            <w:gridSpan w:val="2"/>
            <w:vMerge w:val="restart"/>
            <w:shd w:val="clear" w:color="auto" w:fill="CFF0FC"/>
          </w:tcPr>
          <w:p>
            <w:pPr>
              <w:spacing w:after="0"/>
              <w:rPr>
                <w:sz w:val="20"/>
                <w:szCs w:val="20"/>
                <w:color w:val="auto"/>
              </w:rPr>
            </w:pPr>
            <w:r>
              <w:rPr>
                <w:rFonts w:ascii="Arial" w:cs="Arial" w:eastAsia="Arial" w:hAnsi="Arial"/>
                <w:sz w:val="12"/>
                <w:szCs w:val="12"/>
                <w:color w:val="auto"/>
              </w:rPr>
              <w:t>Total income (loss) before income tax provision (benefit)</w:t>
            </w: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20" w:type="dxa"/>
            <w:vAlign w:val="bottom"/>
            <w:tcBorders>
              <w:right w:val="single" w:sz="8" w:color="CFF0FC"/>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5000" w:type="dxa"/>
            <w:vAlign w:val="bottom"/>
            <w:gridSpan w:val="2"/>
            <w:vMerge w:val="continue"/>
            <w:shd w:val="clear" w:color="auto" w:fill="CFF0FC"/>
          </w:tcPr>
          <w:p>
            <w:pPr>
              <w:spacing w:after="0"/>
              <w:rPr>
                <w:sz w:val="12"/>
                <w:szCs w:val="12"/>
                <w:color w:val="auto"/>
              </w:rPr>
            </w:pPr>
          </w:p>
        </w:tc>
        <w:tc>
          <w:tcPr>
            <w:tcW w:w="320" w:type="dxa"/>
            <w:vAlign w:val="bottom"/>
            <w:shd w:val="clear" w:color="auto" w:fill="CFF0FC"/>
          </w:tcPr>
          <w:p>
            <w:pPr>
              <w:jc w:val="right"/>
              <w:ind w:right="210"/>
              <w:spacing w:after="0"/>
              <w:rPr>
                <w:sz w:val="20"/>
                <w:szCs w:val="20"/>
                <w:color w:val="auto"/>
              </w:rPr>
            </w:pPr>
            <w:r>
              <w:rPr>
                <w:rFonts w:ascii="Arial" w:cs="Arial" w:eastAsia="Arial" w:hAnsi="Arial"/>
                <w:sz w:val="10"/>
                <w:szCs w:val="10"/>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46,924</w:t>
            </w:r>
          </w:p>
        </w:tc>
        <w:tc>
          <w:tcPr>
            <w:tcW w:w="180" w:type="dxa"/>
            <w:vAlign w:val="bottom"/>
            <w:shd w:val="clear" w:color="auto" w:fill="CFF0FC"/>
          </w:tcPr>
          <w:p>
            <w:pPr>
              <w:spacing w:after="0"/>
              <w:rPr>
                <w:sz w:val="12"/>
                <w:szCs w:val="12"/>
                <w:color w:val="auto"/>
              </w:rPr>
            </w:pPr>
          </w:p>
        </w:tc>
        <w:tc>
          <w:tcPr>
            <w:tcW w:w="480" w:type="dxa"/>
            <w:vAlign w:val="bottom"/>
            <w:gridSpan w:val="2"/>
            <w:shd w:val="clear" w:color="auto" w:fill="CFF0FC"/>
          </w:tcPr>
          <w:p>
            <w:pPr>
              <w:jc w:val="right"/>
              <w:ind w:right="300"/>
              <w:spacing w:after="0"/>
              <w:rPr>
                <w:sz w:val="20"/>
                <w:szCs w:val="20"/>
                <w:color w:val="auto"/>
              </w:rPr>
            </w:pPr>
            <w:r>
              <w:rPr>
                <w:rFonts w:ascii="Arial" w:cs="Arial" w:eastAsia="Arial" w:hAnsi="Arial"/>
                <w:sz w:val="12"/>
                <w:szCs w:val="12"/>
                <w:color w:val="auto"/>
              </w:rPr>
              <w:t>$</w:t>
            </w:r>
          </w:p>
        </w:tc>
        <w:tc>
          <w:tcPr>
            <w:tcW w:w="1320" w:type="dxa"/>
            <w:vAlign w:val="bottom"/>
            <w:gridSpan w:val="2"/>
            <w:shd w:val="clear" w:color="auto" w:fill="CFF0FC"/>
          </w:tcPr>
          <w:p>
            <w:pPr>
              <w:jc w:val="right"/>
              <w:ind w:right="260"/>
              <w:spacing w:after="0"/>
              <w:rPr>
                <w:sz w:val="20"/>
                <w:szCs w:val="20"/>
                <w:color w:val="auto"/>
              </w:rPr>
            </w:pPr>
            <w:r>
              <w:rPr>
                <w:rFonts w:ascii="Arial" w:cs="Arial" w:eastAsia="Arial" w:hAnsi="Arial"/>
                <w:sz w:val="12"/>
                <w:szCs w:val="12"/>
                <w:color w:val="auto"/>
              </w:rPr>
              <w:t>(74,635)</w:t>
            </w:r>
          </w:p>
        </w:tc>
        <w:tc>
          <w:tcPr>
            <w:tcW w:w="200" w:type="dxa"/>
            <w:vAlign w:val="bottom"/>
            <w:shd w:val="clear" w:color="auto" w:fill="CFF0FC"/>
          </w:tcPr>
          <w:p>
            <w:pPr>
              <w:jc w:val="right"/>
              <w:ind w:right="90"/>
              <w:spacing w:after="0"/>
              <w:rPr>
                <w:sz w:val="20"/>
                <w:szCs w:val="20"/>
                <w:color w:val="auto"/>
              </w:rPr>
            </w:pPr>
            <w:r>
              <w:rPr>
                <w:rFonts w:ascii="Arial" w:cs="Arial" w:eastAsia="Arial" w:hAnsi="Arial"/>
                <w:sz w:val="10"/>
                <w:szCs w:val="10"/>
                <w:color w:val="auto"/>
                <w:w w:val="71"/>
              </w:rPr>
              <w:t>$</w:t>
            </w:r>
          </w:p>
        </w:tc>
        <w:tc>
          <w:tcPr>
            <w:tcW w:w="1400" w:type="dxa"/>
            <w:vAlign w:val="bottom"/>
            <w:tcBorders>
              <w:right w:val="single" w:sz="8" w:color="auto"/>
            </w:tcBorders>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(12,439)</w:t>
            </w:r>
          </w:p>
        </w:tc>
        <w:tc>
          <w:tcPr>
            <w:tcW w:w="30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w:t>
            </w:r>
          </w:p>
        </w:tc>
        <w:tc>
          <w:tcPr>
            <w:tcW w:w="1220" w:type="dxa"/>
            <w:vAlign w:val="bottom"/>
            <w:tcBorders>
              <w:right w:val="single" w:sz="8" w:color="CFF0FC"/>
            </w:tcBorders>
            <w:shd w:val="clear" w:color="auto" w:fill="CFF0FC"/>
          </w:tcPr>
          <w:p>
            <w:pPr>
              <w:jc w:val="right"/>
              <w:ind w:right="8"/>
              <w:spacing w:after="0"/>
              <w:rPr>
                <w:sz w:val="20"/>
                <w:szCs w:val="20"/>
                <w:color w:val="auto"/>
              </w:rPr>
            </w:pPr>
            <w:r>
              <w:rPr>
                <w:rFonts w:ascii="Arial" w:cs="Arial" w:eastAsia="Arial" w:hAnsi="Arial"/>
                <w:sz w:val="12"/>
                <w:szCs w:val="12"/>
                <w:color w:val="auto"/>
              </w:rPr>
              <w:t>2,492</w:t>
            </w:r>
          </w:p>
        </w:tc>
        <w:tc>
          <w:tcPr>
            <w:tcW w:w="0" w:type="dxa"/>
            <w:vAlign w:val="bottom"/>
          </w:tcPr>
          <w:p>
            <w:pPr>
              <w:spacing w:after="0"/>
              <w:rPr>
                <w:sz w:val="1"/>
                <w:szCs w:val="1"/>
                <w:color w:val="auto"/>
              </w:rPr>
            </w:pPr>
          </w:p>
        </w:tc>
      </w:tr>
      <w:tr>
        <w:trPr>
          <w:trHeight w:val="432"/>
        </w:trPr>
        <w:tc>
          <w:tcPr>
            <w:tcW w:w="640" w:type="dxa"/>
            <w:vAlign w:val="bottom"/>
            <w:tcBorders>
              <w:top w:val="single" w:sz="8" w:color="CFF0FC"/>
            </w:tcBorders>
          </w:tcPr>
          <w:p>
            <w:pPr>
              <w:spacing w:after="0"/>
              <w:rPr>
                <w:sz w:val="24"/>
                <w:szCs w:val="24"/>
                <w:color w:val="auto"/>
              </w:rPr>
            </w:pPr>
          </w:p>
        </w:tc>
        <w:tc>
          <w:tcPr>
            <w:tcW w:w="4360" w:type="dxa"/>
            <w:vAlign w:val="bottom"/>
            <w:tcBorders>
              <w:top w:val="single" w:sz="8" w:color="CFF0FC"/>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jc w:val="right"/>
              <w:ind w:right="525"/>
              <w:spacing w:after="0"/>
              <w:rPr>
                <w:sz w:val="20"/>
                <w:szCs w:val="20"/>
                <w:color w:val="auto"/>
              </w:rPr>
            </w:pPr>
            <w:r>
              <w:rPr>
                <w:rFonts w:ascii="Arial" w:cs="Arial" w:eastAsia="Arial" w:hAnsi="Arial"/>
                <w:sz w:val="12"/>
                <w:szCs w:val="12"/>
                <w:color w:val="auto"/>
              </w:rPr>
              <w:t>93</w:t>
            </w:r>
          </w:p>
        </w:tc>
        <w:tc>
          <w:tcPr>
            <w:tcW w:w="18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300" w:type="dxa"/>
            <w:vAlign w:val="bottom"/>
            <w:tcBorders>
              <w:top w:val="single" w:sz="8" w:color="CFF0FC"/>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640" w:type="dxa"/>
            <w:vAlign w:val="bottom"/>
            <w:tcBorders>
              <w:bottom w:val="single" w:sz="8" w:color="9A9A9A"/>
            </w:tcBorders>
          </w:tcPr>
          <w:p>
            <w:pPr>
              <w:spacing w:after="0"/>
              <w:rPr>
                <w:sz w:val="6"/>
                <w:szCs w:val="6"/>
                <w:color w:val="auto"/>
              </w:rPr>
            </w:pPr>
          </w:p>
        </w:tc>
        <w:tc>
          <w:tcPr>
            <w:tcW w:w="4360" w:type="dxa"/>
            <w:vAlign w:val="bottom"/>
            <w:tcBorders>
              <w:bottom w:val="single" w:sz="8" w:color="9A9A9A"/>
            </w:tcBorders>
          </w:tcPr>
          <w:p>
            <w:pPr>
              <w:spacing w:after="0"/>
              <w:rPr>
                <w:sz w:val="6"/>
                <w:szCs w:val="6"/>
                <w:color w:val="auto"/>
              </w:rPr>
            </w:pPr>
          </w:p>
        </w:tc>
        <w:tc>
          <w:tcPr>
            <w:tcW w:w="320" w:type="dxa"/>
            <w:vAlign w:val="bottom"/>
            <w:tcBorders>
              <w:bottom w:val="single" w:sz="8" w:color="9A9A9A"/>
            </w:tcBorders>
          </w:tcPr>
          <w:p>
            <w:pPr>
              <w:spacing w:after="0"/>
              <w:rPr>
                <w:sz w:val="6"/>
                <w:szCs w:val="6"/>
                <w:color w:val="auto"/>
              </w:rPr>
            </w:pPr>
          </w:p>
        </w:tc>
        <w:tc>
          <w:tcPr>
            <w:tcW w:w="1060" w:type="dxa"/>
            <w:vAlign w:val="bottom"/>
            <w:tcBorders>
              <w:bottom w:val="single" w:sz="8" w:color="9A9A9A"/>
            </w:tcBorders>
          </w:tcPr>
          <w:p>
            <w:pPr>
              <w:spacing w:after="0"/>
              <w:rPr>
                <w:sz w:val="6"/>
                <w:szCs w:val="6"/>
                <w:color w:val="auto"/>
              </w:rPr>
            </w:pPr>
          </w:p>
        </w:tc>
        <w:tc>
          <w:tcPr>
            <w:tcW w:w="18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360" w:type="dxa"/>
            <w:vAlign w:val="bottom"/>
            <w:tcBorders>
              <w:bottom w:val="single" w:sz="8" w:color="9A9A9A"/>
            </w:tcBorders>
          </w:tcPr>
          <w:p>
            <w:pPr>
              <w:spacing w:after="0"/>
              <w:rPr>
                <w:sz w:val="6"/>
                <w:szCs w:val="6"/>
                <w:color w:val="auto"/>
              </w:rPr>
            </w:pPr>
          </w:p>
        </w:tc>
        <w:tc>
          <w:tcPr>
            <w:tcW w:w="102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116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1220" w:type="dxa"/>
            <w:vAlign w:val="bottom"/>
            <w:tcBorders>
              <w:bottom w:val="single" w:sz="8" w:color="9A9A9A"/>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7268845</wp:posOffset>
            </wp:positionH>
            <wp:positionV relativeFrom="paragraph">
              <wp:posOffset>-23495</wp:posOffset>
            </wp:positionV>
            <wp:extent cx="31115" cy="3683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480"/>
          </w:cols>
          <w:pgMar w:left="220" w:top="419" w:right="199" w:bottom="1440" w:gutter="0" w:footer="0" w:header="0"/>
        </w:sectPr>
      </w:pPr>
    </w:p>
    <w:bookmarkStart w:id="94" w:name="page95"/>
    <w:bookmarkEnd w:id="94"/>
    <w:p>
      <w:pPr>
        <w:ind w:left="600"/>
        <w:spacing w:after="0"/>
        <w:rPr>
          <w:sz w:val="20"/>
          <w:szCs w:val="20"/>
          <w:color w:val="auto"/>
        </w:rPr>
      </w:pPr>
      <w:r>
        <w:rPr>
          <w:rFonts w:ascii="Arial" w:cs="Arial" w:eastAsia="Arial" w:hAnsi="Arial"/>
          <w:sz w:val="12"/>
          <w:szCs w:val="12"/>
          <w:color w:val="auto"/>
        </w:rPr>
        <w:t>The income tax provision (benefit) consisted of the following items: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40" w:type="dxa"/>
            <w:vAlign w:val="bottom"/>
          </w:tcPr>
          <w:p>
            <w:pPr>
              <w:spacing w:after="0"/>
              <w:rPr>
                <w:sz w:val="10"/>
                <w:szCs w:val="10"/>
                <w:color w:val="auto"/>
              </w:rPr>
            </w:pPr>
          </w:p>
        </w:tc>
        <w:tc>
          <w:tcPr>
            <w:tcW w:w="43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320" w:type="dxa"/>
            <w:vAlign w:val="bottom"/>
            <w:gridSpan w:val="2"/>
          </w:tcPr>
          <w:p>
            <w:pPr>
              <w:jc w:val="right"/>
              <w:ind w:right="800"/>
              <w:spacing w:after="0"/>
              <w:rPr>
                <w:sz w:val="20"/>
                <w:szCs w:val="20"/>
                <w:color w:val="auto"/>
              </w:rPr>
            </w:pPr>
            <w:r>
              <w:rPr>
                <w:rFonts w:ascii="Arial" w:cs="Arial" w:eastAsia="Arial" w:hAnsi="Arial"/>
                <w:sz w:val="10"/>
                <w:szCs w:val="10"/>
                <w:b w:val="1"/>
                <w:bCs w:val="1"/>
                <w:color w:val="auto"/>
                <w:w w:val="98"/>
              </w:rPr>
              <w:t>Successor</w:t>
            </w:r>
          </w:p>
        </w:tc>
        <w:tc>
          <w:tcPr>
            <w:tcW w:w="2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w w:val="83"/>
              </w:rPr>
              <w:t>Predecessor</w:t>
            </w:r>
          </w:p>
        </w:tc>
        <w:tc>
          <w:tcPr>
            <w:tcW w:w="0" w:type="dxa"/>
            <w:vAlign w:val="bottom"/>
          </w:tcPr>
          <w:p>
            <w:pPr>
              <w:spacing w:after="0"/>
              <w:rPr>
                <w:sz w:val="1"/>
                <w:szCs w:val="1"/>
                <w:color w:val="auto"/>
              </w:rPr>
            </w:pPr>
          </w:p>
        </w:tc>
      </w:tr>
      <w:tr>
        <w:trPr>
          <w:trHeight w:val="83"/>
        </w:trPr>
        <w:tc>
          <w:tcPr>
            <w:tcW w:w="640" w:type="dxa"/>
            <w:vAlign w:val="bottom"/>
          </w:tcPr>
          <w:p>
            <w:pPr>
              <w:spacing w:after="0"/>
              <w:rPr>
                <w:sz w:val="7"/>
                <w:szCs w:val="7"/>
                <w:color w:val="auto"/>
              </w:rPr>
            </w:pPr>
          </w:p>
        </w:tc>
        <w:tc>
          <w:tcPr>
            <w:tcW w:w="4360" w:type="dxa"/>
            <w:vAlign w:val="bottom"/>
          </w:tcPr>
          <w:p>
            <w:pPr>
              <w:spacing w:after="0"/>
              <w:rPr>
                <w:sz w:val="7"/>
                <w:szCs w:val="7"/>
                <w:color w:val="auto"/>
              </w:rPr>
            </w:pPr>
          </w:p>
        </w:tc>
        <w:tc>
          <w:tcPr>
            <w:tcW w:w="320" w:type="dxa"/>
            <w:vAlign w:val="bottom"/>
            <w:tcBorders>
              <w:top w:val="single" w:sz="8" w:color="auto"/>
            </w:tcBorders>
          </w:tcPr>
          <w:p>
            <w:pPr>
              <w:spacing w:after="0"/>
              <w:rPr>
                <w:sz w:val="7"/>
                <w:szCs w:val="7"/>
                <w:color w:val="auto"/>
              </w:rPr>
            </w:pPr>
          </w:p>
        </w:tc>
        <w:tc>
          <w:tcPr>
            <w:tcW w:w="1060" w:type="dxa"/>
            <w:vAlign w:val="bottom"/>
            <w:tcBorders>
              <w:top w:val="single" w:sz="8" w:color="auto"/>
            </w:tcBorders>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360" w:type="dxa"/>
            <w:vAlign w:val="bottom"/>
            <w:tcBorders>
              <w:top w:val="single" w:sz="8" w:color="auto"/>
            </w:tcBorders>
          </w:tcPr>
          <w:p>
            <w:pPr>
              <w:spacing w:after="0"/>
              <w:rPr>
                <w:sz w:val="7"/>
                <w:szCs w:val="7"/>
                <w:color w:val="auto"/>
              </w:rPr>
            </w:pPr>
          </w:p>
        </w:tc>
        <w:tc>
          <w:tcPr>
            <w:tcW w:w="1020" w:type="dxa"/>
            <w:vAlign w:val="bottom"/>
            <w:tcBorders>
              <w:top w:val="single" w:sz="8" w:color="auto"/>
            </w:tcBorders>
          </w:tcPr>
          <w:p>
            <w:pPr>
              <w:spacing w:after="0"/>
              <w:rPr>
                <w:sz w:val="7"/>
                <w:szCs w:val="7"/>
                <w:color w:val="auto"/>
              </w:rPr>
            </w:pPr>
          </w:p>
        </w:tc>
        <w:tc>
          <w:tcPr>
            <w:tcW w:w="300" w:type="dxa"/>
            <w:vAlign w:val="bottom"/>
            <w:tcBorders>
              <w:top w:val="single" w:sz="8" w:color="auto"/>
            </w:tcBorders>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1160" w:type="dxa"/>
            <w:vAlign w:val="bottom"/>
            <w:tcBorders>
              <w:top w:val="single" w:sz="8" w:color="auto"/>
            </w:tcBorders>
          </w:tcPr>
          <w:p>
            <w:pPr>
              <w:jc w:val="center"/>
              <w:ind w:right="164"/>
              <w:spacing w:after="0" w:line="83" w:lineRule="exact"/>
              <w:rPr>
                <w:sz w:val="20"/>
                <w:szCs w:val="20"/>
                <w:color w:val="auto"/>
              </w:rPr>
            </w:pPr>
            <w:r>
              <w:rPr>
                <w:rFonts w:ascii="Arial" w:cs="Arial" w:eastAsia="Arial" w:hAnsi="Arial"/>
                <w:sz w:val="8"/>
                <w:szCs w:val="8"/>
                <w:b w:val="1"/>
                <w:bCs w:val="1"/>
                <w:color w:val="auto"/>
              </w:rPr>
              <w:t>Period from</w:t>
            </w:r>
          </w:p>
        </w:tc>
        <w:tc>
          <w:tcPr>
            <w:tcW w:w="240" w:type="dxa"/>
            <w:vAlign w:val="bottom"/>
            <w:tcBorders>
              <w:righ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1160" w:type="dxa"/>
            <w:vAlign w:val="bottom"/>
            <w:tcBorders>
              <w:top w:val="single" w:sz="8" w:color="auto"/>
            </w:tcBorders>
          </w:tcPr>
          <w:p>
            <w:pPr>
              <w:jc w:val="center"/>
              <w:ind w:right="165"/>
              <w:spacing w:after="0" w:line="83" w:lineRule="exact"/>
              <w:rPr>
                <w:sz w:val="20"/>
                <w:szCs w:val="20"/>
                <w:color w:val="auto"/>
              </w:rPr>
            </w:pPr>
            <w:r>
              <w:rPr>
                <w:rFonts w:ascii="Arial" w:cs="Arial" w:eastAsia="Arial" w:hAnsi="Arial"/>
                <w:sz w:val="8"/>
                <w:szCs w:val="8"/>
                <w:b w:val="1"/>
                <w:bCs w:val="1"/>
                <w:color w:val="auto"/>
              </w:rPr>
              <w:t>Period from</w:t>
            </w: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640" w:type="dxa"/>
            <w:vAlign w:val="bottom"/>
          </w:tcPr>
          <w:p>
            <w:pPr>
              <w:spacing w:after="0"/>
              <w:rPr>
                <w:sz w:val="8"/>
                <w:szCs w:val="8"/>
                <w:color w:val="auto"/>
              </w:rPr>
            </w:pPr>
          </w:p>
        </w:tc>
        <w:tc>
          <w:tcPr>
            <w:tcW w:w="4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720" w:type="dxa"/>
            <w:vAlign w:val="bottom"/>
            <w:gridSpan w:val="4"/>
          </w:tcPr>
          <w:p>
            <w:pPr>
              <w:jc w:val="right"/>
              <w:ind w:right="100"/>
              <w:spacing w:after="0" w:line="99" w:lineRule="exact"/>
              <w:rPr>
                <w:sz w:val="20"/>
                <w:szCs w:val="20"/>
                <w:color w:val="auto"/>
              </w:rPr>
            </w:pPr>
            <w:r>
              <w:rPr>
                <w:rFonts w:ascii="Arial" w:cs="Arial" w:eastAsia="Arial" w:hAnsi="Arial"/>
                <w:sz w:val="10"/>
                <w:szCs w:val="10"/>
                <w:b w:val="1"/>
                <w:bCs w:val="1"/>
                <w:color w:val="auto"/>
              </w:rPr>
              <w:t>For the Year Ended</w:t>
            </w:r>
          </w:p>
        </w:tc>
        <w:tc>
          <w:tcPr>
            <w:tcW w:w="10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0" w:type="dxa"/>
            <w:vAlign w:val="bottom"/>
            <w:tcBorders>
              <w:right w:val="single" w:sz="8" w:color="auto"/>
            </w:tcBorders>
            <w:gridSpan w:val="2"/>
          </w:tcPr>
          <w:p>
            <w:pPr>
              <w:jc w:val="center"/>
              <w:ind w:right="460"/>
              <w:spacing w:after="0" w:line="99" w:lineRule="exact"/>
              <w:rPr>
                <w:sz w:val="20"/>
                <w:szCs w:val="20"/>
                <w:color w:val="auto"/>
              </w:rPr>
            </w:pPr>
            <w:r>
              <w:rPr>
                <w:rFonts w:ascii="Arial" w:cs="Arial" w:eastAsia="Arial" w:hAnsi="Arial"/>
                <w:sz w:val="10"/>
                <w:szCs w:val="10"/>
                <w:b w:val="1"/>
                <w:bCs w:val="1"/>
                <w:color w:val="auto"/>
                <w:w w:val="86"/>
              </w:rPr>
              <w:t>June 1, 2017 to</w:t>
            </w: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20" w:type="dxa"/>
            <w:vAlign w:val="bottom"/>
            <w:gridSpan w:val="2"/>
          </w:tcPr>
          <w:p>
            <w:pPr>
              <w:jc w:val="center"/>
              <w:ind w:right="280"/>
              <w:spacing w:after="0" w:line="99" w:lineRule="exact"/>
              <w:rPr>
                <w:sz w:val="20"/>
                <w:szCs w:val="20"/>
                <w:color w:val="auto"/>
              </w:rPr>
            </w:pPr>
            <w:r>
              <w:rPr>
                <w:rFonts w:ascii="Arial" w:cs="Arial" w:eastAsia="Arial" w:hAnsi="Arial"/>
                <w:sz w:val="10"/>
                <w:szCs w:val="10"/>
                <w:b w:val="1"/>
                <w:bCs w:val="1"/>
                <w:color w:val="auto"/>
                <w:w w:val="88"/>
              </w:rPr>
              <w:t>January 1, 2017</w:t>
            </w:r>
          </w:p>
        </w:tc>
        <w:tc>
          <w:tcPr>
            <w:tcW w:w="0" w:type="dxa"/>
            <w:vAlign w:val="bottom"/>
          </w:tcPr>
          <w:p>
            <w:pPr>
              <w:spacing w:after="0"/>
              <w:rPr>
                <w:sz w:val="1"/>
                <w:szCs w:val="1"/>
                <w:color w:val="auto"/>
              </w:rPr>
            </w:pPr>
          </w:p>
        </w:tc>
      </w:tr>
      <w:tr>
        <w:trPr>
          <w:trHeight w:val="114"/>
        </w:trPr>
        <w:tc>
          <w:tcPr>
            <w:tcW w:w="640" w:type="dxa"/>
            <w:vAlign w:val="bottom"/>
          </w:tcPr>
          <w:p>
            <w:pPr>
              <w:spacing w:after="0"/>
              <w:rPr>
                <w:sz w:val="9"/>
                <w:szCs w:val="9"/>
                <w:color w:val="auto"/>
              </w:rPr>
            </w:pPr>
          </w:p>
        </w:tc>
        <w:tc>
          <w:tcPr>
            <w:tcW w:w="4360" w:type="dxa"/>
            <w:vAlign w:val="bottom"/>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720" w:type="dxa"/>
            <w:vAlign w:val="bottom"/>
            <w:tcBorders>
              <w:bottom w:val="single" w:sz="8" w:color="auto"/>
            </w:tcBorders>
            <w:gridSpan w:val="4"/>
          </w:tcPr>
          <w:p>
            <w:pPr>
              <w:jc w:val="right"/>
              <w:ind w:right="240"/>
              <w:spacing w:after="0" w:line="114" w:lineRule="exact"/>
              <w:rPr>
                <w:sz w:val="20"/>
                <w:szCs w:val="20"/>
                <w:color w:val="auto"/>
              </w:rPr>
            </w:pPr>
            <w:r>
              <w:rPr>
                <w:rFonts w:ascii="Arial" w:cs="Arial" w:eastAsia="Arial" w:hAnsi="Arial"/>
                <w:sz w:val="10"/>
                <w:szCs w:val="10"/>
                <w:b w:val="1"/>
                <w:bCs w:val="1"/>
                <w:color w:val="auto"/>
              </w:rPr>
              <w:t>December 31,</w:t>
            </w:r>
          </w:p>
        </w:tc>
        <w:tc>
          <w:tcPr>
            <w:tcW w:w="102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0" w:type="dxa"/>
            <w:vAlign w:val="bottom"/>
            <w:tcBorders>
              <w:right w:val="single" w:sz="8" w:color="auto"/>
            </w:tcBorders>
            <w:gridSpan w:val="2"/>
          </w:tcPr>
          <w:p>
            <w:pPr>
              <w:jc w:val="center"/>
              <w:ind w:right="440"/>
              <w:spacing w:after="0" w:line="114" w:lineRule="exact"/>
              <w:rPr>
                <w:sz w:val="20"/>
                <w:szCs w:val="20"/>
                <w:color w:val="auto"/>
              </w:rPr>
            </w:pPr>
            <w:r>
              <w:rPr>
                <w:rFonts w:ascii="Arial" w:cs="Arial" w:eastAsia="Arial" w:hAnsi="Arial"/>
                <w:sz w:val="10"/>
                <w:szCs w:val="10"/>
                <w:b w:val="1"/>
                <w:bCs w:val="1"/>
                <w:color w:val="auto"/>
                <w:w w:val="86"/>
              </w:rPr>
              <w:t>December 31,</w:t>
            </w: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20" w:type="dxa"/>
            <w:vAlign w:val="bottom"/>
            <w:gridSpan w:val="2"/>
          </w:tcPr>
          <w:p>
            <w:pPr>
              <w:jc w:val="center"/>
              <w:ind w:right="260"/>
              <w:spacing w:after="0" w:line="114" w:lineRule="exact"/>
              <w:rPr>
                <w:sz w:val="20"/>
                <w:szCs w:val="20"/>
                <w:color w:val="auto"/>
              </w:rPr>
            </w:pPr>
            <w:r>
              <w:rPr>
                <w:rFonts w:ascii="Arial" w:cs="Arial" w:eastAsia="Arial" w:hAnsi="Arial"/>
                <w:sz w:val="10"/>
                <w:szCs w:val="10"/>
                <w:b w:val="1"/>
                <w:bCs w:val="1"/>
                <w:color w:val="auto"/>
                <w:w w:val="90"/>
              </w:rPr>
              <w:t>to May 31,</w:t>
            </w:r>
          </w:p>
        </w:tc>
        <w:tc>
          <w:tcPr>
            <w:tcW w:w="0" w:type="dxa"/>
            <w:vAlign w:val="bottom"/>
          </w:tcPr>
          <w:p>
            <w:pPr>
              <w:spacing w:after="0"/>
              <w:rPr>
                <w:sz w:val="1"/>
                <w:szCs w:val="1"/>
                <w:color w:val="auto"/>
              </w:rPr>
            </w:pPr>
          </w:p>
        </w:tc>
      </w:tr>
      <w:tr>
        <w:trPr>
          <w:trHeight w:val="108"/>
        </w:trPr>
        <w:tc>
          <w:tcPr>
            <w:tcW w:w="5000" w:type="dxa"/>
            <w:vAlign w:val="bottom"/>
            <w:gridSpan w:val="2"/>
          </w:tcPr>
          <w:p>
            <w:pPr>
              <w:spacing w:after="0" w:line="88" w:lineRule="exact"/>
              <w:rPr>
                <w:sz w:val="20"/>
                <w:szCs w:val="20"/>
                <w:color w:val="auto"/>
              </w:rPr>
            </w:pPr>
            <w:r>
              <w:rPr>
                <w:rFonts w:ascii="Arial" w:cs="Arial" w:eastAsia="Arial" w:hAnsi="Arial"/>
                <w:sz w:val="10"/>
                <w:szCs w:val="10"/>
                <w:b w:val="1"/>
                <w:bCs w:val="1"/>
                <w:u w:val="single" w:color="auto"/>
                <w:color w:val="auto"/>
              </w:rPr>
              <w:t>(</w:t>
            </w:r>
            <w:r>
              <w:rPr>
                <w:rFonts w:ascii="Arial" w:cs="Arial" w:eastAsia="Arial" w:hAnsi="Arial"/>
                <w:sz w:val="10"/>
                <w:szCs w:val="10"/>
                <w:b w:val="1"/>
                <w:bCs w:val="1"/>
                <w:color w:val="auto"/>
              </w:rPr>
              <w:t>$ in thousands)</w:t>
            </w:r>
          </w:p>
        </w:tc>
        <w:tc>
          <w:tcPr>
            <w:tcW w:w="320" w:type="dxa"/>
            <w:vAlign w:val="bottom"/>
          </w:tcPr>
          <w:p>
            <w:pPr>
              <w:spacing w:after="0"/>
              <w:rPr>
                <w:sz w:val="9"/>
                <w:szCs w:val="9"/>
                <w:color w:val="auto"/>
              </w:rPr>
            </w:pPr>
          </w:p>
        </w:tc>
        <w:tc>
          <w:tcPr>
            <w:tcW w:w="1060" w:type="dxa"/>
            <w:vAlign w:val="bottom"/>
          </w:tcPr>
          <w:p>
            <w:pPr>
              <w:jc w:val="right"/>
              <w:ind w:right="543"/>
              <w:spacing w:after="0" w:line="88" w:lineRule="exact"/>
              <w:rPr>
                <w:sz w:val="20"/>
                <w:szCs w:val="20"/>
                <w:color w:val="auto"/>
              </w:rPr>
            </w:pPr>
            <w:r>
              <w:rPr>
                <w:rFonts w:ascii="Arial" w:cs="Arial" w:eastAsia="Arial" w:hAnsi="Arial"/>
                <w:sz w:val="10"/>
                <w:szCs w:val="10"/>
                <w:b w:val="1"/>
                <w:bCs w:val="1"/>
                <w:color w:val="auto"/>
              </w:rPr>
              <w:t>2019</w:t>
            </w: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20" w:type="dxa"/>
            <w:vAlign w:val="bottom"/>
          </w:tcPr>
          <w:p>
            <w:pPr>
              <w:jc w:val="right"/>
              <w:ind w:right="542"/>
              <w:spacing w:after="0" w:line="88" w:lineRule="exact"/>
              <w:rPr>
                <w:sz w:val="20"/>
                <w:szCs w:val="20"/>
                <w:color w:val="auto"/>
              </w:rPr>
            </w:pPr>
            <w:r>
              <w:rPr>
                <w:rFonts w:ascii="Arial" w:cs="Arial" w:eastAsia="Arial" w:hAnsi="Arial"/>
                <w:sz w:val="10"/>
                <w:szCs w:val="10"/>
                <w:b w:val="1"/>
                <w:bCs w:val="1"/>
                <w:color w:val="auto"/>
              </w:rPr>
              <w:t>2018</w:t>
            </w: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tcPr>
          <w:p>
            <w:pPr>
              <w:jc w:val="center"/>
              <w:ind w:right="144"/>
              <w:spacing w:after="0" w:line="88" w:lineRule="exact"/>
              <w:rPr>
                <w:sz w:val="20"/>
                <w:szCs w:val="20"/>
                <w:color w:val="auto"/>
              </w:rPr>
            </w:pPr>
            <w:r>
              <w:rPr>
                <w:rFonts w:ascii="Arial" w:cs="Arial" w:eastAsia="Arial" w:hAnsi="Arial"/>
                <w:sz w:val="10"/>
                <w:szCs w:val="10"/>
                <w:b w:val="1"/>
                <w:bCs w:val="1"/>
                <w:color w:val="auto"/>
                <w:w w:val="89"/>
              </w:rPr>
              <w:t>2017</w:t>
            </w:r>
          </w:p>
        </w:tc>
        <w:tc>
          <w:tcPr>
            <w:tcW w:w="24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tcPr>
          <w:p>
            <w:pPr>
              <w:jc w:val="center"/>
              <w:ind w:right="165"/>
              <w:spacing w:after="0" w:line="88" w:lineRule="exact"/>
              <w:rPr>
                <w:sz w:val="20"/>
                <w:szCs w:val="20"/>
                <w:color w:val="auto"/>
              </w:rPr>
            </w:pPr>
            <w:r>
              <w:rPr>
                <w:rFonts w:ascii="Arial" w:cs="Arial" w:eastAsia="Arial" w:hAnsi="Arial"/>
                <w:sz w:val="10"/>
                <w:szCs w:val="10"/>
                <w:b w:val="1"/>
                <w:bCs w:val="1"/>
                <w:color w:val="auto"/>
                <w:w w:val="80"/>
              </w:rPr>
              <w:t>2017</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640" w:type="dxa"/>
            <w:vAlign w:val="bottom"/>
            <w:tcBorders>
              <w:top w:val="single" w:sz="8" w:color="auto"/>
            </w:tcBorders>
            <w:shd w:val="clear" w:color="auto" w:fill="CFF0FC"/>
          </w:tcPr>
          <w:p>
            <w:pPr>
              <w:spacing w:after="0" w:line="132" w:lineRule="exact"/>
              <w:rPr>
                <w:sz w:val="20"/>
                <w:szCs w:val="20"/>
                <w:color w:val="auto"/>
              </w:rPr>
            </w:pPr>
            <w:r>
              <w:rPr>
                <w:rFonts w:ascii="Arial" w:cs="Arial" w:eastAsia="Arial" w:hAnsi="Arial"/>
                <w:sz w:val="12"/>
                <w:szCs w:val="12"/>
                <w:color w:val="auto"/>
              </w:rPr>
              <w:t>Current</w:t>
            </w:r>
          </w:p>
        </w:tc>
        <w:tc>
          <w:tcPr>
            <w:tcW w:w="4360" w:type="dxa"/>
            <w:vAlign w:val="bottom"/>
            <w:tcBorders>
              <w:top w:val="single" w:sz="8" w:color="CFF0FC"/>
            </w:tcBorders>
            <w:shd w:val="clear" w:color="auto" w:fill="CFF0FC"/>
          </w:tcPr>
          <w:p>
            <w:pPr>
              <w:spacing w:after="0"/>
              <w:rPr>
                <w:sz w:val="11"/>
                <w:szCs w:val="11"/>
                <w:color w:val="auto"/>
              </w:rPr>
            </w:pPr>
          </w:p>
        </w:tc>
        <w:tc>
          <w:tcPr>
            <w:tcW w:w="320" w:type="dxa"/>
            <w:vAlign w:val="bottom"/>
            <w:tcBorders>
              <w:top w:val="single" w:sz="8" w:color="auto"/>
            </w:tcBorders>
            <w:shd w:val="clear" w:color="auto" w:fill="CFF0FC"/>
          </w:tcPr>
          <w:p>
            <w:pPr>
              <w:spacing w:after="0"/>
              <w:rPr>
                <w:sz w:val="11"/>
                <w:szCs w:val="11"/>
                <w:color w:val="auto"/>
              </w:rPr>
            </w:pPr>
          </w:p>
        </w:tc>
        <w:tc>
          <w:tcPr>
            <w:tcW w:w="1060" w:type="dxa"/>
            <w:vAlign w:val="bottom"/>
            <w:tcBorders>
              <w:top w:val="single" w:sz="8" w:color="auto"/>
            </w:tcBorders>
            <w:shd w:val="clear" w:color="auto" w:fill="CFF0FC"/>
          </w:tcPr>
          <w:p>
            <w:pPr>
              <w:spacing w:after="0"/>
              <w:rPr>
                <w:sz w:val="11"/>
                <w:szCs w:val="11"/>
                <w:color w:val="auto"/>
              </w:rPr>
            </w:pPr>
          </w:p>
        </w:tc>
        <w:tc>
          <w:tcPr>
            <w:tcW w:w="180" w:type="dxa"/>
            <w:vAlign w:val="bottom"/>
            <w:tcBorders>
              <w:top w:val="single" w:sz="8" w:color="CFF0FC"/>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360" w:type="dxa"/>
            <w:vAlign w:val="bottom"/>
            <w:tcBorders>
              <w:top w:val="single" w:sz="8" w:color="auto"/>
            </w:tcBorders>
            <w:shd w:val="clear" w:color="auto" w:fill="CFF0FC"/>
          </w:tcPr>
          <w:p>
            <w:pPr>
              <w:spacing w:after="0"/>
              <w:rPr>
                <w:sz w:val="11"/>
                <w:szCs w:val="11"/>
                <w:color w:val="auto"/>
              </w:rPr>
            </w:pPr>
          </w:p>
        </w:tc>
        <w:tc>
          <w:tcPr>
            <w:tcW w:w="1020" w:type="dxa"/>
            <w:vAlign w:val="bottom"/>
            <w:tcBorders>
              <w:top w:val="single" w:sz="8" w:color="auto"/>
            </w:tcBorders>
            <w:shd w:val="clear" w:color="auto" w:fill="CFF0FC"/>
          </w:tcPr>
          <w:p>
            <w:pPr>
              <w:spacing w:after="0"/>
              <w:rPr>
                <w:sz w:val="11"/>
                <w:szCs w:val="11"/>
                <w:color w:val="auto"/>
              </w:rPr>
            </w:pPr>
          </w:p>
        </w:tc>
        <w:tc>
          <w:tcPr>
            <w:tcW w:w="300" w:type="dxa"/>
            <w:vAlign w:val="bottom"/>
            <w:tcBorders>
              <w:top w:val="single" w:sz="8" w:color="CFF0FC"/>
            </w:tcBorders>
            <w:shd w:val="clear" w:color="auto" w:fill="CFF0FC"/>
          </w:tcPr>
          <w:p>
            <w:pPr>
              <w:spacing w:after="0"/>
              <w:rPr>
                <w:sz w:val="11"/>
                <w:szCs w:val="11"/>
                <w:color w:val="auto"/>
              </w:rPr>
            </w:pPr>
          </w:p>
        </w:tc>
        <w:tc>
          <w:tcPr>
            <w:tcW w:w="200" w:type="dxa"/>
            <w:vAlign w:val="bottom"/>
            <w:tcBorders>
              <w:top w:val="single" w:sz="8" w:color="auto"/>
            </w:tcBorders>
            <w:shd w:val="clear" w:color="auto" w:fill="CFF0FC"/>
          </w:tcPr>
          <w:p>
            <w:pPr>
              <w:spacing w:after="0"/>
              <w:rPr>
                <w:sz w:val="11"/>
                <w:szCs w:val="11"/>
                <w:color w:val="auto"/>
              </w:rPr>
            </w:pPr>
          </w:p>
        </w:tc>
        <w:tc>
          <w:tcPr>
            <w:tcW w:w="1160" w:type="dxa"/>
            <w:vAlign w:val="bottom"/>
            <w:tcBorders>
              <w:top w:val="single" w:sz="8" w:color="auto"/>
            </w:tcBorders>
            <w:shd w:val="clear" w:color="auto" w:fill="CFF0FC"/>
          </w:tcPr>
          <w:p>
            <w:pPr>
              <w:spacing w:after="0"/>
              <w:rPr>
                <w:sz w:val="11"/>
                <w:szCs w:val="11"/>
                <w:color w:val="auto"/>
              </w:rPr>
            </w:pPr>
          </w:p>
        </w:tc>
        <w:tc>
          <w:tcPr>
            <w:tcW w:w="240" w:type="dxa"/>
            <w:vAlign w:val="bottom"/>
            <w:tcBorders>
              <w:top w:val="single" w:sz="8" w:color="CFF0FC"/>
              <w:right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200" w:type="dxa"/>
            <w:vAlign w:val="bottom"/>
            <w:tcBorders>
              <w:top w:val="single" w:sz="8" w:color="auto"/>
            </w:tcBorders>
            <w:shd w:val="clear" w:color="auto" w:fill="CFF0FC"/>
          </w:tcPr>
          <w:p>
            <w:pPr>
              <w:spacing w:after="0"/>
              <w:rPr>
                <w:sz w:val="11"/>
                <w:szCs w:val="11"/>
                <w:color w:val="auto"/>
              </w:rPr>
            </w:pPr>
          </w:p>
        </w:tc>
        <w:tc>
          <w:tcPr>
            <w:tcW w:w="1160" w:type="dxa"/>
            <w:vAlign w:val="bottom"/>
            <w:tcBorders>
              <w:top w:val="single" w:sz="8" w:color="auto"/>
            </w:tcBorders>
            <w:shd w:val="clear" w:color="auto" w:fill="CFF0FC"/>
          </w:tcPr>
          <w:p>
            <w:pPr>
              <w:spacing w:after="0"/>
              <w:rPr>
                <w:sz w:val="11"/>
                <w:szCs w:val="11"/>
                <w:color w:val="auto"/>
              </w:rPr>
            </w:pPr>
          </w:p>
        </w:tc>
        <w:tc>
          <w:tcPr>
            <w:tcW w:w="6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5000" w:type="dxa"/>
            <w:vAlign w:val="bottom"/>
            <w:gridSpan w:val="2"/>
          </w:tcPr>
          <w:p>
            <w:pPr>
              <w:ind w:left="80"/>
              <w:spacing w:after="0"/>
              <w:rPr>
                <w:sz w:val="20"/>
                <w:szCs w:val="20"/>
                <w:color w:val="auto"/>
              </w:rPr>
            </w:pPr>
            <w:r>
              <w:rPr>
                <w:rFonts w:ascii="Arial" w:cs="Arial" w:eastAsia="Arial" w:hAnsi="Arial"/>
                <w:sz w:val="12"/>
                <w:szCs w:val="12"/>
                <w:color w:val="auto"/>
              </w:rPr>
              <w:t>Federal</w:t>
            </w:r>
          </w:p>
        </w:tc>
        <w:tc>
          <w:tcPr>
            <w:tcW w:w="320" w:type="dxa"/>
            <w:vAlign w:val="bottom"/>
          </w:tcPr>
          <w:p>
            <w:pPr>
              <w:jc w:val="right"/>
              <w:ind w:right="210"/>
              <w:spacing w:after="0"/>
              <w:rPr>
                <w:sz w:val="20"/>
                <w:szCs w:val="20"/>
                <w:color w:val="auto"/>
              </w:rPr>
            </w:pPr>
            <w:r>
              <w:rPr>
                <w:rFonts w:ascii="Arial" w:cs="Arial" w:eastAsia="Arial" w:hAnsi="Arial"/>
                <w:sz w:val="10"/>
                <w:szCs w:val="10"/>
                <w:color w:val="auto"/>
                <w:w w:val="71"/>
              </w:rPr>
              <w:t>$</w:t>
            </w:r>
          </w:p>
        </w:tc>
        <w:tc>
          <w:tcPr>
            <w:tcW w:w="1060" w:type="dxa"/>
            <w:vAlign w:val="bottom"/>
          </w:tcPr>
          <w:p>
            <w:pPr>
              <w:jc w:val="right"/>
              <w:spacing w:after="0"/>
              <w:rPr>
                <w:sz w:val="20"/>
                <w:szCs w:val="20"/>
                <w:color w:val="auto"/>
              </w:rPr>
            </w:pPr>
            <w:r>
              <w:rPr>
                <w:rFonts w:ascii="Arial" w:cs="Arial" w:eastAsia="Arial" w:hAnsi="Arial"/>
                <w:sz w:val="12"/>
                <w:szCs w:val="12"/>
                <w:color w:val="auto"/>
              </w:rPr>
              <w:t>16,901</w:t>
            </w:r>
          </w:p>
        </w:tc>
        <w:tc>
          <w:tcPr>
            <w:tcW w:w="180" w:type="dxa"/>
            <w:vAlign w:val="bottom"/>
          </w:tcPr>
          <w:p>
            <w:pPr>
              <w:spacing w:after="0"/>
              <w:rPr>
                <w:sz w:val="13"/>
                <w:szCs w:val="13"/>
                <w:color w:val="auto"/>
              </w:rPr>
            </w:pPr>
          </w:p>
        </w:tc>
        <w:tc>
          <w:tcPr>
            <w:tcW w:w="48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1020" w:type="dxa"/>
            <w:vAlign w:val="bottom"/>
          </w:tcPr>
          <w:p>
            <w:pPr>
              <w:jc w:val="right"/>
              <w:spacing w:after="0"/>
              <w:rPr>
                <w:sz w:val="20"/>
                <w:szCs w:val="20"/>
                <w:color w:val="auto"/>
              </w:rPr>
            </w:pPr>
            <w:r>
              <w:rPr>
                <w:rFonts w:ascii="Arial" w:cs="Arial" w:eastAsia="Arial" w:hAnsi="Arial"/>
                <w:sz w:val="12"/>
                <w:szCs w:val="12"/>
                <w:color w:val="auto"/>
              </w:rPr>
              <w:t>5,687</w:t>
            </w:r>
          </w:p>
        </w:tc>
        <w:tc>
          <w:tcPr>
            <w:tcW w:w="300" w:type="dxa"/>
            <w:vAlign w:val="bottom"/>
          </w:tcPr>
          <w:p>
            <w:pPr>
              <w:spacing w:after="0"/>
              <w:rPr>
                <w:sz w:val="13"/>
                <w:szCs w:val="13"/>
                <w:color w:val="auto"/>
              </w:rPr>
            </w:pPr>
          </w:p>
        </w:tc>
        <w:tc>
          <w:tcPr>
            <w:tcW w:w="200" w:type="dxa"/>
            <w:vAlign w:val="bottom"/>
          </w:tcPr>
          <w:p>
            <w:pPr>
              <w:jc w:val="right"/>
              <w:ind w:right="90"/>
              <w:spacing w:after="0"/>
              <w:rPr>
                <w:sz w:val="20"/>
                <w:szCs w:val="20"/>
                <w:color w:val="auto"/>
              </w:rPr>
            </w:pPr>
            <w:r>
              <w:rPr>
                <w:rFonts w:ascii="Arial" w:cs="Arial" w:eastAsia="Arial" w:hAnsi="Arial"/>
                <w:sz w:val="10"/>
                <w:szCs w:val="10"/>
                <w:color w:val="auto"/>
                <w:w w:val="71"/>
              </w:rPr>
              <w:t>$</w:t>
            </w:r>
          </w:p>
        </w:tc>
        <w:tc>
          <w:tcPr>
            <w:tcW w:w="1160" w:type="dxa"/>
            <w:vAlign w:val="bottom"/>
          </w:tcPr>
          <w:p>
            <w:pPr>
              <w:jc w:val="right"/>
              <w:spacing w:after="0"/>
              <w:rPr>
                <w:sz w:val="20"/>
                <w:szCs w:val="20"/>
                <w:color w:val="auto"/>
              </w:rPr>
            </w:pPr>
            <w:r>
              <w:rPr>
                <w:rFonts w:ascii="Arial" w:cs="Arial" w:eastAsia="Arial" w:hAnsi="Arial"/>
                <w:sz w:val="12"/>
                <w:szCs w:val="12"/>
                <w:color w:val="auto"/>
              </w:rPr>
              <w:t>188</w:t>
            </w:r>
          </w:p>
        </w:tc>
        <w:tc>
          <w:tcPr>
            <w:tcW w:w="240" w:type="dxa"/>
            <w:vAlign w:val="bottom"/>
            <w:tcBorders>
              <w:right w:val="single" w:sz="8" w:color="auto"/>
            </w:tcBorders>
          </w:tcPr>
          <w:p>
            <w:pPr>
              <w:spacing w:after="0"/>
              <w:rPr>
                <w:sz w:val="13"/>
                <w:szCs w:val="13"/>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160" w:type="dxa"/>
            <w:vAlign w:val="bottom"/>
          </w:tcPr>
          <w:p>
            <w:pPr>
              <w:jc w:val="right"/>
              <w:spacing w:after="0"/>
              <w:rPr>
                <w:sz w:val="20"/>
                <w:szCs w:val="20"/>
                <w:color w:val="auto"/>
              </w:rPr>
            </w:pPr>
            <w:r>
              <w:rPr>
                <w:rFonts w:ascii="Arial" w:cs="Arial" w:eastAsia="Arial" w:hAnsi="Arial"/>
                <w:sz w:val="12"/>
                <w:szCs w:val="12"/>
                <w:color w:val="auto"/>
              </w:rPr>
              <w:t>4,127</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000" w:type="dxa"/>
            <w:vAlign w:val="bottom"/>
            <w:gridSpan w:val="2"/>
            <w:shd w:val="clear" w:color="auto" w:fill="CFF0FC"/>
          </w:tcPr>
          <w:p>
            <w:pPr>
              <w:ind w:left="80"/>
              <w:spacing w:after="0"/>
              <w:rPr>
                <w:sz w:val="20"/>
                <w:szCs w:val="20"/>
                <w:color w:val="auto"/>
              </w:rPr>
            </w:pPr>
            <w:r>
              <w:rPr>
                <w:rFonts w:ascii="Arial" w:cs="Arial" w:eastAsia="Arial" w:hAnsi="Arial"/>
                <w:sz w:val="12"/>
                <w:szCs w:val="12"/>
                <w:color w:val="auto"/>
              </w:rPr>
              <w:t>State</w:t>
            </w:r>
          </w:p>
        </w:tc>
        <w:tc>
          <w:tcPr>
            <w:tcW w:w="320" w:type="dxa"/>
            <w:vAlign w:val="bottom"/>
            <w:shd w:val="clear" w:color="auto" w:fill="CFF0FC"/>
          </w:tcPr>
          <w:p>
            <w:pPr>
              <w:spacing w:after="0"/>
              <w:rPr>
                <w:sz w:val="13"/>
                <w:szCs w:val="13"/>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7,316</w:t>
            </w:r>
          </w:p>
        </w:tc>
        <w:tc>
          <w:tcPr>
            <w:tcW w:w="1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1,624</w:t>
            </w:r>
          </w:p>
        </w:tc>
        <w:tc>
          <w:tcPr>
            <w:tcW w:w="3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219</w:t>
            </w:r>
          </w:p>
        </w:tc>
        <w:tc>
          <w:tcPr>
            <w:tcW w:w="240" w:type="dxa"/>
            <w:vAlign w:val="bottom"/>
            <w:tcBorders>
              <w:right w:val="single" w:sz="8" w:color="auto"/>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453</w:t>
            </w:r>
          </w:p>
        </w:tc>
        <w:tc>
          <w:tcPr>
            <w:tcW w:w="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000" w:type="dxa"/>
            <w:vAlign w:val="bottom"/>
            <w:gridSpan w:val="2"/>
          </w:tcPr>
          <w:p>
            <w:pPr>
              <w:ind w:left="80"/>
              <w:spacing w:after="0"/>
              <w:rPr>
                <w:sz w:val="20"/>
                <w:szCs w:val="20"/>
                <w:color w:val="auto"/>
              </w:rPr>
            </w:pPr>
            <w:r>
              <w:rPr>
                <w:rFonts w:ascii="Arial" w:cs="Arial" w:eastAsia="Arial" w:hAnsi="Arial"/>
                <w:sz w:val="12"/>
                <w:szCs w:val="12"/>
                <w:color w:val="auto"/>
              </w:rPr>
              <w:t>Foreign</w:t>
            </w:r>
          </w:p>
        </w:tc>
        <w:tc>
          <w:tcPr>
            <w:tcW w:w="32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673</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883</w:t>
            </w: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2"/>
        </w:trPr>
        <w:tc>
          <w:tcPr>
            <w:tcW w:w="500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2"/>
                <w:szCs w:val="12"/>
                <w:color w:val="auto"/>
              </w:rPr>
              <w:t>Total current tax expense</w:t>
            </w:r>
          </w:p>
        </w:tc>
        <w:tc>
          <w:tcPr>
            <w:tcW w:w="320" w:type="dxa"/>
            <w:vAlign w:val="bottom"/>
            <w:tcBorders>
              <w:top w:val="single" w:sz="8" w:color="auto"/>
            </w:tcBorders>
            <w:shd w:val="clear" w:color="auto" w:fill="CFF0FC"/>
          </w:tcPr>
          <w:p>
            <w:pPr>
              <w:spacing w:after="0"/>
              <w:rPr>
                <w:sz w:val="12"/>
                <w:szCs w:val="12"/>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24,890</w:t>
            </w:r>
          </w:p>
        </w:tc>
        <w:tc>
          <w:tcPr>
            <w:tcW w:w="18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360" w:type="dxa"/>
            <w:vAlign w:val="bottom"/>
            <w:tcBorders>
              <w:top w:val="single" w:sz="8" w:color="auto"/>
            </w:tcBorders>
            <w:shd w:val="clear" w:color="auto" w:fill="CFF0FC"/>
          </w:tcPr>
          <w:p>
            <w:pPr>
              <w:spacing w:after="0"/>
              <w:rPr>
                <w:sz w:val="12"/>
                <w:szCs w:val="12"/>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8,194</w:t>
            </w:r>
          </w:p>
        </w:tc>
        <w:tc>
          <w:tcPr>
            <w:tcW w:w="300" w:type="dxa"/>
            <w:vAlign w:val="bottom"/>
            <w:tcBorders>
              <w:top w:val="single" w:sz="8" w:color="CFF0FC"/>
            </w:tcBorders>
            <w:shd w:val="clear" w:color="auto" w:fill="CFF0FC"/>
          </w:tcPr>
          <w:p>
            <w:pPr>
              <w:spacing w:after="0"/>
              <w:rPr>
                <w:sz w:val="12"/>
                <w:szCs w:val="12"/>
                <w:color w:val="auto"/>
              </w:rPr>
            </w:pPr>
          </w:p>
        </w:tc>
        <w:tc>
          <w:tcPr>
            <w:tcW w:w="200" w:type="dxa"/>
            <w:vAlign w:val="bottom"/>
            <w:tcBorders>
              <w:top w:val="single" w:sz="8" w:color="auto"/>
            </w:tcBorders>
            <w:shd w:val="clear" w:color="auto" w:fill="CFF0FC"/>
          </w:tcPr>
          <w:p>
            <w:pPr>
              <w:spacing w:after="0"/>
              <w:rPr>
                <w:sz w:val="12"/>
                <w:szCs w:val="12"/>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407</w:t>
            </w:r>
          </w:p>
        </w:tc>
        <w:tc>
          <w:tcPr>
            <w:tcW w:w="240" w:type="dxa"/>
            <w:vAlign w:val="bottom"/>
            <w:tcBorders>
              <w:top w:val="single" w:sz="8" w:color="CFF0FC"/>
              <w:right w:val="single" w:sz="8" w:color="auto"/>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200" w:type="dxa"/>
            <w:vAlign w:val="bottom"/>
            <w:tcBorders>
              <w:top w:val="single" w:sz="8" w:color="auto"/>
            </w:tcBorders>
            <w:shd w:val="clear" w:color="auto" w:fill="CFF0FC"/>
          </w:tcPr>
          <w:p>
            <w:pPr>
              <w:spacing w:after="0"/>
              <w:rPr>
                <w:sz w:val="12"/>
                <w:szCs w:val="12"/>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4,580</w:t>
            </w:r>
          </w:p>
        </w:tc>
        <w:tc>
          <w:tcPr>
            <w:tcW w:w="6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5000" w:type="dxa"/>
            <w:vAlign w:val="bottom"/>
            <w:gridSpan w:val="2"/>
          </w:tcPr>
          <w:p>
            <w:pPr>
              <w:spacing w:after="0"/>
              <w:rPr>
                <w:sz w:val="20"/>
                <w:szCs w:val="20"/>
                <w:color w:val="auto"/>
              </w:rPr>
            </w:pPr>
            <w:r>
              <w:rPr>
                <w:rFonts w:ascii="Arial" w:cs="Arial" w:eastAsia="Arial" w:hAnsi="Arial"/>
                <w:sz w:val="12"/>
                <w:szCs w:val="12"/>
                <w:color w:val="auto"/>
              </w:rPr>
              <w:t>Deferred</w:t>
            </w:r>
          </w:p>
        </w:tc>
        <w:tc>
          <w:tcPr>
            <w:tcW w:w="3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4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000" w:type="dxa"/>
            <w:vAlign w:val="bottom"/>
            <w:gridSpan w:val="2"/>
            <w:shd w:val="clear" w:color="auto" w:fill="CFF0FC"/>
          </w:tcPr>
          <w:p>
            <w:pPr>
              <w:ind w:left="80"/>
              <w:spacing w:after="0"/>
              <w:rPr>
                <w:sz w:val="20"/>
                <w:szCs w:val="20"/>
                <w:color w:val="auto"/>
              </w:rPr>
            </w:pPr>
            <w:r>
              <w:rPr>
                <w:rFonts w:ascii="Arial" w:cs="Arial" w:eastAsia="Arial" w:hAnsi="Arial"/>
                <w:sz w:val="12"/>
                <w:szCs w:val="12"/>
                <w:color w:val="auto"/>
              </w:rPr>
              <w:t>Federal</w:t>
            </w:r>
          </w:p>
        </w:tc>
        <w:tc>
          <w:tcPr>
            <w:tcW w:w="320" w:type="dxa"/>
            <w:vAlign w:val="bottom"/>
            <w:shd w:val="clear" w:color="auto" w:fill="CFF0FC"/>
          </w:tcPr>
          <w:p>
            <w:pPr>
              <w:spacing w:after="0"/>
              <w:rPr>
                <w:sz w:val="13"/>
                <w:szCs w:val="13"/>
                <w:color w:val="auto"/>
              </w:rPr>
            </w:pPr>
          </w:p>
        </w:tc>
        <w:tc>
          <w:tcPr>
            <w:tcW w:w="124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(8,542)</w:t>
            </w:r>
          </w:p>
        </w:tc>
        <w:tc>
          <w:tcPr>
            <w:tcW w:w="12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320" w:type="dxa"/>
            <w:vAlign w:val="bottom"/>
            <w:gridSpan w:val="2"/>
            <w:shd w:val="clear" w:color="auto" w:fill="CFF0FC"/>
          </w:tcPr>
          <w:p>
            <w:pPr>
              <w:jc w:val="right"/>
              <w:ind w:right="260"/>
              <w:spacing w:after="0"/>
              <w:rPr>
                <w:sz w:val="20"/>
                <w:szCs w:val="20"/>
                <w:color w:val="auto"/>
              </w:rPr>
            </w:pPr>
            <w:r>
              <w:rPr>
                <w:rFonts w:ascii="Arial" w:cs="Arial" w:eastAsia="Arial" w:hAnsi="Arial"/>
                <w:sz w:val="12"/>
                <w:szCs w:val="12"/>
                <w:color w:val="auto"/>
              </w:rPr>
              <w:t>(18,334)</w:t>
            </w:r>
          </w:p>
        </w:tc>
        <w:tc>
          <w:tcPr>
            <w:tcW w:w="200" w:type="dxa"/>
            <w:vAlign w:val="bottom"/>
            <w:shd w:val="clear" w:color="auto" w:fill="CFF0FC"/>
          </w:tcPr>
          <w:p>
            <w:pPr>
              <w:spacing w:after="0"/>
              <w:rPr>
                <w:sz w:val="13"/>
                <w:szCs w:val="13"/>
                <w:color w:val="auto"/>
              </w:rPr>
            </w:pPr>
          </w:p>
        </w:tc>
        <w:tc>
          <w:tcPr>
            <w:tcW w:w="1400" w:type="dxa"/>
            <w:vAlign w:val="bottom"/>
            <w:tcBorders>
              <w:right w:val="single" w:sz="8" w:color="auto"/>
            </w:tcBorders>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(31,091)</w:t>
            </w:r>
          </w:p>
        </w:tc>
        <w:tc>
          <w:tcPr>
            <w:tcW w:w="1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20" w:type="dxa"/>
            <w:vAlign w:val="bottom"/>
            <w:gridSpan w:val="2"/>
            <w:shd w:val="clear" w:color="auto" w:fill="CFF0FC"/>
          </w:tcPr>
          <w:p>
            <w:pPr>
              <w:jc w:val="right"/>
              <w:ind w:right="20"/>
              <w:spacing w:after="0"/>
              <w:rPr>
                <w:sz w:val="20"/>
                <w:szCs w:val="20"/>
                <w:color w:val="auto"/>
              </w:rPr>
            </w:pPr>
            <w:r>
              <w:rPr>
                <w:rFonts w:ascii="Arial" w:cs="Arial" w:eastAsia="Arial" w:hAnsi="Arial"/>
                <w:sz w:val="12"/>
                <w:szCs w:val="12"/>
                <w:color w:val="auto"/>
              </w:rPr>
              <w:t>(3,115)</w:t>
            </w:r>
          </w:p>
        </w:tc>
        <w:tc>
          <w:tcPr>
            <w:tcW w:w="0" w:type="dxa"/>
            <w:vAlign w:val="bottom"/>
          </w:tcPr>
          <w:p>
            <w:pPr>
              <w:spacing w:after="0"/>
              <w:rPr>
                <w:sz w:val="1"/>
                <w:szCs w:val="1"/>
                <w:color w:val="auto"/>
              </w:rPr>
            </w:pPr>
          </w:p>
        </w:tc>
      </w:tr>
      <w:tr>
        <w:trPr>
          <w:trHeight w:val="153"/>
        </w:trPr>
        <w:tc>
          <w:tcPr>
            <w:tcW w:w="5000" w:type="dxa"/>
            <w:vAlign w:val="bottom"/>
            <w:gridSpan w:val="2"/>
          </w:tcPr>
          <w:p>
            <w:pPr>
              <w:ind w:left="80"/>
              <w:spacing w:after="0"/>
              <w:rPr>
                <w:sz w:val="20"/>
                <w:szCs w:val="20"/>
                <w:color w:val="auto"/>
              </w:rPr>
            </w:pPr>
            <w:r>
              <w:rPr>
                <w:rFonts w:ascii="Arial" w:cs="Arial" w:eastAsia="Arial" w:hAnsi="Arial"/>
                <w:sz w:val="12"/>
                <w:szCs w:val="12"/>
                <w:color w:val="auto"/>
              </w:rPr>
              <w:t>State</w:t>
            </w:r>
          </w:p>
        </w:tc>
        <w:tc>
          <w:tcPr>
            <w:tcW w:w="320" w:type="dxa"/>
            <w:vAlign w:val="bottom"/>
          </w:tcPr>
          <w:p>
            <w:pPr>
              <w:spacing w:after="0"/>
              <w:rPr>
                <w:sz w:val="13"/>
                <w:szCs w:val="13"/>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2"/>
                <w:szCs w:val="12"/>
                <w:color w:val="auto"/>
              </w:rPr>
              <w:t>(2,092)</w:t>
            </w: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2"/>
                <w:szCs w:val="12"/>
                <w:color w:val="auto"/>
              </w:rPr>
              <w:t>(5,669)</w:t>
            </w:r>
          </w:p>
        </w:tc>
        <w:tc>
          <w:tcPr>
            <w:tcW w:w="20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7</w:t>
            </w:r>
          </w:p>
        </w:tc>
        <w:tc>
          <w:tcPr>
            <w:tcW w:w="24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2"/>
                <w:szCs w:val="12"/>
                <w:color w:val="auto"/>
              </w:rPr>
              <w:t>(213)</w:t>
            </w:r>
          </w:p>
        </w:tc>
        <w:tc>
          <w:tcPr>
            <w:tcW w:w="0" w:type="dxa"/>
            <w:vAlign w:val="bottom"/>
          </w:tcPr>
          <w:p>
            <w:pPr>
              <w:spacing w:after="0"/>
              <w:rPr>
                <w:sz w:val="1"/>
                <w:szCs w:val="1"/>
                <w:color w:val="auto"/>
              </w:rPr>
            </w:pPr>
          </w:p>
        </w:tc>
      </w:tr>
      <w:tr>
        <w:trPr>
          <w:trHeight w:val="153"/>
        </w:trPr>
        <w:tc>
          <w:tcPr>
            <w:tcW w:w="5000" w:type="dxa"/>
            <w:vAlign w:val="bottom"/>
            <w:gridSpan w:val="2"/>
            <w:shd w:val="clear" w:color="auto" w:fill="CFF0FC"/>
          </w:tcPr>
          <w:p>
            <w:pPr>
              <w:ind w:left="80"/>
              <w:spacing w:after="0"/>
              <w:rPr>
                <w:sz w:val="20"/>
                <w:szCs w:val="20"/>
                <w:color w:val="auto"/>
              </w:rPr>
            </w:pPr>
            <w:r>
              <w:rPr>
                <w:rFonts w:ascii="Arial" w:cs="Arial" w:eastAsia="Arial" w:hAnsi="Arial"/>
                <w:sz w:val="12"/>
                <w:szCs w:val="12"/>
                <w:color w:val="auto"/>
              </w:rPr>
              <w:t>Foreign</w:t>
            </w:r>
          </w:p>
        </w:tc>
        <w:tc>
          <w:tcPr>
            <w:tcW w:w="320" w:type="dxa"/>
            <w:vAlign w:val="bottom"/>
            <w:shd w:val="clear" w:color="auto" w:fill="CFF0FC"/>
          </w:tcPr>
          <w:p>
            <w:pPr>
              <w:spacing w:after="0"/>
              <w:rPr>
                <w:sz w:val="13"/>
                <w:szCs w:val="13"/>
                <w:color w:val="auto"/>
              </w:rPr>
            </w:pPr>
          </w:p>
        </w:tc>
        <w:tc>
          <w:tcPr>
            <w:tcW w:w="124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(675)</w:t>
            </w:r>
          </w:p>
        </w:tc>
        <w:tc>
          <w:tcPr>
            <w:tcW w:w="12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320" w:type="dxa"/>
            <w:vAlign w:val="bottom"/>
            <w:gridSpan w:val="2"/>
            <w:shd w:val="clear" w:color="auto" w:fill="CFF0FC"/>
          </w:tcPr>
          <w:p>
            <w:pPr>
              <w:jc w:val="right"/>
              <w:ind w:right="260"/>
              <w:spacing w:after="0"/>
              <w:rPr>
                <w:sz w:val="20"/>
                <w:szCs w:val="20"/>
                <w:color w:val="auto"/>
              </w:rPr>
            </w:pPr>
            <w:r>
              <w:rPr>
                <w:rFonts w:ascii="Arial" w:cs="Arial" w:eastAsia="Arial" w:hAnsi="Arial"/>
                <w:sz w:val="12"/>
                <w:szCs w:val="12"/>
                <w:color w:val="auto"/>
              </w:rPr>
              <w:t>(432)</w:t>
            </w:r>
          </w:p>
        </w:tc>
        <w:tc>
          <w:tcPr>
            <w:tcW w:w="200" w:type="dxa"/>
            <w:vAlign w:val="bottom"/>
            <w:shd w:val="clear" w:color="auto" w:fill="CFF0FC"/>
          </w:tcPr>
          <w:p>
            <w:pPr>
              <w:spacing w:after="0"/>
              <w:rPr>
                <w:sz w:val="13"/>
                <w:szCs w:val="13"/>
                <w:color w:val="auto"/>
              </w:rPr>
            </w:pPr>
          </w:p>
        </w:tc>
        <w:tc>
          <w:tcPr>
            <w:tcW w:w="1400" w:type="dxa"/>
            <w:vAlign w:val="bottom"/>
            <w:tcBorders>
              <w:right w:val="single" w:sz="8" w:color="auto"/>
            </w:tcBorders>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
        </w:trPr>
        <w:tc>
          <w:tcPr>
            <w:tcW w:w="5000" w:type="dxa"/>
            <w:vAlign w:val="bottom"/>
            <w:gridSpan w:val="2"/>
            <w:vMerge w:val="restart"/>
          </w:tcPr>
          <w:p>
            <w:pPr>
              <w:spacing w:after="0"/>
              <w:rPr>
                <w:sz w:val="20"/>
                <w:szCs w:val="20"/>
                <w:color w:val="auto"/>
              </w:rPr>
            </w:pPr>
            <w:r>
              <w:rPr>
                <w:rFonts w:ascii="Arial" w:cs="Arial" w:eastAsia="Arial" w:hAnsi="Arial"/>
                <w:sz w:val="12"/>
                <w:szCs w:val="12"/>
                <w:color w:val="auto"/>
              </w:rPr>
              <w:t>Total deferred tax expense</w:t>
            </w: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00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2"/>
                <w:szCs w:val="12"/>
                <w:color w:val="auto"/>
              </w:rPr>
              <w:t>(11,309)</w:t>
            </w: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2"/>
                <w:szCs w:val="12"/>
                <w:color w:val="auto"/>
              </w:rPr>
              <w:t>(24,435)</w:t>
            </w:r>
          </w:p>
        </w:tc>
        <w:tc>
          <w:tcPr>
            <w:tcW w:w="200" w:type="dxa"/>
            <w:vAlign w:val="bottom"/>
          </w:tcPr>
          <w:p>
            <w:pPr>
              <w:spacing w:after="0"/>
              <w:rPr>
                <w:sz w:val="12"/>
                <w:szCs w:val="12"/>
                <w:color w:val="auto"/>
              </w:rPr>
            </w:pPr>
          </w:p>
        </w:tc>
        <w:tc>
          <w:tcPr>
            <w:tcW w:w="140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2"/>
                <w:szCs w:val="12"/>
                <w:color w:val="auto"/>
              </w:rPr>
              <w:t>(31,084)</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2"/>
                <w:szCs w:val="12"/>
                <w:color w:val="auto"/>
              </w:rPr>
              <w:t>(3,328)</w:t>
            </w:r>
          </w:p>
        </w:tc>
        <w:tc>
          <w:tcPr>
            <w:tcW w:w="0" w:type="dxa"/>
            <w:vAlign w:val="bottom"/>
          </w:tcPr>
          <w:p>
            <w:pPr>
              <w:spacing w:after="0"/>
              <w:rPr>
                <w:sz w:val="1"/>
                <w:szCs w:val="1"/>
                <w:color w:val="auto"/>
              </w:rPr>
            </w:pPr>
          </w:p>
        </w:tc>
      </w:tr>
      <w:tr>
        <w:trPr>
          <w:trHeight w:val="20"/>
        </w:trPr>
        <w:tc>
          <w:tcPr>
            <w:tcW w:w="5000" w:type="dxa"/>
            <w:vAlign w:val="bottom"/>
            <w:gridSpan w:val="2"/>
            <w:vMerge w:val="restart"/>
            <w:shd w:val="clear" w:color="auto" w:fill="CFF0FC"/>
          </w:tcPr>
          <w:p>
            <w:pPr>
              <w:spacing w:after="0"/>
              <w:rPr>
                <w:sz w:val="20"/>
                <w:szCs w:val="20"/>
                <w:color w:val="auto"/>
              </w:rPr>
            </w:pPr>
            <w:r>
              <w:rPr>
                <w:rFonts w:ascii="Arial" w:cs="Arial" w:eastAsia="Arial" w:hAnsi="Arial"/>
                <w:sz w:val="12"/>
                <w:szCs w:val="12"/>
                <w:color w:val="auto"/>
              </w:rPr>
              <w:t>Income tax provision (benefit)</w:t>
            </w: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000" w:type="dxa"/>
            <w:vAlign w:val="bottom"/>
            <w:gridSpan w:val="2"/>
            <w:vMerge w:val="continue"/>
            <w:shd w:val="clear" w:color="auto" w:fill="CFF0FC"/>
          </w:tcPr>
          <w:p>
            <w:pPr>
              <w:spacing w:after="0"/>
              <w:rPr>
                <w:sz w:val="12"/>
                <w:szCs w:val="12"/>
                <w:color w:val="auto"/>
              </w:rPr>
            </w:pPr>
          </w:p>
        </w:tc>
        <w:tc>
          <w:tcPr>
            <w:tcW w:w="320" w:type="dxa"/>
            <w:vAlign w:val="bottom"/>
            <w:shd w:val="clear" w:color="auto" w:fill="CFF0FC"/>
          </w:tcPr>
          <w:p>
            <w:pPr>
              <w:jc w:val="right"/>
              <w:ind w:right="210"/>
              <w:spacing w:after="0"/>
              <w:rPr>
                <w:sz w:val="20"/>
                <w:szCs w:val="20"/>
                <w:color w:val="auto"/>
              </w:rPr>
            </w:pPr>
            <w:r>
              <w:rPr>
                <w:rFonts w:ascii="Arial" w:cs="Arial" w:eastAsia="Arial" w:hAnsi="Arial"/>
                <w:sz w:val="10"/>
                <w:szCs w:val="10"/>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13,581</w:t>
            </w:r>
          </w:p>
        </w:tc>
        <w:tc>
          <w:tcPr>
            <w:tcW w:w="180" w:type="dxa"/>
            <w:vAlign w:val="bottom"/>
            <w:shd w:val="clear" w:color="auto" w:fill="CFF0FC"/>
          </w:tcPr>
          <w:p>
            <w:pPr>
              <w:spacing w:after="0"/>
              <w:rPr>
                <w:sz w:val="12"/>
                <w:szCs w:val="12"/>
                <w:color w:val="auto"/>
              </w:rPr>
            </w:pPr>
          </w:p>
        </w:tc>
        <w:tc>
          <w:tcPr>
            <w:tcW w:w="480" w:type="dxa"/>
            <w:vAlign w:val="bottom"/>
            <w:gridSpan w:val="2"/>
            <w:shd w:val="clear" w:color="auto" w:fill="CFF0FC"/>
          </w:tcPr>
          <w:p>
            <w:pPr>
              <w:jc w:val="right"/>
              <w:ind w:right="300"/>
              <w:spacing w:after="0"/>
              <w:rPr>
                <w:sz w:val="20"/>
                <w:szCs w:val="20"/>
                <w:color w:val="auto"/>
              </w:rPr>
            </w:pPr>
            <w:r>
              <w:rPr>
                <w:rFonts w:ascii="Arial" w:cs="Arial" w:eastAsia="Arial" w:hAnsi="Arial"/>
                <w:sz w:val="12"/>
                <w:szCs w:val="12"/>
                <w:color w:val="auto"/>
              </w:rPr>
              <w:t>$</w:t>
            </w:r>
          </w:p>
        </w:tc>
        <w:tc>
          <w:tcPr>
            <w:tcW w:w="1320" w:type="dxa"/>
            <w:vAlign w:val="bottom"/>
            <w:gridSpan w:val="2"/>
            <w:shd w:val="clear" w:color="auto" w:fill="CFF0FC"/>
          </w:tcPr>
          <w:p>
            <w:pPr>
              <w:jc w:val="right"/>
              <w:ind w:right="260"/>
              <w:spacing w:after="0"/>
              <w:rPr>
                <w:sz w:val="20"/>
                <w:szCs w:val="20"/>
                <w:color w:val="auto"/>
              </w:rPr>
            </w:pPr>
            <w:r>
              <w:rPr>
                <w:rFonts w:ascii="Arial" w:cs="Arial" w:eastAsia="Arial" w:hAnsi="Arial"/>
                <w:sz w:val="12"/>
                <w:szCs w:val="12"/>
                <w:color w:val="auto"/>
              </w:rPr>
              <w:t>(16,241)</w:t>
            </w:r>
          </w:p>
        </w:tc>
        <w:tc>
          <w:tcPr>
            <w:tcW w:w="200" w:type="dxa"/>
            <w:vAlign w:val="bottom"/>
            <w:shd w:val="clear" w:color="auto" w:fill="CFF0FC"/>
          </w:tcPr>
          <w:p>
            <w:pPr>
              <w:jc w:val="right"/>
              <w:ind w:right="90"/>
              <w:spacing w:after="0"/>
              <w:rPr>
                <w:sz w:val="20"/>
                <w:szCs w:val="20"/>
                <w:color w:val="auto"/>
              </w:rPr>
            </w:pPr>
            <w:r>
              <w:rPr>
                <w:rFonts w:ascii="Arial" w:cs="Arial" w:eastAsia="Arial" w:hAnsi="Arial"/>
                <w:sz w:val="10"/>
                <w:szCs w:val="10"/>
                <w:color w:val="auto"/>
                <w:w w:val="71"/>
              </w:rPr>
              <w:t>$</w:t>
            </w:r>
          </w:p>
        </w:tc>
        <w:tc>
          <w:tcPr>
            <w:tcW w:w="1400" w:type="dxa"/>
            <w:vAlign w:val="bottom"/>
            <w:tcBorders>
              <w:right w:val="single" w:sz="8" w:color="auto"/>
            </w:tcBorders>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(30,677)</w:t>
            </w:r>
          </w:p>
        </w:tc>
        <w:tc>
          <w:tcPr>
            <w:tcW w:w="30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1,252</w:t>
            </w: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640" w:type="dxa"/>
            <w:vAlign w:val="bottom"/>
            <w:shd w:val="clear" w:color="auto" w:fill="CFF0FC"/>
          </w:tcPr>
          <w:p>
            <w:pPr>
              <w:spacing w:after="0"/>
              <w:rPr>
                <w:sz w:val="2"/>
                <w:szCs w:val="2"/>
                <w:color w:val="auto"/>
              </w:rPr>
            </w:pPr>
          </w:p>
        </w:tc>
        <w:tc>
          <w:tcPr>
            <w:tcW w:w="4360" w:type="dxa"/>
            <w:vAlign w:val="bottom"/>
            <w:shd w:val="clear" w:color="auto" w:fill="CFF0FC"/>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8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300" w:type="dxa"/>
            <w:vAlign w:val="bottom"/>
            <w:shd w:val="clear" w:color="auto" w:fill="CFF0FC"/>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40" w:type="dxa"/>
            <w:vAlign w:val="bottom"/>
            <w:tcBorders>
              <w:right w:val="single" w:sz="8" w:color="auto"/>
            </w:tcBorders>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6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ind w:left="600"/>
        <w:spacing w:after="0"/>
        <w:rPr>
          <w:sz w:val="20"/>
          <w:szCs w:val="20"/>
          <w:color w:val="auto"/>
        </w:rPr>
      </w:pPr>
      <w:r>
        <w:rPr>
          <w:rFonts w:ascii="Arial" w:cs="Arial" w:eastAsia="Arial" w:hAnsi="Arial"/>
          <w:sz w:val="12"/>
          <w:szCs w:val="12"/>
          <w:color w:val="auto"/>
        </w:rPr>
        <w:t>A reconciliation of the income tax provision (benefit) and the amounts computed by applying the statutory federal income tax rate to the income (loss) before tax provision (benefit) is as 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40" w:type="dxa"/>
            <w:vAlign w:val="bottom"/>
          </w:tcPr>
          <w:p>
            <w:pPr>
              <w:spacing w:after="0"/>
              <w:rPr>
                <w:sz w:val="10"/>
                <w:szCs w:val="10"/>
                <w:color w:val="auto"/>
              </w:rPr>
            </w:pPr>
          </w:p>
        </w:tc>
        <w:tc>
          <w:tcPr>
            <w:tcW w:w="43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320" w:type="dxa"/>
            <w:vAlign w:val="bottom"/>
            <w:gridSpan w:val="2"/>
          </w:tcPr>
          <w:p>
            <w:pPr>
              <w:jc w:val="right"/>
              <w:ind w:right="800"/>
              <w:spacing w:after="0"/>
              <w:rPr>
                <w:sz w:val="20"/>
                <w:szCs w:val="20"/>
                <w:color w:val="auto"/>
              </w:rPr>
            </w:pPr>
            <w:r>
              <w:rPr>
                <w:rFonts w:ascii="Arial" w:cs="Arial" w:eastAsia="Arial" w:hAnsi="Arial"/>
                <w:sz w:val="10"/>
                <w:szCs w:val="10"/>
                <w:b w:val="1"/>
                <w:bCs w:val="1"/>
                <w:color w:val="auto"/>
                <w:w w:val="98"/>
              </w:rPr>
              <w:t>Successor</w:t>
            </w:r>
          </w:p>
        </w:tc>
        <w:tc>
          <w:tcPr>
            <w:tcW w:w="2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w w:val="83"/>
              </w:rPr>
              <w:t>Predecessor</w:t>
            </w:r>
          </w:p>
        </w:tc>
        <w:tc>
          <w:tcPr>
            <w:tcW w:w="0" w:type="dxa"/>
            <w:vAlign w:val="bottom"/>
          </w:tcPr>
          <w:p>
            <w:pPr>
              <w:spacing w:after="0"/>
              <w:rPr>
                <w:sz w:val="1"/>
                <w:szCs w:val="1"/>
                <w:color w:val="auto"/>
              </w:rPr>
            </w:pPr>
          </w:p>
        </w:tc>
      </w:tr>
      <w:tr>
        <w:trPr>
          <w:trHeight w:val="83"/>
        </w:trPr>
        <w:tc>
          <w:tcPr>
            <w:tcW w:w="640" w:type="dxa"/>
            <w:vAlign w:val="bottom"/>
          </w:tcPr>
          <w:p>
            <w:pPr>
              <w:spacing w:after="0"/>
              <w:rPr>
                <w:sz w:val="7"/>
                <w:szCs w:val="7"/>
                <w:color w:val="auto"/>
              </w:rPr>
            </w:pPr>
          </w:p>
        </w:tc>
        <w:tc>
          <w:tcPr>
            <w:tcW w:w="4360" w:type="dxa"/>
            <w:vAlign w:val="bottom"/>
          </w:tcPr>
          <w:p>
            <w:pPr>
              <w:spacing w:after="0"/>
              <w:rPr>
                <w:sz w:val="7"/>
                <w:szCs w:val="7"/>
                <w:color w:val="auto"/>
              </w:rPr>
            </w:pPr>
          </w:p>
        </w:tc>
        <w:tc>
          <w:tcPr>
            <w:tcW w:w="320" w:type="dxa"/>
            <w:vAlign w:val="bottom"/>
            <w:tcBorders>
              <w:top w:val="single" w:sz="8" w:color="auto"/>
            </w:tcBorders>
          </w:tcPr>
          <w:p>
            <w:pPr>
              <w:spacing w:after="0"/>
              <w:rPr>
                <w:sz w:val="7"/>
                <w:szCs w:val="7"/>
                <w:color w:val="auto"/>
              </w:rPr>
            </w:pPr>
          </w:p>
        </w:tc>
        <w:tc>
          <w:tcPr>
            <w:tcW w:w="1060" w:type="dxa"/>
            <w:vAlign w:val="bottom"/>
            <w:tcBorders>
              <w:top w:val="single" w:sz="8" w:color="auto"/>
            </w:tcBorders>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360" w:type="dxa"/>
            <w:vAlign w:val="bottom"/>
            <w:tcBorders>
              <w:top w:val="single" w:sz="8" w:color="auto"/>
            </w:tcBorders>
          </w:tcPr>
          <w:p>
            <w:pPr>
              <w:spacing w:after="0"/>
              <w:rPr>
                <w:sz w:val="7"/>
                <w:szCs w:val="7"/>
                <w:color w:val="auto"/>
              </w:rPr>
            </w:pPr>
          </w:p>
        </w:tc>
        <w:tc>
          <w:tcPr>
            <w:tcW w:w="1020" w:type="dxa"/>
            <w:vAlign w:val="bottom"/>
            <w:tcBorders>
              <w:top w:val="single" w:sz="8" w:color="auto"/>
            </w:tcBorders>
          </w:tcPr>
          <w:p>
            <w:pPr>
              <w:spacing w:after="0"/>
              <w:rPr>
                <w:sz w:val="7"/>
                <w:szCs w:val="7"/>
                <w:color w:val="auto"/>
              </w:rPr>
            </w:pPr>
          </w:p>
        </w:tc>
        <w:tc>
          <w:tcPr>
            <w:tcW w:w="300" w:type="dxa"/>
            <w:vAlign w:val="bottom"/>
            <w:tcBorders>
              <w:top w:val="single" w:sz="8" w:color="auto"/>
            </w:tcBorders>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1160" w:type="dxa"/>
            <w:vAlign w:val="bottom"/>
            <w:tcBorders>
              <w:top w:val="single" w:sz="8" w:color="auto"/>
            </w:tcBorders>
          </w:tcPr>
          <w:p>
            <w:pPr>
              <w:jc w:val="center"/>
              <w:ind w:right="163"/>
              <w:spacing w:after="0" w:line="83" w:lineRule="exact"/>
              <w:rPr>
                <w:sz w:val="20"/>
                <w:szCs w:val="20"/>
                <w:color w:val="auto"/>
              </w:rPr>
            </w:pPr>
            <w:r>
              <w:rPr>
                <w:rFonts w:ascii="Arial" w:cs="Arial" w:eastAsia="Arial" w:hAnsi="Arial"/>
                <w:sz w:val="8"/>
                <w:szCs w:val="8"/>
                <w:b w:val="1"/>
                <w:bCs w:val="1"/>
                <w:color w:val="auto"/>
              </w:rPr>
              <w:t>Period from</w:t>
            </w:r>
          </w:p>
        </w:tc>
        <w:tc>
          <w:tcPr>
            <w:tcW w:w="240" w:type="dxa"/>
            <w:vAlign w:val="bottom"/>
            <w:tcBorders>
              <w:righ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1160" w:type="dxa"/>
            <w:vAlign w:val="bottom"/>
            <w:tcBorders>
              <w:top w:val="single" w:sz="8" w:color="auto"/>
            </w:tcBorders>
          </w:tcPr>
          <w:p>
            <w:pPr>
              <w:jc w:val="center"/>
              <w:ind w:right="164"/>
              <w:spacing w:after="0" w:line="83" w:lineRule="exact"/>
              <w:rPr>
                <w:sz w:val="20"/>
                <w:szCs w:val="20"/>
                <w:color w:val="auto"/>
              </w:rPr>
            </w:pPr>
            <w:r>
              <w:rPr>
                <w:rFonts w:ascii="Arial" w:cs="Arial" w:eastAsia="Arial" w:hAnsi="Arial"/>
                <w:sz w:val="8"/>
                <w:szCs w:val="8"/>
                <w:b w:val="1"/>
                <w:bCs w:val="1"/>
                <w:color w:val="auto"/>
              </w:rPr>
              <w:t>Period from</w:t>
            </w: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640" w:type="dxa"/>
            <w:vAlign w:val="bottom"/>
          </w:tcPr>
          <w:p>
            <w:pPr>
              <w:spacing w:after="0"/>
              <w:rPr>
                <w:sz w:val="8"/>
                <w:szCs w:val="8"/>
                <w:color w:val="auto"/>
              </w:rPr>
            </w:pPr>
          </w:p>
        </w:tc>
        <w:tc>
          <w:tcPr>
            <w:tcW w:w="4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720" w:type="dxa"/>
            <w:vAlign w:val="bottom"/>
            <w:gridSpan w:val="4"/>
          </w:tcPr>
          <w:p>
            <w:pPr>
              <w:jc w:val="right"/>
              <w:ind w:right="100"/>
              <w:spacing w:after="0" w:line="99" w:lineRule="exact"/>
              <w:rPr>
                <w:sz w:val="20"/>
                <w:szCs w:val="20"/>
                <w:color w:val="auto"/>
              </w:rPr>
            </w:pPr>
            <w:r>
              <w:rPr>
                <w:rFonts w:ascii="Arial" w:cs="Arial" w:eastAsia="Arial" w:hAnsi="Arial"/>
                <w:sz w:val="10"/>
                <w:szCs w:val="10"/>
                <w:b w:val="1"/>
                <w:bCs w:val="1"/>
                <w:color w:val="auto"/>
              </w:rPr>
              <w:t>For the Year Ended</w:t>
            </w:r>
          </w:p>
        </w:tc>
        <w:tc>
          <w:tcPr>
            <w:tcW w:w="10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0" w:type="dxa"/>
            <w:vAlign w:val="bottom"/>
            <w:tcBorders>
              <w:right w:val="single" w:sz="8" w:color="auto"/>
            </w:tcBorders>
            <w:gridSpan w:val="2"/>
          </w:tcPr>
          <w:p>
            <w:pPr>
              <w:jc w:val="center"/>
              <w:ind w:right="460"/>
              <w:spacing w:after="0" w:line="99" w:lineRule="exact"/>
              <w:rPr>
                <w:sz w:val="20"/>
                <w:szCs w:val="20"/>
                <w:color w:val="auto"/>
              </w:rPr>
            </w:pPr>
            <w:r>
              <w:rPr>
                <w:rFonts w:ascii="Arial" w:cs="Arial" w:eastAsia="Arial" w:hAnsi="Arial"/>
                <w:sz w:val="10"/>
                <w:szCs w:val="10"/>
                <w:b w:val="1"/>
                <w:bCs w:val="1"/>
                <w:color w:val="auto"/>
                <w:w w:val="86"/>
              </w:rPr>
              <w:t>June 1, 2017 to</w:t>
            </w: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20" w:type="dxa"/>
            <w:vAlign w:val="bottom"/>
            <w:gridSpan w:val="2"/>
          </w:tcPr>
          <w:p>
            <w:pPr>
              <w:jc w:val="center"/>
              <w:ind w:right="280"/>
              <w:spacing w:after="0" w:line="99" w:lineRule="exact"/>
              <w:rPr>
                <w:sz w:val="20"/>
                <w:szCs w:val="20"/>
                <w:color w:val="auto"/>
              </w:rPr>
            </w:pPr>
            <w:r>
              <w:rPr>
                <w:rFonts w:ascii="Arial" w:cs="Arial" w:eastAsia="Arial" w:hAnsi="Arial"/>
                <w:sz w:val="10"/>
                <w:szCs w:val="10"/>
                <w:b w:val="1"/>
                <w:bCs w:val="1"/>
                <w:color w:val="auto"/>
                <w:w w:val="88"/>
              </w:rPr>
              <w:t>January 1, 2017</w:t>
            </w:r>
          </w:p>
        </w:tc>
        <w:tc>
          <w:tcPr>
            <w:tcW w:w="0" w:type="dxa"/>
            <w:vAlign w:val="bottom"/>
          </w:tcPr>
          <w:p>
            <w:pPr>
              <w:spacing w:after="0"/>
              <w:rPr>
                <w:sz w:val="1"/>
                <w:szCs w:val="1"/>
                <w:color w:val="auto"/>
              </w:rPr>
            </w:pPr>
          </w:p>
        </w:tc>
      </w:tr>
      <w:tr>
        <w:trPr>
          <w:trHeight w:val="114"/>
        </w:trPr>
        <w:tc>
          <w:tcPr>
            <w:tcW w:w="640" w:type="dxa"/>
            <w:vAlign w:val="bottom"/>
          </w:tcPr>
          <w:p>
            <w:pPr>
              <w:spacing w:after="0"/>
              <w:rPr>
                <w:sz w:val="9"/>
                <w:szCs w:val="9"/>
                <w:color w:val="auto"/>
              </w:rPr>
            </w:pPr>
          </w:p>
        </w:tc>
        <w:tc>
          <w:tcPr>
            <w:tcW w:w="4360" w:type="dxa"/>
            <w:vAlign w:val="bottom"/>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720" w:type="dxa"/>
            <w:vAlign w:val="bottom"/>
            <w:tcBorders>
              <w:bottom w:val="single" w:sz="8" w:color="auto"/>
            </w:tcBorders>
            <w:gridSpan w:val="4"/>
          </w:tcPr>
          <w:p>
            <w:pPr>
              <w:jc w:val="right"/>
              <w:ind w:right="240"/>
              <w:spacing w:after="0" w:line="114" w:lineRule="exact"/>
              <w:rPr>
                <w:sz w:val="20"/>
                <w:szCs w:val="20"/>
                <w:color w:val="auto"/>
              </w:rPr>
            </w:pPr>
            <w:r>
              <w:rPr>
                <w:rFonts w:ascii="Arial" w:cs="Arial" w:eastAsia="Arial" w:hAnsi="Arial"/>
                <w:sz w:val="10"/>
                <w:szCs w:val="10"/>
                <w:b w:val="1"/>
                <w:bCs w:val="1"/>
                <w:color w:val="auto"/>
              </w:rPr>
              <w:t>December 31,</w:t>
            </w:r>
          </w:p>
        </w:tc>
        <w:tc>
          <w:tcPr>
            <w:tcW w:w="102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0" w:type="dxa"/>
            <w:vAlign w:val="bottom"/>
            <w:tcBorders>
              <w:right w:val="single" w:sz="8" w:color="auto"/>
            </w:tcBorders>
            <w:gridSpan w:val="2"/>
          </w:tcPr>
          <w:p>
            <w:pPr>
              <w:jc w:val="center"/>
              <w:ind w:right="440"/>
              <w:spacing w:after="0" w:line="114" w:lineRule="exact"/>
              <w:rPr>
                <w:sz w:val="20"/>
                <w:szCs w:val="20"/>
                <w:color w:val="auto"/>
              </w:rPr>
            </w:pPr>
            <w:r>
              <w:rPr>
                <w:rFonts w:ascii="Arial" w:cs="Arial" w:eastAsia="Arial" w:hAnsi="Arial"/>
                <w:sz w:val="10"/>
                <w:szCs w:val="10"/>
                <w:b w:val="1"/>
                <w:bCs w:val="1"/>
                <w:color w:val="auto"/>
                <w:w w:val="86"/>
              </w:rPr>
              <w:t>December 31,</w:t>
            </w: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20" w:type="dxa"/>
            <w:vAlign w:val="bottom"/>
            <w:gridSpan w:val="2"/>
          </w:tcPr>
          <w:p>
            <w:pPr>
              <w:jc w:val="center"/>
              <w:ind w:right="260"/>
              <w:spacing w:after="0" w:line="114" w:lineRule="exact"/>
              <w:rPr>
                <w:sz w:val="20"/>
                <w:szCs w:val="20"/>
                <w:color w:val="auto"/>
              </w:rPr>
            </w:pPr>
            <w:r>
              <w:rPr>
                <w:rFonts w:ascii="Arial" w:cs="Arial" w:eastAsia="Arial" w:hAnsi="Arial"/>
                <w:sz w:val="10"/>
                <w:szCs w:val="10"/>
                <w:b w:val="1"/>
                <w:bCs w:val="1"/>
                <w:color w:val="auto"/>
                <w:w w:val="90"/>
              </w:rPr>
              <w:t>to May 31,</w:t>
            </w:r>
          </w:p>
        </w:tc>
        <w:tc>
          <w:tcPr>
            <w:tcW w:w="0" w:type="dxa"/>
            <w:vAlign w:val="bottom"/>
          </w:tcPr>
          <w:p>
            <w:pPr>
              <w:spacing w:after="0"/>
              <w:rPr>
                <w:sz w:val="1"/>
                <w:szCs w:val="1"/>
                <w:color w:val="auto"/>
              </w:rPr>
            </w:pPr>
          </w:p>
        </w:tc>
      </w:tr>
      <w:tr>
        <w:trPr>
          <w:trHeight w:val="88"/>
        </w:trPr>
        <w:tc>
          <w:tcPr>
            <w:tcW w:w="5000" w:type="dxa"/>
            <w:vAlign w:val="bottom"/>
            <w:gridSpan w:val="2"/>
          </w:tcPr>
          <w:p>
            <w:pPr>
              <w:spacing w:after="0" w:line="88" w:lineRule="exact"/>
              <w:rPr>
                <w:sz w:val="20"/>
                <w:szCs w:val="20"/>
                <w:color w:val="auto"/>
              </w:rPr>
            </w:pPr>
            <w:r>
              <w:rPr>
                <w:rFonts w:ascii="Arial" w:cs="Arial" w:eastAsia="Arial" w:hAnsi="Arial"/>
                <w:sz w:val="10"/>
                <w:szCs w:val="10"/>
                <w:b w:val="1"/>
                <w:bCs w:val="1"/>
                <w:u w:val="single" w:color="auto"/>
                <w:color w:val="auto"/>
              </w:rPr>
              <w:t>(</w:t>
            </w:r>
            <w:r>
              <w:rPr>
                <w:rFonts w:ascii="Arial" w:cs="Arial" w:eastAsia="Arial" w:hAnsi="Arial"/>
                <w:sz w:val="10"/>
                <w:szCs w:val="10"/>
                <w:b w:val="1"/>
                <w:bCs w:val="1"/>
                <w:color w:val="auto"/>
              </w:rPr>
              <w:t>$ in thousands)</w:t>
            </w:r>
          </w:p>
        </w:tc>
        <w:tc>
          <w:tcPr>
            <w:tcW w:w="320" w:type="dxa"/>
            <w:vAlign w:val="bottom"/>
          </w:tcPr>
          <w:p>
            <w:pPr>
              <w:spacing w:after="0"/>
              <w:rPr>
                <w:sz w:val="7"/>
                <w:szCs w:val="7"/>
                <w:color w:val="auto"/>
              </w:rPr>
            </w:pPr>
          </w:p>
        </w:tc>
        <w:tc>
          <w:tcPr>
            <w:tcW w:w="1060" w:type="dxa"/>
            <w:vAlign w:val="bottom"/>
          </w:tcPr>
          <w:p>
            <w:pPr>
              <w:jc w:val="right"/>
              <w:ind w:right="542"/>
              <w:spacing w:after="0" w:line="88" w:lineRule="exact"/>
              <w:rPr>
                <w:sz w:val="20"/>
                <w:szCs w:val="20"/>
                <w:color w:val="auto"/>
              </w:rPr>
            </w:pPr>
            <w:r>
              <w:rPr>
                <w:rFonts w:ascii="Arial" w:cs="Arial" w:eastAsia="Arial" w:hAnsi="Arial"/>
                <w:sz w:val="10"/>
                <w:szCs w:val="10"/>
                <w:b w:val="1"/>
                <w:bCs w:val="1"/>
                <w:color w:val="auto"/>
              </w:rPr>
              <w:t>2019</w:t>
            </w: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20" w:type="dxa"/>
            <w:vAlign w:val="bottom"/>
          </w:tcPr>
          <w:p>
            <w:pPr>
              <w:jc w:val="right"/>
              <w:ind w:right="542"/>
              <w:spacing w:after="0" w:line="88" w:lineRule="exact"/>
              <w:rPr>
                <w:sz w:val="20"/>
                <w:szCs w:val="20"/>
                <w:color w:val="auto"/>
              </w:rPr>
            </w:pPr>
            <w:r>
              <w:rPr>
                <w:rFonts w:ascii="Arial" w:cs="Arial" w:eastAsia="Arial" w:hAnsi="Arial"/>
                <w:sz w:val="10"/>
                <w:szCs w:val="10"/>
                <w:b w:val="1"/>
                <w:bCs w:val="1"/>
                <w:color w:val="auto"/>
              </w:rPr>
              <w:t>2018</w:t>
            </w:r>
          </w:p>
        </w:tc>
        <w:tc>
          <w:tcPr>
            <w:tcW w:w="3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160" w:type="dxa"/>
            <w:vAlign w:val="bottom"/>
          </w:tcPr>
          <w:p>
            <w:pPr>
              <w:jc w:val="center"/>
              <w:ind w:right="143"/>
              <w:spacing w:after="0" w:line="88" w:lineRule="exact"/>
              <w:rPr>
                <w:sz w:val="20"/>
                <w:szCs w:val="20"/>
                <w:color w:val="auto"/>
              </w:rPr>
            </w:pPr>
            <w:r>
              <w:rPr>
                <w:rFonts w:ascii="Arial" w:cs="Arial" w:eastAsia="Arial" w:hAnsi="Arial"/>
                <w:sz w:val="10"/>
                <w:szCs w:val="10"/>
                <w:b w:val="1"/>
                <w:bCs w:val="1"/>
                <w:color w:val="auto"/>
                <w:w w:val="89"/>
              </w:rPr>
              <w:t>2017</w:t>
            </w:r>
          </w:p>
        </w:tc>
        <w:tc>
          <w:tcPr>
            <w:tcW w:w="240" w:type="dxa"/>
            <w:vAlign w:val="bottom"/>
            <w:tcBorders>
              <w:righ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160" w:type="dxa"/>
            <w:vAlign w:val="bottom"/>
          </w:tcPr>
          <w:p>
            <w:pPr>
              <w:jc w:val="center"/>
              <w:ind w:right="164"/>
              <w:spacing w:after="0" w:line="88" w:lineRule="exact"/>
              <w:rPr>
                <w:sz w:val="20"/>
                <w:szCs w:val="20"/>
                <w:color w:val="auto"/>
              </w:rPr>
            </w:pPr>
            <w:r>
              <w:rPr>
                <w:rFonts w:ascii="Arial" w:cs="Arial" w:eastAsia="Arial" w:hAnsi="Arial"/>
                <w:sz w:val="10"/>
                <w:szCs w:val="10"/>
                <w:b w:val="1"/>
                <w:bCs w:val="1"/>
                <w:color w:val="auto"/>
                <w:w w:val="80"/>
              </w:rPr>
              <w:t>2017</w:t>
            </w: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640" w:type="dxa"/>
            <w:vAlign w:val="bottom"/>
            <w:tcBorders>
              <w:bottom w:val="single" w:sz="8" w:color="CFF0FC"/>
            </w:tcBorders>
            <w:shd w:val="clear" w:color="auto" w:fill="000000"/>
          </w:tcPr>
          <w:p>
            <w:pPr>
              <w:spacing w:after="0" w:line="20" w:lineRule="exact"/>
              <w:rPr>
                <w:sz w:val="1"/>
                <w:szCs w:val="1"/>
                <w:color w:val="auto"/>
              </w:rPr>
            </w:pPr>
          </w:p>
        </w:tc>
        <w:tc>
          <w:tcPr>
            <w:tcW w:w="4360" w:type="dxa"/>
            <w:vAlign w:val="bottom"/>
            <w:tcBorders>
              <w:bottom w:val="single" w:sz="8" w:color="CFF0FC"/>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FF0FC"/>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FF0FC"/>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FF0FC"/>
              <w:right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5000" w:type="dxa"/>
            <w:vAlign w:val="bottom"/>
            <w:gridSpan w:val="2"/>
            <w:shd w:val="clear" w:color="auto" w:fill="CFF0FC"/>
          </w:tcPr>
          <w:p>
            <w:pPr>
              <w:spacing w:after="0" w:line="132" w:lineRule="exact"/>
              <w:rPr>
                <w:sz w:val="20"/>
                <w:szCs w:val="20"/>
                <w:color w:val="auto"/>
              </w:rPr>
            </w:pPr>
            <w:r>
              <w:rPr>
                <w:rFonts w:ascii="Arial" w:cs="Arial" w:eastAsia="Arial" w:hAnsi="Arial"/>
                <w:sz w:val="12"/>
                <w:szCs w:val="12"/>
                <w:color w:val="auto"/>
              </w:rPr>
              <w:t>Income tax provision (benefit) at statutory rate</w:t>
            </w:r>
          </w:p>
        </w:tc>
        <w:tc>
          <w:tcPr>
            <w:tcW w:w="320" w:type="dxa"/>
            <w:vAlign w:val="bottom"/>
            <w:shd w:val="clear" w:color="auto" w:fill="CFF0FC"/>
          </w:tcPr>
          <w:p>
            <w:pPr>
              <w:jc w:val="right"/>
              <w:ind w:right="210"/>
              <w:spacing w:after="0"/>
              <w:rPr>
                <w:sz w:val="20"/>
                <w:szCs w:val="20"/>
                <w:color w:val="auto"/>
              </w:rPr>
            </w:pPr>
            <w:r>
              <w:rPr>
                <w:rFonts w:ascii="Arial" w:cs="Arial" w:eastAsia="Arial" w:hAnsi="Arial"/>
                <w:sz w:val="10"/>
                <w:szCs w:val="10"/>
                <w:color w:val="auto"/>
                <w:w w:val="71"/>
              </w:rPr>
              <w:t>$</w:t>
            </w:r>
          </w:p>
        </w:tc>
        <w:tc>
          <w:tcPr>
            <w:tcW w:w="1060" w:type="dxa"/>
            <w:vAlign w:val="bottom"/>
            <w:shd w:val="clear" w:color="auto" w:fill="CFF0FC"/>
          </w:tcPr>
          <w:p>
            <w:pPr>
              <w:jc w:val="right"/>
              <w:spacing w:after="0" w:line="132" w:lineRule="exact"/>
              <w:rPr>
                <w:sz w:val="20"/>
                <w:szCs w:val="20"/>
                <w:color w:val="auto"/>
              </w:rPr>
            </w:pPr>
            <w:r>
              <w:rPr>
                <w:rFonts w:ascii="Arial" w:cs="Arial" w:eastAsia="Arial" w:hAnsi="Arial"/>
                <w:sz w:val="12"/>
                <w:szCs w:val="12"/>
                <w:color w:val="auto"/>
              </w:rPr>
              <w:t>9,854</w:t>
            </w:r>
          </w:p>
        </w:tc>
        <w:tc>
          <w:tcPr>
            <w:tcW w:w="180" w:type="dxa"/>
            <w:vAlign w:val="bottom"/>
            <w:shd w:val="clear" w:color="auto" w:fill="CFF0FC"/>
          </w:tcPr>
          <w:p>
            <w:pPr>
              <w:spacing w:after="0"/>
              <w:rPr>
                <w:sz w:val="11"/>
                <w:szCs w:val="11"/>
                <w:color w:val="auto"/>
              </w:rPr>
            </w:pPr>
          </w:p>
        </w:tc>
        <w:tc>
          <w:tcPr>
            <w:tcW w:w="480" w:type="dxa"/>
            <w:vAlign w:val="bottom"/>
            <w:gridSpan w:val="2"/>
            <w:shd w:val="clear" w:color="auto" w:fill="CFF0FC"/>
          </w:tcPr>
          <w:p>
            <w:pPr>
              <w:jc w:val="right"/>
              <w:ind w:right="300"/>
              <w:spacing w:after="0" w:line="132" w:lineRule="exact"/>
              <w:rPr>
                <w:sz w:val="20"/>
                <w:szCs w:val="20"/>
                <w:color w:val="auto"/>
              </w:rPr>
            </w:pPr>
            <w:r>
              <w:rPr>
                <w:rFonts w:ascii="Arial" w:cs="Arial" w:eastAsia="Arial" w:hAnsi="Arial"/>
                <w:sz w:val="12"/>
                <w:szCs w:val="12"/>
                <w:color w:val="auto"/>
              </w:rPr>
              <w:t>$</w:t>
            </w:r>
          </w:p>
        </w:tc>
        <w:tc>
          <w:tcPr>
            <w:tcW w:w="1320" w:type="dxa"/>
            <w:vAlign w:val="bottom"/>
            <w:gridSpan w:val="2"/>
            <w:shd w:val="clear" w:color="auto" w:fill="CFF0FC"/>
          </w:tcPr>
          <w:p>
            <w:pPr>
              <w:jc w:val="right"/>
              <w:ind w:right="260"/>
              <w:spacing w:after="0" w:line="132" w:lineRule="exact"/>
              <w:rPr>
                <w:sz w:val="20"/>
                <w:szCs w:val="20"/>
                <w:color w:val="auto"/>
              </w:rPr>
            </w:pPr>
            <w:r>
              <w:rPr>
                <w:rFonts w:ascii="Arial" w:cs="Arial" w:eastAsia="Arial" w:hAnsi="Arial"/>
                <w:sz w:val="12"/>
                <w:szCs w:val="12"/>
                <w:color w:val="auto"/>
              </w:rPr>
              <w:t>(15,674)</w:t>
            </w:r>
          </w:p>
        </w:tc>
        <w:tc>
          <w:tcPr>
            <w:tcW w:w="200" w:type="dxa"/>
            <w:vAlign w:val="bottom"/>
            <w:shd w:val="clear" w:color="auto" w:fill="CFF0FC"/>
          </w:tcPr>
          <w:p>
            <w:pPr>
              <w:jc w:val="right"/>
              <w:ind w:right="90"/>
              <w:spacing w:after="0"/>
              <w:rPr>
                <w:sz w:val="20"/>
                <w:szCs w:val="20"/>
                <w:color w:val="auto"/>
              </w:rPr>
            </w:pPr>
            <w:r>
              <w:rPr>
                <w:rFonts w:ascii="Arial" w:cs="Arial" w:eastAsia="Arial" w:hAnsi="Arial"/>
                <w:sz w:val="10"/>
                <w:szCs w:val="10"/>
                <w:color w:val="auto"/>
                <w:w w:val="71"/>
              </w:rPr>
              <w:t>$</w:t>
            </w:r>
          </w:p>
        </w:tc>
        <w:tc>
          <w:tcPr>
            <w:tcW w:w="1400" w:type="dxa"/>
            <w:vAlign w:val="bottom"/>
            <w:tcBorders>
              <w:right w:val="single" w:sz="8" w:color="auto"/>
            </w:tcBorders>
            <w:gridSpan w:val="2"/>
            <w:shd w:val="clear" w:color="auto" w:fill="CFF0FC"/>
          </w:tcPr>
          <w:p>
            <w:pPr>
              <w:jc w:val="right"/>
              <w:ind w:right="200"/>
              <w:spacing w:after="0" w:line="132" w:lineRule="exact"/>
              <w:rPr>
                <w:sz w:val="20"/>
                <w:szCs w:val="20"/>
                <w:color w:val="auto"/>
              </w:rPr>
            </w:pPr>
            <w:r>
              <w:rPr>
                <w:rFonts w:ascii="Arial" w:cs="Arial" w:eastAsia="Arial" w:hAnsi="Arial"/>
                <w:sz w:val="12"/>
                <w:szCs w:val="12"/>
                <w:color w:val="auto"/>
              </w:rPr>
              <w:t>(4,354)</w:t>
            </w:r>
          </w:p>
        </w:tc>
        <w:tc>
          <w:tcPr>
            <w:tcW w:w="300" w:type="dxa"/>
            <w:vAlign w:val="bottom"/>
            <w:gridSpan w:val="2"/>
            <w:shd w:val="clear" w:color="auto" w:fill="CFF0FC"/>
          </w:tcPr>
          <w:p>
            <w:pPr>
              <w:jc w:val="right"/>
              <w:ind w:right="140"/>
              <w:spacing w:after="0" w:line="132" w:lineRule="exact"/>
              <w:rPr>
                <w:sz w:val="20"/>
                <w:szCs w:val="20"/>
                <w:color w:val="auto"/>
              </w:rPr>
            </w:pPr>
            <w:r>
              <w:rPr>
                <w:rFonts w:ascii="Arial" w:cs="Arial" w:eastAsia="Arial" w:hAnsi="Arial"/>
                <w:sz w:val="12"/>
                <w:szCs w:val="12"/>
                <w:color w:val="auto"/>
              </w:rPr>
              <w:t>$</w:t>
            </w:r>
          </w:p>
        </w:tc>
        <w:tc>
          <w:tcPr>
            <w:tcW w:w="1160" w:type="dxa"/>
            <w:vAlign w:val="bottom"/>
            <w:shd w:val="clear" w:color="auto" w:fill="CFF0FC"/>
          </w:tcPr>
          <w:p>
            <w:pPr>
              <w:jc w:val="right"/>
              <w:spacing w:after="0" w:line="132" w:lineRule="exact"/>
              <w:rPr>
                <w:sz w:val="20"/>
                <w:szCs w:val="20"/>
                <w:color w:val="auto"/>
              </w:rPr>
            </w:pPr>
            <w:r>
              <w:rPr>
                <w:rFonts w:ascii="Arial" w:cs="Arial" w:eastAsia="Arial" w:hAnsi="Arial"/>
                <w:sz w:val="12"/>
                <w:szCs w:val="12"/>
                <w:color w:val="auto"/>
              </w:rPr>
              <w:t>872</w:t>
            </w:r>
          </w:p>
        </w:tc>
        <w:tc>
          <w:tcPr>
            <w:tcW w:w="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5000" w:type="dxa"/>
            <w:vAlign w:val="bottom"/>
            <w:gridSpan w:val="2"/>
          </w:tcPr>
          <w:p>
            <w:pPr>
              <w:spacing w:after="0"/>
              <w:rPr>
                <w:sz w:val="20"/>
                <w:szCs w:val="20"/>
                <w:color w:val="auto"/>
              </w:rPr>
            </w:pPr>
            <w:r>
              <w:rPr>
                <w:rFonts w:ascii="Arial" w:cs="Arial" w:eastAsia="Arial" w:hAnsi="Arial"/>
                <w:sz w:val="12"/>
                <w:szCs w:val="12"/>
                <w:color w:val="auto"/>
              </w:rPr>
              <w:t>State income taxes, net of federal income tax effect</w:t>
            </w:r>
          </w:p>
        </w:tc>
        <w:tc>
          <w:tcPr>
            <w:tcW w:w="32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2,360</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2"/>
                <w:szCs w:val="12"/>
                <w:color w:val="auto"/>
              </w:rPr>
              <w:t>(3,785)</w:t>
            </w:r>
          </w:p>
        </w:tc>
        <w:tc>
          <w:tcPr>
            <w:tcW w:w="20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149</w:t>
            </w:r>
          </w:p>
        </w:tc>
        <w:tc>
          <w:tcPr>
            <w:tcW w:w="24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230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00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Tax rate changes/ valuation of deferred tax items</w:t>
            </w:r>
          </w:p>
        </w:tc>
        <w:tc>
          <w:tcPr>
            <w:tcW w:w="320" w:type="dxa"/>
            <w:vAlign w:val="bottom"/>
            <w:shd w:val="clear" w:color="auto" w:fill="CFF0FC"/>
          </w:tcPr>
          <w:p>
            <w:pPr>
              <w:spacing w:after="0"/>
              <w:rPr>
                <w:sz w:val="13"/>
                <w:szCs w:val="13"/>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998</w:t>
            </w:r>
          </w:p>
        </w:tc>
        <w:tc>
          <w:tcPr>
            <w:tcW w:w="1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320" w:type="dxa"/>
            <w:vAlign w:val="bottom"/>
            <w:gridSpan w:val="2"/>
            <w:shd w:val="clear" w:color="auto" w:fill="CFF0FC"/>
          </w:tcPr>
          <w:p>
            <w:pPr>
              <w:jc w:val="right"/>
              <w:ind w:right="260"/>
              <w:spacing w:after="0"/>
              <w:rPr>
                <w:sz w:val="20"/>
                <w:szCs w:val="20"/>
                <w:color w:val="auto"/>
              </w:rPr>
            </w:pPr>
            <w:r>
              <w:rPr>
                <w:rFonts w:ascii="Arial" w:cs="Arial" w:eastAsia="Arial" w:hAnsi="Arial"/>
                <w:sz w:val="12"/>
                <w:szCs w:val="12"/>
                <w:color w:val="auto"/>
              </w:rPr>
              <w:t>(1,457)</w:t>
            </w:r>
          </w:p>
        </w:tc>
        <w:tc>
          <w:tcPr>
            <w:tcW w:w="200" w:type="dxa"/>
            <w:vAlign w:val="bottom"/>
            <w:shd w:val="clear" w:color="auto" w:fill="CFF0FC"/>
          </w:tcPr>
          <w:p>
            <w:pPr>
              <w:spacing w:after="0"/>
              <w:rPr>
                <w:sz w:val="13"/>
                <w:szCs w:val="13"/>
                <w:color w:val="auto"/>
              </w:rPr>
            </w:pPr>
          </w:p>
        </w:tc>
        <w:tc>
          <w:tcPr>
            <w:tcW w:w="1400" w:type="dxa"/>
            <w:vAlign w:val="bottom"/>
            <w:tcBorders>
              <w:right w:val="single" w:sz="8" w:color="auto"/>
            </w:tcBorders>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(27,337)</w:t>
            </w:r>
          </w:p>
        </w:tc>
        <w:tc>
          <w:tcPr>
            <w:tcW w:w="1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20" w:type="dxa"/>
            <w:vAlign w:val="bottom"/>
            <w:gridSpan w:val="2"/>
            <w:shd w:val="clear" w:color="auto" w:fill="CFF0FC"/>
          </w:tcPr>
          <w:p>
            <w:pPr>
              <w:jc w:val="right"/>
              <w:ind w:right="20"/>
              <w:spacing w:after="0"/>
              <w:rPr>
                <w:sz w:val="20"/>
                <w:szCs w:val="20"/>
                <w:color w:val="auto"/>
              </w:rPr>
            </w:pPr>
            <w:r>
              <w:rPr>
                <w:rFonts w:ascii="Arial" w:cs="Arial" w:eastAsia="Arial" w:hAnsi="Arial"/>
                <w:sz w:val="12"/>
                <w:szCs w:val="12"/>
                <w:color w:val="auto"/>
              </w:rPr>
              <w:t>(1,267)</w:t>
            </w:r>
          </w:p>
        </w:tc>
        <w:tc>
          <w:tcPr>
            <w:tcW w:w="0" w:type="dxa"/>
            <w:vAlign w:val="bottom"/>
          </w:tcPr>
          <w:p>
            <w:pPr>
              <w:spacing w:after="0"/>
              <w:rPr>
                <w:sz w:val="1"/>
                <w:szCs w:val="1"/>
                <w:color w:val="auto"/>
              </w:rPr>
            </w:pPr>
          </w:p>
        </w:tc>
      </w:tr>
      <w:tr>
        <w:trPr>
          <w:trHeight w:val="153"/>
        </w:trPr>
        <w:tc>
          <w:tcPr>
            <w:tcW w:w="5000" w:type="dxa"/>
            <w:vAlign w:val="bottom"/>
            <w:gridSpan w:val="2"/>
          </w:tcPr>
          <w:p>
            <w:pPr>
              <w:spacing w:after="0"/>
              <w:rPr>
                <w:sz w:val="20"/>
                <w:szCs w:val="20"/>
                <w:color w:val="auto"/>
              </w:rPr>
            </w:pPr>
            <w:r>
              <w:rPr>
                <w:rFonts w:ascii="Arial" w:cs="Arial" w:eastAsia="Arial" w:hAnsi="Arial"/>
                <w:sz w:val="12"/>
                <w:szCs w:val="12"/>
                <w:color w:val="auto"/>
              </w:rPr>
              <w:t>162(m) limitation</w:t>
            </w:r>
          </w:p>
        </w:tc>
        <w:tc>
          <w:tcPr>
            <w:tcW w:w="32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1,289</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140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500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Non-deductible expenses</w:t>
            </w:r>
          </w:p>
        </w:tc>
        <w:tc>
          <w:tcPr>
            <w:tcW w:w="320" w:type="dxa"/>
            <w:vAlign w:val="bottom"/>
            <w:shd w:val="clear" w:color="auto" w:fill="CFF0FC"/>
          </w:tcPr>
          <w:p>
            <w:pPr>
              <w:spacing w:after="0"/>
              <w:rPr>
                <w:sz w:val="13"/>
                <w:szCs w:val="13"/>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450</w:t>
            </w:r>
          </w:p>
        </w:tc>
        <w:tc>
          <w:tcPr>
            <w:tcW w:w="1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676</w:t>
            </w:r>
          </w:p>
        </w:tc>
        <w:tc>
          <w:tcPr>
            <w:tcW w:w="3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297</w:t>
            </w:r>
          </w:p>
        </w:tc>
        <w:tc>
          <w:tcPr>
            <w:tcW w:w="240" w:type="dxa"/>
            <w:vAlign w:val="bottom"/>
            <w:tcBorders>
              <w:right w:val="single" w:sz="8" w:color="auto"/>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240</w:t>
            </w:r>
          </w:p>
        </w:tc>
        <w:tc>
          <w:tcPr>
            <w:tcW w:w="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000" w:type="dxa"/>
            <w:vAlign w:val="bottom"/>
            <w:gridSpan w:val="2"/>
          </w:tcPr>
          <w:p>
            <w:pPr>
              <w:spacing w:after="0"/>
              <w:rPr>
                <w:sz w:val="20"/>
                <w:szCs w:val="20"/>
                <w:color w:val="auto"/>
              </w:rPr>
            </w:pPr>
            <w:r>
              <w:rPr>
                <w:rFonts w:ascii="Arial" w:cs="Arial" w:eastAsia="Arial" w:hAnsi="Arial"/>
                <w:sz w:val="12"/>
                <w:szCs w:val="12"/>
                <w:color w:val="auto"/>
              </w:rPr>
              <w:t>Unrecognized tax benefits</w:t>
            </w:r>
          </w:p>
        </w:tc>
        <w:tc>
          <w:tcPr>
            <w:tcW w:w="320" w:type="dxa"/>
            <w:vAlign w:val="bottom"/>
          </w:tcPr>
          <w:p>
            <w:pPr>
              <w:spacing w:after="0"/>
              <w:rPr>
                <w:sz w:val="13"/>
                <w:szCs w:val="13"/>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2"/>
                <w:szCs w:val="12"/>
                <w:color w:val="auto"/>
              </w:rPr>
              <w:t>(741)</w:t>
            </w: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600</w:t>
            </w: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2"/>
                <w:szCs w:val="12"/>
                <w:color w:val="auto"/>
              </w:rPr>
              <w:t>(188)</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2"/>
                <w:szCs w:val="12"/>
                <w:color w:val="auto"/>
              </w:rPr>
              <w:t>(328)</w:t>
            </w:r>
          </w:p>
        </w:tc>
        <w:tc>
          <w:tcPr>
            <w:tcW w:w="0" w:type="dxa"/>
            <w:vAlign w:val="bottom"/>
          </w:tcPr>
          <w:p>
            <w:pPr>
              <w:spacing w:after="0"/>
              <w:rPr>
                <w:sz w:val="1"/>
                <w:szCs w:val="1"/>
                <w:color w:val="auto"/>
              </w:rPr>
            </w:pPr>
          </w:p>
        </w:tc>
      </w:tr>
      <w:tr>
        <w:trPr>
          <w:trHeight w:val="153"/>
        </w:trPr>
        <w:tc>
          <w:tcPr>
            <w:tcW w:w="500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Change in valuation allowance</w:t>
            </w:r>
          </w:p>
        </w:tc>
        <w:tc>
          <w:tcPr>
            <w:tcW w:w="320" w:type="dxa"/>
            <w:vAlign w:val="bottom"/>
            <w:shd w:val="clear" w:color="auto" w:fill="CFF0FC"/>
          </w:tcPr>
          <w:p>
            <w:pPr>
              <w:spacing w:after="0"/>
              <w:rPr>
                <w:sz w:val="13"/>
                <w:szCs w:val="13"/>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317</w:t>
            </w:r>
          </w:p>
        </w:tc>
        <w:tc>
          <w:tcPr>
            <w:tcW w:w="1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2,149</w:t>
            </w:r>
          </w:p>
        </w:tc>
        <w:tc>
          <w:tcPr>
            <w:tcW w:w="3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400" w:type="dxa"/>
            <w:vAlign w:val="bottom"/>
            <w:tcBorders>
              <w:right w:val="single" w:sz="8" w:color="auto"/>
            </w:tcBorders>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5000" w:type="dxa"/>
            <w:vAlign w:val="bottom"/>
            <w:gridSpan w:val="2"/>
          </w:tcPr>
          <w:p>
            <w:pPr>
              <w:spacing w:after="0"/>
              <w:rPr>
                <w:sz w:val="20"/>
                <w:szCs w:val="20"/>
                <w:color w:val="auto"/>
              </w:rPr>
            </w:pPr>
            <w:r>
              <w:rPr>
                <w:rFonts w:ascii="Arial" w:cs="Arial" w:eastAsia="Arial" w:hAnsi="Arial"/>
                <w:sz w:val="12"/>
                <w:szCs w:val="12"/>
                <w:color w:val="auto"/>
              </w:rPr>
              <w:t>Non-deductible transaction costs</w:t>
            </w:r>
          </w:p>
        </w:tc>
        <w:tc>
          <w:tcPr>
            <w:tcW w:w="32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270</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1,172</w:t>
            </w: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827</w:t>
            </w:r>
          </w:p>
        </w:tc>
        <w:tc>
          <w:tcPr>
            <w:tcW w:w="24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822</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00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Research and development credits</w:t>
            </w:r>
          </w:p>
        </w:tc>
        <w:tc>
          <w:tcPr>
            <w:tcW w:w="320" w:type="dxa"/>
            <w:vAlign w:val="bottom"/>
            <w:shd w:val="clear" w:color="auto" w:fill="CFF0FC"/>
          </w:tcPr>
          <w:p>
            <w:pPr>
              <w:spacing w:after="0"/>
              <w:rPr>
                <w:sz w:val="13"/>
                <w:szCs w:val="13"/>
                <w:color w:val="auto"/>
              </w:rPr>
            </w:pPr>
          </w:p>
        </w:tc>
        <w:tc>
          <w:tcPr>
            <w:tcW w:w="124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(232)</w:t>
            </w:r>
          </w:p>
        </w:tc>
        <w:tc>
          <w:tcPr>
            <w:tcW w:w="12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320" w:type="dxa"/>
            <w:vAlign w:val="bottom"/>
            <w:gridSpan w:val="2"/>
            <w:shd w:val="clear" w:color="auto" w:fill="CFF0FC"/>
          </w:tcPr>
          <w:p>
            <w:pPr>
              <w:jc w:val="right"/>
              <w:ind w:right="260"/>
              <w:spacing w:after="0"/>
              <w:rPr>
                <w:sz w:val="20"/>
                <w:szCs w:val="20"/>
                <w:color w:val="auto"/>
              </w:rPr>
            </w:pPr>
            <w:r>
              <w:rPr>
                <w:rFonts w:ascii="Arial" w:cs="Arial" w:eastAsia="Arial" w:hAnsi="Arial"/>
                <w:sz w:val="12"/>
                <w:szCs w:val="12"/>
                <w:color w:val="auto"/>
              </w:rPr>
              <w:t>(602)</w:t>
            </w:r>
          </w:p>
        </w:tc>
        <w:tc>
          <w:tcPr>
            <w:tcW w:w="200" w:type="dxa"/>
            <w:vAlign w:val="bottom"/>
            <w:shd w:val="clear" w:color="auto" w:fill="CFF0FC"/>
          </w:tcPr>
          <w:p>
            <w:pPr>
              <w:spacing w:after="0"/>
              <w:rPr>
                <w:sz w:val="13"/>
                <w:szCs w:val="13"/>
                <w:color w:val="auto"/>
              </w:rPr>
            </w:pPr>
          </w:p>
        </w:tc>
        <w:tc>
          <w:tcPr>
            <w:tcW w:w="1400" w:type="dxa"/>
            <w:vAlign w:val="bottom"/>
            <w:tcBorders>
              <w:right w:val="single" w:sz="8" w:color="auto"/>
            </w:tcBorders>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660</w:t>
            </w:r>
          </w:p>
        </w:tc>
        <w:tc>
          <w:tcPr>
            <w:tcW w:w="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000" w:type="dxa"/>
            <w:vAlign w:val="bottom"/>
            <w:gridSpan w:val="2"/>
          </w:tcPr>
          <w:p>
            <w:pPr>
              <w:spacing w:after="0"/>
              <w:rPr>
                <w:sz w:val="20"/>
                <w:szCs w:val="20"/>
                <w:color w:val="auto"/>
              </w:rPr>
            </w:pPr>
            <w:r>
              <w:rPr>
                <w:rFonts w:ascii="Arial" w:cs="Arial" w:eastAsia="Arial" w:hAnsi="Arial"/>
                <w:sz w:val="12"/>
                <w:szCs w:val="12"/>
                <w:color w:val="auto"/>
              </w:rPr>
              <w:t>Global intangible low tax inclusion</w:t>
            </w:r>
          </w:p>
        </w:tc>
        <w:tc>
          <w:tcPr>
            <w:tcW w:w="320" w:type="dxa"/>
            <w:vAlign w:val="bottom"/>
          </w:tcPr>
          <w:p>
            <w:pPr>
              <w:spacing w:after="0"/>
              <w:rPr>
                <w:sz w:val="13"/>
                <w:szCs w:val="13"/>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478</w:t>
            </w: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500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Other</w:t>
            </w:r>
          </w:p>
        </w:tc>
        <w:tc>
          <w:tcPr>
            <w:tcW w:w="320" w:type="dxa"/>
            <w:vAlign w:val="bottom"/>
            <w:shd w:val="clear" w:color="auto" w:fill="CFF0FC"/>
          </w:tcPr>
          <w:p>
            <w:pPr>
              <w:spacing w:after="0"/>
              <w:rPr>
                <w:sz w:val="13"/>
                <w:szCs w:val="13"/>
                <w:color w:val="auto"/>
              </w:rPr>
            </w:pPr>
          </w:p>
        </w:tc>
        <w:tc>
          <w:tcPr>
            <w:tcW w:w="124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(984)</w:t>
            </w:r>
          </w:p>
        </w:tc>
        <w:tc>
          <w:tcPr>
            <w:tcW w:w="12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202</w:t>
            </w:r>
          </w:p>
        </w:tc>
        <w:tc>
          <w:tcPr>
            <w:tcW w:w="3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400" w:type="dxa"/>
            <w:vAlign w:val="bottom"/>
            <w:tcBorders>
              <w:right w:val="single" w:sz="8" w:color="auto"/>
            </w:tcBorders>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(71)</w:t>
            </w:r>
          </w:p>
        </w:tc>
        <w:tc>
          <w:tcPr>
            <w:tcW w:w="1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23</w:t>
            </w:r>
          </w:p>
        </w:tc>
        <w:tc>
          <w:tcPr>
            <w:tcW w:w="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000" w:type="dxa"/>
            <w:vAlign w:val="bottom"/>
            <w:gridSpan w:val="2"/>
            <w:vMerge w:val="restart"/>
          </w:tcPr>
          <w:p>
            <w:pPr>
              <w:ind w:left="80"/>
              <w:spacing w:after="0"/>
              <w:rPr>
                <w:sz w:val="20"/>
                <w:szCs w:val="20"/>
                <w:color w:val="auto"/>
              </w:rPr>
            </w:pPr>
            <w:r>
              <w:rPr>
                <w:rFonts w:ascii="Arial" w:cs="Arial" w:eastAsia="Arial" w:hAnsi="Arial"/>
                <w:sz w:val="12"/>
                <w:szCs w:val="12"/>
                <w:color w:val="auto"/>
              </w:rPr>
              <w:t>Total income tax provision (benefit)</w:t>
            </w: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5000" w:type="dxa"/>
            <w:vAlign w:val="bottom"/>
            <w:gridSpan w:val="2"/>
            <w:vMerge w:val="continue"/>
          </w:tcPr>
          <w:p>
            <w:pPr>
              <w:spacing w:after="0"/>
              <w:rPr>
                <w:sz w:val="12"/>
                <w:szCs w:val="12"/>
                <w:color w:val="auto"/>
              </w:rPr>
            </w:pPr>
          </w:p>
        </w:tc>
        <w:tc>
          <w:tcPr>
            <w:tcW w:w="320" w:type="dxa"/>
            <w:vAlign w:val="bottom"/>
          </w:tcPr>
          <w:p>
            <w:pPr>
              <w:jc w:val="right"/>
              <w:ind w:right="210"/>
              <w:spacing w:after="0"/>
              <w:rPr>
                <w:sz w:val="20"/>
                <w:szCs w:val="20"/>
                <w:color w:val="auto"/>
              </w:rPr>
            </w:pPr>
            <w:r>
              <w:rPr>
                <w:rFonts w:ascii="Arial" w:cs="Arial" w:eastAsia="Arial" w:hAnsi="Arial"/>
                <w:sz w:val="10"/>
                <w:szCs w:val="10"/>
                <w:color w:val="auto"/>
                <w:w w:val="71"/>
              </w:rPr>
              <w:t>$</w:t>
            </w:r>
          </w:p>
        </w:tc>
        <w:tc>
          <w:tcPr>
            <w:tcW w:w="1060" w:type="dxa"/>
            <w:vAlign w:val="bottom"/>
          </w:tcPr>
          <w:p>
            <w:pPr>
              <w:jc w:val="right"/>
              <w:spacing w:after="0"/>
              <w:rPr>
                <w:sz w:val="20"/>
                <w:szCs w:val="20"/>
                <w:color w:val="auto"/>
              </w:rPr>
            </w:pPr>
            <w:r>
              <w:rPr>
                <w:rFonts w:ascii="Arial" w:cs="Arial" w:eastAsia="Arial" w:hAnsi="Arial"/>
                <w:sz w:val="12"/>
                <w:szCs w:val="12"/>
                <w:color w:val="auto"/>
              </w:rPr>
              <w:t>13,581</w:t>
            </w:r>
          </w:p>
        </w:tc>
        <w:tc>
          <w:tcPr>
            <w:tcW w:w="180" w:type="dxa"/>
            <w:vAlign w:val="bottom"/>
          </w:tcPr>
          <w:p>
            <w:pPr>
              <w:spacing w:after="0"/>
              <w:rPr>
                <w:sz w:val="12"/>
                <w:szCs w:val="12"/>
                <w:color w:val="auto"/>
              </w:rPr>
            </w:pPr>
          </w:p>
        </w:tc>
        <w:tc>
          <w:tcPr>
            <w:tcW w:w="48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1320" w:type="dxa"/>
            <w:vAlign w:val="bottom"/>
            <w:gridSpan w:val="2"/>
          </w:tcPr>
          <w:p>
            <w:pPr>
              <w:jc w:val="right"/>
              <w:ind w:right="260"/>
              <w:spacing w:after="0"/>
              <w:rPr>
                <w:sz w:val="20"/>
                <w:szCs w:val="20"/>
                <w:color w:val="auto"/>
              </w:rPr>
            </w:pPr>
            <w:r>
              <w:rPr>
                <w:rFonts w:ascii="Arial" w:cs="Arial" w:eastAsia="Arial" w:hAnsi="Arial"/>
                <w:sz w:val="12"/>
                <w:szCs w:val="12"/>
                <w:color w:val="auto"/>
              </w:rPr>
              <w:t>(16,241)</w:t>
            </w:r>
          </w:p>
        </w:tc>
        <w:tc>
          <w:tcPr>
            <w:tcW w:w="200" w:type="dxa"/>
            <w:vAlign w:val="bottom"/>
          </w:tcPr>
          <w:p>
            <w:pPr>
              <w:jc w:val="right"/>
              <w:ind w:right="90"/>
              <w:spacing w:after="0"/>
              <w:rPr>
                <w:sz w:val="20"/>
                <w:szCs w:val="20"/>
                <w:color w:val="auto"/>
              </w:rPr>
            </w:pPr>
            <w:r>
              <w:rPr>
                <w:rFonts w:ascii="Arial" w:cs="Arial" w:eastAsia="Arial" w:hAnsi="Arial"/>
                <w:sz w:val="10"/>
                <w:szCs w:val="10"/>
                <w:color w:val="auto"/>
                <w:w w:val="71"/>
              </w:rPr>
              <w:t>$</w:t>
            </w:r>
          </w:p>
        </w:tc>
        <w:tc>
          <w:tcPr>
            <w:tcW w:w="140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2"/>
                <w:szCs w:val="12"/>
                <w:color w:val="auto"/>
              </w:rPr>
              <w:t>(30,677)</w:t>
            </w:r>
          </w:p>
        </w:tc>
        <w:tc>
          <w:tcPr>
            <w:tcW w:w="3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160" w:type="dxa"/>
            <w:vAlign w:val="bottom"/>
          </w:tcPr>
          <w:p>
            <w:pPr>
              <w:jc w:val="right"/>
              <w:spacing w:after="0"/>
              <w:rPr>
                <w:sz w:val="20"/>
                <w:szCs w:val="20"/>
                <w:color w:val="auto"/>
              </w:rPr>
            </w:pPr>
            <w:r>
              <w:rPr>
                <w:rFonts w:ascii="Arial" w:cs="Arial" w:eastAsia="Arial" w:hAnsi="Arial"/>
                <w:sz w:val="12"/>
                <w:szCs w:val="12"/>
                <w:color w:val="auto"/>
              </w:rPr>
              <w:t>1,252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32"/>
        </w:trPr>
        <w:tc>
          <w:tcPr>
            <w:tcW w:w="64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jc w:val="right"/>
              <w:ind w:right="522"/>
              <w:spacing w:after="0"/>
              <w:rPr>
                <w:sz w:val="20"/>
                <w:szCs w:val="20"/>
                <w:color w:val="auto"/>
              </w:rPr>
            </w:pPr>
            <w:r>
              <w:rPr>
                <w:rFonts w:ascii="Arial" w:cs="Arial" w:eastAsia="Arial" w:hAnsi="Arial"/>
                <w:sz w:val="12"/>
                <w:szCs w:val="12"/>
                <w:color w:val="auto"/>
              </w:rPr>
              <w:t>94</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640" w:type="dxa"/>
            <w:vAlign w:val="bottom"/>
            <w:tcBorders>
              <w:bottom w:val="single" w:sz="8" w:color="9A9A9A"/>
            </w:tcBorders>
          </w:tcPr>
          <w:p>
            <w:pPr>
              <w:spacing w:after="0"/>
              <w:rPr>
                <w:sz w:val="6"/>
                <w:szCs w:val="6"/>
                <w:color w:val="auto"/>
              </w:rPr>
            </w:pPr>
          </w:p>
        </w:tc>
        <w:tc>
          <w:tcPr>
            <w:tcW w:w="4360" w:type="dxa"/>
            <w:vAlign w:val="bottom"/>
            <w:tcBorders>
              <w:bottom w:val="single" w:sz="8" w:color="9A9A9A"/>
            </w:tcBorders>
          </w:tcPr>
          <w:p>
            <w:pPr>
              <w:spacing w:after="0"/>
              <w:rPr>
                <w:sz w:val="6"/>
                <w:szCs w:val="6"/>
                <w:color w:val="auto"/>
              </w:rPr>
            </w:pPr>
          </w:p>
        </w:tc>
        <w:tc>
          <w:tcPr>
            <w:tcW w:w="320" w:type="dxa"/>
            <w:vAlign w:val="bottom"/>
            <w:tcBorders>
              <w:bottom w:val="single" w:sz="8" w:color="9A9A9A"/>
            </w:tcBorders>
          </w:tcPr>
          <w:p>
            <w:pPr>
              <w:spacing w:after="0"/>
              <w:rPr>
                <w:sz w:val="6"/>
                <w:szCs w:val="6"/>
                <w:color w:val="auto"/>
              </w:rPr>
            </w:pPr>
          </w:p>
        </w:tc>
        <w:tc>
          <w:tcPr>
            <w:tcW w:w="1060" w:type="dxa"/>
            <w:vAlign w:val="bottom"/>
            <w:tcBorders>
              <w:bottom w:val="single" w:sz="8" w:color="9A9A9A"/>
            </w:tcBorders>
          </w:tcPr>
          <w:p>
            <w:pPr>
              <w:spacing w:after="0"/>
              <w:rPr>
                <w:sz w:val="6"/>
                <w:szCs w:val="6"/>
                <w:color w:val="auto"/>
              </w:rPr>
            </w:pPr>
          </w:p>
        </w:tc>
        <w:tc>
          <w:tcPr>
            <w:tcW w:w="18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360" w:type="dxa"/>
            <w:vAlign w:val="bottom"/>
            <w:tcBorders>
              <w:bottom w:val="single" w:sz="8" w:color="9A9A9A"/>
            </w:tcBorders>
          </w:tcPr>
          <w:p>
            <w:pPr>
              <w:spacing w:after="0"/>
              <w:rPr>
                <w:sz w:val="6"/>
                <w:szCs w:val="6"/>
                <w:color w:val="auto"/>
              </w:rPr>
            </w:pPr>
          </w:p>
        </w:tc>
        <w:tc>
          <w:tcPr>
            <w:tcW w:w="102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116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116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7268845</wp:posOffset>
            </wp:positionH>
            <wp:positionV relativeFrom="paragraph">
              <wp:posOffset>-23495</wp:posOffset>
            </wp:positionV>
            <wp:extent cx="31115" cy="3683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480"/>
          </w:cols>
          <w:pgMar w:left="220" w:top="302" w:right="199" w:bottom="1440" w:gutter="0" w:footer="0" w:header="0"/>
        </w:sectPr>
      </w:pPr>
    </w:p>
    <w:bookmarkStart w:id="95" w:name="page96"/>
    <w:bookmarkEnd w:id="95"/>
    <w:p>
      <w:pPr>
        <w:ind w:left="600"/>
        <w:spacing w:after="0"/>
        <w:rPr>
          <w:sz w:val="20"/>
          <w:szCs w:val="20"/>
          <w:color w:val="auto"/>
        </w:rPr>
      </w:pPr>
      <w:r>
        <w:rPr>
          <w:rFonts w:ascii="Arial" w:cs="Arial" w:eastAsia="Arial" w:hAnsi="Arial"/>
          <w:sz w:val="12"/>
          <w:szCs w:val="12"/>
          <w:color w:val="auto"/>
        </w:rPr>
        <w:t>Significant components of the Company’s deferred income tax assets and liabilities consist of the following at December 31:</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7040" w:type="dxa"/>
            <w:vAlign w:val="bottom"/>
            <w:gridSpan w:val="2"/>
          </w:tcPr>
          <w:p>
            <w:pPr>
              <w:spacing w:after="0"/>
              <w:rPr>
                <w:sz w:val="20"/>
                <w:szCs w:val="20"/>
                <w:color w:val="auto"/>
              </w:rPr>
            </w:pPr>
            <w:r>
              <w:rPr>
                <w:rFonts w:ascii="Arial" w:cs="Arial" w:eastAsia="Arial" w:hAnsi="Arial"/>
                <w:sz w:val="10"/>
                <w:szCs w:val="10"/>
                <w:b w:val="1"/>
                <w:bCs w:val="1"/>
                <w:u w:val="single" w:color="auto"/>
                <w:color w:val="auto"/>
              </w:rPr>
              <w:t>(</w:t>
            </w:r>
            <w:r>
              <w:rPr>
                <w:rFonts w:ascii="Arial" w:cs="Arial" w:eastAsia="Arial" w:hAnsi="Arial"/>
                <w:sz w:val="10"/>
                <w:szCs w:val="10"/>
                <w:b w:val="1"/>
                <w:bCs w:val="1"/>
                <w:color w:val="auto"/>
              </w:rPr>
              <w:t>$ in thousands)</w:t>
            </w:r>
          </w:p>
        </w:tc>
        <w:tc>
          <w:tcPr>
            <w:tcW w:w="480" w:type="dxa"/>
            <w:vAlign w:val="bottom"/>
          </w:tcPr>
          <w:p>
            <w:pPr>
              <w:spacing w:after="0"/>
              <w:rPr>
                <w:sz w:val="10"/>
                <w:szCs w:val="10"/>
                <w:color w:val="auto"/>
              </w:rPr>
            </w:pPr>
          </w:p>
        </w:tc>
        <w:tc>
          <w:tcPr>
            <w:tcW w:w="1520" w:type="dxa"/>
            <w:vAlign w:val="bottom"/>
          </w:tcPr>
          <w:p>
            <w:pPr>
              <w:jc w:val="right"/>
              <w:ind w:right="841"/>
              <w:spacing w:after="0"/>
              <w:rPr>
                <w:sz w:val="20"/>
                <w:szCs w:val="20"/>
                <w:color w:val="auto"/>
              </w:rPr>
            </w:pPr>
            <w:r>
              <w:rPr>
                <w:rFonts w:ascii="Arial" w:cs="Arial" w:eastAsia="Arial" w:hAnsi="Arial"/>
                <w:sz w:val="10"/>
                <w:szCs w:val="10"/>
                <w:b w:val="1"/>
                <w:bCs w:val="1"/>
                <w:color w:val="auto"/>
              </w:rPr>
              <w:t>2019</w:t>
            </w: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520" w:type="dxa"/>
            <w:vAlign w:val="bottom"/>
          </w:tcPr>
          <w:p>
            <w:pPr>
              <w:jc w:val="right"/>
              <w:ind w:right="841"/>
              <w:spacing w:after="0"/>
              <w:rPr>
                <w:sz w:val="20"/>
                <w:szCs w:val="20"/>
                <w:color w:val="auto"/>
              </w:rPr>
            </w:pPr>
            <w:r>
              <w:rPr>
                <w:rFonts w:ascii="Arial" w:cs="Arial" w:eastAsia="Arial" w:hAnsi="Arial"/>
                <w:sz w:val="10"/>
                <w:szCs w:val="10"/>
                <w:b w:val="1"/>
                <w:bCs w:val="1"/>
                <w:color w:val="auto"/>
              </w:rPr>
              <w:t>2018</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 w:type="dxa"/>
            <w:vAlign w:val="bottom"/>
            <w:tcBorders>
              <w:bottom w:val="single" w:sz="8" w:color="CFF0FC"/>
            </w:tcBorders>
            <w:shd w:val="clear" w:color="auto" w:fill="000000"/>
          </w:tcPr>
          <w:p>
            <w:pPr>
              <w:spacing w:after="0" w:line="20" w:lineRule="exact"/>
              <w:rPr>
                <w:sz w:val="1"/>
                <w:szCs w:val="1"/>
                <w:color w:val="auto"/>
              </w:rPr>
            </w:pPr>
          </w:p>
        </w:tc>
        <w:tc>
          <w:tcPr>
            <w:tcW w:w="6400" w:type="dxa"/>
            <w:vAlign w:val="bottom"/>
            <w:tcBorders>
              <w:bottom w:val="single" w:sz="8" w:color="CFF0FC"/>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FF0FC"/>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7040" w:type="dxa"/>
            <w:vAlign w:val="bottom"/>
            <w:gridSpan w:val="2"/>
            <w:shd w:val="clear" w:color="auto" w:fill="CFF0FC"/>
          </w:tcPr>
          <w:p>
            <w:pPr>
              <w:spacing w:after="0" w:line="132" w:lineRule="exact"/>
              <w:rPr>
                <w:sz w:val="20"/>
                <w:szCs w:val="20"/>
                <w:color w:val="auto"/>
              </w:rPr>
            </w:pPr>
            <w:r>
              <w:rPr>
                <w:rFonts w:ascii="Arial" w:cs="Arial" w:eastAsia="Arial" w:hAnsi="Arial"/>
                <w:sz w:val="12"/>
                <w:szCs w:val="12"/>
                <w:color w:val="auto"/>
              </w:rPr>
              <w:t>Deferred tax assets:</w:t>
            </w:r>
          </w:p>
        </w:tc>
        <w:tc>
          <w:tcPr>
            <w:tcW w:w="480" w:type="dxa"/>
            <w:vAlign w:val="bottom"/>
            <w:shd w:val="clear" w:color="auto" w:fill="CFF0FC"/>
          </w:tcPr>
          <w:p>
            <w:pPr>
              <w:spacing w:after="0"/>
              <w:rPr>
                <w:sz w:val="11"/>
                <w:szCs w:val="11"/>
                <w:color w:val="auto"/>
              </w:rPr>
            </w:pPr>
          </w:p>
        </w:tc>
        <w:tc>
          <w:tcPr>
            <w:tcW w:w="152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15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7040" w:type="dxa"/>
            <w:vAlign w:val="bottom"/>
            <w:gridSpan w:val="2"/>
          </w:tcPr>
          <w:p>
            <w:pPr>
              <w:ind w:left="80"/>
              <w:spacing w:after="0"/>
              <w:rPr>
                <w:sz w:val="20"/>
                <w:szCs w:val="20"/>
                <w:color w:val="auto"/>
              </w:rPr>
            </w:pPr>
            <w:r>
              <w:rPr>
                <w:rFonts w:ascii="Arial" w:cs="Arial" w:eastAsia="Arial" w:hAnsi="Arial"/>
                <w:sz w:val="12"/>
                <w:szCs w:val="12"/>
                <w:color w:val="auto"/>
              </w:rPr>
              <w:t>Accrued expenses and other</w:t>
            </w:r>
          </w:p>
        </w:tc>
        <w:tc>
          <w:tcPr>
            <w:tcW w:w="480" w:type="dxa"/>
            <w:vAlign w:val="bottom"/>
          </w:tcPr>
          <w:p>
            <w:pPr>
              <w:jc w:val="right"/>
              <w:ind w:right="370"/>
              <w:spacing w:after="0"/>
              <w:rPr>
                <w:sz w:val="20"/>
                <w:szCs w:val="20"/>
                <w:color w:val="auto"/>
              </w:rPr>
            </w:pPr>
            <w:r>
              <w:rPr>
                <w:rFonts w:ascii="Arial" w:cs="Arial" w:eastAsia="Arial" w:hAnsi="Arial"/>
                <w:sz w:val="10"/>
                <w:szCs w:val="10"/>
                <w:color w:val="auto"/>
                <w:w w:val="71"/>
              </w:rPr>
              <w:t>$</w:t>
            </w:r>
          </w:p>
        </w:tc>
        <w:tc>
          <w:tcPr>
            <w:tcW w:w="1520" w:type="dxa"/>
            <w:vAlign w:val="bottom"/>
          </w:tcPr>
          <w:p>
            <w:pPr>
              <w:jc w:val="right"/>
              <w:spacing w:after="0"/>
              <w:rPr>
                <w:sz w:val="20"/>
                <w:szCs w:val="20"/>
                <w:color w:val="auto"/>
              </w:rPr>
            </w:pPr>
            <w:r>
              <w:rPr>
                <w:rFonts w:ascii="Arial" w:cs="Arial" w:eastAsia="Arial" w:hAnsi="Arial"/>
                <w:sz w:val="12"/>
                <w:szCs w:val="12"/>
                <w:color w:val="auto"/>
              </w:rPr>
              <w:t>1,538</w:t>
            </w:r>
          </w:p>
        </w:tc>
        <w:tc>
          <w:tcPr>
            <w:tcW w:w="320" w:type="dxa"/>
            <w:vAlign w:val="bottom"/>
          </w:tcPr>
          <w:p>
            <w:pPr>
              <w:spacing w:after="0"/>
              <w:rPr>
                <w:sz w:val="13"/>
                <w:szCs w:val="13"/>
                <w:color w:val="auto"/>
              </w:rPr>
            </w:pPr>
          </w:p>
        </w:tc>
        <w:tc>
          <w:tcPr>
            <w:tcW w:w="480" w:type="dxa"/>
            <w:vAlign w:val="bottom"/>
          </w:tcPr>
          <w:p>
            <w:pPr>
              <w:jc w:val="right"/>
              <w:ind w:right="370"/>
              <w:spacing w:after="0"/>
              <w:rPr>
                <w:sz w:val="20"/>
                <w:szCs w:val="20"/>
                <w:color w:val="auto"/>
              </w:rPr>
            </w:pPr>
            <w:r>
              <w:rPr>
                <w:rFonts w:ascii="Arial" w:cs="Arial" w:eastAsia="Arial" w:hAnsi="Arial"/>
                <w:sz w:val="10"/>
                <w:szCs w:val="10"/>
                <w:color w:val="auto"/>
                <w:w w:val="71"/>
              </w:rPr>
              <w:t>$</w:t>
            </w:r>
          </w:p>
        </w:tc>
        <w:tc>
          <w:tcPr>
            <w:tcW w:w="1520" w:type="dxa"/>
            <w:vAlign w:val="bottom"/>
          </w:tcPr>
          <w:p>
            <w:pPr>
              <w:jc w:val="right"/>
              <w:spacing w:after="0"/>
              <w:rPr>
                <w:sz w:val="20"/>
                <w:szCs w:val="20"/>
                <w:color w:val="auto"/>
              </w:rPr>
            </w:pPr>
            <w:r>
              <w:rPr>
                <w:rFonts w:ascii="Arial" w:cs="Arial" w:eastAsia="Arial" w:hAnsi="Arial"/>
                <w:sz w:val="12"/>
                <w:szCs w:val="12"/>
                <w:color w:val="auto"/>
              </w:rPr>
              <w:t>2,250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040" w:type="dxa"/>
            <w:vAlign w:val="bottom"/>
            <w:gridSpan w:val="2"/>
            <w:shd w:val="clear" w:color="auto" w:fill="CFF0FC"/>
          </w:tcPr>
          <w:p>
            <w:pPr>
              <w:ind w:left="80"/>
              <w:spacing w:after="0"/>
              <w:rPr>
                <w:sz w:val="20"/>
                <w:szCs w:val="20"/>
                <w:color w:val="auto"/>
              </w:rPr>
            </w:pPr>
            <w:r>
              <w:rPr>
                <w:rFonts w:ascii="Arial" w:cs="Arial" w:eastAsia="Arial" w:hAnsi="Arial"/>
                <w:sz w:val="12"/>
                <w:szCs w:val="12"/>
                <w:color w:val="auto"/>
              </w:rPr>
              <w:t>Allowance for doubtful accounts</w:t>
            </w:r>
          </w:p>
        </w:tc>
        <w:tc>
          <w:tcPr>
            <w:tcW w:w="480" w:type="dxa"/>
            <w:vAlign w:val="bottom"/>
            <w:shd w:val="clear" w:color="auto" w:fill="CFF0FC"/>
          </w:tcPr>
          <w:p>
            <w:pPr>
              <w:spacing w:after="0"/>
              <w:rPr>
                <w:sz w:val="13"/>
                <w:szCs w:val="13"/>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2,280</w:t>
            </w:r>
          </w:p>
        </w:tc>
        <w:tc>
          <w:tcPr>
            <w:tcW w:w="32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1,861</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040" w:type="dxa"/>
            <w:vAlign w:val="bottom"/>
            <w:gridSpan w:val="2"/>
          </w:tcPr>
          <w:p>
            <w:pPr>
              <w:ind w:left="80"/>
              <w:spacing w:after="0"/>
              <w:rPr>
                <w:sz w:val="20"/>
                <w:szCs w:val="20"/>
                <w:color w:val="auto"/>
              </w:rPr>
            </w:pPr>
            <w:r>
              <w:rPr>
                <w:rFonts w:ascii="Arial" w:cs="Arial" w:eastAsia="Arial" w:hAnsi="Arial"/>
                <w:sz w:val="12"/>
                <w:szCs w:val="12"/>
                <w:color w:val="auto"/>
              </w:rPr>
              <w:t>Net operating loss carryforward</w:t>
            </w:r>
          </w:p>
        </w:tc>
        <w:tc>
          <w:tcPr>
            <w:tcW w:w="480" w:type="dxa"/>
            <w:vAlign w:val="bottom"/>
          </w:tcPr>
          <w:p>
            <w:pPr>
              <w:spacing w:after="0"/>
              <w:rPr>
                <w:sz w:val="13"/>
                <w:szCs w:val="13"/>
                <w:color w:val="auto"/>
              </w:rPr>
            </w:pPr>
          </w:p>
        </w:tc>
        <w:tc>
          <w:tcPr>
            <w:tcW w:w="1520" w:type="dxa"/>
            <w:vAlign w:val="bottom"/>
          </w:tcPr>
          <w:p>
            <w:pPr>
              <w:jc w:val="right"/>
              <w:spacing w:after="0"/>
              <w:rPr>
                <w:sz w:val="20"/>
                <w:szCs w:val="20"/>
                <w:color w:val="auto"/>
              </w:rPr>
            </w:pPr>
            <w:r>
              <w:rPr>
                <w:rFonts w:ascii="Arial" w:cs="Arial" w:eastAsia="Arial" w:hAnsi="Arial"/>
                <w:sz w:val="12"/>
                <w:szCs w:val="12"/>
                <w:color w:val="auto"/>
              </w:rPr>
              <w:t>2,612</w:t>
            </w:r>
          </w:p>
        </w:tc>
        <w:tc>
          <w:tcPr>
            <w:tcW w:w="3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520" w:type="dxa"/>
            <w:vAlign w:val="bottom"/>
          </w:tcPr>
          <w:p>
            <w:pPr>
              <w:jc w:val="right"/>
              <w:spacing w:after="0"/>
              <w:rPr>
                <w:sz w:val="20"/>
                <w:szCs w:val="20"/>
                <w:color w:val="auto"/>
              </w:rPr>
            </w:pPr>
            <w:r>
              <w:rPr>
                <w:rFonts w:ascii="Arial" w:cs="Arial" w:eastAsia="Arial" w:hAnsi="Arial"/>
                <w:sz w:val="12"/>
                <w:szCs w:val="12"/>
                <w:color w:val="auto"/>
              </w:rPr>
              <w:t>2,385</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040" w:type="dxa"/>
            <w:vAlign w:val="bottom"/>
            <w:gridSpan w:val="2"/>
            <w:shd w:val="clear" w:color="auto" w:fill="CFF0FC"/>
          </w:tcPr>
          <w:p>
            <w:pPr>
              <w:ind w:left="80"/>
              <w:spacing w:after="0"/>
              <w:rPr>
                <w:sz w:val="20"/>
                <w:szCs w:val="20"/>
                <w:color w:val="auto"/>
              </w:rPr>
            </w:pPr>
            <w:r>
              <w:rPr>
                <w:rFonts w:ascii="Arial" w:cs="Arial" w:eastAsia="Arial" w:hAnsi="Arial"/>
                <w:sz w:val="12"/>
                <w:szCs w:val="12"/>
                <w:color w:val="auto"/>
              </w:rPr>
              <w:t>Interest expense limitation carryforward</w:t>
            </w:r>
          </w:p>
        </w:tc>
        <w:tc>
          <w:tcPr>
            <w:tcW w:w="480" w:type="dxa"/>
            <w:vAlign w:val="bottom"/>
            <w:shd w:val="clear" w:color="auto" w:fill="CFF0FC"/>
          </w:tcPr>
          <w:p>
            <w:pPr>
              <w:spacing w:after="0"/>
              <w:rPr>
                <w:sz w:val="13"/>
                <w:szCs w:val="13"/>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5,687</w:t>
            </w:r>
          </w:p>
        </w:tc>
        <w:tc>
          <w:tcPr>
            <w:tcW w:w="32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9,030</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040" w:type="dxa"/>
            <w:vAlign w:val="bottom"/>
            <w:gridSpan w:val="2"/>
          </w:tcPr>
          <w:p>
            <w:pPr>
              <w:ind w:left="80"/>
              <w:spacing w:after="0"/>
              <w:rPr>
                <w:sz w:val="20"/>
                <w:szCs w:val="20"/>
                <w:color w:val="auto"/>
              </w:rPr>
            </w:pPr>
            <w:r>
              <w:rPr>
                <w:rFonts w:ascii="Arial" w:cs="Arial" w:eastAsia="Arial" w:hAnsi="Arial"/>
                <w:sz w:val="12"/>
                <w:szCs w:val="12"/>
                <w:color w:val="auto"/>
              </w:rPr>
              <w:t>Federal and state income tax credits</w:t>
            </w:r>
          </w:p>
        </w:tc>
        <w:tc>
          <w:tcPr>
            <w:tcW w:w="480" w:type="dxa"/>
            <w:vAlign w:val="bottom"/>
          </w:tcPr>
          <w:p>
            <w:pPr>
              <w:spacing w:after="0"/>
              <w:rPr>
                <w:sz w:val="13"/>
                <w:szCs w:val="13"/>
                <w:color w:val="auto"/>
              </w:rPr>
            </w:pPr>
          </w:p>
        </w:tc>
        <w:tc>
          <w:tcPr>
            <w:tcW w:w="1520" w:type="dxa"/>
            <w:vAlign w:val="bottom"/>
          </w:tcPr>
          <w:p>
            <w:pPr>
              <w:jc w:val="right"/>
              <w:spacing w:after="0"/>
              <w:rPr>
                <w:sz w:val="20"/>
                <w:szCs w:val="20"/>
                <w:color w:val="auto"/>
              </w:rPr>
            </w:pPr>
            <w:r>
              <w:rPr>
                <w:rFonts w:ascii="Arial" w:cs="Arial" w:eastAsia="Arial" w:hAnsi="Arial"/>
                <w:sz w:val="12"/>
                <w:szCs w:val="12"/>
                <w:color w:val="auto"/>
              </w:rPr>
              <w:t>1,060</w:t>
            </w:r>
          </w:p>
        </w:tc>
        <w:tc>
          <w:tcPr>
            <w:tcW w:w="3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520" w:type="dxa"/>
            <w:vAlign w:val="bottom"/>
          </w:tcPr>
          <w:p>
            <w:pPr>
              <w:jc w:val="right"/>
              <w:spacing w:after="0"/>
              <w:rPr>
                <w:sz w:val="20"/>
                <w:szCs w:val="20"/>
                <w:color w:val="auto"/>
              </w:rPr>
            </w:pPr>
            <w:r>
              <w:rPr>
                <w:rFonts w:ascii="Arial" w:cs="Arial" w:eastAsia="Arial" w:hAnsi="Arial"/>
                <w:sz w:val="12"/>
                <w:szCs w:val="12"/>
                <w:color w:val="auto"/>
              </w:rPr>
              <w:t>613</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040" w:type="dxa"/>
            <w:vAlign w:val="bottom"/>
            <w:gridSpan w:val="2"/>
            <w:shd w:val="clear" w:color="auto" w:fill="CFF0FC"/>
          </w:tcPr>
          <w:p>
            <w:pPr>
              <w:ind w:left="80"/>
              <w:spacing w:after="0"/>
              <w:rPr>
                <w:sz w:val="20"/>
                <w:szCs w:val="20"/>
                <w:color w:val="auto"/>
              </w:rPr>
            </w:pPr>
            <w:r>
              <w:rPr>
                <w:rFonts w:ascii="Arial" w:cs="Arial" w:eastAsia="Arial" w:hAnsi="Arial"/>
                <w:sz w:val="12"/>
                <w:szCs w:val="12"/>
                <w:color w:val="auto"/>
              </w:rPr>
              <w:t>ASC 842 operating lease liabilities</w:t>
            </w:r>
          </w:p>
        </w:tc>
        <w:tc>
          <w:tcPr>
            <w:tcW w:w="480" w:type="dxa"/>
            <w:vAlign w:val="bottom"/>
            <w:shd w:val="clear" w:color="auto" w:fill="CFF0FC"/>
          </w:tcPr>
          <w:p>
            <w:pPr>
              <w:spacing w:after="0"/>
              <w:rPr>
                <w:sz w:val="13"/>
                <w:szCs w:val="13"/>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8,660</w:t>
            </w:r>
          </w:p>
        </w:tc>
        <w:tc>
          <w:tcPr>
            <w:tcW w:w="32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164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7040" w:type="dxa"/>
            <w:vAlign w:val="bottom"/>
            <w:gridSpan w:val="2"/>
          </w:tcPr>
          <w:p>
            <w:pPr>
              <w:ind w:left="80"/>
              <w:spacing w:after="0"/>
              <w:rPr>
                <w:sz w:val="20"/>
                <w:szCs w:val="20"/>
                <w:color w:val="auto"/>
              </w:rPr>
            </w:pPr>
            <w:r>
              <w:rPr>
                <w:rFonts w:ascii="Arial" w:cs="Arial" w:eastAsia="Arial" w:hAnsi="Arial"/>
                <w:sz w:val="12"/>
                <w:szCs w:val="12"/>
                <w:color w:val="auto"/>
              </w:rPr>
              <w:t>Transaction and financing costs</w:t>
            </w:r>
          </w:p>
        </w:tc>
        <w:tc>
          <w:tcPr>
            <w:tcW w:w="480" w:type="dxa"/>
            <w:vAlign w:val="bottom"/>
          </w:tcPr>
          <w:p>
            <w:pPr>
              <w:spacing w:after="0"/>
              <w:rPr>
                <w:sz w:val="13"/>
                <w:szCs w:val="13"/>
                <w:color w:val="auto"/>
              </w:rPr>
            </w:pPr>
          </w:p>
        </w:tc>
        <w:tc>
          <w:tcPr>
            <w:tcW w:w="1520" w:type="dxa"/>
            <w:vAlign w:val="bottom"/>
          </w:tcPr>
          <w:p>
            <w:pPr>
              <w:jc w:val="right"/>
              <w:spacing w:after="0"/>
              <w:rPr>
                <w:sz w:val="20"/>
                <w:szCs w:val="20"/>
                <w:color w:val="auto"/>
              </w:rPr>
            </w:pPr>
            <w:r>
              <w:rPr>
                <w:rFonts w:ascii="Arial" w:cs="Arial" w:eastAsia="Arial" w:hAnsi="Arial"/>
                <w:sz w:val="12"/>
                <w:szCs w:val="12"/>
                <w:color w:val="auto"/>
              </w:rPr>
              <w:t>2,635</w:t>
            </w:r>
          </w:p>
        </w:tc>
        <w:tc>
          <w:tcPr>
            <w:tcW w:w="3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7040" w:type="dxa"/>
            <w:vAlign w:val="bottom"/>
            <w:gridSpan w:val="2"/>
            <w:shd w:val="clear" w:color="auto" w:fill="CFF0FC"/>
          </w:tcPr>
          <w:p>
            <w:pPr>
              <w:ind w:left="80"/>
              <w:spacing w:after="0"/>
              <w:rPr>
                <w:sz w:val="20"/>
                <w:szCs w:val="20"/>
                <w:color w:val="auto"/>
              </w:rPr>
            </w:pPr>
            <w:r>
              <w:rPr>
                <w:rFonts w:ascii="Arial" w:cs="Arial" w:eastAsia="Arial" w:hAnsi="Arial"/>
                <w:sz w:val="12"/>
                <w:szCs w:val="12"/>
                <w:color w:val="auto"/>
              </w:rPr>
              <w:t>Other</w:t>
            </w:r>
          </w:p>
        </w:tc>
        <w:tc>
          <w:tcPr>
            <w:tcW w:w="480" w:type="dxa"/>
            <w:vAlign w:val="bottom"/>
            <w:tcBorders>
              <w:bottom w:val="single" w:sz="8" w:color="auto"/>
            </w:tcBorders>
            <w:shd w:val="clear" w:color="auto" w:fill="CFF0FC"/>
          </w:tcPr>
          <w:p>
            <w:pPr>
              <w:spacing w:after="0"/>
              <w:rPr>
                <w:sz w:val="13"/>
                <w:szCs w:val="13"/>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1,935</w:t>
            </w:r>
          </w:p>
        </w:tc>
        <w:tc>
          <w:tcPr>
            <w:tcW w:w="320" w:type="dxa"/>
            <w:vAlign w:val="bottom"/>
            <w:shd w:val="clear" w:color="auto" w:fill="CFF0FC"/>
          </w:tcPr>
          <w:p>
            <w:pPr>
              <w:spacing w:after="0"/>
              <w:rPr>
                <w:sz w:val="13"/>
                <w:szCs w:val="13"/>
                <w:color w:val="auto"/>
              </w:rPr>
            </w:pPr>
          </w:p>
        </w:tc>
        <w:tc>
          <w:tcPr>
            <w:tcW w:w="480" w:type="dxa"/>
            <w:vAlign w:val="bottom"/>
            <w:tcBorders>
              <w:bottom w:val="single" w:sz="8" w:color="auto"/>
            </w:tcBorders>
            <w:shd w:val="clear" w:color="auto" w:fill="CFF0FC"/>
          </w:tcPr>
          <w:p>
            <w:pPr>
              <w:spacing w:after="0"/>
              <w:rPr>
                <w:sz w:val="13"/>
                <w:szCs w:val="13"/>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816</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7040" w:type="dxa"/>
            <w:vAlign w:val="bottom"/>
            <w:gridSpan w:val="2"/>
          </w:tcPr>
          <w:p>
            <w:pPr>
              <w:spacing w:after="0"/>
              <w:rPr>
                <w:sz w:val="20"/>
                <w:szCs w:val="20"/>
                <w:color w:val="auto"/>
              </w:rPr>
            </w:pPr>
            <w:r>
              <w:rPr>
                <w:rFonts w:ascii="Arial" w:cs="Arial" w:eastAsia="Arial" w:hAnsi="Arial"/>
                <w:sz w:val="12"/>
                <w:szCs w:val="12"/>
                <w:color w:val="auto"/>
              </w:rPr>
              <w:t>Gross deferred tax assets</w:t>
            </w:r>
          </w:p>
        </w:tc>
        <w:tc>
          <w:tcPr>
            <w:tcW w:w="480" w:type="dxa"/>
            <w:vAlign w:val="bottom"/>
          </w:tcPr>
          <w:p>
            <w:pPr>
              <w:spacing w:after="0"/>
              <w:rPr>
                <w:sz w:val="12"/>
                <w:szCs w:val="12"/>
                <w:color w:val="auto"/>
              </w:rPr>
            </w:pPr>
          </w:p>
        </w:tc>
        <w:tc>
          <w:tcPr>
            <w:tcW w:w="1520" w:type="dxa"/>
            <w:vAlign w:val="bottom"/>
          </w:tcPr>
          <w:p>
            <w:pPr>
              <w:jc w:val="right"/>
              <w:spacing w:after="0"/>
              <w:rPr>
                <w:sz w:val="20"/>
                <w:szCs w:val="20"/>
                <w:color w:val="auto"/>
              </w:rPr>
            </w:pPr>
            <w:r>
              <w:rPr>
                <w:rFonts w:ascii="Arial" w:cs="Arial" w:eastAsia="Arial" w:hAnsi="Arial"/>
                <w:sz w:val="12"/>
                <w:szCs w:val="12"/>
                <w:color w:val="auto"/>
              </w:rPr>
              <w:t>26,407</w:t>
            </w:r>
          </w:p>
        </w:tc>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520" w:type="dxa"/>
            <w:vAlign w:val="bottom"/>
          </w:tcPr>
          <w:p>
            <w:pPr>
              <w:jc w:val="right"/>
              <w:spacing w:after="0"/>
              <w:rPr>
                <w:sz w:val="20"/>
                <w:szCs w:val="20"/>
                <w:color w:val="auto"/>
              </w:rPr>
            </w:pPr>
            <w:r>
              <w:rPr>
                <w:rFonts w:ascii="Arial" w:cs="Arial" w:eastAsia="Arial" w:hAnsi="Arial"/>
                <w:sz w:val="12"/>
                <w:szCs w:val="12"/>
                <w:color w:val="auto"/>
              </w:rPr>
              <w:t>16,955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7040" w:type="dxa"/>
            <w:vAlign w:val="bottom"/>
            <w:gridSpan w:val="2"/>
            <w:shd w:val="clear" w:color="auto" w:fill="CFF0FC"/>
          </w:tcPr>
          <w:p>
            <w:pPr>
              <w:ind w:left="80"/>
              <w:spacing w:after="0"/>
              <w:rPr>
                <w:sz w:val="20"/>
                <w:szCs w:val="20"/>
                <w:color w:val="auto"/>
              </w:rPr>
            </w:pPr>
            <w:r>
              <w:rPr>
                <w:rFonts w:ascii="Arial" w:cs="Arial" w:eastAsia="Arial" w:hAnsi="Arial"/>
                <w:sz w:val="12"/>
                <w:szCs w:val="12"/>
                <w:color w:val="auto"/>
              </w:rPr>
              <w:t>Valuation allowance</w:t>
            </w:r>
          </w:p>
        </w:tc>
        <w:tc>
          <w:tcPr>
            <w:tcW w:w="480" w:type="dxa"/>
            <w:vAlign w:val="bottom"/>
            <w:shd w:val="clear" w:color="auto" w:fill="CFF0FC"/>
          </w:tcPr>
          <w:p>
            <w:pPr>
              <w:spacing w:after="0"/>
              <w:rPr>
                <w:sz w:val="13"/>
                <w:szCs w:val="13"/>
                <w:color w:val="auto"/>
              </w:rPr>
            </w:pPr>
          </w:p>
        </w:tc>
        <w:tc>
          <w:tcPr>
            <w:tcW w:w="1840" w:type="dxa"/>
            <w:vAlign w:val="bottom"/>
            <w:gridSpan w:val="2"/>
            <w:shd w:val="clear" w:color="auto" w:fill="CFF0FC"/>
          </w:tcPr>
          <w:p>
            <w:pPr>
              <w:jc w:val="right"/>
              <w:ind w:right="280"/>
              <w:spacing w:after="0"/>
              <w:rPr>
                <w:sz w:val="20"/>
                <w:szCs w:val="20"/>
                <w:color w:val="auto"/>
              </w:rPr>
            </w:pPr>
            <w:r>
              <w:rPr>
                <w:rFonts w:ascii="Arial" w:cs="Arial" w:eastAsia="Arial" w:hAnsi="Arial"/>
                <w:sz w:val="12"/>
                <w:szCs w:val="12"/>
                <w:color w:val="auto"/>
              </w:rPr>
              <w:t>(2,564)</w:t>
            </w:r>
          </w:p>
        </w:tc>
        <w:tc>
          <w:tcPr>
            <w:tcW w:w="480" w:type="dxa"/>
            <w:vAlign w:val="bottom"/>
            <w:shd w:val="clear" w:color="auto" w:fill="CFF0FC"/>
          </w:tcPr>
          <w:p>
            <w:pPr>
              <w:spacing w:after="0"/>
              <w:rPr>
                <w:sz w:val="13"/>
                <w:szCs w:val="13"/>
                <w:color w:val="auto"/>
              </w:rPr>
            </w:pPr>
          </w:p>
        </w:tc>
        <w:tc>
          <w:tcPr>
            <w:tcW w:w="164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(2,254)</w:t>
            </w:r>
          </w:p>
        </w:tc>
        <w:tc>
          <w:tcPr>
            <w:tcW w:w="0" w:type="dxa"/>
            <w:vAlign w:val="bottom"/>
          </w:tcPr>
          <w:p>
            <w:pPr>
              <w:spacing w:after="0"/>
              <w:rPr>
                <w:sz w:val="1"/>
                <w:szCs w:val="1"/>
                <w:color w:val="auto"/>
              </w:rPr>
            </w:pPr>
          </w:p>
        </w:tc>
      </w:tr>
      <w:tr>
        <w:trPr>
          <w:trHeight w:val="142"/>
        </w:trPr>
        <w:tc>
          <w:tcPr>
            <w:tcW w:w="7040" w:type="dxa"/>
            <w:vAlign w:val="bottom"/>
            <w:gridSpan w:val="2"/>
          </w:tcPr>
          <w:p>
            <w:pPr>
              <w:spacing w:after="0"/>
              <w:rPr>
                <w:sz w:val="20"/>
                <w:szCs w:val="20"/>
                <w:color w:val="auto"/>
              </w:rPr>
            </w:pPr>
            <w:r>
              <w:rPr>
                <w:rFonts w:ascii="Arial" w:cs="Arial" w:eastAsia="Arial" w:hAnsi="Arial"/>
                <w:sz w:val="12"/>
                <w:szCs w:val="12"/>
                <w:color w:val="auto"/>
              </w:rPr>
              <w:t>Deferred tax assets, net of valuation allowance</w:t>
            </w:r>
          </w:p>
        </w:tc>
        <w:tc>
          <w:tcPr>
            <w:tcW w:w="480" w:type="dxa"/>
            <w:vAlign w:val="bottom"/>
            <w:tcBorders>
              <w:top w:val="single" w:sz="8" w:color="auto"/>
            </w:tcBorders>
          </w:tcPr>
          <w:p>
            <w:pPr>
              <w:spacing w:after="0"/>
              <w:rPr>
                <w:sz w:val="12"/>
                <w:szCs w:val="12"/>
                <w:color w:val="auto"/>
              </w:rPr>
            </w:pP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23,843</w:t>
            </w:r>
          </w:p>
        </w:tc>
        <w:tc>
          <w:tcPr>
            <w:tcW w:w="32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14,701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704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Deferred tax liabilities:</w:t>
            </w:r>
          </w:p>
        </w:tc>
        <w:tc>
          <w:tcPr>
            <w:tcW w:w="480" w:type="dxa"/>
            <w:vAlign w:val="bottom"/>
            <w:shd w:val="clear" w:color="auto" w:fill="CFF0FC"/>
          </w:tcPr>
          <w:p>
            <w:pPr>
              <w:spacing w:after="0"/>
              <w:rPr>
                <w:sz w:val="13"/>
                <w:szCs w:val="13"/>
                <w:color w:val="auto"/>
              </w:rPr>
            </w:pPr>
          </w:p>
        </w:tc>
        <w:tc>
          <w:tcPr>
            <w:tcW w:w="152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15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040" w:type="dxa"/>
            <w:vAlign w:val="bottom"/>
            <w:gridSpan w:val="2"/>
          </w:tcPr>
          <w:p>
            <w:pPr>
              <w:ind w:left="80"/>
              <w:spacing w:after="0"/>
              <w:rPr>
                <w:sz w:val="20"/>
                <w:szCs w:val="20"/>
                <w:color w:val="auto"/>
              </w:rPr>
            </w:pPr>
            <w:r>
              <w:rPr>
                <w:rFonts w:ascii="Arial" w:cs="Arial" w:eastAsia="Arial" w:hAnsi="Arial"/>
                <w:sz w:val="12"/>
                <w:szCs w:val="12"/>
                <w:color w:val="auto"/>
              </w:rPr>
              <w:t>Intangible assets and transaction costs</w:t>
            </w:r>
          </w:p>
        </w:tc>
        <w:tc>
          <w:tcPr>
            <w:tcW w:w="480" w:type="dxa"/>
            <w:vAlign w:val="bottom"/>
          </w:tcPr>
          <w:p>
            <w:pPr>
              <w:spacing w:after="0"/>
              <w:rPr>
                <w:sz w:val="13"/>
                <w:szCs w:val="13"/>
                <w:color w:val="auto"/>
              </w:rPr>
            </w:pPr>
          </w:p>
        </w:tc>
        <w:tc>
          <w:tcPr>
            <w:tcW w:w="1840" w:type="dxa"/>
            <w:vAlign w:val="bottom"/>
            <w:gridSpan w:val="2"/>
          </w:tcPr>
          <w:p>
            <w:pPr>
              <w:jc w:val="right"/>
              <w:ind w:right="280"/>
              <w:spacing w:after="0"/>
              <w:rPr>
                <w:sz w:val="20"/>
                <w:szCs w:val="20"/>
                <w:color w:val="auto"/>
              </w:rPr>
            </w:pPr>
            <w:r>
              <w:rPr>
                <w:rFonts w:ascii="Arial" w:cs="Arial" w:eastAsia="Arial" w:hAnsi="Arial"/>
                <w:sz w:val="12"/>
                <w:szCs w:val="12"/>
                <w:color w:val="auto"/>
              </w:rPr>
              <w:t>(30,606)</w:t>
            </w:r>
          </w:p>
        </w:tc>
        <w:tc>
          <w:tcPr>
            <w:tcW w:w="480" w:type="dxa"/>
            <w:vAlign w:val="bottom"/>
          </w:tcPr>
          <w:p>
            <w:pPr>
              <w:spacing w:after="0"/>
              <w:rPr>
                <w:sz w:val="13"/>
                <w:szCs w:val="13"/>
                <w:color w:val="auto"/>
              </w:rPr>
            </w:pPr>
          </w:p>
        </w:tc>
        <w:tc>
          <w:tcPr>
            <w:tcW w:w="1640" w:type="dxa"/>
            <w:vAlign w:val="bottom"/>
            <w:gridSpan w:val="2"/>
          </w:tcPr>
          <w:p>
            <w:pPr>
              <w:jc w:val="right"/>
              <w:ind w:right="80"/>
              <w:spacing w:after="0"/>
              <w:rPr>
                <w:sz w:val="20"/>
                <w:szCs w:val="20"/>
                <w:color w:val="auto"/>
              </w:rPr>
            </w:pPr>
            <w:r>
              <w:rPr>
                <w:rFonts w:ascii="Arial" w:cs="Arial" w:eastAsia="Arial" w:hAnsi="Arial"/>
                <w:sz w:val="12"/>
                <w:szCs w:val="12"/>
                <w:color w:val="auto"/>
              </w:rPr>
              <w:t>(38,812)</w:t>
            </w:r>
          </w:p>
        </w:tc>
        <w:tc>
          <w:tcPr>
            <w:tcW w:w="0" w:type="dxa"/>
            <w:vAlign w:val="bottom"/>
          </w:tcPr>
          <w:p>
            <w:pPr>
              <w:spacing w:after="0"/>
              <w:rPr>
                <w:sz w:val="1"/>
                <w:szCs w:val="1"/>
                <w:color w:val="auto"/>
              </w:rPr>
            </w:pPr>
          </w:p>
        </w:tc>
      </w:tr>
      <w:tr>
        <w:trPr>
          <w:trHeight w:val="153"/>
        </w:trPr>
        <w:tc>
          <w:tcPr>
            <w:tcW w:w="7040" w:type="dxa"/>
            <w:vAlign w:val="bottom"/>
            <w:gridSpan w:val="2"/>
            <w:shd w:val="clear" w:color="auto" w:fill="CFF0FC"/>
          </w:tcPr>
          <w:p>
            <w:pPr>
              <w:ind w:left="80"/>
              <w:spacing w:after="0"/>
              <w:rPr>
                <w:sz w:val="20"/>
                <w:szCs w:val="20"/>
                <w:color w:val="auto"/>
              </w:rPr>
            </w:pPr>
            <w:r>
              <w:rPr>
                <w:rFonts w:ascii="Arial" w:cs="Arial" w:eastAsia="Arial" w:hAnsi="Arial"/>
                <w:sz w:val="12"/>
                <w:szCs w:val="12"/>
                <w:color w:val="auto"/>
              </w:rPr>
              <w:t>Property and equipment</w:t>
            </w:r>
          </w:p>
        </w:tc>
        <w:tc>
          <w:tcPr>
            <w:tcW w:w="480" w:type="dxa"/>
            <w:vAlign w:val="bottom"/>
            <w:shd w:val="clear" w:color="auto" w:fill="CFF0FC"/>
          </w:tcPr>
          <w:p>
            <w:pPr>
              <w:spacing w:after="0"/>
              <w:rPr>
                <w:sz w:val="13"/>
                <w:szCs w:val="13"/>
                <w:color w:val="auto"/>
              </w:rPr>
            </w:pPr>
          </w:p>
        </w:tc>
        <w:tc>
          <w:tcPr>
            <w:tcW w:w="1840" w:type="dxa"/>
            <w:vAlign w:val="bottom"/>
            <w:gridSpan w:val="2"/>
            <w:shd w:val="clear" w:color="auto" w:fill="CFF0FC"/>
          </w:tcPr>
          <w:p>
            <w:pPr>
              <w:jc w:val="right"/>
              <w:ind w:right="280"/>
              <w:spacing w:after="0"/>
              <w:rPr>
                <w:sz w:val="20"/>
                <w:szCs w:val="20"/>
                <w:color w:val="auto"/>
              </w:rPr>
            </w:pPr>
            <w:r>
              <w:rPr>
                <w:rFonts w:ascii="Arial" w:cs="Arial" w:eastAsia="Arial" w:hAnsi="Arial"/>
                <w:sz w:val="12"/>
                <w:szCs w:val="12"/>
                <w:color w:val="auto"/>
              </w:rPr>
              <w:t>(9,941)</w:t>
            </w:r>
          </w:p>
        </w:tc>
        <w:tc>
          <w:tcPr>
            <w:tcW w:w="480" w:type="dxa"/>
            <w:vAlign w:val="bottom"/>
            <w:shd w:val="clear" w:color="auto" w:fill="CFF0FC"/>
          </w:tcPr>
          <w:p>
            <w:pPr>
              <w:spacing w:after="0"/>
              <w:rPr>
                <w:sz w:val="13"/>
                <w:szCs w:val="13"/>
                <w:color w:val="auto"/>
              </w:rPr>
            </w:pPr>
          </w:p>
        </w:tc>
        <w:tc>
          <w:tcPr>
            <w:tcW w:w="164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(9,084)</w:t>
            </w:r>
          </w:p>
        </w:tc>
        <w:tc>
          <w:tcPr>
            <w:tcW w:w="0" w:type="dxa"/>
            <w:vAlign w:val="bottom"/>
          </w:tcPr>
          <w:p>
            <w:pPr>
              <w:spacing w:after="0"/>
              <w:rPr>
                <w:sz w:val="1"/>
                <w:szCs w:val="1"/>
                <w:color w:val="auto"/>
              </w:rPr>
            </w:pPr>
          </w:p>
        </w:tc>
      </w:tr>
      <w:tr>
        <w:trPr>
          <w:trHeight w:val="153"/>
        </w:trPr>
        <w:tc>
          <w:tcPr>
            <w:tcW w:w="7040" w:type="dxa"/>
            <w:vAlign w:val="bottom"/>
            <w:gridSpan w:val="2"/>
          </w:tcPr>
          <w:p>
            <w:pPr>
              <w:ind w:left="80"/>
              <w:spacing w:after="0"/>
              <w:rPr>
                <w:sz w:val="20"/>
                <w:szCs w:val="20"/>
                <w:color w:val="auto"/>
              </w:rPr>
            </w:pPr>
            <w:r>
              <w:rPr>
                <w:rFonts w:ascii="Arial" w:cs="Arial" w:eastAsia="Arial" w:hAnsi="Arial"/>
                <w:sz w:val="12"/>
                <w:szCs w:val="12"/>
                <w:color w:val="auto"/>
              </w:rPr>
              <w:t>Prepaid assets</w:t>
            </w:r>
          </w:p>
        </w:tc>
        <w:tc>
          <w:tcPr>
            <w:tcW w:w="480" w:type="dxa"/>
            <w:vAlign w:val="bottom"/>
          </w:tcPr>
          <w:p>
            <w:pPr>
              <w:spacing w:after="0"/>
              <w:rPr>
                <w:sz w:val="13"/>
                <w:szCs w:val="13"/>
                <w:color w:val="auto"/>
              </w:rPr>
            </w:pPr>
          </w:p>
        </w:tc>
        <w:tc>
          <w:tcPr>
            <w:tcW w:w="1840" w:type="dxa"/>
            <w:vAlign w:val="bottom"/>
            <w:gridSpan w:val="2"/>
          </w:tcPr>
          <w:p>
            <w:pPr>
              <w:jc w:val="right"/>
              <w:ind w:right="280"/>
              <w:spacing w:after="0"/>
              <w:rPr>
                <w:sz w:val="20"/>
                <w:szCs w:val="20"/>
                <w:color w:val="auto"/>
              </w:rPr>
            </w:pPr>
            <w:r>
              <w:rPr>
                <w:rFonts w:ascii="Arial" w:cs="Arial" w:eastAsia="Arial" w:hAnsi="Arial"/>
                <w:sz w:val="12"/>
                <w:szCs w:val="12"/>
                <w:color w:val="auto"/>
              </w:rPr>
              <w:t>(604)</w:t>
            </w:r>
          </w:p>
        </w:tc>
        <w:tc>
          <w:tcPr>
            <w:tcW w:w="480" w:type="dxa"/>
            <w:vAlign w:val="bottom"/>
          </w:tcPr>
          <w:p>
            <w:pPr>
              <w:spacing w:after="0"/>
              <w:rPr>
                <w:sz w:val="13"/>
                <w:szCs w:val="13"/>
                <w:color w:val="auto"/>
              </w:rPr>
            </w:pPr>
          </w:p>
        </w:tc>
        <w:tc>
          <w:tcPr>
            <w:tcW w:w="1640" w:type="dxa"/>
            <w:vAlign w:val="bottom"/>
            <w:gridSpan w:val="2"/>
          </w:tcPr>
          <w:p>
            <w:pPr>
              <w:jc w:val="right"/>
              <w:ind w:right="80"/>
              <w:spacing w:after="0"/>
              <w:rPr>
                <w:sz w:val="20"/>
                <w:szCs w:val="20"/>
                <w:color w:val="auto"/>
              </w:rPr>
            </w:pPr>
            <w:r>
              <w:rPr>
                <w:rFonts w:ascii="Arial" w:cs="Arial" w:eastAsia="Arial" w:hAnsi="Arial"/>
                <w:sz w:val="12"/>
                <w:szCs w:val="12"/>
                <w:color w:val="auto"/>
              </w:rPr>
              <w:t>(432)</w:t>
            </w:r>
          </w:p>
        </w:tc>
        <w:tc>
          <w:tcPr>
            <w:tcW w:w="0" w:type="dxa"/>
            <w:vAlign w:val="bottom"/>
          </w:tcPr>
          <w:p>
            <w:pPr>
              <w:spacing w:after="0"/>
              <w:rPr>
                <w:sz w:val="1"/>
                <w:szCs w:val="1"/>
                <w:color w:val="auto"/>
              </w:rPr>
            </w:pPr>
          </w:p>
        </w:tc>
      </w:tr>
      <w:tr>
        <w:trPr>
          <w:trHeight w:val="153"/>
        </w:trPr>
        <w:tc>
          <w:tcPr>
            <w:tcW w:w="7040" w:type="dxa"/>
            <w:vAlign w:val="bottom"/>
            <w:gridSpan w:val="2"/>
            <w:shd w:val="clear" w:color="auto" w:fill="CFF0FC"/>
          </w:tcPr>
          <w:p>
            <w:pPr>
              <w:ind w:left="80"/>
              <w:spacing w:after="0"/>
              <w:rPr>
                <w:sz w:val="20"/>
                <w:szCs w:val="20"/>
                <w:color w:val="auto"/>
              </w:rPr>
            </w:pPr>
            <w:r>
              <w:rPr>
                <w:rFonts w:ascii="Arial" w:cs="Arial" w:eastAsia="Arial" w:hAnsi="Arial"/>
                <w:sz w:val="12"/>
                <w:szCs w:val="12"/>
                <w:color w:val="auto"/>
              </w:rPr>
              <w:t>ASC 842 operating lease assets</w:t>
            </w:r>
          </w:p>
        </w:tc>
        <w:tc>
          <w:tcPr>
            <w:tcW w:w="480" w:type="dxa"/>
            <w:vAlign w:val="bottom"/>
            <w:shd w:val="clear" w:color="auto" w:fill="CFF0FC"/>
          </w:tcPr>
          <w:p>
            <w:pPr>
              <w:spacing w:after="0"/>
              <w:rPr>
                <w:sz w:val="13"/>
                <w:szCs w:val="13"/>
                <w:color w:val="auto"/>
              </w:rPr>
            </w:pPr>
          </w:p>
        </w:tc>
        <w:tc>
          <w:tcPr>
            <w:tcW w:w="1840" w:type="dxa"/>
            <w:vAlign w:val="bottom"/>
            <w:gridSpan w:val="2"/>
            <w:shd w:val="clear" w:color="auto" w:fill="CFF0FC"/>
          </w:tcPr>
          <w:p>
            <w:pPr>
              <w:jc w:val="right"/>
              <w:ind w:right="280"/>
              <w:spacing w:after="0"/>
              <w:rPr>
                <w:sz w:val="20"/>
                <w:szCs w:val="20"/>
                <w:color w:val="auto"/>
              </w:rPr>
            </w:pPr>
            <w:r>
              <w:rPr>
                <w:rFonts w:ascii="Arial" w:cs="Arial" w:eastAsia="Arial" w:hAnsi="Arial"/>
                <w:sz w:val="12"/>
                <w:szCs w:val="12"/>
                <w:color w:val="auto"/>
              </w:rPr>
              <w:t>(8,408)</w:t>
            </w:r>
          </w:p>
        </w:tc>
        <w:tc>
          <w:tcPr>
            <w:tcW w:w="480" w:type="dxa"/>
            <w:vAlign w:val="bottom"/>
            <w:shd w:val="clear" w:color="auto" w:fill="CFF0FC"/>
          </w:tcPr>
          <w:p>
            <w:pPr>
              <w:spacing w:after="0"/>
              <w:rPr>
                <w:sz w:val="13"/>
                <w:szCs w:val="13"/>
                <w:color w:val="auto"/>
              </w:rPr>
            </w:pPr>
          </w:p>
        </w:tc>
        <w:tc>
          <w:tcPr>
            <w:tcW w:w="164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
        </w:trPr>
        <w:tc>
          <w:tcPr>
            <w:tcW w:w="7040" w:type="dxa"/>
            <w:vAlign w:val="bottom"/>
            <w:gridSpan w:val="2"/>
            <w:vMerge w:val="restart"/>
          </w:tcPr>
          <w:p>
            <w:pPr>
              <w:spacing w:after="0"/>
              <w:rPr>
                <w:sz w:val="20"/>
                <w:szCs w:val="20"/>
                <w:color w:val="auto"/>
              </w:rPr>
            </w:pPr>
            <w:r>
              <w:rPr>
                <w:rFonts w:ascii="Arial" w:cs="Arial" w:eastAsia="Arial" w:hAnsi="Arial"/>
                <w:sz w:val="12"/>
                <w:szCs w:val="12"/>
                <w:color w:val="auto"/>
              </w:rPr>
              <w:t>Gross deferred tax liabilities</w:t>
            </w:r>
          </w:p>
        </w:tc>
        <w:tc>
          <w:tcPr>
            <w:tcW w:w="48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7040" w:type="dxa"/>
            <w:vAlign w:val="bottom"/>
            <w:gridSpan w:val="2"/>
            <w:vMerge w:val="continue"/>
          </w:tcPr>
          <w:p>
            <w:pPr>
              <w:spacing w:after="0"/>
              <w:rPr>
                <w:sz w:val="12"/>
                <w:szCs w:val="12"/>
                <w:color w:val="auto"/>
              </w:rPr>
            </w:pPr>
          </w:p>
        </w:tc>
        <w:tc>
          <w:tcPr>
            <w:tcW w:w="480" w:type="dxa"/>
            <w:vAlign w:val="bottom"/>
          </w:tcPr>
          <w:p>
            <w:pPr>
              <w:spacing w:after="0"/>
              <w:rPr>
                <w:sz w:val="12"/>
                <w:szCs w:val="12"/>
                <w:color w:val="auto"/>
              </w:rPr>
            </w:pPr>
          </w:p>
        </w:tc>
        <w:tc>
          <w:tcPr>
            <w:tcW w:w="1840" w:type="dxa"/>
            <w:vAlign w:val="bottom"/>
            <w:gridSpan w:val="2"/>
          </w:tcPr>
          <w:p>
            <w:pPr>
              <w:jc w:val="right"/>
              <w:ind w:right="280"/>
              <w:spacing w:after="0"/>
              <w:rPr>
                <w:sz w:val="20"/>
                <w:szCs w:val="20"/>
                <w:color w:val="auto"/>
              </w:rPr>
            </w:pPr>
            <w:r>
              <w:rPr>
                <w:rFonts w:ascii="Arial" w:cs="Arial" w:eastAsia="Arial" w:hAnsi="Arial"/>
                <w:sz w:val="12"/>
                <w:szCs w:val="12"/>
                <w:color w:val="auto"/>
              </w:rPr>
              <w:t>(49,559)</w:t>
            </w:r>
          </w:p>
        </w:tc>
        <w:tc>
          <w:tcPr>
            <w:tcW w:w="480" w:type="dxa"/>
            <w:vAlign w:val="bottom"/>
          </w:tcPr>
          <w:p>
            <w:pPr>
              <w:spacing w:after="0"/>
              <w:rPr>
                <w:sz w:val="12"/>
                <w:szCs w:val="12"/>
                <w:color w:val="auto"/>
              </w:rPr>
            </w:pPr>
          </w:p>
        </w:tc>
        <w:tc>
          <w:tcPr>
            <w:tcW w:w="1640" w:type="dxa"/>
            <w:vAlign w:val="bottom"/>
            <w:gridSpan w:val="2"/>
          </w:tcPr>
          <w:p>
            <w:pPr>
              <w:jc w:val="right"/>
              <w:ind w:right="80"/>
              <w:spacing w:after="0"/>
              <w:rPr>
                <w:sz w:val="20"/>
                <w:szCs w:val="20"/>
                <w:color w:val="auto"/>
              </w:rPr>
            </w:pPr>
            <w:r>
              <w:rPr>
                <w:rFonts w:ascii="Arial" w:cs="Arial" w:eastAsia="Arial" w:hAnsi="Arial"/>
                <w:sz w:val="12"/>
                <w:szCs w:val="12"/>
                <w:color w:val="auto"/>
              </w:rPr>
              <w:t>(48,328)</w:t>
            </w:r>
          </w:p>
        </w:tc>
        <w:tc>
          <w:tcPr>
            <w:tcW w:w="0" w:type="dxa"/>
            <w:vAlign w:val="bottom"/>
          </w:tcPr>
          <w:p>
            <w:pPr>
              <w:spacing w:after="0"/>
              <w:rPr>
                <w:sz w:val="1"/>
                <w:szCs w:val="1"/>
                <w:color w:val="auto"/>
              </w:rPr>
            </w:pPr>
          </w:p>
        </w:tc>
      </w:tr>
      <w:tr>
        <w:trPr>
          <w:trHeight w:val="20"/>
        </w:trPr>
        <w:tc>
          <w:tcPr>
            <w:tcW w:w="7040" w:type="dxa"/>
            <w:vAlign w:val="bottom"/>
            <w:gridSpan w:val="2"/>
            <w:vMerge w:val="restart"/>
            <w:shd w:val="clear" w:color="auto" w:fill="CFF0FC"/>
          </w:tcPr>
          <w:p>
            <w:pPr>
              <w:spacing w:after="0"/>
              <w:rPr>
                <w:sz w:val="20"/>
                <w:szCs w:val="20"/>
                <w:color w:val="auto"/>
              </w:rPr>
            </w:pPr>
            <w:r>
              <w:rPr>
                <w:rFonts w:ascii="Arial" w:cs="Arial" w:eastAsia="Arial" w:hAnsi="Arial"/>
                <w:sz w:val="12"/>
                <w:szCs w:val="12"/>
                <w:color w:val="auto"/>
              </w:rPr>
              <w:t>Total deferred tax liabilities, net</w:t>
            </w:r>
          </w:p>
        </w:tc>
        <w:tc>
          <w:tcPr>
            <w:tcW w:w="48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7040" w:type="dxa"/>
            <w:vAlign w:val="bottom"/>
            <w:gridSpan w:val="2"/>
            <w:vMerge w:val="continue"/>
            <w:shd w:val="clear" w:color="auto" w:fill="CFF0FC"/>
          </w:tcPr>
          <w:p>
            <w:pPr>
              <w:spacing w:after="0"/>
              <w:rPr>
                <w:sz w:val="12"/>
                <w:szCs w:val="12"/>
                <w:color w:val="auto"/>
              </w:rPr>
            </w:pPr>
          </w:p>
        </w:tc>
        <w:tc>
          <w:tcPr>
            <w:tcW w:w="480" w:type="dxa"/>
            <w:vAlign w:val="bottom"/>
            <w:shd w:val="clear" w:color="auto" w:fill="CFF0FC"/>
          </w:tcPr>
          <w:p>
            <w:pPr>
              <w:jc w:val="right"/>
              <w:ind w:right="370"/>
              <w:spacing w:after="0"/>
              <w:rPr>
                <w:sz w:val="20"/>
                <w:szCs w:val="20"/>
                <w:color w:val="auto"/>
              </w:rPr>
            </w:pPr>
            <w:r>
              <w:rPr>
                <w:rFonts w:ascii="Arial" w:cs="Arial" w:eastAsia="Arial" w:hAnsi="Arial"/>
                <w:sz w:val="10"/>
                <w:szCs w:val="10"/>
                <w:color w:val="auto"/>
                <w:w w:val="71"/>
              </w:rPr>
              <w:t>$</w:t>
            </w:r>
          </w:p>
        </w:tc>
        <w:tc>
          <w:tcPr>
            <w:tcW w:w="1840" w:type="dxa"/>
            <w:vAlign w:val="bottom"/>
            <w:gridSpan w:val="2"/>
            <w:shd w:val="clear" w:color="auto" w:fill="CFF0FC"/>
          </w:tcPr>
          <w:p>
            <w:pPr>
              <w:jc w:val="right"/>
              <w:ind w:right="280"/>
              <w:spacing w:after="0"/>
              <w:rPr>
                <w:sz w:val="20"/>
                <w:szCs w:val="20"/>
                <w:color w:val="auto"/>
              </w:rPr>
            </w:pPr>
            <w:r>
              <w:rPr>
                <w:rFonts w:ascii="Arial" w:cs="Arial" w:eastAsia="Arial" w:hAnsi="Arial"/>
                <w:sz w:val="12"/>
                <w:szCs w:val="12"/>
                <w:color w:val="auto"/>
              </w:rPr>
              <w:t>(25,716)</w:t>
            </w:r>
          </w:p>
        </w:tc>
        <w:tc>
          <w:tcPr>
            <w:tcW w:w="480" w:type="dxa"/>
            <w:vAlign w:val="bottom"/>
            <w:shd w:val="clear" w:color="auto" w:fill="CFF0FC"/>
          </w:tcPr>
          <w:p>
            <w:pPr>
              <w:jc w:val="right"/>
              <w:ind w:right="370"/>
              <w:spacing w:after="0"/>
              <w:rPr>
                <w:sz w:val="20"/>
                <w:szCs w:val="20"/>
                <w:color w:val="auto"/>
              </w:rPr>
            </w:pPr>
            <w:r>
              <w:rPr>
                <w:rFonts w:ascii="Arial" w:cs="Arial" w:eastAsia="Arial" w:hAnsi="Arial"/>
                <w:sz w:val="10"/>
                <w:szCs w:val="10"/>
                <w:color w:val="auto"/>
                <w:w w:val="71"/>
              </w:rPr>
              <w:t>$</w:t>
            </w:r>
          </w:p>
        </w:tc>
        <w:tc>
          <w:tcPr>
            <w:tcW w:w="164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(33,627)</w:t>
            </w:r>
          </w:p>
        </w:tc>
        <w:tc>
          <w:tcPr>
            <w:tcW w:w="0" w:type="dxa"/>
            <w:vAlign w:val="bottom"/>
          </w:tcPr>
          <w:p>
            <w:pPr>
              <w:spacing w:after="0"/>
              <w:rPr>
                <w:sz w:val="1"/>
                <w:szCs w:val="1"/>
                <w:color w:val="auto"/>
              </w:rPr>
            </w:pPr>
          </w:p>
        </w:tc>
      </w:tr>
      <w:tr>
        <w:trPr>
          <w:trHeight w:val="27"/>
        </w:trPr>
        <w:tc>
          <w:tcPr>
            <w:tcW w:w="640" w:type="dxa"/>
            <w:vAlign w:val="bottom"/>
            <w:shd w:val="clear" w:color="auto" w:fill="CFF0FC"/>
          </w:tcPr>
          <w:p>
            <w:pPr>
              <w:spacing w:after="0"/>
              <w:rPr>
                <w:sz w:val="2"/>
                <w:szCs w:val="2"/>
                <w:color w:val="auto"/>
              </w:rPr>
            </w:pPr>
          </w:p>
        </w:tc>
        <w:tc>
          <w:tcPr>
            <w:tcW w:w="6400" w:type="dxa"/>
            <w:vAlign w:val="bottom"/>
            <w:shd w:val="clear" w:color="auto" w:fill="CFF0FC"/>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520" w:type="dxa"/>
            <w:vAlign w:val="bottom"/>
            <w:shd w:val="clear" w:color="auto" w:fill="000000"/>
          </w:tcPr>
          <w:p>
            <w:pPr>
              <w:spacing w:after="0"/>
              <w:rPr>
                <w:sz w:val="2"/>
                <w:szCs w:val="2"/>
                <w:color w:val="auto"/>
              </w:rPr>
            </w:pPr>
          </w:p>
        </w:tc>
        <w:tc>
          <w:tcPr>
            <w:tcW w:w="320" w:type="dxa"/>
            <w:vAlign w:val="bottom"/>
            <w:shd w:val="clear" w:color="auto" w:fill="CFF0FC"/>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520" w:type="dxa"/>
            <w:vAlign w:val="bottom"/>
            <w:shd w:val="clear" w:color="auto" w:fill="000000"/>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ind w:right="180" w:firstLine="602"/>
        <w:spacing w:after="0" w:line="263" w:lineRule="auto"/>
        <w:rPr>
          <w:sz w:val="20"/>
          <w:szCs w:val="20"/>
          <w:color w:val="auto"/>
        </w:rPr>
      </w:pPr>
      <w:r>
        <w:rPr>
          <w:rFonts w:ascii="Arial" w:cs="Arial" w:eastAsia="Arial" w:hAnsi="Arial"/>
          <w:sz w:val="12"/>
          <w:szCs w:val="12"/>
          <w:color w:val="auto"/>
        </w:rPr>
        <w:t xml:space="preserve">In accordance with ASC 740-10, </w:t>
      </w:r>
      <w:r>
        <w:rPr>
          <w:rFonts w:ascii="Arial" w:cs="Arial" w:eastAsia="Arial" w:hAnsi="Arial"/>
          <w:sz w:val="12"/>
          <w:szCs w:val="12"/>
          <w:i w:val="1"/>
          <w:iCs w:val="1"/>
          <w:color w:val="auto"/>
        </w:rPr>
        <w:t>Income Taxes</w:t>
      </w:r>
      <w:r>
        <w:rPr>
          <w:rFonts w:ascii="Arial" w:cs="Arial" w:eastAsia="Arial" w:hAnsi="Arial"/>
          <w:sz w:val="12"/>
          <w:szCs w:val="12"/>
          <w:color w:val="auto"/>
        </w:rPr>
        <w:t>, deferred tax assets are reduced by a valuation allowance if it is more likely than not that some portion or all of the deferred tax assets will not be realized. The realization of deferred tax assets can be affected by, among other things, the nature, frequency and severity of current and cumulative losses, forecasts of future profitability, the length of statutory carryforward periods, the Company’s experience with utilizing operating losses and tax credit carryforwards by jurisdiction, and tax planning alternatives that may be available.</w:t>
      </w:r>
    </w:p>
    <w:p>
      <w:pPr>
        <w:spacing w:after="0" w:line="123" w:lineRule="exact"/>
        <w:rPr>
          <w:sz w:val="20"/>
          <w:szCs w:val="20"/>
          <w:color w:val="auto"/>
        </w:rPr>
      </w:pPr>
    </w:p>
    <w:p>
      <w:pPr>
        <w:ind w:right="40" w:firstLine="602"/>
        <w:spacing w:after="0" w:line="263" w:lineRule="auto"/>
        <w:rPr>
          <w:sz w:val="20"/>
          <w:szCs w:val="20"/>
          <w:color w:val="auto"/>
        </w:rPr>
      </w:pPr>
      <w:r>
        <w:rPr>
          <w:rFonts w:ascii="Arial" w:cs="Arial" w:eastAsia="Arial" w:hAnsi="Arial"/>
          <w:sz w:val="12"/>
          <w:szCs w:val="12"/>
          <w:color w:val="auto"/>
        </w:rPr>
        <w:t>The Company performed an analysis of the reversal of the deferred tax assets, and then considered the overall business environment, historical earnings and the outlook for future years. The Company determined that it is more likely than not that the benefit from certain state net operating loss carryforwards will not be realized as of the years ended December 31, 2019 and 2018, and as such provided a valuation allowance of $2.6 million and $2.3 million, respectively.</w:t>
      </w:r>
    </w:p>
    <w:p>
      <w:pPr>
        <w:spacing w:after="0" w:line="123" w:lineRule="exact"/>
        <w:rPr>
          <w:sz w:val="20"/>
          <w:szCs w:val="20"/>
          <w:color w:val="auto"/>
        </w:rPr>
      </w:pPr>
    </w:p>
    <w:p>
      <w:pPr>
        <w:ind w:right="40" w:firstLine="602"/>
        <w:spacing w:after="0" w:line="259" w:lineRule="auto"/>
        <w:rPr>
          <w:sz w:val="20"/>
          <w:szCs w:val="20"/>
          <w:color w:val="auto"/>
        </w:rPr>
      </w:pPr>
      <w:r>
        <w:rPr>
          <w:rFonts w:ascii="Arial" w:cs="Arial" w:eastAsia="Arial" w:hAnsi="Arial"/>
          <w:sz w:val="12"/>
          <w:szCs w:val="12"/>
          <w:color w:val="auto"/>
        </w:rPr>
        <w:t>The net operating loss carryforwards represent $25.5 million and $39.3 million of state net operating losses at December 31, 2019, and 2018, respectively, of which an insignificant portion begin to expire in 2020. The utilization of some of these state net operating losses may also be subject to annual limitations due to ownership change rules under the Internal Revenue Code. The Company has certain tax credits of $1.8 million and $0.6 million at December 31, 2019 and 2018, respectively, which if unused will begin to expire in 2026. In addition, during fiscal year 2018, the Company generated an interest limitation carry forward that does not expire, of which $22.5 million remains as of December 31, 2019.</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17740" cy="3683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ectPr>
          <w:pgSz w:w="11900" w:h="16838" w:orient="portrait"/>
          <w:cols w:equalWidth="0" w:num="1">
            <w:col w:w="11480"/>
          </w:cols>
          <w:pgMar w:left="220" w:top="302" w:right="199" w:bottom="1440" w:gutter="0" w:footer="0" w:header="0"/>
        </w:sectPr>
      </w:pPr>
    </w:p>
    <w:bookmarkStart w:id="96" w:name="page97"/>
    <w:bookmarkEnd w:id="96"/>
    <w:p>
      <w:pPr>
        <w:ind w:left="608"/>
        <w:spacing w:after="0"/>
        <w:rPr>
          <w:sz w:val="20"/>
          <w:szCs w:val="20"/>
          <w:color w:val="auto"/>
        </w:rPr>
      </w:pPr>
      <w:r>
        <w:rPr>
          <w:rFonts w:ascii="Arial" w:cs="Arial" w:eastAsia="Arial" w:hAnsi="Arial"/>
          <w:sz w:val="12"/>
          <w:szCs w:val="12"/>
          <w:color w:val="auto"/>
        </w:rPr>
        <w:t>The following table summarizes the activity related to the Company’s unrecognized tax benefits as of December 31:</w:t>
      </w:r>
    </w:p>
    <w:p>
      <w:pPr>
        <w:spacing w:after="0" w:line="143" w:lineRule="exact"/>
        <w:rPr>
          <w:sz w:val="20"/>
          <w:szCs w:val="20"/>
          <w:color w:val="auto"/>
        </w:rPr>
      </w:pPr>
    </w:p>
    <w:tbl>
      <w:tblPr>
        <w:tblLayout w:type="fixed"/>
        <w:tblInd w:w="8" w:type="dxa"/>
        <w:tblCellMar>
          <w:top w:w="0" w:type="dxa"/>
          <w:left w:w="0" w:type="dxa"/>
          <w:bottom w:w="0" w:type="dxa"/>
          <w:right w:w="0" w:type="dxa"/>
        </w:tblCellMar>
      </w:tblPr>
      <w:tr>
        <w:trPr>
          <w:trHeight w:val="115"/>
        </w:trPr>
        <w:tc>
          <w:tcPr>
            <w:tcW w:w="7040" w:type="dxa"/>
            <w:vAlign w:val="bottom"/>
            <w:gridSpan w:val="2"/>
          </w:tcPr>
          <w:p>
            <w:pPr>
              <w:spacing w:after="0"/>
              <w:rPr>
                <w:sz w:val="20"/>
                <w:szCs w:val="20"/>
                <w:color w:val="auto"/>
              </w:rPr>
            </w:pPr>
            <w:r>
              <w:rPr>
                <w:rFonts w:ascii="Arial" w:cs="Arial" w:eastAsia="Arial" w:hAnsi="Arial"/>
                <w:sz w:val="10"/>
                <w:szCs w:val="10"/>
                <w:b w:val="1"/>
                <w:bCs w:val="1"/>
                <w:u w:val="single" w:color="auto"/>
                <w:color w:val="auto"/>
              </w:rPr>
              <w:t>(</w:t>
            </w:r>
            <w:r>
              <w:rPr>
                <w:rFonts w:ascii="Arial" w:cs="Arial" w:eastAsia="Arial" w:hAnsi="Arial"/>
                <w:sz w:val="10"/>
                <w:szCs w:val="10"/>
                <w:b w:val="1"/>
                <w:bCs w:val="1"/>
                <w:color w:val="auto"/>
              </w:rPr>
              <w:t>$ in thousands)</w:t>
            </w:r>
          </w:p>
        </w:tc>
        <w:tc>
          <w:tcPr>
            <w:tcW w:w="480" w:type="dxa"/>
            <w:vAlign w:val="bottom"/>
          </w:tcPr>
          <w:p>
            <w:pPr>
              <w:spacing w:after="0"/>
              <w:rPr>
                <w:sz w:val="10"/>
                <w:szCs w:val="10"/>
                <w:color w:val="auto"/>
              </w:rPr>
            </w:pPr>
          </w:p>
        </w:tc>
        <w:tc>
          <w:tcPr>
            <w:tcW w:w="1520" w:type="dxa"/>
            <w:vAlign w:val="bottom"/>
          </w:tcPr>
          <w:p>
            <w:pPr>
              <w:jc w:val="right"/>
              <w:ind w:right="841"/>
              <w:spacing w:after="0"/>
              <w:rPr>
                <w:sz w:val="20"/>
                <w:szCs w:val="20"/>
                <w:color w:val="auto"/>
              </w:rPr>
            </w:pPr>
            <w:r>
              <w:rPr>
                <w:rFonts w:ascii="Arial" w:cs="Arial" w:eastAsia="Arial" w:hAnsi="Arial"/>
                <w:sz w:val="10"/>
                <w:szCs w:val="10"/>
                <w:b w:val="1"/>
                <w:bCs w:val="1"/>
                <w:color w:val="auto"/>
              </w:rPr>
              <w:t>2019</w:t>
            </w: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520" w:type="dxa"/>
            <w:vAlign w:val="bottom"/>
          </w:tcPr>
          <w:p>
            <w:pPr>
              <w:jc w:val="right"/>
              <w:ind w:right="841"/>
              <w:spacing w:after="0"/>
              <w:rPr>
                <w:sz w:val="20"/>
                <w:szCs w:val="20"/>
                <w:color w:val="auto"/>
              </w:rPr>
            </w:pPr>
            <w:r>
              <w:rPr>
                <w:rFonts w:ascii="Arial" w:cs="Arial" w:eastAsia="Arial" w:hAnsi="Arial"/>
                <w:sz w:val="10"/>
                <w:szCs w:val="10"/>
                <w:b w:val="1"/>
                <w:bCs w:val="1"/>
                <w:color w:val="auto"/>
              </w:rPr>
              <w:t>2018</w:t>
            </w:r>
          </w:p>
        </w:tc>
        <w:tc>
          <w:tcPr>
            <w:tcW w:w="120" w:type="dxa"/>
            <w:vAlign w:val="bottom"/>
          </w:tcPr>
          <w:p>
            <w:pPr>
              <w:spacing w:after="0"/>
              <w:rPr>
                <w:sz w:val="10"/>
                <w:szCs w:val="10"/>
                <w:color w:val="auto"/>
              </w:rPr>
            </w:pPr>
          </w:p>
        </w:tc>
      </w:tr>
      <w:tr>
        <w:trPr>
          <w:trHeight w:val="20"/>
        </w:trPr>
        <w:tc>
          <w:tcPr>
            <w:tcW w:w="640" w:type="dxa"/>
            <w:vAlign w:val="bottom"/>
            <w:tcBorders>
              <w:bottom w:val="single" w:sz="8" w:color="CFF0FC"/>
            </w:tcBorders>
            <w:shd w:val="clear" w:color="auto" w:fill="000000"/>
          </w:tcPr>
          <w:p>
            <w:pPr>
              <w:spacing w:after="0" w:line="20" w:lineRule="exact"/>
              <w:rPr>
                <w:sz w:val="1"/>
                <w:szCs w:val="1"/>
                <w:color w:val="auto"/>
              </w:rPr>
            </w:pPr>
          </w:p>
        </w:tc>
        <w:tc>
          <w:tcPr>
            <w:tcW w:w="6400" w:type="dxa"/>
            <w:vAlign w:val="bottom"/>
            <w:tcBorders>
              <w:bottom w:val="single" w:sz="8" w:color="CFF0FC"/>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FF0FC"/>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r>
      <w:tr>
        <w:trPr>
          <w:trHeight w:val="131"/>
        </w:trPr>
        <w:tc>
          <w:tcPr>
            <w:tcW w:w="7040" w:type="dxa"/>
            <w:vAlign w:val="bottom"/>
            <w:gridSpan w:val="2"/>
            <w:shd w:val="clear" w:color="auto" w:fill="CFF0FC"/>
          </w:tcPr>
          <w:p>
            <w:pPr>
              <w:spacing w:after="0" w:line="132" w:lineRule="exact"/>
              <w:rPr>
                <w:sz w:val="20"/>
                <w:szCs w:val="20"/>
                <w:color w:val="auto"/>
              </w:rPr>
            </w:pPr>
            <w:r>
              <w:rPr>
                <w:rFonts w:ascii="Arial" w:cs="Arial" w:eastAsia="Arial" w:hAnsi="Arial"/>
                <w:sz w:val="12"/>
                <w:szCs w:val="12"/>
                <w:color w:val="auto"/>
              </w:rPr>
              <w:t>Balance at the beginning of the year</w:t>
            </w:r>
          </w:p>
        </w:tc>
        <w:tc>
          <w:tcPr>
            <w:tcW w:w="480" w:type="dxa"/>
            <w:vAlign w:val="bottom"/>
            <w:shd w:val="clear" w:color="auto" w:fill="CFF0FC"/>
          </w:tcPr>
          <w:p>
            <w:pPr>
              <w:jc w:val="right"/>
              <w:ind w:right="370"/>
              <w:spacing w:after="0"/>
              <w:rPr>
                <w:sz w:val="20"/>
                <w:szCs w:val="20"/>
                <w:color w:val="auto"/>
              </w:rPr>
            </w:pPr>
            <w:r>
              <w:rPr>
                <w:rFonts w:ascii="Arial" w:cs="Arial" w:eastAsia="Arial" w:hAnsi="Arial"/>
                <w:sz w:val="10"/>
                <w:szCs w:val="10"/>
                <w:color w:val="auto"/>
                <w:w w:val="71"/>
              </w:rPr>
              <w:t>$</w:t>
            </w:r>
          </w:p>
        </w:tc>
        <w:tc>
          <w:tcPr>
            <w:tcW w:w="1520" w:type="dxa"/>
            <w:vAlign w:val="bottom"/>
            <w:shd w:val="clear" w:color="auto" w:fill="CFF0FC"/>
          </w:tcPr>
          <w:p>
            <w:pPr>
              <w:jc w:val="right"/>
              <w:spacing w:after="0" w:line="132" w:lineRule="exact"/>
              <w:rPr>
                <w:sz w:val="20"/>
                <w:szCs w:val="20"/>
                <w:color w:val="auto"/>
              </w:rPr>
            </w:pPr>
            <w:r>
              <w:rPr>
                <w:rFonts w:ascii="Arial" w:cs="Arial" w:eastAsia="Arial" w:hAnsi="Arial"/>
                <w:sz w:val="12"/>
                <w:szCs w:val="12"/>
                <w:color w:val="auto"/>
              </w:rPr>
              <w:t>2,529</w:t>
            </w:r>
          </w:p>
        </w:tc>
        <w:tc>
          <w:tcPr>
            <w:tcW w:w="320" w:type="dxa"/>
            <w:vAlign w:val="bottom"/>
            <w:shd w:val="clear" w:color="auto" w:fill="CFF0FC"/>
          </w:tcPr>
          <w:p>
            <w:pPr>
              <w:spacing w:after="0"/>
              <w:rPr>
                <w:sz w:val="11"/>
                <w:szCs w:val="11"/>
                <w:color w:val="auto"/>
              </w:rPr>
            </w:pPr>
          </w:p>
        </w:tc>
        <w:tc>
          <w:tcPr>
            <w:tcW w:w="480" w:type="dxa"/>
            <w:vAlign w:val="bottom"/>
            <w:shd w:val="clear" w:color="auto" w:fill="CFF0FC"/>
          </w:tcPr>
          <w:p>
            <w:pPr>
              <w:jc w:val="right"/>
              <w:ind w:right="370"/>
              <w:spacing w:after="0"/>
              <w:rPr>
                <w:sz w:val="20"/>
                <w:szCs w:val="20"/>
                <w:color w:val="auto"/>
              </w:rPr>
            </w:pPr>
            <w:r>
              <w:rPr>
                <w:rFonts w:ascii="Arial" w:cs="Arial" w:eastAsia="Arial" w:hAnsi="Arial"/>
                <w:sz w:val="10"/>
                <w:szCs w:val="10"/>
                <w:color w:val="auto"/>
                <w:w w:val="71"/>
              </w:rPr>
              <w:t>$</w:t>
            </w:r>
          </w:p>
        </w:tc>
        <w:tc>
          <w:tcPr>
            <w:tcW w:w="1520" w:type="dxa"/>
            <w:vAlign w:val="bottom"/>
            <w:shd w:val="clear" w:color="auto" w:fill="CFF0FC"/>
          </w:tcPr>
          <w:p>
            <w:pPr>
              <w:jc w:val="right"/>
              <w:spacing w:after="0" w:line="132" w:lineRule="exact"/>
              <w:rPr>
                <w:sz w:val="20"/>
                <w:szCs w:val="20"/>
                <w:color w:val="auto"/>
              </w:rPr>
            </w:pPr>
            <w:r>
              <w:rPr>
                <w:rFonts w:ascii="Arial" w:cs="Arial" w:eastAsia="Arial" w:hAnsi="Arial"/>
                <w:sz w:val="12"/>
                <w:szCs w:val="12"/>
                <w:color w:val="auto"/>
              </w:rPr>
              <w:t>2,634</w:t>
            </w:r>
          </w:p>
        </w:tc>
        <w:tc>
          <w:tcPr>
            <w:tcW w:w="120" w:type="dxa"/>
            <w:vAlign w:val="bottom"/>
            <w:shd w:val="clear" w:color="auto" w:fill="CFF0FC"/>
          </w:tcPr>
          <w:p>
            <w:pPr>
              <w:spacing w:after="0"/>
              <w:rPr>
                <w:sz w:val="11"/>
                <w:szCs w:val="11"/>
                <w:color w:val="auto"/>
              </w:rPr>
            </w:pPr>
          </w:p>
        </w:tc>
      </w:tr>
      <w:tr>
        <w:trPr>
          <w:trHeight w:val="153"/>
        </w:trPr>
        <w:tc>
          <w:tcPr>
            <w:tcW w:w="7040" w:type="dxa"/>
            <w:vAlign w:val="bottom"/>
            <w:gridSpan w:val="2"/>
          </w:tcPr>
          <w:p>
            <w:pPr>
              <w:ind w:left="80"/>
              <w:spacing w:after="0"/>
              <w:rPr>
                <w:sz w:val="20"/>
                <w:szCs w:val="20"/>
                <w:color w:val="auto"/>
              </w:rPr>
            </w:pPr>
            <w:r>
              <w:rPr>
                <w:rFonts w:ascii="Arial" w:cs="Arial" w:eastAsia="Arial" w:hAnsi="Arial"/>
                <w:sz w:val="12"/>
                <w:szCs w:val="12"/>
                <w:color w:val="auto"/>
              </w:rPr>
              <w:t>Increases/(decreases) related to current year tax positions</w:t>
            </w:r>
          </w:p>
        </w:tc>
        <w:tc>
          <w:tcPr>
            <w:tcW w:w="480" w:type="dxa"/>
            <w:vAlign w:val="bottom"/>
          </w:tcPr>
          <w:p>
            <w:pPr>
              <w:spacing w:after="0"/>
              <w:rPr>
                <w:sz w:val="13"/>
                <w:szCs w:val="13"/>
                <w:color w:val="auto"/>
              </w:rPr>
            </w:pPr>
          </w:p>
        </w:tc>
        <w:tc>
          <w:tcPr>
            <w:tcW w:w="1840" w:type="dxa"/>
            <w:vAlign w:val="bottom"/>
            <w:gridSpan w:val="2"/>
          </w:tcPr>
          <w:p>
            <w:pPr>
              <w:jc w:val="right"/>
              <w:ind w:right="280"/>
              <w:spacing w:after="0"/>
              <w:rPr>
                <w:sz w:val="20"/>
                <w:szCs w:val="20"/>
                <w:color w:val="auto"/>
              </w:rPr>
            </w:pPr>
            <w:r>
              <w:rPr>
                <w:rFonts w:ascii="Arial" w:cs="Arial" w:eastAsia="Arial" w:hAnsi="Arial"/>
                <w:sz w:val="12"/>
                <w:szCs w:val="12"/>
                <w:color w:val="auto"/>
              </w:rPr>
              <w:t>(79)</w:t>
            </w:r>
          </w:p>
        </w:tc>
        <w:tc>
          <w:tcPr>
            <w:tcW w:w="480" w:type="dxa"/>
            <w:vAlign w:val="bottom"/>
          </w:tcPr>
          <w:p>
            <w:pPr>
              <w:spacing w:after="0"/>
              <w:rPr>
                <w:sz w:val="13"/>
                <w:szCs w:val="13"/>
                <w:color w:val="auto"/>
              </w:rPr>
            </w:pPr>
          </w:p>
        </w:tc>
        <w:tc>
          <w:tcPr>
            <w:tcW w:w="1640" w:type="dxa"/>
            <w:vAlign w:val="bottom"/>
            <w:gridSpan w:val="2"/>
          </w:tcPr>
          <w:p>
            <w:pPr>
              <w:jc w:val="right"/>
              <w:ind w:right="80"/>
              <w:spacing w:after="0"/>
              <w:rPr>
                <w:sz w:val="20"/>
                <w:szCs w:val="20"/>
                <w:color w:val="auto"/>
              </w:rPr>
            </w:pPr>
            <w:r>
              <w:rPr>
                <w:rFonts w:ascii="Arial" w:cs="Arial" w:eastAsia="Arial" w:hAnsi="Arial"/>
                <w:sz w:val="12"/>
                <w:szCs w:val="12"/>
                <w:color w:val="auto"/>
              </w:rPr>
              <w:t>(105)</w:t>
            </w:r>
          </w:p>
        </w:tc>
      </w:tr>
      <w:tr>
        <w:trPr>
          <w:trHeight w:val="153"/>
        </w:trPr>
        <w:tc>
          <w:tcPr>
            <w:tcW w:w="7040" w:type="dxa"/>
            <w:vAlign w:val="bottom"/>
            <w:gridSpan w:val="2"/>
            <w:shd w:val="clear" w:color="auto" w:fill="CFF0FC"/>
          </w:tcPr>
          <w:p>
            <w:pPr>
              <w:ind w:left="80"/>
              <w:spacing w:after="0"/>
              <w:rPr>
                <w:sz w:val="20"/>
                <w:szCs w:val="20"/>
                <w:color w:val="auto"/>
              </w:rPr>
            </w:pPr>
            <w:r>
              <w:rPr>
                <w:rFonts w:ascii="Arial" w:cs="Arial" w:eastAsia="Arial" w:hAnsi="Arial"/>
                <w:sz w:val="12"/>
                <w:szCs w:val="12"/>
                <w:color w:val="auto"/>
              </w:rPr>
              <w:t>Increases/(decreases) related to prior year tax positions</w:t>
            </w:r>
          </w:p>
        </w:tc>
        <w:tc>
          <w:tcPr>
            <w:tcW w:w="480" w:type="dxa"/>
            <w:vAlign w:val="bottom"/>
            <w:shd w:val="clear" w:color="auto" w:fill="CFF0FC"/>
          </w:tcPr>
          <w:p>
            <w:pPr>
              <w:spacing w:after="0"/>
              <w:rPr>
                <w:sz w:val="13"/>
                <w:szCs w:val="13"/>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45</w:t>
            </w:r>
          </w:p>
        </w:tc>
        <w:tc>
          <w:tcPr>
            <w:tcW w:w="32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164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w:t>
            </w:r>
          </w:p>
        </w:tc>
      </w:tr>
      <w:tr>
        <w:trPr>
          <w:trHeight w:val="153"/>
        </w:trPr>
        <w:tc>
          <w:tcPr>
            <w:tcW w:w="7040" w:type="dxa"/>
            <w:vAlign w:val="bottom"/>
            <w:gridSpan w:val="2"/>
          </w:tcPr>
          <w:p>
            <w:pPr>
              <w:ind w:left="80"/>
              <w:spacing w:after="0"/>
              <w:rPr>
                <w:sz w:val="20"/>
                <w:szCs w:val="20"/>
                <w:color w:val="auto"/>
              </w:rPr>
            </w:pPr>
            <w:r>
              <w:rPr>
                <w:rFonts w:ascii="Arial" w:cs="Arial" w:eastAsia="Arial" w:hAnsi="Arial"/>
                <w:sz w:val="12"/>
                <w:szCs w:val="12"/>
                <w:color w:val="auto"/>
              </w:rPr>
              <w:t>Settlements with taxing authorities</w:t>
            </w:r>
          </w:p>
        </w:tc>
        <w:tc>
          <w:tcPr>
            <w:tcW w:w="480" w:type="dxa"/>
            <w:vAlign w:val="bottom"/>
          </w:tcPr>
          <w:p>
            <w:pPr>
              <w:spacing w:after="0"/>
              <w:rPr>
                <w:sz w:val="13"/>
                <w:szCs w:val="13"/>
                <w:color w:val="auto"/>
              </w:rPr>
            </w:pPr>
          </w:p>
        </w:tc>
        <w:tc>
          <w:tcPr>
            <w:tcW w:w="1840" w:type="dxa"/>
            <w:vAlign w:val="bottom"/>
            <w:gridSpan w:val="2"/>
          </w:tcPr>
          <w:p>
            <w:pPr>
              <w:jc w:val="right"/>
              <w:ind w:right="340"/>
              <w:spacing w:after="0"/>
              <w:rPr>
                <w:sz w:val="20"/>
                <w:szCs w:val="20"/>
                <w:color w:val="auto"/>
              </w:rPr>
            </w:pPr>
            <w:r>
              <w:rPr>
                <w:rFonts w:ascii="Arial" w:cs="Arial" w:eastAsia="Arial" w:hAnsi="Arial"/>
                <w:sz w:val="12"/>
                <w:szCs w:val="12"/>
                <w:color w:val="auto"/>
              </w:rPr>
              <w:t>—</w:t>
            </w:r>
          </w:p>
        </w:tc>
        <w:tc>
          <w:tcPr>
            <w:tcW w:w="480" w:type="dxa"/>
            <w:vAlign w:val="bottom"/>
          </w:tcPr>
          <w:p>
            <w:pPr>
              <w:spacing w:after="0"/>
              <w:rPr>
                <w:sz w:val="13"/>
                <w:szCs w:val="13"/>
                <w:color w:val="auto"/>
              </w:rPr>
            </w:pPr>
          </w:p>
        </w:tc>
        <w:tc>
          <w:tcPr>
            <w:tcW w:w="16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r>
      <w:tr>
        <w:trPr>
          <w:trHeight w:val="153"/>
        </w:trPr>
        <w:tc>
          <w:tcPr>
            <w:tcW w:w="7040" w:type="dxa"/>
            <w:vAlign w:val="bottom"/>
            <w:gridSpan w:val="2"/>
            <w:shd w:val="clear" w:color="auto" w:fill="CFF0FC"/>
          </w:tcPr>
          <w:p>
            <w:pPr>
              <w:ind w:left="80"/>
              <w:spacing w:after="0"/>
              <w:rPr>
                <w:sz w:val="20"/>
                <w:szCs w:val="20"/>
                <w:color w:val="auto"/>
              </w:rPr>
            </w:pPr>
            <w:r>
              <w:rPr>
                <w:rFonts w:ascii="Arial" w:cs="Arial" w:eastAsia="Arial" w:hAnsi="Arial"/>
                <w:sz w:val="12"/>
                <w:szCs w:val="12"/>
                <w:color w:val="auto"/>
              </w:rPr>
              <w:t>Expiration due to statute of limitations</w:t>
            </w:r>
          </w:p>
        </w:tc>
        <w:tc>
          <w:tcPr>
            <w:tcW w:w="480" w:type="dxa"/>
            <w:vAlign w:val="bottom"/>
            <w:shd w:val="clear" w:color="auto" w:fill="CFF0FC"/>
          </w:tcPr>
          <w:p>
            <w:pPr>
              <w:spacing w:after="0"/>
              <w:rPr>
                <w:sz w:val="13"/>
                <w:szCs w:val="13"/>
                <w:color w:val="auto"/>
              </w:rPr>
            </w:pPr>
          </w:p>
        </w:tc>
        <w:tc>
          <w:tcPr>
            <w:tcW w:w="1840" w:type="dxa"/>
            <w:vAlign w:val="bottom"/>
            <w:gridSpan w:val="2"/>
            <w:shd w:val="clear" w:color="auto" w:fill="CFF0FC"/>
          </w:tcPr>
          <w:p>
            <w:pPr>
              <w:jc w:val="right"/>
              <w:ind w:right="280"/>
              <w:spacing w:after="0"/>
              <w:rPr>
                <w:sz w:val="20"/>
                <w:szCs w:val="20"/>
                <w:color w:val="auto"/>
              </w:rPr>
            </w:pPr>
            <w:r>
              <w:rPr>
                <w:rFonts w:ascii="Arial" w:cs="Arial" w:eastAsia="Arial" w:hAnsi="Arial"/>
                <w:sz w:val="12"/>
                <w:szCs w:val="12"/>
                <w:color w:val="auto"/>
              </w:rPr>
              <w:t>(760)</w:t>
            </w:r>
          </w:p>
        </w:tc>
        <w:tc>
          <w:tcPr>
            <w:tcW w:w="480" w:type="dxa"/>
            <w:vAlign w:val="bottom"/>
            <w:shd w:val="clear" w:color="auto" w:fill="CFF0FC"/>
          </w:tcPr>
          <w:p>
            <w:pPr>
              <w:spacing w:after="0"/>
              <w:rPr>
                <w:sz w:val="13"/>
                <w:szCs w:val="13"/>
                <w:color w:val="auto"/>
              </w:rPr>
            </w:pPr>
          </w:p>
        </w:tc>
        <w:tc>
          <w:tcPr>
            <w:tcW w:w="164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w:t>
            </w:r>
          </w:p>
        </w:tc>
      </w:tr>
      <w:tr>
        <w:trPr>
          <w:trHeight w:val="153"/>
        </w:trPr>
        <w:tc>
          <w:tcPr>
            <w:tcW w:w="7040" w:type="dxa"/>
            <w:vAlign w:val="bottom"/>
            <w:gridSpan w:val="2"/>
          </w:tcPr>
          <w:p>
            <w:pPr>
              <w:ind w:left="80"/>
              <w:spacing w:after="0"/>
              <w:rPr>
                <w:sz w:val="20"/>
                <w:szCs w:val="20"/>
                <w:color w:val="auto"/>
              </w:rPr>
            </w:pPr>
            <w:r>
              <w:rPr>
                <w:rFonts w:ascii="Arial" w:cs="Arial" w:eastAsia="Arial" w:hAnsi="Arial"/>
                <w:sz w:val="12"/>
                <w:szCs w:val="12"/>
                <w:color w:val="auto"/>
              </w:rPr>
              <w:t>Change in the valuation allowance</w:t>
            </w:r>
          </w:p>
        </w:tc>
        <w:tc>
          <w:tcPr>
            <w:tcW w:w="480" w:type="dxa"/>
            <w:vAlign w:val="bottom"/>
          </w:tcPr>
          <w:p>
            <w:pPr>
              <w:spacing w:after="0"/>
              <w:rPr>
                <w:sz w:val="13"/>
                <w:szCs w:val="13"/>
                <w:color w:val="auto"/>
              </w:rPr>
            </w:pPr>
          </w:p>
        </w:tc>
        <w:tc>
          <w:tcPr>
            <w:tcW w:w="1840" w:type="dxa"/>
            <w:vAlign w:val="bottom"/>
            <w:gridSpan w:val="2"/>
          </w:tcPr>
          <w:p>
            <w:pPr>
              <w:jc w:val="right"/>
              <w:ind w:right="340"/>
              <w:spacing w:after="0"/>
              <w:rPr>
                <w:sz w:val="20"/>
                <w:szCs w:val="20"/>
                <w:color w:val="auto"/>
              </w:rPr>
            </w:pPr>
            <w:r>
              <w:rPr>
                <w:rFonts w:ascii="Arial" w:cs="Arial" w:eastAsia="Arial" w:hAnsi="Arial"/>
                <w:sz w:val="12"/>
                <w:szCs w:val="12"/>
                <w:color w:val="auto"/>
              </w:rPr>
              <w:t>—</w:t>
            </w:r>
          </w:p>
        </w:tc>
        <w:tc>
          <w:tcPr>
            <w:tcW w:w="480" w:type="dxa"/>
            <w:vAlign w:val="bottom"/>
          </w:tcPr>
          <w:p>
            <w:pPr>
              <w:spacing w:after="0"/>
              <w:rPr>
                <w:sz w:val="13"/>
                <w:szCs w:val="13"/>
                <w:color w:val="auto"/>
              </w:rPr>
            </w:pPr>
          </w:p>
        </w:tc>
        <w:tc>
          <w:tcPr>
            <w:tcW w:w="16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r>
      <w:tr>
        <w:trPr>
          <w:trHeight w:val="149"/>
        </w:trPr>
        <w:tc>
          <w:tcPr>
            <w:tcW w:w="704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2"/>
                <w:szCs w:val="12"/>
                <w:color w:val="auto"/>
              </w:rPr>
              <w:t>Balance at the end of the year</w:t>
            </w:r>
          </w:p>
        </w:tc>
        <w:tc>
          <w:tcPr>
            <w:tcW w:w="480" w:type="dxa"/>
            <w:vAlign w:val="bottom"/>
            <w:tcBorders>
              <w:top w:val="single" w:sz="8" w:color="auto"/>
              <w:bottom w:val="single" w:sz="8" w:color="auto"/>
            </w:tcBorders>
            <w:shd w:val="clear" w:color="auto" w:fill="CFF0FC"/>
          </w:tcPr>
          <w:p>
            <w:pPr>
              <w:jc w:val="right"/>
              <w:ind w:right="370"/>
              <w:spacing w:after="0"/>
              <w:rPr>
                <w:sz w:val="20"/>
                <w:szCs w:val="20"/>
                <w:color w:val="auto"/>
              </w:rPr>
            </w:pPr>
            <w:r>
              <w:rPr>
                <w:rFonts w:ascii="Arial" w:cs="Arial" w:eastAsia="Arial" w:hAnsi="Arial"/>
                <w:sz w:val="10"/>
                <w:szCs w:val="10"/>
                <w:color w:val="auto"/>
                <w:w w:val="71"/>
              </w:rPr>
              <w:t>$</w:t>
            </w:r>
          </w:p>
        </w:tc>
        <w:tc>
          <w:tcPr>
            <w:tcW w:w="1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1,735</w:t>
            </w:r>
          </w:p>
        </w:tc>
        <w:tc>
          <w:tcPr>
            <w:tcW w:w="320" w:type="dxa"/>
            <w:vAlign w:val="bottom"/>
            <w:tcBorders>
              <w:top w:val="single" w:sz="8" w:color="CFF0FC"/>
              <w:bottom w:val="single" w:sz="8" w:color="CFF0FC"/>
            </w:tcBorders>
            <w:shd w:val="clear" w:color="auto" w:fill="CFF0FC"/>
          </w:tcPr>
          <w:p>
            <w:pPr>
              <w:spacing w:after="0"/>
              <w:rPr>
                <w:sz w:val="12"/>
                <w:szCs w:val="12"/>
                <w:color w:val="auto"/>
              </w:rPr>
            </w:pPr>
          </w:p>
        </w:tc>
        <w:tc>
          <w:tcPr>
            <w:tcW w:w="480" w:type="dxa"/>
            <w:vAlign w:val="bottom"/>
            <w:tcBorders>
              <w:top w:val="single" w:sz="8" w:color="auto"/>
              <w:bottom w:val="single" w:sz="8" w:color="auto"/>
            </w:tcBorders>
            <w:shd w:val="clear" w:color="auto" w:fill="CFF0FC"/>
          </w:tcPr>
          <w:p>
            <w:pPr>
              <w:jc w:val="right"/>
              <w:ind w:right="370"/>
              <w:spacing w:after="0"/>
              <w:rPr>
                <w:sz w:val="20"/>
                <w:szCs w:val="20"/>
                <w:color w:val="auto"/>
              </w:rPr>
            </w:pPr>
            <w:r>
              <w:rPr>
                <w:rFonts w:ascii="Arial" w:cs="Arial" w:eastAsia="Arial" w:hAnsi="Arial"/>
                <w:sz w:val="10"/>
                <w:szCs w:val="10"/>
                <w:color w:val="auto"/>
                <w:w w:val="71"/>
              </w:rPr>
              <w:t>$</w:t>
            </w:r>
          </w:p>
        </w:tc>
        <w:tc>
          <w:tcPr>
            <w:tcW w:w="1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2,529</w:t>
            </w:r>
          </w:p>
        </w:tc>
        <w:tc>
          <w:tcPr>
            <w:tcW w:w="120" w:type="dxa"/>
            <w:vAlign w:val="bottom"/>
            <w:tcBorders>
              <w:top w:val="single" w:sz="8" w:color="CFF0FC"/>
              <w:bottom w:val="single" w:sz="8" w:color="CFF0FC"/>
            </w:tcBorders>
            <w:shd w:val="clear" w:color="auto" w:fill="CFF0FC"/>
          </w:tcPr>
          <w:p>
            <w:pPr>
              <w:spacing w:after="0"/>
              <w:rPr>
                <w:sz w:val="12"/>
                <w:szCs w:val="12"/>
                <w:color w:val="auto"/>
              </w:rPr>
            </w:pPr>
          </w:p>
        </w:tc>
      </w:tr>
    </w:tbl>
    <w:p>
      <w:pPr>
        <w:spacing w:after="0" w:line="162" w:lineRule="exact"/>
        <w:rPr>
          <w:sz w:val="20"/>
          <w:szCs w:val="20"/>
          <w:color w:val="auto"/>
        </w:rPr>
      </w:pPr>
    </w:p>
    <w:p>
      <w:pPr>
        <w:jc w:val="both"/>
        <w:ind w:left="8" w:right="80" w:firstLine="602"/>
        <w:spacing w:after="0" w:line="276" w:lineRule="auto"/>
        <w:rPr>
          <w:sz w:val="20"/>
          <w:szCs w:val="20"/>
          <w:color w:val="auto"/>
        </w:rPr>
      </w:pPr>
      <w:r>
        <w:rPr>
          <w:rFonts w:ascii="Arial" w:cs="Arial" w:eastAsia="Arial" w:hAnsi="Arial"/>
          <w:sz w:val="12"/>
          <w:szCs w:val="12"/>
          <w:color w:val="auto"/>
        </w:rPr>
        <w:t>Unrecognized tax benefits for the years ended December 31, 2019 and 2018 were $1.7 million and $2.5 million, respectively. Included in the balance of unrecognized tax benefits as of December 31, 2019 were $1.6 million of tax benefits that, if recognized, would impact the effective tax rate. The Company does not expect its unrecognized tax benefits to change significantly over the next 12 months.</w:t>
      </w:r>
    </w:p>
    <w:p>
      <w:pPr>
        <w:spacing w:after="0" w:line="115" w:lineRule="exact"/>
        <w:rPr>
          <w:sz w:val="20"/>
          <w:szCs w:val="20"/>
          <w:color w:val="auto"/>
        </w:rPr>
      </w:pPr>
    </w:p>
    <w:p>
      <w:pPr>
        <w:ind w:left="8" w:right="120" w:firstLine="602"/>
        <w:spacing w:after="0" w:line="263" w:lineRule="auto"/>
        <w:rPr>
          <w:sz w:val="20"/>
          <w:szCs w:val="20"/>
          <w:color w:val="auto"/>
        </w:rPr>
      </w:pPr>
      <w:r>
        <w:rPr>
          <w:rFonts w:ascii="Arial" w:cs="Arial" w:eastAsia="Arial" w:hAnsi="Arial"/>
          <w:sz w:val="12"/>
          <w:szCs w:val="12"/>
          <w:color w:val="auto"/>
        </w:rPr>
        <w:t>The Company recognizes interest and penalties related to unrecognized tax benefits as income tax expense. The Company recognized less than $0.1 million for fiscal year 2019 and $0.4 million for fiscal year 2018, in interest and penalties. At December 31, 2019 and 2018, the Company had accrued interest and penalties of $0.9 million and $0.9 million, respectively. The Company accounts for uncertain tax positions by recognizing the financial statement effects of a tax position only when, based on technical merits, it is more likely than not that the tax position will be sustained under examination.</w:t>
      </w:r>
    </w:p>
    <w:p>
      <w:pPr>
        <w:spacing w:after="0" w:line="123" w:lineRule="exact"/>
        <w:rPr>
          <w:sz w:val="20"/>
          <w:szCs w:val="20"/>
          <w:color w:val="auto"/>
        </w:rPr>
      </w:pPr>
    </w:p>
    <w:p>
      <w:pPr>
        <w:ind w:left="8" w:right="60" w:firstLine="602"/>
        <w:spacing w:after="0" w:line="259" w:lineRule="auto"/>
        <w:rPr>
          <w:sz w:val="20"/>
          <w:szCs w:val="20"/>
          <w:color w:val="auto"/>
        </w:rPr>
      </w:pPr>
      <w:r>
        <w:rPr>
          <w:rFonts w:ascii="Arial" w:cs="Arial" w:eastAsia="Arial" w:hAnsi="Arial"/>
          <w:sz w:val="12"/>
          <w:szCs w:val="12"/>
          <w:color w:val="auto"/>
        </w:rPr>
        <w:t>The Company is subject to examination by the Internal Revenue Service and taxing authorities in various states. The Company’s U.S. federal income tax returns remain subject to examination by tax authorities for the years 2016 to 2019. The Company’s state income tax returns are under examination by certain states for tax years 2015 to 2017, and other state income tax returns are subject to examination for tax years 2014 to 2018. Tax returns for years prior to 2014 remain open in a number of states due to tax attributes generated but not utilized yet. The Company regularly assesses the likelihood of additional tax deficiencies in each of the tax jurisdictions and, accordingly, makes appropriate adjustments to the tax provision as deemed necessary.</w:t>
      </w:r>
    </w:p>
    <w:p>
      <w:pPr>
        <w:spacing w:after="0" w:line="193" w:lineRule="exact"/>
        <w:rPr>
          <w:sz w:val="20"/>
          <w:szCs w:val="20"/>
          <w:color w:val="auto"/>
        </w:rPr>
      </w:pPr>
    </w:p>
    <w:p>
      <w:pPr>
        <w:ind w:left="588" w:hanging="588"/>
        <w:spacing w:after="0"/>
        <w:tabs>
          <w:tab w:leader="none" w:pos="588" w:val="left"/>
        </w:tabs>
        <w:numPr>
          <w:ilvl w:val="0"/>
          <w:numId w:val="36"/>
        </w:numPr>
        <w:rPr>
          <w:rFonts w:ascii="Arial" w:cs="Arial" w:eastAsia="Arial" w:hAnsi="Arial"/>
          <w:sz w:val="12"/>
          <w:szCs w:val="12"/>
          <w:b w:val="1"/>
          <w:bCs w:val="1"/>
          <w:color w:val="auto"/>
        </w:rPr>
      </w:pPr>
      <w:r>
        <w:rPr>
          <w:rFonts w:ascii="Arial" w:cs="Arial" w:eastAsia="Arial" w:hAnsi="Arial"/>
          <w:sz w:val="12"/>
          <w:szCs w:val="12"/>
          <w:b w:val="1"/>
          <w:bCs w:val="1"/>
          <w:color w:val="auto"/>
        </w:rPr>
        <w:t>Stockholders’ Equity</w:t>
      </w:r>
    </w:p>
    <w:p>
      <w:pPr>
        <w:spacing w:after="0" w:line="82"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Authorized and Outstanding Stock</w:t>
      </w:r>
    </w:p>
    <w:p>
      <w:pPr>
        <w:spacing w:after="0" w:line="78" w:lineRule="exact"/>
        <w:rPr>
          <w:sz w:val="20"/>
          <w:szCs w:val="20"/>
          <w:color w:val="auto"/>
        </w:rPr>
      </w:pPr>
    </w:p>
    <w:p>
      <w:pPr>
        <w:jc w:val="both"/>
        <w:ind w:left="8" w:right="100" w:firstLine="602"/>
        <w:spacing w:after="0" w:line="263" w:lineRule="auto"/>
        <w:rPr>
          <w:sz w:val="20"/>
          <w:szCs w:val="20"/>
          <w:color w:val="auto"/>
        </w:rPr>
      </w:pPr>
      <w:r>
        <w:rPr>
          <w:rFonts w:ascii="Arial" w:cs="Arial" w:eastAsia="Arial" w:hAnsi="Arial"/>
          <w:sz w:val="12"/>
          <w:szCs w:val="12"/>
          <w:color w:val="auto"/>
        </w:rPr>
        <w:t>In conjunction with the Business Combination on October 17, 2018, the Company made changes to its capital stock. The Company’s Amended and Restated Certificate of Incorporation authorizes the issuance of 261,000,000 shares of capital stock, consisting of (i) 260,000,000 shares of Class A Common Stock, and (ii) 1,000,000 shares of preferred stock, each at par value of $0.0001 per share. The outstanding shares of the Company’s common stock are duly authorized, validly issued, fully paid and non-assessable.</w:t>
      </w:r>
    </w:p>
    <w:p>
      <w:pPr>
        <w:spacing w:after="0" w:line="123" w:lineRule="exact"/>
        <w:rPr>
          <w:sz w:val="20"/>
          <w:szCs w:val="20"/>
          <w:color w:val="auto"/>
        </w:rPr>
      </w:pPr>
    </w:p>
    <w:p>
      <w:pPr>
        <w:ind w:left="608"/>
        <w:spacing w:after="0"/>
        <w:rPr>
          <w:sz w:val="20"/>
          <w:szCs w:val="20"/>
          <w:color w:val="auto"/>
        </w:rPr>
      </w:pPr>
      <w:r>
        <w:rPr>
          <w:rFonts w:ascii="Arial" w:cs="Arial" w:eastAsia="Arial" w:hAnsi="Arial"/>
          <w:sz w:val="12"/>
          <w:szCs w:val="12"/>
          <w:color w:val="auto"/>
        </w:rPr>
        <w:t>As a result of the Business Combination, the shares issued to Greenlight are reflected as if they were issued and outstanding beginning on May 31, 2017, the date of the ATS Merger.</w:t>
      </w:r>
    </w:p>
    <w:p>
      <w:pPr>
        <w:spacing w:after="0" w:line="222"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Warrants</w:t>
      </w:r>
    </w:p>
    <w:p>
      <w:pPr>
        <w:spacing w:after="0" w:line="78" w:lineRule="exact"/>
        <w:rPr>
          <w:sz w:val="20"/>
          <w:szCs w:val="20"/>
          <w:color w:val="auto"/>
        </w:rPr>
      </w:pPr>
    </w:p>
    <w:p>
      <w:pPr>
        <w:ind w:left="8" w:right="120" w:firstLine="602"/>
        <w:spacing w:after="0" w:line="263" w:lineRule="auto"/>
        <w:rPr>
          <w:sz w:val="20"/>
          <w:szCs w:val="20"/>
          <w:color w:val="auto"/>
        </w:rPr>
      </w:pPr>
      <w:r>
        <w:rPr>
          <w:rFonts w:ascii="Arial" w:cs="Arial" w:eastAsia="Arial" w:hAnsi="Arial"/>
          <w:sz w:val="12"/>
          <w:szCs w:val="12"/>
          <w:color w:val="auto"/>
        </w:rPr>
        <w:t>As of December 31, 2019, there were warrants outstanding to acquire 19,999,967 shares of the Company’s Class A Common Stock including: (i) 6,666,666 warrants originally issued to Gores Sponsor II, LLC in a private placement in connection with the IPO (the “</w:t>
      </w:r>
      <w:r>
        <w:rPr>
          <w:rFonts w:ascii="Arial" w:cs="Arial" w:eastAsia="Arial" w:hAnsi="Arial"/>
          <w:sz w:val="12"/>
          <w:szCs w:val="12"/>
          <w:b w:val="1"/>
          <w:bCs w:val="1"/>
          <w:i w:val="1"/>
          <w:iCs w:val="1"/>
          <w:color w:val="auto"/>
        </w:rPr>
        <w:t>Private Placement Warrants</w:t>
      </w:r>
      <w:r>
        <w:rPr>
          <w:rFonts w:ascii="Arial" w:cs="Arial" w:eastAsia="Arial" w:hAnsi="Arial"/>
          <w:sz w:val="12"/>
          <w:szCs w:val="12"/>
          <w:color w:val="auto"/>
        </w:rPr>
        <w:t>”); and (ii) 13,333,301 warrants issued in connection with the IPO (the “</w:t>
      </w:r>
      <w:r>
        <w:rPr>
          <w:rFonts w:ascii="Arial" w:cs="Arial" w:eastAsia="Arial" w:hAnsi="Arial"/>
          <w:sz w:val="12"/>
          <w:szCs w:val="12"/>
          <w:b w:val="1"/>
          <w:bCs w:val="1"/>
          <w:i w:val="1"/>
          <w:iCs w:val="1"/>
          <w:color w:val="auto"/>
        </w:rPr>
        <w:t>Public Warrants</w:t>
      </w:r>
      <w:r>
        <w:rPr>
          <w:rFonts w:ascii="Arial" w:cs="Arial" w:eastAsia="Arial" w:hAnsi="Arial"/>
          <w:sz w:val="12"/>
          <w:szCs w:val="12"/>
          <w:color w:val="auto"/>
        </w:rPr>
        <w:t>” and, together with the Private Placement Warrants, the “</w:t>
      </w:r>
      <w:r>
        <w:rPr>
          <w:rFonts w:ascii="Arial" w:cs="Arial" w:eastAsia="Arial" w:hAnsi="Arial"/>
          <w:sz w:val="12"/>
          <w:szCs w:val="12"/>
          <w:b w:val="1"/>
          <w:bCs w:val="1"/>
          <w:i w:val="1"/>
          <w:iCs w:val="1"/>
          <w:color w:val="auto"/>
        </w:rPr>
        <w:t>Warrants</w:t>
      </w:r>
      <w:r>
        <w:rPr>
          <w:rFonts w:ascii="Arial" w:cs="Arial" w:eastAsia="Arial" w:hAnsi="Arial"/>
          <w:sz w:val="12"/>
          <w:szCs w:val="12"/>
          <w:color w:val="auto"/>
        </w:rPr>
        <w:t>”). The Warrants entitle the registered holder to purchase one share of our Class A Common Stock at a price of $11.50 per share, subject to certain adjustments.</w:t>
      </w:r>
    </w:p>
    <w:p>
      <w:pPr>
        <w:spacing w:after="0" w:line="123"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42545</wp:posOffset>
            </wp:positionV>
            <wp:extent cx="7317740" cy="3683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ectPr>
          <w:pgSz w:w="11900" w:h="16838" w:orient="portrait"/>
          <w:cols w:equalWidth="0" w:num="1">
            <w:col w:w="11488"/>
          </w:cols>
          <w:pgMar w:left="212" w:top="419" w:right="199" w:bottom="1440" w:gutter="0" w:footer="0" w:header="0"/>
        </w:sectPr>
      </w:pPr>
    </w:p>
    <w:bookmarkStart w:id="97" w:name="page98"/>
    <w:bookmarkEnd w:id="97"/>
    <w:p>
      <w:pPr>
        <w:ind w:right="60" w:firstLine="602"/>
        <w:spacing w:after="0" w:line="298" w:lineRule="auto"/>
        <w:rPr>
          <w:sz w:val="20"/>
          <w:szCs w:val="20"/>
          <w:color w:val="auto"/>
        </w:rPr>
      </w:pPr>
      <w:r>
        <w:rPr>
          <w:rFonts w:ascii="Arial" w:cs="Arial" w:eastAsia="Arial" w:hAnsi="Arial"/>
          <w:sz w:val="11"/>
          <w:szCs w:val="11"/>
          <w:color w:val="auto"/>
        </w:rPr>
        <w:t>The Warrants became exercisable on November 16, 2018, 30 days following the completion of the Business Combination, and expire five years after that date, or earlier upon redemption or liquidation. The Company may redeem the outstanding Warrants at a price of $0.01 per warrant, if the last sale price of its Class A Common Stock equals or exceeds $18.00 per share for any 20 trading days within a 30 trading day period ending on the third business day before it sends the notice of redemption to the Warrant holders. The Private Placement Warrants, however, are nonredeemable so long as they are held by Gores Sponsor II, LLC or its permitted transferees.</w:t>
      </w:r>
    </w:p>
    <w:p>
      <w:pPr>
        <w:spacing w:after="0" w:line="200" w:lineRule="exact"/>
        <w:rPr>
          <w:sz w:val="20"/>
          <w:szCs w:val="20"/>
          <w:color w:val="auto"/>
        </w:rPr>
      </w:pPr>
    </w:p>
    <w:p>
      <w:pPr>
        <w:spacing w:after="0"/>
        <w:tabs>
          <w:tab w:leader="none" w:pos="560" w:val="left"/>
        </w:tabs>
        <w:rPr>
          <w:sz w:val="20"/>
          <w:szCs w:val="20"/>
          <w:color w:val="auto"/>
        </w:rPr>
      </w:pPr>
      <w:r>
        <w:rPr>
          <w:rFonts w:ascii="Arial" w:cs="Arial" w:eastAsia="Arial" w:hAnsi="Arial"/>
          <w:sz w:val="12"/>
          <w:szCs w:val="12"/>
          <w:b w:val="1"/>
          <w:bCs w:val="1"/>
          <w:color w:val="auto"/>
        </w:rPr>
        <w:t>14</w:t>
      </w:r>
      <w:r>
        <w:rPr>
          <w:rFonts w:ascii="Arial" w:cs="Arial" w:eastAsia="Arial" w:hAnsi="Arial"/>
          <w:sz w:val="12"/>
          <w:szCs w:val="12"/>
          <w:color w:val="auto"/>
        </w:rPr>
        <w:t>.</w:t>
      </w:r>
      <w:r>
        <w:rPr>
          <w:sz w:val="20"/>
          <w:szCs w:val="20"/>
          <w:color w:val="auto"/>
        </w:rPr>
        <w:tab/>
      </w:r>
      <w:r>
        <w:rPr>
          <w:rFonts w:ascii="Arial" w:cs="Arial" w:eastAsia="Arial" w:hAnsi="Arial"/>
          <w:sz w:val="11"/>
          <w:szCs w:val="11"/>
          <w:b w:val="1"/>
          <w:bCs w:val="1"/>
          <w:color w:val="auto"/>
        </w:rPr>
        <w:t>Equity Incentive Plan</w:t>
      </w:r>
    </w:p>
    <w:p>
      <w:pPr>
        <w:spacing w:after="0" w:line="82" w:lineRule="exact"/>
        <w:rPr>
          <w:sz w:val="20"/>
          <w:szCs w:val="20"/>
          <w:color w:val="auto"/>
        </w:rPr>
      </w:pPr>
    </w:p>
    <w:p>
      <w:pPr>
        <w:ind w:right="120" w:firstLine="602"/>
        <w:spacing w:after="0" w:line="263" w:lineRule="auto"/>
        <w:rPr>
          <w:sz w:val="20"/>
          <w:szCs w:val="20"/>
          <w:color w:val="auto"/>
        </w:rPr>
      </w:pPr>
      <w:r>
        <w:rPr>
          <w:rFonts w:ascii="Arial" w:cs="Arial" w:eastAsia="Arial" w:hAnsi="Arial"/>
          <w:sz w:val="12"/>
          <w:szCs w:val="12"/>
          <w:color w:val="auto"/>
        </w:rPr>
        <w:t>In October 2018, the Company established the Verra Mobility 2018 Equity Incentive Plan (the “</w:t>
      </w:r>
      <w:r>
        <w:rPr>
          <w:rFonts w:ascii="Arial" w:cs="Arial" w:eastAsia="Arial" w:hAnsi="Arial"/>
          <w:sz w:val="12"/>
          <w:szCs w:val="12"/>
          <w:b w:val="1"/>
          <w:bCs w:val="1"/>
          <w:i w:val="1"/>
          <w:iCs w:val="1"/>
          <w:color w:val="auto"/>
        </w:rPr>
        <w:t>2018 Plan</w:t>
      </w:r>
      <w:r>
        <w:rPr>
          <w:rFonts w:ascii="Arial" w:cs="Arial" w:eastAsia="Arial" w:hAnsi="Arial"/>
          <w:sz w:val="12"/>
          <w:szCs w:val="12"/>
          <w:color w:val="auto"/>
        </w:rPr>
        <w:t>”) which provides for a variety of stock-based awards to employees, consultants and directors. The maximum number of shares of the Company’s common stock that may be subject to awards under the 2018 Plan was 10,864,000 as of December 31, 2019, subject to adjustment in accordance with the terms of the 2018 Plan. At December 31, 2019, the Company had an aggregate of 7,266,882 shares of common stock available for future grants under the 2018 Plan.</w:t>
      </w:r>
    </w:p>
    <w:p>
      <w:pPr>
        <w:spacing w:after="0" w:line="150" w:lineRule="exact"/>
        <w:rPr>
          <w:sz w:val="20"/>
          <w:szCs w:val="20"/>
          <w:color w:val="auto"/>
        </w:rPr>
      </w:pPr>
    </w:p>
    <w:p>
      <w:pPr>
        <w:ind w:right="20" w:firstLine="602"/>
        <w:spacing w:after="0" w:line="263" w:lineRule="auto"/>
        <w:rPr>
          <w:sz w:val="20"/>
          <w:szCs w:val="20"/>
          <w:color w:val="auto"/>
        </w:rPr>
      </w:pPr>
      <w:r>
        <w:rPr>
          <w:rFonts w:ascii="Arial" w:cs="Arial" w:eastAsia="Arial" w:hAnsi="Arial"/>
          <w:sz w:val="12"/>
          <w:szCs w:val="12"/>
          <w:color w:val="auto"/>
        </w:rPr>
        <w:t>The Company’s restricted stock units (“</w:t>
      </w:r>
      <w:r>
        <w:rPr>
          <w:rFonts w:ascii="Arial" w:cs="Arial" w:eastAsia="Arial" w:hAnsi="Arial"/>
          <w:sz w:val="12"/>
          <w:szCs w:val="12"/>
          <w:b w:val="1"/>
          <w:bCs w:val="1"/>
          <w:i w:val="1"/>
          <w:iCs w:val="1"/>
          <w:color w:val="auto"/>
        </w:rPr>
        <w:t>RSUs</w:t>
      </w:r>
      <w:r>
        <w:rPr>
          <w:rFonts w:ascii="Arial" w:cs="Arial" w:eastAsia="Arial" w:hAnsi="Arial"/>
          <w:sz w:val="12"/>
          <w:szCs w:val="12"/>
          <w:color w:val="auto"/>
        </w:rPr>
        <w:t>”) consist of a right to receive shares on one or more vesting dates in the future. RSUs granted to employees vest ratably over four years from their individual award dates, subject to continued employment on the applicable vesting dates. RSUs granted to non-employee directors vest on the earlier of (a) first anniversary of the vesting start date, or (b) the date immediately prior to the next annual stockholders meeting held by the Company occurring after the date of grant. The following table summarizes the activity of the Company’s RSUs: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7280" w:type="dxa"/>
            <w:vAlign w:val="bottom"/>
          </w:tcPr>
          <w:p>
            <w:pPr>
              <w:spacing w:after="0"/>
              <w:rPr>
                <w:sz w:val="10"/>
                <w:szCs w:val="10"/>
                <w:color w:val="auto"/>
              </w:rPr>
            </w:pPr>
          </w:p>
        </w:tc>
        <w:tc>
          <w:tcPr>
            <w:tcW w:w="14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0"/>
                <w:szCs w:val="10"/>
                <w:b w:val="1"/>
                <w:bCs w:val="1"/>
                <w:color w:val="auto"/>
                <w:w w:val="82"/>
              </w:rPr>
              <w:t>RSUs</w:t>
            </w:r>
          </w:p>
        </w:tc>
        <w:tc>
          <w:tcPr>
            <w:tcW w:w="156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r>
      <w:tr>
        <w:trPr>
          <w:trHeight w:val="83"/>
        </w:trPr>
        <w:tc>
          <w:tcPr>
            <w:tcW w:w="7280" w:type="dxa"/>
            <w:vAlign w:val="bottom"/>
          </w:tcPr>
          <w:p>
            <w:pPr>
              <w:spacing w:after="0"/>
              <w:rPr>
                <w:sz w:val="7"/>
                <w:szCs w:val="7"/>
                <w:color w:val="auto"/>
              </w:rPr>
            </w:pPr>
          </w:p>
        </w:tc>
        <w:tc>
          <w:tcPr>
            <w:tcW w:w="14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0" w:type="dxa"/>
            <w:vAlign w:val="bottom"/>
          </w:tcPr>
          <w:p>
            <w:pPr>
              <w:spacing w:after="0"/>
              <w:rPr>
                <w:sz w:val="7"/>
                <w:szCs w:val="7"/>
                <w:color w:val="auto"/>
              </w:rPr>
            </w:pPr>
          </w:p>
        </w:tc>
        <w:tc>
          <w:tcPr>
            <w:tcW w:w="2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560" w:type="dxa"/>
            <w:vAlign w:val="bottom"/>
          </w:tcPr>
          <w:p>
            <w:pPr>
              <w:jc w:val="center"/>
              <w:ind w:right="283"/>
              <w:spacing w:after="0" w:line="83" w:lineRule="exact"/>
              <w:rPr>
                <w:sz w:val="20"/>
                <w:szCs w:val="20"/>
                <w:color w:val="auto"/>
              </w:rPr>
            </w:pPr>
            <w:r>
              <w:rPr>
                <w:rFonts w:ascii="Arial" w:cs="Arial" w:eastAsia="Arial" w:hAnsi="Arial"/>
                <w:sz w:val="8"/>
                <w:szCs w:val="8"/>
                <w:b w:val="1"/>
                <w:bCs w:val="1"/>
                <w:color w:val="auto"/>
              </w:rPr>
              <w:t>Weighted Average</w:t>
            </w:r>
          </w:p>
        </w:tc>
        <w:tc>
          <w:tcPr>
            <w:tcW w:w="120" w:type="dxa"/>
            <w:vAlign w:val="bottom"/>
          </w:tcPr>
          <w:p>
            <w:pPr>
              <w:spacing w:after="0"/>
              <w:rPr>
                <w:sz w:val="7"/>
                <w:szCs w:val="7"/>
                <w:color w:val="auto"/>
              </w:rPr>
            </w:pPr>
          </w:p>
        </w:tc>
      </w:tr>
      <w:tr>
        <w:trPr>
          <w:trHeight w:val="99"/>
        </w:trPr>
        <w:tc>
          <w:tcPr>
            <w:tcW w:w="7280" w:type="dxa"/>
            <w:vAlign w:val="bottom"/>
          </w:tcPr>
          <w:p>
            <w:pPr>
              <w:spacing w:after="0"/>
              <w:rPr>
                <w:sz w:val="8"/>
                <w:szCs w:val="8"/>
                <w:color w:val="auto"/>
              </w:rPr>
            </w:pPr>
          </w:p>
        </w:tc>
        <w:tc>
          <w:tcPr>
            <w:tcW w:w="1420" w:type="dxa"/>
            <w:vAlign w:val="bottom"/>
          </w:tcPr>
          <w:p>
            <w:pPr>
              <w:jc w:val="center"/>
              <w:ind w:left="412"/>
              <w:spacing w:after="0" w:line="99" w:lineRule="exact"/>
              <w:rPr>
                <w:sz w:val="20"/>
                <w:szCs w:val="20"/>
                <w:color w:val="auto"/>
              </w:rPr>
            </w:pPr>
            <w:r>
              <w:rPr>
                <w:rFonts w:ascii="Arial" w:cs="Arial" w:eastAsia="Arial" w:hAnsi="Arial"/>
                <w:sz w:val="10"/>
                <w:szCs w:val="10"/>
                <w:b w:val="1"/>
                <w:bCs w:val="1"/>
                <w:color w:val="auto"/>
                <w:w w:val="83"/>
              </w:rPr>
              <w:t>Shares</w:t>
            </w: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80" w:type="dxa"/>
            <w:vAlign w:val="bottom"/>
            <w:gridSpan w:val="2"/>
          </w:tcPr>
          <w:p>
            <w:pPr>
              <w:jc w:val="center"/>
              <w:ind w:right="440"/>
              <w:spacing w:after="0" w:line="99" w:lineRule="exact"/>
              <w:rPr>
                <w:sz w:val="20"/>
                <w:szCs w:val="20"/>
                <w:color w:val="auto"/>
              </w:rPr>
            </w:pPr>
            <w:r>
              <w:rPr>
                <w:rFonts w:ascii="Arial" w:cs="Arial" w:eastAsia="Arial" w:hAnsi="Arial"/>
                <w:sz w:val="10"/>
                <w:szCs w:val="10"/>
                <w:b w:val="1"/>
                <w:bCs w:val="1"/>
                <w:color w:val="auto"/>
                <w:w w:val="93"/>
              </w:rPr>
              <w:t>Grant Date</w:t>
            </w:r>
          </w:p>
        </w:tc>
      </w:tr>
      <w:tr>
        <w:trPr>
          <w:trHeight w:val="114"/>
        </w:trPr>
        <w:tc>
          <w:tcPr>
            <w:tcW w:w="7280" w:type="dxa"/>
            <w:vAlign w:val="bottom"/>
            <w:tcBorders>
              <w:bottom w:val="single" w:sz="8" w:color="CFF0FC"/>
            </w:tcBorders>
          </w:tcPr>
          <w:p>
            <w:pPr>
              <w:spacing w:after="0"/>
              <w:rPr>
                <w:sz w:val="9"/>
                <w:szCs w:val="9"/>
                <w:color w:val="auto"/>
              </w:rPr>
            </w:pPr>
          </w:p>
        </w:tc>
        <w:tc>
          <w:tcPr>
            <w:tcW w:w="1420" w:type="dxa"/>
            <w:vAlign w:val="bottom"/>
            <w:tcBorders>
              <w:bottom w:val="single" w:sz="8" w:color="auto"/>
            </w:tcBorders>
          </w:tcPr>
          <w:p>
            <w:pPr>
              <w:jc w:val="center"/>
              <w:ind w:left="392"/>
              <w:spacing w:after="0" w:line="114" w:lineRule="exact"/>
              <w:rPr>
                <w:sz w:val="20"/>
                <w:szCs w:val="20"/>
                <w:color w:val="auto"/>
              </w:rPr>
            </w:pPr>
            <w:r>
              <w:rPr>
                <w:rFonts w:ascii="Arial" w:cs="Arial" w:eastAsia="Arial" w:hAnsi="Arial"/>
                <w:sz w:val="10"/>
                <w:szCs w:val="10"/>
                <w:b w:val="1"/>
                <w:bCs w:val="1"/>
                <w:color w:val="auto"/>
                <w:w w:val="84"/>
              </w:rPr>
              <w:t>(in thousands)</w:t>
            </w:r>
          </w:p>
        </w:tc>
        <w:tc>
          <w:tcPr>
            <w:tcW w:w="460" w:type="dxa"/>
            <w:vAlign w:val="bottom"/>
            <w:tcBorders>
              <w:bottom w:val="single" w:sz="8" w:color="auto"/>
            </w:tcBorders>
          </w:tcPr>
          <w:p>
            <w:pPr>
              <w:spacing w:after="0"/>
              <w:rPr>
                <w:sz w:val="9"/>
                <w:szCs w:val="9"/>
                <w:color w:val="auto"/>
              </w:rPr>
            </w:pPr>
          </w:p>
        </w:tc>
        <w:tc>
          <w:tcPr>
            <w:tcW w:w="40" w:type="dxa"/>
            <w:vAlign w:val="bottom"/>
            <w:tcBorders>
              <w:bottom w:val="single" w:sz="8" w:color="CFF0FC"/>
            </w:tcBorders>
          </w:tcPr>
          <w:p>
            <w:pPr>
              <w:spacing w:after="0"/>
              <w:rPr>
                <w:sz w:val="9"/>
                <w:szCs w:val="9"/>
                <w:color w:val="auto"/>
              </w:rPr>
            </w:pPr>
          </w:p>
        </w:tc>
        <w:tc>
          <w:tcPr>
            <w:tcW w:w="280" w:type="dxa"/>
            <w:vAlign w:val="bottom"/>
            <w:tcBorders>
              <w:bottom w:val="single" w:sz="8" w:color="CFF0FC"/>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560" w:type="dxa"/>
            <w:vAlign w:val="bottom"/>
            <w:tcBorders>
              <w:bottom w:val="single" w:sz="8" w:color="auto"/>
            </w:tcBorders>
          </w:tcPr>
          <w:p>
            <w:pPr>
              <w:jc w:val="center"/>
              <w:ind w:right="263"/>
              <w:spacing w:after="0" w:line="114" w:lineRule="exact"/>
              <w:rPr>
                <w:sz w:val="20"/>
                <w:szCs w:val="20"/>
                <w:color w:val="auto"/>
              </w:rPr>
            </w:pPr>
            <w:r>
              <w:rPr>
                <w:rFonts w:ascii="Arial" w:cs="Arial" w:eastAsia="Arial" w:hAnsi="Arial"/>
                <w:sz w:val="10"/>
                <w:szCs w:val="10"/>
                <w:b w:val="1"/>
                <w:bCs w:val="1"/>
                <w:color w:val="auto"/>
                <w:w w:val="91"/>
              </w:rPr>
              <w:t>Fair Value</w:t>
            </w:r>
          </w:p>
        </w:tc>
        <w:tc>
          <w:tcPr>
            <w:tcW w:w="120" w:type="dxa"/>
            <w:vAlign w:val="bottom"/>
            <w:tcBorders>
              <w:bottom w:val="single" w:sz="8" w:color="CFF0FC"/>
            </w:tcBorders>
          </w:tcPr>
          <w:p>
            <w:pPr>
              <w:spacing w:after="0"/>
              <w:rPr>
                <w:sz w:val="9"/>
                <w:szCs w:val="9"/>
                <w:color w:val="auto"/>
              </w:rPr>
            </w:pPr>
          </w:p>
        </w:tc>
      </w:tr>
      <w:tr>
        <w:trPr>
          <w:trHeight w:val="142"/>
        </w:trPr>
        <w:tc>
          <w:tcPr>
            <w:tcW w:w="870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Balance at December 31, 2017</w:t>
            </w:r>
          </w:p>
        </w:tc>
        <w:tc>
          <w:tcPr>
            <w:tcW w:w="500" w:type="dxa"/>
            <w:vAlign w:val="bottom"/>
            <w:gridSpan w:val="2"/>
            <w:shd w:val="clear" w:color="auto" w:fill="CFF0FC"/>
          </w:tcPr>
          <w:p>
            <w:pPr>
              <w:jc w:val="right"/>
              <w:ind w:right="40"/>
              <w:spacing w:after="0"/>
              <w:rPr>
                <w:sz w:val="20"/>
                <w:szCs w:val="20"/>
                <w:color w:val="auto"/>
              </w:rPr>
            </w:pPr>
            <w:r>
              <w:rPr>
                <w:rFonts w:ascii="Arial" w:cs="Arial" w:eastAsia="Arial" w:hAnsi="Arial"/>
                <w:sz w:val="12"/>
                <w:szCs w:val="12"/>
                <w:color w:val="auto"/>
              </w:rPr>
              <w:t>—</w:t>
            </w:r>
          </w:p>
        </w:tc>
        <w:tc>
          <w:tcPr>
            <w:tcW w:w="28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68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r>
      <w:tr>
        <w:trPr>
          <w:trHeight w:val="153"/>
        </w:trPr>
        <w:tc>
          <w:tcPr>
            <w:tcW w:w="8700" w:type="dxa"/>
            <w:vAlign w:val="bottom"/>
            <w:gridSpan w:val="2"/>
          </w:tcPr>
          <w:p>
            <w:pPr>
              <w:spacing w:after="0"/>
              <w:rPr>
                <w:sz w:val="20"/>
                <w:szCs w:val="20"/>
                <w:color w:val="auto"/>
              </w:rPr>
            </w:pPr>
            <w:r>
              <w:rPr>
                <w:rFonts w:ascii="Arial" w:cs="Arial" w:eastAsia="Arial" w:hAnsi="Arial"/>
                <w:sz w:val="12"/>
                <w:szCs w:val="12"/>
                <w:color w:val="auto"/>
              </w:rPr>
              <w:t>Granted</w:t>
            </w:r>
          </w:p>
        </w:tc>
        <w:tc>
          <w:tcPr>
            <w:tcW w:w="460" w:type="dxa"/>
            <w:vAlign w:val="bottom"/>
          </w:tcPr>
          <w:p>
            <w:pPr>
              <w:jc w:val="right"/>
              <w:spacing w:after="0"/>
              <w:rPr>
                <w:sz w:val="20"/>
                <w:szCs w:val="20"/>
                <w:color w:val="auto"/>
              </w:rPr>
            </w:pPr>
            <w:r>
              <w:rPr>
                <w:rFonts w:ascii="Arial" w:cs="Arial" w:eastAsia="Arial" w:hAnsi="Arial"/>
                <w:sz w:val="12"/>
                <w:szCs w:val="12"/>
                <w:color w:val="auto"/>
              </w:rPr>
              <w:t>4,437</w:t>
            </w:r>
          </w:p>
        </w:tc>
        <w:tc>
          <w:tcPr>
            <w:tcW w:w="40" w:type="dxa"/>
            <w:vAlign w:val="bottom"/>
          </w:tcPr>
          <w:p>
            <w:pPr>
              <w:spacing w:after="0"/>
              <w:rPr>
                <w:sz w:val="13"/>
                <w:szCs w:val="13"/>
                <w:color w:val="auto"/>
              </w:rPr>
            </w:pPr>
          </w:p>
        </w:tc>
        <w:tc>
          <w:tcPr>
            <w:tcW w:w="60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1560" w:type="dxa"/>
            <w:vAlign w:val="bottom"/>
          </w:tcPr>
          <w:p>
            <w:pPr>
              <w:jc w:val="right"/>
              <w:spacing w:after="0"/>
              <w:rPr>
                <w:sz w:val="20"/>
                <w:szCs w:val="20"/>
                <w:color w:val="auto"/>
              </w:rPr>
            </w:pPr>
            <w:r>
              <w:rPr>
                <w:rFonts w:ascii="Arial" w:cs="Arial" w:eastAsia="Arial" w:hAnsi="Arial"/>
                <w:sz w:val="12"/>
                <w:szCs w:val="12"/>
                <w:color w:val="auto"/>
              </w:rPr>
              <w:t>10.13</w:t>
            </w:r>
          </w:p>
        </w:tc>
        <w:tc>
          <w:tcPr>
            <w:tcW w:w="120" w:type="dxa"/>
            <w:vAlign w:val="bottom"/>
          </w:tcPr>
          <w:p>
            <w:pPr>
              <w:spacing w:after="0"/>
              <w:rPr>
                <w:sz w:val="13"/>
                <w:szCs w:val="13"/>
                <w:color w:val="auto"/>
              </w:rPr>
            </w:pPr>
          </w:p>
        </w:tc>
      </w:tr>
      <w:tr>
        <w:trPr>
          <w:trHeight w:val="153"/>
        </w:trPr>
        <w:tc>
          <w:tcPr>
            <w:tcW w:w="870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Vested</w:t>
            </w:r>
          </w:p>
        </w:tc>
        <w:tc>
          <w:tcPr>
            <w:tcW w:w="500" w:type="dxa"/>
            <w:vAlign w:val="bottom"/>
            <w:gridSpan w:val="2"/>
            <w:shd w:val="clear" w:color="auto" w:fill="CFF0FC"/>
          </w:tcPr>
          <w:p>
            <w:pPr>
              <w:jc w:val="right"/>
              <w:ind w:right="40"/>
              <w:spacing w:after="0"/>
              <w:rPr>
                <w:sz w:val="20"/>
                <w:szCs w:val="20"/>
                <w:color w:val="auto"/>
              </w:rPr>
            </w:pPr>
            <w:r>
              <w:rPr>
                <w:rFonts w:ascii="Arial" w:cs="Arial" w:eastAsia="Arial" w:hAnsi="Arial"/>
                <w:sz w:val="12"/>
                <w:szCs w:val="12"/>
                <w:color w:val="auto"/>
              </w:rPr>
              <w:t>—</w:t>
            </w:r>
          </w:p>
        </w:tc>
        <w:tc>
          <w:tcPr>
            <w:tcW w:w="28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68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r>
      <w:tr>
        <w:trPr>
          <w:trHeight w:val="153"/>
        </w:trPr>
        <w:tc>
          <w:tcPr>
            <w:tcW w:w="7280" w:type="dxa"/>
            <w:vAlign w:val="bottom"/>
            <w:tcBorders>
              <w:bottom w:val="single" w:sz="8" w:color="CFF0FC"/>
            </w:tcBorders>
          </w:tcPr>
          <w:p>
            <w:pPr>
              <w:spacing w:after="0"/>
              <w:rPr>
                <w:sz w:val="20"/>
                <w:szCs w:val="20"/>
                <w:color w:val="auto"/>
              </w:rPr>
            </w:pPr>
            <w:r>
              <w:rPr>
                <w:rFonts w:ascii="Arial" w:cs="Arial" w:eastAsia="Arial" w:hAnsi="Arial"/>
                <w:sz w:val="12"/>
                <w:szCs w:val="12"/>
                <w:color w:val="auto"/>
              </w:rPr>
              <w:t>Forfeited</w:t>
            </w:r>
          </w:p>
        </w:tc>
        <w:tc>
          <w:tcPr>
            <w:tcW w:w="14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40" w:type="dxa"/>
            <w:vAlign w:val="bottom"/>
            <w:tcBorders>
              <w:bottom w:val="single" w:sz="8" w:color="CFF0FC"/>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320" w:type="dxa"/>
            <w:vAlign w:val="bottom"/>
            <w:tcBorders>
              <w:bottom w:val="single" w:sz="8" w:color="CFF0FC"/>
            </w:tcBorders>
          </w:tcPr>
          <w:p>
            <w:pPr>
              <w:spacing w:after="0"/>
              <w:rPr>
                <w:sz w:val="13"/>
                <w:szCs w:val="13"/>
                <w:color w:val="auto"/>
              </w:rPr>
            </w:pPr>
          </w:p>
        </w:tc>
        <w:tc>
          <w:tcPr>
            <w:tcW w:w="1680" w:type="dxa"/>
            <w:vAlign w:val="bottom"/>
            <w:tcBorders>
              <w:bottom w:val="single" w:sz="8" w:color="CFF0FC"/>
            </w:tcBorders>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42"/>
        </w:trPr>
        <w:tc>
          <w:tcPr>
            <w:tcW w:w="870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Balance at December 31, 2018</w:t>
            </w:r>
          </w:p>
        </w:tc>
        <w:tc>
          <w:tcPr>
            <w:tcW w:w="4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4,437</w:t>
            </w:r>
          </w:p>
        </w:tc>
        <w:tc>
          <w:tcPr>
            <w:tcW w:w="40" w:type="dxa"/>
            <w:vAlign w:val="bottom"/>
            <w:shd w:val="clear" w:color="auto" w:fill="CFF0FC"/>
          </w:tcPr>
          <w:p>
            <w:pPr>
              <w:spacing w:after="0"/>
              <w:rPr>
                <w:sz w:val="12"/>
                <w:szCs w:val="12"/>
                <w:color w:val="auto"/>
              </w:rPr>
            </w:pPr>
          </w:p>
        </w:tc>
        <w:tc>
          <w:tcPr>
            <w:tcW w:w="600" w:type="dxa"/>
            <w:vAlign w:val="bottom"/>
            <w:gridSpan w:val="2"/>
            <w:shd w:val="clear" w:color="auto" w:fill="CFF0FC"/>
          </w:tcPr>
          <w:p>
            <w:pPr>
              <w:jc w:val="right"/>
              <w:ind w:right="260"/>
              <w:spacing w:after="0"/>
              <w:rPr>
                <w:sz w:val="20"/>
                <w:szCs w:val="20"/>
                <w:color w:val="auto"/>
              </w:rPr>
            </w:pPr>
            <w:r>
              <w:rPr>
                <w:rFonts w:ascii="Arial" w:cs="Arial" w:eastAsia="Arial" w:hAnsi="Arial"/>
                <w:sz w:val="12"/>
                <w:szCs w:val="12"/>
                <w:color w:val="auto"/>
              </w:rPr>
              <w:t>$</w:t>
            </w:r>
          </w:p>
        </w:tc>
        <w:tc>
          <w:tcPr>
            <w:tcW w:w="15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10.13</w:t>
            </w:r>
          </w:p>
        </w:tc>
        <w:tc>
          <w:tcPr>
            <w:tcW w:w="120" w:type="dxa"/>
            <w:vAlign w:val="bottom"/>
            <w:shd w:val="clear" w:color="auto" w:fill="CFF0FC"/>
          </w:tcPr>
          <w:p>
            <w:pPr>
              <w:spacing w:after="0"/>
              <w:rPr>
                <w:sz w:val="12"/>
                <w:szCs w:val="12"/>
                <w:color w:val="auto"/>
              </w:rPr>
            </w:pPr>
          </w:p>
        </w:tc>
      </w:tr>
      <w:tr>
        <w:trPr>
          <w:trHeight w:val="153"/>
        </w:trPr>
        <w:tc>
          <w:tcPr>
            <w:tcW w:w="8700" w:type="dxa"/>
            <w:vAlign w:val="bottom"/>
            <w:gridSpan w:val="2"/>
          </w:tcPr>
          <w:p>
            <w:pPr>
              <w:spacing w:after="0"/>
              <w:rPr>
                <w:sz w:val="20"/>
                <w:szCs w:val="20"/>
                <w:color w:val="auto"/>
              </w:rPr>
            </w:pPr>
            <w:r>
              <w:rPr>
                <w:rFonts w:ascii="Arial" w:cs="Arial" w:eastAsia="Arial" w:hAnsi="Arial"/>
                <w:sz w:val="12"/>
                <w:szCs w:val="12"/>
                <w:color w:val="auto"/>
              </w:rPr>
              <w:t>Granted</w:t>
            </w:r>
          </w:p>
        </w:tc>
        <w:tc>
          <w:tcPr>
            <w:tcW w:w="460" w:type="dxa"/>
            <w:vAlign w:val="bottom"/>
          </w:tcPr>
          <w:p>
            <w:pPr>
              <w:jc w:val="right"/>
              <w:spacing w:after="0"/>
              <w:rPr>
                <w:sz w:val="20"/>
                <w:szCs w:val="20"/>
                <w:color w:val="auto"/>
              </w:rPr>
            </w:pPr>
            <w:r>
              <w:rPr>
                <w:rFonts w:ascii="Arial" w:cs="Arial" w:eastAsia="Arial" w:hAnsi="Arial"/>
                <w:sz w:val="12"/>
                <w:szCs w:val="12"/>
                <w:color w:val="auto"/>
              </w:rPr>
              <w:t>400</w:t>
            </w:r>
          </w:p>
        </w:tc>
        <w:tc>
          <w:tcPr>
            <w:tcW w:w="40" w:type="dxa"/>
            <w:vAlign w:val="bottom"/>
          </w:tcPr>
          <w:p>
            <w:pPr>
              <w:spacing w:after="0"/>
              <w:rPr>
                <w:sz w:val="13"/>
                <w:szCs w:val="13"/>
                <w:color w:val="auto"/>
              </w:rPr>
            </w:pPr>
          </w:p>
        </w:tc>
        <w:tc>
          <w:tcPr>
            <w:tcW w:w="60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1560" w:type="dxa"/>
            <w:vAlign w:val="bottom"/>
          </w:tcPr>
          <w:p>
            <w:pPr>
              <w:jc w:val="right"/>
              <w:spacing w:after="0"/>
              <w:rPr>
                <w:sz w:val="20"/>
                <w:szCs w:val="20"/>
                <w:color w:val="auto"/>
              </w:rPr>
            </w:pPr>
            <w:r>
              <w:rPr>
                <w:rFonts w:ascii="Arial" w:cs="Arial" w:eastAsia="Arial" w:hAnsi="Arial"/>
                <w:sz w:val="12"/>
                <w:szCs w:val="12"/>
                <w:color w:val="auto"/>
              </w:rPr>
              <w:t>11.32</w:t>
            </w:r>
          </w:p>
        </w:tc>
        <w:tc>
          <w:tcPr>
            <w:tcW w:w="120" w:type="dxa"/>
            <w:vAlign w:val="bottom"/>
          </w:tcPr>
          <w:p>
            <w:pPr>
              <w:spacing w:after="0"/>
              <w:rPr>
                <w:sz w:val="13"/>
                <w:szCs w:val="13"/>
                <w:color w:val="auto"/>
              </w:rPr>
            </w:pPr>
          </w:p>
        </w:tc>
      </w:tr>
      <w:tr>
        <w:trPr>
          <w:trHeight w:val="153"/>
        </w:trPr>
        <w:tc>
          <w:tcPr>
            <w:tcW w:w="870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Vested</w:t>
            </w:r>
          </w:p>
        </w:tc>
        <w:tc>
          <w:tcPr>
            <w:tcW w:w="50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(953)</w:t>
            </w:r>
          </w:p>
        </w:tc>
        <w:tc>
          <w:tcPr>
            <w:tcW w:w="600" w:type="dxa"/>
            <w:vAlign w:val="bottom"/>
            <w:gridSpan w:val="2"/>
            <w:shd w:val="clear" w:color="auto" w:fill="CFF0FC"/>
          </w:tcPr>
          <w:p>
            <w:pPr>
              <w:jc w:val="right"/>
              <w:ind w:right="260"/>
              <w:spacing w:after="0"/>
              <w:rPr>
                <w:sz w:val="20"/>
                <w:szCs w:val="20"/>
                <w:color w:val="auto"/>
              </w:rPr>
            </w:pPr>
            <w:r>
              <w:rPr>
                <w:rFonts w:ascii="Arial" w:cs="Arial" w:eastAsia="Arial" w:hAnsi="Arial"/>
                <w:sz w:val="12"/>
                <w:szCs w:val="12"/>
                <w:color w:val="auto"/>
              </w:rPr>
              <w:t>$</w:t>
            </w:r>
          </w:p>
        </w:tc>
        <w:tc>
          <w:tcPr>
            <w:tcW w:w="15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10.13</w:t>
            </w:r>
          </w:p>
        </w:tc>
        <w:tc>
          <w:tcPr>
            <w:tcW w:w="120" w:type="dxa"/>
            <w:vAlign w:val="bottom"/>
            <w:shd w:val="clear" w:color="auto" w:fill="CFF0FC"/>
          </w:tcPr>
          <w:p>
            <w:pPr>
              <w:spacing w:after="0"/>
              <w:rPr>
                <w:sz w:val="13"/>
                <w:szCs w:val="13"/>
                <w:color w:val="auto"/>
              </w:rPr>
            </w:pPr>
          </w:p>
        </w:tc>
      </w:tr>
      <w:tr>
        <w:trPr>
          <w:trHeight w:val="153"/>
        </w:trPr>
        <w:tc>
          <w:tcPr>
            <w:tcW w:w="7280" w:type="dxa"/>
            <w:vAlign w:val="bottom"/>
          </w:tcPr>
          <w:p>
            <w:pPr>
              <w:spacing w:after="0"/>
              <w:rPr>
                <w:sz w:val="20"/>
                <w:szCs w:val="20"/>
                <w:color w:val="auto"/>
              </w:rPr>
            </w:pPr>
            <w:r>
              <w:rPr>
                <w:rFonts w:ascii="Arial" w:cs="Arial" w:eastAsia="Arial" w:hAnsi="Arial"/>
                <w:sz w:val="12"/>
                <w:szCs w:val="12"/>
                <w:color w:val="auto"/>
              </w:rPr>
              <w:t>Forfeited</w:t>
            </w:r>
          </w:p>
        </w:tc>
        <w:tc>
          <w:tcPr>
            <w:tcW w:w="1420" w:type="dxa"/>
            <w:vAlign w:val="bottom"/>
          </w:tcPr>
          <w:p>
            <w:pPr>
              <w:spacing w:after="0"/>
              <w:rPr>
                <w:sz w:val="13"/>
                <w:szCs w:val="13"/>
                <w:color w:val="auto"/>
              </w:rPr>
            </w:pPr>
          </w:p>
        </w:tc>
        <w:tc>
          <w:tcPr>
            <w:tcW w:w="500" w:type="dxa"/>
            <w:vAlign w:val="bottom"/>
            <w:gridSpan w:val="2"/>
          </w:tcPr>
          <w:p>
            <w:pPr>
              <w:jc w:val="right"/>
              <w:spacing w:after="0"/>
              <w:rPr>
                <w:sz w:val="20"/>
                <w:szCs w:val="20"/>
                <w:color w:val="auto"/>
              </w:rPr>
            </w:pPr>
            <w:r>
              <w:rPr>
                <w:rFonts w:ascii="Arial" w:cs="Arial" w:eastAsia="Arial" w:hAnsi="Arial"/>
                <w:sz w:val="12"/>
                <w:szCs w:val="12"/>
                <w:color w:val="auto"/>
              </w:rPr>
              <w:t>(880)</w:t>
            </w:r>
          </w:p>
        </w:tc>
        <w:tc>
          <w:tcPr>
            <w:tcW w:w="60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1560" w:type="dxa"/>
            <w:vAlign w:val="bottom"/>
          </w:tcPr>
          <w:p>
            <w:pPr>
              <w:jc w:val="right"/>
              <w:spacing w:after="0"/>
              <w:rPr>
                <w:sz w:val="20"/>
                <w:szCs w:val="20"/>
                <w:color w:val="auto"/>
              </w:rPr>
            </w:pPr>
            <w:r>
              <w:rPr>
                <w:rFonts w:ascii="Arial" w:cs="Arial" w:eastAsia="Arial" w:hAnsi="Arial"/>
                <w:sz w:val="12"/>
                <w:szCs w:val="12"/>
                <w:color w:val="auto"/>
              </w:rPr>
              <w:t>10.17</w:t>
            </w:r>
          </w:p>
        </w:tc>
        <w:tc>
          <w:tcPr>
            <w:tcW w:w="120" w:type="dxa"/>
            <w:vAlign w:val="bottom"/>
          </w:tcPr>
          <w:p>
            <w:pPr>
              <w:spacing w:after="0"/>
              <w:rPr>
                <w:sz w:val="13"/>
                <w:szCs w:val="13"/>
                <w:color w:val="auto"/>
              </w:rPr>
            </w:pPr>
          </w:p>
        </w:tc>
      </w:tr>
      <w:tr>
        <w:trPr>
          <w:trHeight w:val="149"/>
        </w:trPr>
        <w:tc>
          <w:tcPr>
            <w:tcW w:w="72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2"/>
                <w:szCs w:val="12"/>
                <w:color w:val="auto"/>
              </w:rPr>
              <w:t>Balance at December 31, 2019</w:t>
            </w:r>
          </w:p>
        </w:tc>
        <w:tc>
          <w:tcPr>
            <w:tcW w:w="1420" w:type="dxa"/>
            <w:vAlign w:val="bottom"/>
            <w:tcBorders>
              <w:top w:val="single" w:sz="8" w:color="auto"/>
              <w:bottom w:val="single" w:sz="8" w:color="auto"/>
            </w:tcBorders>
            <w:shd w:val="clear" w:color="auto" w:fill="CFF0FC"/>
          </w:tcPr>
          <w:p>
            <w:pPr>
              <w:spacing w:after="0"/>
              <w:rPr>
                <w:sz w:val="12"/>
                <w:szCs w:val="12"/>
                <w:color w:val="auto"/>
              </w:rPr>
            </w:pPr>
          </w:p>
        </w:tc>
        <w:tc>
          <w:tcPr>
            <w:tcW w:w="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3,004</w:t>
            </w:r>
          </w:p>
        </w:tc>
        <w:tc>
          <w:tcPr>
            <w:tcW w:w="40" w:type="dxa"/>
            <w:vAlign w:val="bottom"/>
            <w:tcBorders>
              <w:top w:val="single" w:sz="8" w:color="CFF0FC"/>
              <w:bottom w:val="single" w:sz="8" w:color="CFF0FC"/>
            </w:tcBorders>
            <w:shd w:val="clear" w:color="auto" w:fill="CFF0FC"/>
          </w:tcPr>
          <w:p>
            <w:pPr>
              <w:spacing w:after="0"/>
              <w:rPr>
                <w:sz w:val="12"/>
                <w:szCs w:val="12"/>
                <w:color w:val="auto"/>
              </w:rPr>
            </w:pPr>
          </w:p>
        </w:tc>
        <w:tc>
          <w:tcPr>
            <w:tcW w:w="600" w:type="dxa"/>
            <w:vAlign w:val="bottom"/>
            <w:tcBorders>
              <w:top w:val="single" w:sz="8" w:color="CFF0FC"/>
              <w:bottom w:val="single" w:sz="8" w:color="CFF0FC"/>
            </w:tcBorders>
            <w:gridSpan w:val="2"/>
            <w:shd w:val="clear" w:color="auto" w:fill="CFF0FC"/>
          </w:tcPr>
          <w:p>
            <w:pPr>
              <w:jc w:val="right"/>
              <w:ind w:right="260"/>
              <w:spacing w:after="0"/>
              <w:rPr>
                <w:sz w:val="20"/>
                <w:szCs w:val="20"/>
                <w:color w:val="auto"/>
              </w:rPr>
            </w:pPr>
            <w:r>
              <w:rPr>
                <w:rFonts w:ascii="Arial" w:cs="Arial" w:eastAsia="Arial" w:hAnsi="Arial"/>
                <w:sz w:val="12"/>
                <w:szCs w:val="12"/>
                <w:color w:val="auto"/>
              </w:rPr>
              <w:t>$</w:t>
            </w:r>
          </w:p>
        </w:tc>
        <w:tc>
          <w:tcPr>
            <w:tcW w:w="156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2"/>
                <w:szCs w:val="12"/>
                <w:color w:val="auto"/>
              </w:rPr>
              <w:t>10.28</w:t>
            </w:r>
          </w:p>
        </w:tc>
        <w:tc>
          <w:tcPr>
            <w:tcW w:w="120" w:type="dxa"/>
            <w:vAlign w:val="bottom"/>
            <w:tcBorders>
              <w:top w:val="single" w:sz="8" w:color="CFF0FC"/>
              <w:bottom w:val="single" w:sz="8" w:color="CFF0FC"/>
            </w:tcBorders>
            <w:shd w:val="clear" w:color="auto" w:fill="CFF0FC"/>
          </w:tcPr>
          <w:p>
            <w:pPr>
              <w:spacing w:after="0"/>
              <w:rPr>
                <w:sz w:val="12"/>
                <w:szCs w:val="12"/>
                <w:color w:val="auto"/>
              </w:rPr>
            </w:pPr>
          </w:p>
        </w:tc>
      </w:tr>
    </w:tbl>
    <w:p>
      <w:pPr>
        <w:spacing w:after="0" w:line="153" w:lineRule="exact"/>
        <w:rPr>
          <w:sz w:val="20"/>
          <w:szCs w:val="20"/>
          <w:color w:val="auto"/>
        </w:rPr>
      </w:pPr>
    </w:p>
    <w:p>
      <w:pPr>
        <w:jc w:val="both"/>
        <w:ind w:right="40" w:firstLine="602"/>
        <w:spacing w:after="0" w:line="276" w:lineRule="auto"/>
        <w:rPr>
          <w:sz w:val="20"/>
          <w:szCs w:val="20"/>
          <w:color w:val="auto"/>
        </w:rPr>
      </w:pPr>
      <w:r>
        <w:rPr>
          <w:rFonts w:ascii="Arial" w:cs="Arial" w:eastAsia="Arial" w:hAnsi="Arial"/>
          <w:sz w:val="12"/>
          <w:szCs w:val="12"/>
          <w:color w:val="auto"/>
        </w:rPr>
        <w:t>No RSUs granted pursuant to the 2018 Plan vested in 2018. The fair value of RSUs vested during fiscal year 2019 was $13.2 million. As of December 31, 2019, we had $28.3 million of unrecognized stock-based compensation expense related to unvested RSUs under the 2018 Plan which is expected to be recognized over a weighted average period of 2.9 years.</w:t>
      </w:r>
    </w:p>
    <w:p>
      <w:pPr>
        <w:spacing w:after="0" w:line="142" w:lineRule="exact"/>
        <w:rPr>
          <w:sz w:val="20"/>
          <w:szCs w:val="20"/>
          <w:color w:val="auto"/>
        </w:rPr>
      </w:pPr>
    </w:p>
    <w:p>
      <w:pPr>
        <w:ind w:left="600"/>
        <w:spacing w:after="0"/>
        <w:rPr>
          <w:sz w:val="20"/>
          <w:szCs w:val="20"/>
          <w:color w:val="auto"/>
        </w:rPr>
      </w:pPr>
      <w:r>
        <w:rPr>
          <w:rFonts w:ascii="Arial" w:cs="Arial" w:eastAsia="Arial" w:hAnsi="Arial"/>
          <w:sz w:val="12"/>
          <w:szCs w:val="12"/>
          <w:color w:val="auto"/>
        </w:rPr>
        <w:t>The following details the components of stock-based compensation for the respective periods:</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7280" w:type="dxa"/>
            <w:vAlign w:val="bottom"/>
            <w:gridSpan w:val="2"/>
          </w:tcPr>
          <w:p>
            <w:pPr>
              <w:spacing w:after="0"/>
              <w:rPr>
                <w:sz w:val="20"/>
                <w:szCs w:val="20"/>
                <w:color w:val="auto"/>
              </w:rPr>
            </w:pPr>
            <w:r>
              <w:rPr>
                <w:rFonts w:ascii="Arial" w:cs="Arial" w:eastAsia="Arial" w:hAnsi="Arial"/>
                <w:sz w:val="10"/>
                <w:szCs w:val="10"/>
                <w:b w:val="1"/>
                <w:bCs w:val="1"/>
                <w:u w:val="single" w:color="auto"/>
                <w:color w:val="auto"/>
              </w:rPr>
              <w:t>(</w:t>
            </w:r>
            <w:r>
              <w:rPr>
                <w:rFonts w:ascii="Arial" w:cs="Arial" w:eastAsia="Arial" w:hAnsi="Arial"/>
                <w:sz w:val="10"/>
                <w:szCs w:val="10"/>
                <w:b w:val="1"/>
                <w:bCs w:val="1"/>
                <w:color w:val="auto"/>
              </w:rPr>
              <w:t>$ in thousands)</w:t>
            </w:r>
          </w:p>
        </w:tc>
        <w:tc>
          <w:tcPr>
            <w:tcW w:w="320" w:type="dxa"/>
            <w:vAlign w:val="bottom"/>
          </w:tcPr>
          <w:p>
            <w:pPr>
              <w:spacing w:after="0"/>
              <w:rPr>
                <w:sz w:val="10"/>
                <w:szCs w:val="10"/>
                <w:color w:val="auto"/>
              </w:rPr>
            </w:pPr>
          </w:p>
        </w:tc>
        <w:tc>
          <w:tcPr>
            <w:tcW w:w="1580" w:type="dxa"/>
            <w:vAlign w:val="bottom"/>
          </w:tcPr>
          <w:p>
            <w:pPr>
              <w:jc w:val="right"/>
              <w:ind w:right="503"/>
              <w:spacing w:after="0"/>
              <w:rPr>
                <w:sz w:val="20"/>
                <w:szCs w:val="20"/>
                <w:color w:val="auto"/>
              </w:rPr>
            </w:pPr>
            <w:r>
              <w:rPr>
                <w:rFonts w:ascii="Arial" w:cs="Arial" w:eastAsia="Arial" w:hAnsi="Arial"/>
                <w:sz w:val="10"/>
                <w:szCs w:val="10"/>
                <w:b w:val="1"/>
                <w:bCs w:val="1"/>
                <w:color w:val="auto"/>
              </w:rPr>
              <w:t>December 31, 2019</w:t>
            </w:r>
          </w:p>
        </w:tc>
        <w:tc>
          <w:tcPr>
            <w:tcW w:w="3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80" w:type="dxa"/>
            <w:vAlign w:val="bottom"/>
            <w:gridSpan w:val="2"/>
          </w:tcPr>
          <w:p>
            <w:pPr>
              <w:ind w:left="240"/>
              <w:spacing w:after="0"/>
              <w:rPr>
                <w:sz w:val="20"/>
                <w:szCs w:val="20"/>
                <w:color w:val="auto"/>
              </w:rPr>
            </w:pPr>
            <w:r>
              <w:rPr>
                <w:rFonts w:ascii="Arial" w:cs="Arial" w:eastAsia="Arial" w:hAnsi="Arial"/>
                <w:sz w:val="10"/>
                <w:szCs w:val="10"/>
                <w:b w:val="1"/>
                <w:bCs w:val="1"/>
                <w:color w:val="auto"/>
              </w:rPr>
              <w:t>December 31, 2018</w:t>
            </w:r>
          </w:p>
        </w:tc>
      </w:tr>
      <w:tr>
        <w:trPr>
          <w:trHeight w:val="20"/>
        </w:trPr>
        <w:tc>
          <w:tcPr>
            <w:tcW w:w="640" w:type="dxa"/>
            <w:vAlign w:val="bottom"/>
            <w:tcBorders>
              <w:bottom w:val="single" w:sz="8" w:color="CFF0FC"/>
            </w:tcBorders>
            <w:shd w:val="clear" w:color="auto" w:fill="000000"/>
          </w:tcPr>
          <w:p>
            <w:pPr>
              <w:spacing w:after="0" w:line="20" w:lineRule="exact"/>
              <w:rPr>
                <w:sz w:val="1"/>
                <w:szCs w:val="1"/>
                <w:color w:val="auto"/>
              </w:rPr>
            </w:pPr>
          </w:p>
        </w:tc>
        <w:tc>
          <w:tcPr>
            <w:tcW w:w="6640" w:type="dxa"/>
            <w:vAlign w:val="bottom"/>
            <w:tcBorders>
              <w:bottom w:val="single" w:sz="8" w:color="CFF0FC"/>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FF0FC"/>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r>
      <w:tr>
        <w:trPr>
          <w:trHeight w:val="131"/>
        </w:trPr>
        <w:tc>
          <w:tcPr>
            <w:tcW w:w="7280" w:type="dxa"/>
            <w:vAlign w:val="bottom"/>
            <w:gridSpan w:val="2"/>
            <w:shd w:val="clear" w:color="auto" w:fill="CFF0FC"/>
          </w:tcPr>
          <w:p>
            <w:pPr>
              <w:spacing w:after="0" w:line="132" w:lineRule="exact"/>
              <w:rPr>
                <w:sz w:val="20"/>
                <w:szCs w:val="20"/>
                <w:color w:val="auto"/>
              </w:rPr>
            </w:pPr>
            <w:r>
              <w:rPr>
                <w:rFonts w:ascii="Arial" w:cs="Arial" w:eastAsia="Arial" w:hAnsi="Arial"/>
                <w:sz w:val="12"/>
                <w:szCs w:val="12"/>
                <w:color w:val="auto"/>
              </w:rPr>
              <w:t>Operating expenses</w:t>
            </w:r>
          </w:p>
        </w:tc>
        <w:tc>
          <w:tcPr>
            <w:tcW w:w="320" w:type="dxa"/>
            <w:vAlign w:val="bottom"/>
            <w:shd w:val="clear" w:color="auto" w:fill="CFF0FC"/>
          </w:tcPr>
          <w:p>
            <w:pPr>
              <w:jc w:val="right"/>
              <w:ind w:right="210"/>
              <w:spacing w:after="0"/>
              <w:rPr>
                <w:sz w:val="20"/>
                <w:szCs w:val="20"/>
                <w:color w:val="auto"/>
              </w:rPr>
            </w:pPr>
            <w:r>
              <w:rPr>
                <w:rFonts w:ascii="Arial" w:cs="Arial" w:eastAsia="Arial" w:hAnsi="Arial"/>
                <w:sz w:val="10"/>
                <w:szCs w:val="10"/>
                <w:color w:val="auto"/>
                <w:w w:val="71"/>
              </w:rPr>
              <w:t>$</w:t>
            </w:r>
          </w:p>
        </w:tc>
        <w:tc>
          <w:tcPr>
            <w:tcW w:w="1580" w:type="dxa"/>
            <w:vAlign w:val="bottom"/>
            <w:shd w:val="clear" w:color="auto" w:fill="CFF0FC"/>
          </w:tcPr>
          <w:p>
            <w:pPr>
              <w:jc w:val="right"/>
              <w:spacing w:after="0" w:line="132" w:lineRule="exact"/>
              <w:rPr>
                <w:sz w:val="20"/>
                <w:szCs w:val="20"/>
                <w:color w:val="auto"/>
              </w:rPr>
            </w:pPr>
            <w:r>
              <w:rPr>
                <w:rFonts w:ascii="Arial" w:cs="Arial" w:eastAsia="Arial" w:hAnsi="Arial"/>
                <w:sz w:val="12"/>
                <w:szCs w:val="12"/>
                <w:color w:val="auto"/>
              </w:rPr>
              <w:t>819</w:t>
            </w:r>
          </w:p>
        </w:tc>
        <w:tc>
          <w:tcPr>
            <w:tcW w:w="620" w:type="dxa"/>
            <w:vAlign w:val="bottom"/>
            <w:gridSpan w:val="2"/>
            <w:shd w:val="clear" w:color="auto" w:fill="CFF0FC"/>
          </w:tcPr>
          <w:p>
            <w:pPr>
              <w:jc w:val="right"/>
              <w:ind w:right="190"/>
              <w:spacing w:after="0" w:line="132" w:lineRule="exact"/>
              <w:rPr>
                <w:sz w:val="20"/>
                <w:szCs w:val="20"/>
                <w:color w:val="auto"/>
              </w:rPr>
            </w:pPr>
            <w:r>
              <w:rPr>
                <w:rFonts w:ascii="Arial" w:cs="Arial" w:eastAsia="Arial" w:hAnsi="Arial"/>
                <w:sz w:val="12"/>
                <w:szCs w:val="12"/>
                <w:color w:val="auto"/>
              </w:rPr>
              <w:t>$</w:t>
            </w:r>
          </w:p>
        </w:tc>
        <w:tc>
          <w:tcPr>
            <w:tcW w:w="1560" w:type="dxa"/>
            <w:vAlign w:val="bottom"/>
            <w:shd w:val="clear" w:color="auto" w:fill="CFF0FC"/>
          </w:tcPr>
          <w:p>
            <w:pPr>
              <w:jc w:val="right"/>
              <w:spacing w:after="0" w:line="132" w:lineRule="exact"/>
              <w:rPr>
                <w:sz w:val="20"/>
                <w:szCs w:val="20"/>
                <w:color w:val="auto"/>
              </w:rPr>
            </w:pPr>
            <w:r>
              <w:rPr>
                <w:rFonts w:ascii="Arial" w:cs="Arial" w:eastAsia="Arial" w:hAnsi="Arial"/>
                <w:sz w:val="12"/>
                <w:szCs w:val="12"/>
                <w:color w:val="auto"/>
              </w:rPr>
              <w:t>137</w:t>
            </w:r>
          </w:p>
        </w:tc>
        <w:tc>
          <w:tcPr>
            <w:tcW w:w="120" w:type="dxa"/>
            <w:vAlign w:val="bottom"/>
            <w:shd w:val="clear" w:color="auto" w:fill="CFF0FC"/>
          </w:tcPr>
          <w:p>
            <w:pPr>
              <w:spacing w:after="0"/>
              <w:rPr>
                <w:sz w:val="11"/>
                <w:szCs w:val="11"/>
                <w:color w:val="auto"/>
              </w:rPr>
            </w:pPr>
          </w:p>
        </w:tc>
      </w:tr>
      <w:tr>
        <w:trPr>
          <w:trHeight w:val="153"/>
        </w:trPr>
        <w:tc>
          <w:tcPr>
            <w:tcW w:w="7280" w:type="dxa"/>
            <w:vAlign w:val="bottom"/>
            <w:tcBorders>
              <w:bottom w:val="single" w:sz="8" w:color="CFF0FC"/>
            </w:tcBorders>
            <w:gridSpan w:val="2"/>
          </w:tcPr>
          <w:p>
            <w:pPr>
              <w:spacing w:after="0"/>
              <w:rPr>
                <w:sz w:val="20"/>
                <w:szCs w:val="20"/>
                <w:color w:val="auto"/>
              </w:rPr>
            </w:pPr>
            <w:r>
              <w:rPr>
                <w:rFonts w:ascii="Arial" w:cs="Arial" w:eastAsia="Arial" w:hAnsi="Arial"/>
                <w:sz w:val="12"/>
                <w:szCs w:val="12"/>
                <w:color w:val="auto"/>
              </w:rPr>
              <w:t>Selling, general and administrative expenses</w:t>
            </w:r>
          </w:p>
        </w:tc>
        <w:tc>
          <w:tcPr>
            <w:tcW w:w="32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9,193</w:t>
            </w:r>
          </w:p>
        </w:tc>
        <w:tc>
          <w:tcPr>
            <w:tcW w:w="32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2,135</w:t>
            </w:r>
          </w:p>
        </w:tc>
        <w:tc>
          <w:tcPr>
            <w:tcW w:w="120" w:type="dxa"/>
            <w:vAlign w:val="bottom"/>
            <w:tcBorders>
              <w:bottom w:val="single" w:sz="8" w:color="CFF0FC"/>
            </w:tcBorders>
          </w:tcPr>
          <w:p>
            <w:pPr>
              <w:spacing w:after="0"/>
              <w:rPr>
                <w:sz w:val="13"/>
                <w:szCs w:val="13"/>
                <w:color w:val="auto"/>
              </w:rPr>
            </w:pPr>
          </w:p>
        </w:tc>
      </w:tr>
      <w:tr>
        <w:trPr>
          <w:trHeight w:val="149"/>
        </w:trPr>
        <w:tc>
          <w:tcPr>
            <w:tcW w:w="728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2"/>
                <w:szCs w:val="12"/>
                <w:color w:val="auto"/>
              </w:rPr>
              <w:t>Total stock-based compensation expense</w:t>
            </w:r>
          </w:p>
        </w:tc>
        <w:tc>
          <w:tcPr>
            <w:tcW w:w="320" w:type="dxa"/>
            <w:vAlign w:val="bottom"/>
            <w:tcBorders>
              <w:bottom w:val="single" w:sz="8" w:color="auto"/>
            </w:tcBorders>
            <w:shd w:val="clear" w:color="auto" w:fill="CFF0FC"/>
          </w:tcPr>
          <w:p>
            <w:pPr>
              <w:jc w:val="right"/>
              <w:ind w:right="210"/>
              <w:spacing w:after="0"/>
              <w:rPr>
                <w:sz w:val="20"/>
                <w:szCs w:val="20"/>
                <w:color w:val="auto"/>
              </w:rPr>
            </w:pPr>
            <w:r>
              <w:rPr>
                <w:rFonts w:ascii="Arial" w:cs="Arial" w:eastAsia="Arial" w:hAnsi="Arial"/>
                <w:sz w:val="10"/>
                <w:szCs w:val="10"/>
                <w:color w:val="auto"/>
                <w:w w:val="71"/>
              </w:rPr>
              <w:t>$</w:t>
            </w: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10,012</w:t>
            </w:r>
          </w:p>
        </w:tc>
        <w:tc>
          <w:tcPr>
            <w:tcW w:w="320" w:type="dxa"/>
            <w:vAlign w:val="bottom"/>
            <w:tcBorders>
              <w:bottom w:val="single" w:sz="8" w:color="CFF0FC"/>
            </w:tcBorders>
            <w:shd w:val="clear" w:color="auto" w:fill="CFF0FC"/>
          </w:tcPr>
          <w:p>
            <w:pPr>
              <w:spacing w:after="0"/>
              <w:rPr>
                <w:sz w:val="12"/>
                <w:szCs w:val="12"/>
                <w:color w:val="auto"/>
              </w:rPr>
            </w:pPr>
          </w:p>
        </w:tc>
        <w:tc>
          <w:tcPr>
            <w:tcW w:w="30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0"/>
                <w:szCs w:val="10"/>
                <w:color w:val="auto"/>
                <w:w w:val="71"/>
              </w:rPr>
              <w:t>$</w:t>
            </w: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2,272</w:t>
            </w:r>
          </w:p>
        </w:tc>
        <w:tc>
          <w:tcPr>
            <w:tcW w:w="120" w:type="dxa"/>
            <w:vAlign w:val="bottom"/>
            <w:tcBorders>
              <w:bottom w:val="single" w:sz="8" w:color="CFF0FC"/>
            </w:tcBorders>
            <w:shd w:val="clear" w:color="auto" w:fill="CFF0FC"/>
          </w:tcPr>
          <w:p>
            <w:pPr>
              <w:spacing w:after="0"/>
              <w:rPr>
                <w:sz w:val="12"/>
                <w:szCs w:val="12"/>
                <w:color w:val="auto"/>
              </w:rPr>
            </w:pPr>
          </w:p>
        </w:tc>
      </w:tr>
    </w:tbl>
    <w:p>
      <w:pPr>
        <w:spacing w:after="0" w:line="162" w:lineRule="exact"/>
        <w:rPr>
          <w:sz w:val="20"/>
          <w:szCs w:val="20"/>
          <w:color w:val="auto"/>
        </w:rPr>
      </w:pPr>
    </w:p>
    <w:p>
      <w:pPr>
        <w:ind w:left="600"/>
        <w:spacing w:after="0"/>
        <w:rPr>
          <w:sz w:val="20"/>
          <w:szCs w:val="20"/>
          <w:color w:val="auto"/>
        </w:rPr>
      </w:pPr>
      <w:r>
        <w:rPr>
          <w:rFonts w:ascii="Arial" w:cs="Arial" w:eastAsia="Arial" w:hAnsi="Arial"/>
          <w:sz w:val="12"/>
          <w:szCs w:val="12"/>
          <w:color w:val="auto"/>
        </w:rPr>
        <w:t>There was no stock-based compensation expense related to the 2017 Successor Period or 2017 Predecessor Period, as such none was included in the table above.</w:t>
      </w:r>
    </w:p>
    <w:p>
      <w:pPr>
        <w:spacing w:after="0" w:line="168" w:lineRule="exact"/>
        <w:rPr>
          <w:sz w:val="20"/>
          <w:szCs w:val="20"/>
          <w:color w:val="auto"/>
        </w:rPr>
      </w:pPr>
    </w:p>
    <w:p>
      <w:pPr>
        <w:ind w:right="220" w:firstLine="602"/>
        <w:spacing w:after="0" w:line="276" w:lineRule="auto"/>
        <w:rPr>
          <w:sz w:val="20"/>
          <w:szCs w:val="20"/>
          <w:color w:val="auto"/>
        </w:rPr>
      </w:pPr>
      <w:r>
        <w:rPr>
          <w:rFonts w:ascii="Arial" w:cs="Arial" w:eastAsia="Arial" w:hAnsi="Arial"/>
          <w:sz w:val="12"/>
          <w:szCs w:val="12"/>
          <w:color w:val="auto"/>
        </w:rPr>
        <w:t>Tax benefits attributable to stock-based compensation represented approximately $3.4 million and $0 of stock-based compensation expense, before limitations under section 162(m) of the Internal Revenue Code, during the years ended December 31, 2019 and 2018, respectively.</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17740" cy="3683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ectPr>
          <w:pgSz w:w="11900" w:h="16838" w:orient="portrait"/>
          <w:cols w:equalWidth="0" w:num="1">
            <w:col w:w="11480"/>
          </w:cols>
          <w:pgMar w:left="220" w:top="419" w:right="199" w:bottom="1440" w:gutter="0" w:footer="0" w:header="0"/>
        </w:sectPr>
      </w:pPr>
    </w:p>
    <w:bookmarkStart w:id="98" w:name="page99"/>
    <w:bookmarkEnd w:id="98"/>
    <w:p>
      <w:pPr>
        <w:ind w:left="588" w:hanging="588"/>
        <w:spacing w:after="0"/>
        <w:tabs>
          <w:tab w:leader="none" w:pos="588" w:val="left"/>
        </w:tabs>
        <w:numPr>
          <w:ilvl w:val="0"/>
          <w:numId w:val="37"/>
        </w:numPr>
        <w:rPr>
          <w:rFonts w:ascii="Arial" w:cs="Arial" w:eastAsia="Arial" w:hAnsi="Arial"/>
          <w:sz w:val="12"/>
          <w:szCs w:val="12"/>
          <w:b w:val="1"/>
          <w:bCs w:val="1"/>
          <w:color w:val="auto"/>
        </w:rPr>
      </w:pPr>
      <w:r>
        <w:rPr>
          <w:rFonts w:ascii="Arial" w:cs="Arial" w:eastAsia="Arial" w:hAnsi="Arial"/>
          <w:sz w:val="12"/>
          <w:szCs w:val="12"/>
          <w:b w:val="1"/>
          <w:bCs w:val="1"/>
          <w:color w:val="auto"/>
        </w:rPr>
        <w:t>Employee Benefit Plan</w:t>
      </w:r>
    </w:p>
    <w:p>
      <w:pPr>
        <w:spacing w:after="0" w:line="82" w:lineRule="exact"/>
        <w:rPr>
          <w:sz w:val="20"/>
          <w:szCs w:val="20"/>
          <w:color w:val="auto"/>
        </w:rPr>
      </w:pPr>
    </w:p>
    <w:p>
      <w:pPr>
        <w:ind w:left="8" w:right="180" w:firstLine="602"/>
        <w:spacing w:after="0" w:line="263" w:lineRule="auto"/>
        <w:rPr>
          <w:sz w:val="20"/>
          <w:szCs w:val="20"/>
          <w:color w:val="auto"/>
        </w:rPr>
      </w:pPr>
      <w:r>
        <w:rPr>
          <w:rFonts w:ascii="Arial" w:cs="Arial" w:eastAsia="Arial" w:hAnsi="Arial"/>
          <w:sz w:val="12"/>
          <w:szCs w:val="12"/>
          <w:color w:val="auto"/>
        </w:rPr>
        <w:t>The Company has a 401(k) plan that covers substantially all employees who meet certain eligibility requirements. Covered employees may elect to have a portion of their compensation withheld up to the statutory limit. The 401(k) plan includes a company match that vests immediately. The Company made employer contributions of $1.7 million, $1.6 million, $0.7 million, and $0.6 million during the years ended December 31, 2019 and 2018, the 2017 Successor Period and the 2017 Predecessor Period, respectively.</w:t>
      </w:r>
    </w:p>
    <w:p>
      <w:pPr>
        <w:spacing w:after="0" w:line="191" w:lineRule="exact"/>
        <w:rPr>
          <w:sz w:val="20"/>
          <w:szCs w:val="20"/>
          <w:color w:val="auto"/>
        </w:rPr>
      </w:pPr>
    </w:p>
    <w:p>
      <w:pPr>
        <w:ind w:left="588" w:hanging="588"/>
        <w:spacing w:after="0"/>
        <w:tabs>
          <w:tab w:leader="none" w:pos="588" w:val="left"/>
        </w:tabs>
        <w:numPr>
          <w:ilvl w:val="0"/>
          <w:numId w:val="38"/>
        </w:numPr>
        <w:rPr>
          <w:rFonts w:ascii="Arial" w:cs="Arial" w:eastAsia="Arial" w:hAnsi="Arial"/>
          <w:sz w:val="12"/>
          <w:szCs w:val="12"/>
          <w:b w:val="1"/>
          <w:bCs w:val="1"/>
          <w:color w:val="auto"/>
        </w:rPr>
      </w:pPr>
      <w:r>
        <w:rPr>
          <w:rFonts w:ascii="Arial" w:cs="Arial" w:eastAsia="Arial" w:hAnsi="Arial"/>
          <w:sz w:val="12"/>
          <w:szCs w:val="12"/>
          <w:b w:val="1"/>
          <w:bCs w:val="1"/>
          <w:color w:val="auto"/>
        </w:rPr>
        <w:t>Related Party Transactions</w:t>
      </w:r>
    </w:p>
    <w:p>
      <w:pPr>
        <w:spacing w:after="0" w:line="82"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Tax Receivable Agreement</w:t>
      </w:r>
    </w:p>
    <w:p>
      <w:pPr>
        <w:spacing w:after="0" w:line="78" w:lineRule="exact"/>
        <w:rPr>
          <w:sz w:val="20"/>
          <w:szCs w:val="20"/>
          <w:color w:val="auto"/>
        </w:rPr>
      </w:pPr>
    </w:p>
    <w:p>
      <w:pPr>
        <w:ind w:left="8" w:firstLine="602"/>
        <w:spacing w:after="0" w:line="283" w:lineRule="auto"/>
        <w:rPr>
          <w:sz w:val="20"/>
          <w:szCs w:val="20"/>
          <w:color w:val="auto"/>
        </w:rPr>
      </w:pPr>
      <w:r>
        <w:rPr>
          <w:rFonts w:ascii="Arial" w:cs="Arial" w:eastAsia="Arial" w:hAnsi="Arial"/>
          <w:sz w:val="11"/>
          <w:szCs w:val="11"/>
          <w:color w:val="auto"/>
        </w:rPr>
        <w:t>At the closing of the Business Combination, the Company entered into a tax receivable agreement (“</w:t>
      </w:r>
      <w:r>
        <w:rPr>
          <w:rFonts w:ascii="Arial" w:cs="Arial" w:eastAsia="Arial" w:hAnsi="Arial"/>
          <w:sz w:val="11"/>
          <w:szCs w:val="11"/>
          <w:b w:val="1"/>
          <w:bCs w:val="1"/>
          <w:i w:val="1"/>
          <w:iCs w:val="1"/>
          <w:color w:val="auto"/>
        </w:rPr>
        <w:t>TRA</w:t>
      </w:r>
      <w:r>
        <w:rPr>
          <w:rFonts w:ascii="Arial" w:cs="Arial" w:eastAsia="Arial" w:hAnsi="Arial"/>
          <w:sz w:val="11"/>
          <w:szCs w:val="11"/>
          <w:color w:val="auto"/>
        </w:rPr>
        <w:t>”) with PE Greenlight Holdings, LLC (the “</w:t>
      </w:r>
      <w:r>
        <w:rPr>
          <w:rFonts w:ascii="Arial" w:cs="Arial" w:eastAsia="Arial" w:hAnsi="Arial"/>
          <w:sz w:val="11"/>
          <w:szCs w:val="11"/>
          <w:b w:val="1"/>
          <w:bCs w:val="1"/>
          <w:i w:val="1"/>
          <w:iCs w:val="1"/>
          <w:color w:val="auto"/>
        </w:rPr>
        <w:t>Platinum Stockholder</w:t>
      </w:r>
      <w:r>
        <w:rPr>
          <w:rFonts w:ascii="Arial" w:cs="Arial" w:eastAsia="Arial" w:hAnsi="Arial"/>
          <w:sz w:val="11"/>
          <w:szCs w:val="11"/>
          <w:color w:val="auto"/>
        </w:rPr>
        <w:t>”) and Greenlight as the stockholder representative. The TRA generally provides for the payment by the post-closing company to the Platinum Stockholder of 50% of the net cash savings, if any, in U.S. federal, state and local income tax that the post-closing company actually realizes (or is deemed to realize in certain circumstances) in periods after the closing of the Business Combination as a result of the increase in the tax basis of the intangible assets which resulted from the acquisition of HTA by Verra Mobility prior to the Business Combination. The post-closing company generally will retain the benefit of the remaining 50% of these cash savings. The Company estimated the potential maximum benefit to be paid will be approximately $70.0 million, and recorded an initial liability and corresponding charge to equity at the closing of the Business Combination. Subsequently, the Company adjusted this amount. At December 31, 2019, the TRA was approximately $66.9 million of which $5.7 million was the current portion included in Accrued liabilities and $61.2 million included in Payable related to tax receivable agreement on the consolidated balance sheets.</w:t>
      </w:r>
    </w:p>
    <w:p>
      <w:pPr>
        <w:spacing w:after="0" w:line="213"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Earn-Out Agreement</w:t>
      </w:r>
    </w:p>
    <w:p>
      <w:pPr>
        <w:spacing w:after="0" w:line="78" w:lineRule="exact"/>
        <w:rPr>
          <w:sz w:val="20"/>
          <w:szCs w:val="20"/>
          <w:color w:val="auto"/>
        </w:rPr>
      </w:pPr>
    </w:p>
    <w:p>
      <w:pPr>
        <w:ind w:left="8" w:right="160" w:firstLine="602"/>
        <w:spacing w:after="0" w:line="263" w:lineRule="auto"/>
        <w:rPr>
          <w:sz w:val="20"/>
          <w:szCs w:val="20"/>
          <w:color w:val="auto"/>
        </w:rPr>
      </w:pPr>
      <w:r>
        <w:rPr>
          <w:rFonts w:ascii="Arial" w:cs="Arial" w:eastAsia="Arial" w:hAnsi="Arial"/>
          <w:sz w:val="12"/>
          <w:szCs w:val="12"/>
          <w:color w:val="auto"/>
        </w:rPr>
        <w:t>Under the Merger Agreement, the Platinum Stockholder is entitled to receive additional shares of Class A Common Stock (the “</w:t>
      </w:r>
      <w:r>
        <w:rPr>
          <w:rFonts w:ascii="Arial" w:cs="Arial" w:eastAsia="Arial" w:hAnsi="Arial"/>
          <w:sz w:val="12"/>
          <w:szCs w:val="12"/>
          <w:b w:val="1"/>
          <w:bCs w:val="1"/>
          <w:i w:val="1"/>
          <w:iCs w:val="1"/>
          <w:color w:val="auto"/>
        </w:rPr>
        <w:t>Earn-Out Shares”</w:t>
      </w:r>
      <w:r>
        <w:rPr>
          <w:rFonts w:ascii="Arial" w:cs="Arial" w:eastAsia="Arial" w:hAnsi="Arial"/>
          <w:sz w:val="12"/>
          <w:szCs w:val="12"/>
          <w:color w:val="auto"/>
        </w:rPr>
        <w:t>) if the volume weighted average closing sale price of one share of Class A Common Stock on the Nasdaq exceeds certain thresholds for a period of at least 10 days out of 20 consecutive trading days at any time during the five-year period following the closing of the Business Combination (the “</w:t>
      </w:r>
      <w:r>
        <w:rPr>
          <w:rFonts w:ascii="Arial" w:cs="Arial" w:eastAsia="Arial" w:hAnsi="Arial"/>
          <w:sz w:val="12"/>
          <w:szCs w:val="12"/>
          <w:b w:val="1"/>
          <w:bCs w:val="1"/>
          <w:i w:val="1"/>
          <w:iCs w:val="1"/>
          <w:color w:val="auto"/>
        </w:rPr>
        <w:t>Common Stock</w:t>
      </w:r>
      <w:r>
        <w:rPr>
          <w:rFonts w:ascii="Arial" w:cs="Arial" w:eastAsia="Arial" w:hAnsi="Arial"/>
          <w:sz w:val="12"/>
          <w:szCs w:val="12"/>
          <w:color w:val="auto"/>
        </w:rPr>
        <w:t xml:space="preserve"> </w:t>
      </w:r>
      <w:r>
        <w:rPr>
          <w:rFonts w:ascii="Arial" w:cs="Arial" w:eastAsia="Arial" w:hAnsi="Arial"/>
          <w:sz w:val="12"/>
          <w:szCs w:val="12"/>
          <w:b w:val="1"/>
          <w:bCs w:val="1"/>
          <w:i w:val="1"/>
          <w:iCs w:val="1"/>
          <w:color w:val="auto"/>
        </w:rPr>
        <w:t>Price</w:t>
      </w:r>
      <w:r>
        <w:rPr>
          <w:rFonts w:ascii="Arial" w:cs="Arial" w:eastAsia="Arial" w:hAnsi="Arial"/>
          <w:sz w:val="12"/>
          <w:szCs w:val="12"/>
          <w:color w:val="auto"/>
        </w:rPr>
        <w:t>”).</w:t>
      </w:r>
    </w:p>
    <w:p>
      <w:pPr>
        <w:spacing w:after="0" w:line="123" w:lineRule="exact"/>
        <w:rPr>
          <w:sz w:val="20"/>
          <w:szCs w:val="20"/>
          <w:color w:val="auto"/>
        </w:rPr>
      </w:pPr>
    </w:p>
    <w:p>
      <w:pPr>
        <w:ind w:left="608"/>
        <w:spacing w:after="0"/>
        <w:rPr>
          <w:sz w:val="20"/>
          <w:szCs w:val="20"/>
          <w:color w:val="auto"/>
        </w:rPr>
      </w:pPr>
      <w:r>
        <w:rPr>
          <w:rFonts w:ascii="Arial" w:cs="Arial" w:eastAsia="Arial" w:hAnsi="Arial"/>
          <w:sz w:val="12"/>
          <w:szCs w:val="12"/>
          <w:color w:val="auto"/>
        </w:rPr>
        <w:t>The Earn-Out Shares are issued by the Company to the Platinum Stockholder as follows:</w:t>
      </w:r>
    </w:p>
    <w:p>
      <w:pPr>
        <w:spacing w:after="0" w:line="152" w:lineRule="exact"/>
        <w:rPr>
          <w:sz w:val="20"/>
          <w:szCs w:val="20"/>
          <w:color w:val="auto"/>
        </w:rPr>
      </w:pPr>
    </w:p>
    <w:tbl>
      <w:tblPr>
        <w:tblLayout w:type="fixed"/>
        <w:tblInd w:w="8" w:type="dxa"/>
        <w:tblCellMar>
          <w:top w:w="0" w:type="dxa"/>
          <w:left w:w="0" w:type="dxa"/>
          <w:bottom w:w="0" w:type="dxa"/>
          <w:right w:w="0" w:type="dxa"/>
        </w:tblCellMar>
      </w:tblPr>
      <w:tr>
        <w:trPr>
          <w:trHeight w:val="115"/>
        </w:trPr>
        <w:tc>
          <w:tcPr>
            <w:tcW w:w="7140" w:type="dxa"/>
            <w:vAlign w:val="bottom"/>
            <w:gridSpan w:val="2"/>
          </w:tcPr>
          <w:p>
            <w:pPr>
              <w:jc w:val="center"/>
              <w:ind w:right="580"/>
              <w:spacing w:after="0"/>
              <w:rPr>
                <w:sz w:val="20"/>
                <w:szCs w:val="20"/>
                <w:color w:val="auto"/>
              </w:rPr>
            </w:pPr>
            <w:r>
              <w:rPr>
                <w:rFonts w:ascii="Arial" w:cs="Arial" w:eastAsia="Arial" w:hAnsi="Arial"/>
                <w:sz w:val="10"/>
                <w:szCs w:val="10"/>
                <w:b w:val="1"/>
                <w:bCs w:val="1"/>
                <w:color w:val="auto"/>
                <w:w w:val="85"/>
              </w:rPr>
              <w:t>Common Stock Price thresholds</w:t>
            </w:r>
          </w:p>
        </w:tc>
        <w:tc>
          <w:tcPr>
            <w:tcW w:w="4340" w:type="dxa"/>
            <w:vAlign w:val="bottom"/>
            <w:gridSpan w:val="2"/>
          </w:tcPr>
          <w:p>
            <w:pPr>
              <w:ind w:left="1540"/>
              <w:spacing w:after="0"/>
              <w:rPr>
                <w:sz w:val="20"/>
                <w:szCs w:val="20"/>
                <w:color w:val="auto"/>
              </w:rPr>
            </w:pPr>
            <w:r>
              <w:rPr>
                <w:rFonts w:ascii="Arial" w:cs="Arial" w:eastAsia="Arial" w:hAnsi="Arial"/>
                <w:sz w:val="10"/>
                <w:szCs w:val="10"/>
                <w:b w:val="1"/>
                <w:bCs w:val="1"/>
                <w:color w:val="auto"/>
              </w:rPr>
              <w:t>One-time issuance of shares</w:t>
            </w:r>
          </w:p>
        </w:tc>
      </w:tr>
      <w:tr>
        <w:trPr>
          <w:trHeight w:val="142"/>
        </w:trPr>
        <w:tc>
          <w:tcPr>
            <w:tcW w:w="66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2"/>
                <w:szCs w:val="12"/>
                <w:color w:val="auto"/>
                <w:w w:val="89"/>
              </w:rPr>
              <w:t>&gt; $13.00</w:t>
            </w:r>
          </w:p>
        </w:tc>
        <w:tc>
          <w:tcPr>
            <w:tcW w:w="540" w:type="dxa"/>
            <w:vAlign w:val="bottom"/>
            <w:tcBorders>
              <w:top w:val="single" w:sz="8" w:color="CFF0FC"/>
            </w:tcBorders>
            <w:shd w:val="clear" w:color="auto" w:fill="CFF0FC"/>
          </w:tcPr>
          <w:p>
            <w:pPr>
              <w:spacing w:after="0"/>
              <w:rPr>
                <w:sz w:val="12"/>
                <w:szCs w:val="12"/>
                <w:color w:val="auto"/>
              </w:rPr>
            </w:pPr>
          </w:p>
        </w:tc>
        <w:tc>
          <w:tcPr>
            <w:tcW w:w="4220" w:type="dxa"/>
            <w:vAlign w:val="bottom"/>
            <w:tcBorders>
              <w:top w:val="single" w:sz="8" w:color="auto"/>
            </w:tcBorders>
            <w:shd w:val="clear" w:color="auto" w:fill="CFF0FC"/>
          </w:tcPr>
          <w:p>
            <w:pPr>
              <w:jc w:val="right"/>
              <w:ind w:right="1762"/>
              <w:spacing w:after="0"/>
              <w:rPr>
                <w:sz w:val="20"/>
                <w:szCs w:val="20"/>
                <w:color w:val="auto"/>
              </w:rPr>
            </w:pPr>
            <w:r>
              <w:rPr>
                <w:rFonts w:ascii="Arial" w:cs="Arial" w:eastAsia="Arial" w:hAnsi="Arial"/>
                <w:sz w:val="12"/>
                <w:szCs w:val="12"/>
                <w:color w:val="auto"/>
              </w:rPr>
              <w:t>2,500,000</w:t>
            </w:r>
          </w:p>
        </w:tc>
        <w:tc>
          <w:tcPr>
            <w:tcW w:w="120" w:type="dxa"/>
            <w:vAlign w:val="bottom"/>
            <w:tcBorders>
              <w:top w:val="single" w:sz="8" w:color="CFF0FC"/>
            </w:tcBorders>
            <w:shd w:val="clear" w:color="auto" w:fill="CFF0FC"/>
          </w:tcPr>
          <w:p>
            <w:pPr>
              <w:spacing w:after="0"/>
              <w:rPr>
                <w:sz w:val="12"/>
                <w:szCs w:val="12"/>
                <w:color w:val="auto"/>
              </w:rPr>
            </w:pPr>
          </w:p>
        </w:tc>
      </w:tr>
      <w:tr>
        <w:trPr>
          <w:trHeight w:val="153"/>
        </w:trPr>
        <w:tc>
          <w:tcPr>
            <w:tcW w:w="6600" w:type="dxa"/>
            <w:vAlign w:val="bottom"/>
          </w:tcPr>
          <w:p>
            <w:pPr>
              <w:jc w:val="center"/>
              <w:spacing w:after="0"/>
              <w:rPr>
                <w:sz w:val="20"/>
                <w:szCs w:val="20"/>
                <w:color w:val="auto"/>
              </w:rPr>
            </w:pPr>
            <w:r>
              <w:rPr>
                <w:rFonts w:ascii="Arial" w:cs="Arial" w:eastAsia="Arial" w:hAnsi="Arial"/>
                <w:sz w:val="12"/>
                <w:szCs w:val="12"/>
                <w:color w:val="auto"/>
                <w:w w:val="89"/>
              </w:rPr>
              <w:t>&gt; $15.50</w:t>
            </w:r>
          </w:p>
        </w:tc>
        <w:tc>
          <w:tcPr>
            <w:tcW w:w="540" w:type="dxa"/>
            <w:vAlign w:val="bottom"/>
          </w:tcPr>
          <w:p>
            <w:pPr>
              <w:spacing w:after="0"/>
              <w:rPr>
                <w:sz w:val="13"/>
                <w:szCs w:val="13"/>
                <w:color w:val="auto"/>
              </w:rPr>
            </w:pPr>
          </w:p>
        </w:tc>
        <w:tc>
          <w:tcPr>
            <w:tcW w:w="4220" w:type="dxa"/>
            <w:vAlign w:val="bottom"/>
          </w:tcPr>
          <w:p>
            <w:pPr>
              <w:jc w:val="right"/>
              <w:ind w:right="1762"/>
              <w:spacing w:after="0"/>
              <w:rPr>
                <w:sz w:val="20"/>
                <w:szCs w:val="20"/>
                <w:color w:val="auto"/>
              </w:rPr>
            </w:pPr>
            <w:r>
              <w:rPr>
                <w:rFonts w:ascii="Arial" w:cs="Arial" w:eastAsia="Arial" w:hAnsi="Arial"/>
                <w:sz w:val="12"/>
                <w:szCs w:val="12"/>
                <w:color w:val="auto"/>
              </w:rPr>
              <w:t>2,500,000</w:t>
            </w:r>
          </w:p>
        </w:tc>
        <w:tc>
          <w:tcPr>
            <w:tcW w:w="120" w:type="dxa"/>
            <w:vAlign w:val="bottom"/>
          </w:tcPr>
          <w:p>
            <w:pPr>
              <w:spacing w:after="0"/>
              <w:rPr>
                <w:sz w:val="13"/>
                <w:szCs w:val="13"/>
                <w:color w:val="auto"/>
              </w:rPr>
            </w:pPr>
          </w:p>
        </w:tc>
      </w:tr>
      <w:tr>
        <w:trPr>
          <w:trHeight w:val="153"/>
        </w:trPr>
        <w:tc>
          <w:tcPr>
            <w:tcW w:w="6600" w:type="dxa"/>
            <w:vAlign w:val="bottom"/>
            <w:shd w:val="clear" w:color="auto" w:fill="CFF0FC"/>
          </w:tcPr>
          <w:p>
            <w:pPr>
              <w:jc w:val="center"/>
              <w:spacing w:after="0"/>
              <w:rPr>
                <w:sz w:val="20"/>
                <w:szCs w:val="20"/>
                <w:color w:val="auto"/>
              </w:rPr>
            </w:pPr>
            <w:r>
              <w:rPr>
                <w:rFonts w:ascii="Arial" w:cs="Arial" w:eastAsia="Arial" w:hAnsi="Arial"/>
                <w:sz w:val="12"/>
                <w:szCs w:val="12"/>
                <w:color w:val="auto"/>
                <w:w w:val="89"/>
              </w:rPr>
              <w:t>&gt; $18.00</w:t>
            </w:r>
          </w:p>
        </w:tc>
        <w:tc>
          <w:tcPr>
            <w:tcW w:w="540" w:type="dxa"/>
            <w:vAlign w:val="bottom"/>
            <w:shd w:val="clear" w:color="auto" w:fill="CFF0FC"/>
          </w:tcPr>
          <w:p>
            <w:pPr>
              <w:spacing w:after="0"/>
              <w:rPr>
                <w:sz w:val="13"/>
                <w:szCs w:val="13"/>
                <w:color w:val="auto"/>
              </w:rPr>
            </w:pPr>
          </w:p>
        </w:tc>
        <w:tc>
          <w:tcPr>
            <w:tcW w:w="4220" w:type="dxa"/>
            <w:vAlign w:val="bottom"/>
            <w:shd w:val="clear" w:color="auto" w:fill="CFF0FC"/>
          </w:tcPr>
          <w:p>
            <w:pPr>
              <w:jc w:val="right"/>
              <w:ind w:right="1762"/>
              <w:spacing w:after="0"/>
              <w:rPr>
                <w:sz w:val="20"/>
                <w:szCs w:val="20"/>
                <w:color w:val="auto"/>
              </w:rPr>
            </w:pPr>
            <w:r>
              <w:rPr>
                <w:rFonts w:ascii="Arial" w:cs="Arial" w:eastAsia="Arial" w:hAnsi="Arial"/>
                <w:sz w:val="12"/>
                <w:szCs w:val="12"/>
                <w:color w:val="auto"/>
              </w:rPr>
              <w:t>2,500,000</w:t>
            </w:r>
          </w:p>
        </w:tc>
        <w:tc>
          <w:tcPr>
            <w:tcW w:w="120" w:type="dxa"/>
            <w:vAlign w:val="bottom"/>
            <w:shd w:val="clear" w:color="auto" w:fill="CFF0FC"/>
          </w:tcPr>
          <w:p>
            <w:pPr>
              <w:spacing w:after="0"/>
              <w:rPr>
                <w:sz w:val="13"/>
                <w:szCs w:val="13"/>
                <w:color w:val="auto"/>
              </w:rPr>
            </w:pPr>
          </w:p>
        </w:tc>
      </w:tr>
      <w:tr>
        <w:trPr>
          <w:trHeight w:val="153"/>
        </w:trPr>
        <w:tc>
          <w:tcPr>
            <w:tcW w:w="6600" w:type="dxa"/>
            <w:vAlign w:val="bottom"/>
          </w:tcPr>
          <w:p>
            <w:pPr>
              <w:jc w:val="center"/>
              <w:spacing w:after="0"/>
              <w:rPr>
                <w:sz w:val="20"/>
                <w:szCs w:val="20"/>
                <w:color w:val="auto"/>
              </w:rPr>
            </w:pPr>
            <w:r>
              <w:rPr>
                <w:rFonts w:ascii="Arial" w:cs="Arial" w:eastAsia="Arial" w:hAnsi="Arial"/>
                <w:sz w:val="12"/>
                <w:szCs w:val="12"/>
                <w:color w:val="auto"/>
                <w:w w:val="89"/>
              </w:rPr>
              <w:t>&gt; $20.50</w:t>
            </w:r>
          </w:p>
        </w:tc>
        <w:tc>
          <w:tcPr>
            <w:tcW w:w="540" w:type="dxa"/>
            <w:vAlign w:val="bottom"/>
          </w:tcPr>
          <w:p>
            <w:pPr>
              <w:spacing w:after="0"/>
              <w:rPr>
                <w:sz w:val="13"/>
                <w:szCs w:val="13"/>
                <w:color w:val="auto"/>
              </w:rPr>
            </w:pPr>
          </w:p>
        </w:tc>
        <w:tc>
          <w:tcPr>
            <w:tcW w:w="4220" w:type="dxa"/>
            <w:vAlign w:val="bottom"/>
          </w:tcPr>
          <w:p>
            <w:pPr>
              <w:jc w:val="right"/>
              <w:ind w:right="1762"/>
              <w:spacing w:after="0"/>
              <w:rPr>
                <w:sz w:val="20"/>
                <w:szCs w:val="20"/>
                <w:color w:val="auto"/>
              </w:rPr>
            </w:pPr>
            <w:r>
              <w:rPr>
                <w:rFonts w:ascii="Arial" w:cs="Arial" w:eastAsia="Arial" w:hAnsi="Arial"/>
                <w:sz w:val="12"/>
                <w:szCs w:val="12"/>
                <w:color w:val="auto"/>
              </w:rPr>
              <w:t>2,500,000</w:t>
            </w:r>
          </w:p>
        </w:tc>
        <w:tc>
          <w:tcPr>
            <w:tcW w:w="120" w:type="dxa"/>
            <w:vAlign w:val="bottom"/>
          </w:tcPr>
          <w:p>
            <w:pPr>
              <w:spacing w:after="0"/>
              <w:rPr>
                <w:sz w:val="13"/>
                <w:szCs w:val="13"/>
                <w:color w:val="auto"/>
              </w:rPr>
            </w:pPr>
          </w:p>
        </w:tc>
      </w:tr>
    </w:tbl>
    <w:p>
      <w:pPr>
        <w:spacing w:after="0" w:line="153" w:lineRule="exact"/>
        <w:rPr>
          <w:sz w:val="20"/>
          <w:szCs w:val="20"/>
          <w:color w:val="auto"/>
        </w:rPr>
      </w:pPr>
    </w:p>
    <w:p>
      <w:pPr>
        <w:ind w:left="8" w:right="120" w:firstLine="602"/>
        <w:spacing w:after="0" w:line="276" w:lineRule="auto"/>
        <w:rPr>
          <w:sz w:val="20"/>
          <w:szCs w:val="20"/>
          <w:color w:val="auto"/>
        </w:rPr>
      </w:pPr>
      <w:r>
        <w:rPr>
          <w:rFonts w:ascii="Arial" w:cs="Arial" w:eastAsia="Arial" w:hAnsi="Arial"/>
          <w:sz w:val="12"/>
          <w:szCs w:val="12"/>
          <w:color w:val="auto"/>
        </w:rPr>
        <w:t>If any of the Common Stock Price thresholds above (each, a “</w:t>
      </w:r>
      <w:r>
        <w:rPr>
          <w:rFonts w:ascii="Arial" w:cs="Arial" w:eastAsia="Arial" w:hAnsi="Arial"/>
          <w:sz w:val="12"/>
          <w:szCs w:val="12"/>
          <w:b w:val="1"/>
          <w:bCs w:val="1"/>
          <w:i w:val="1"/>
          <w:iCs w:val="1"/>
          <w:color w:val="auto"/>
        </w:rPr>
        <w:t>Triggering Event</w:t>
      </w:r>
      <w:r>
        <w:rPr>
          <w:rFonts w:ascii="Arial" w:cs="Arial" w:eastAsia="Arial" w:hAnsi="Arial"/>
          <w:sz w:val="12"/>
          <w:szCs w:val="12"/>
          <w:color w:val="auto"/>
        </w:rPr>
        <w:t>”) are not achieved within the five-year period following the closing of the Business Combination, the Company will not be required to issue the Earn-Out Shares in respect of such Common Stock Price threshold. In no event shall the Platinum Stockholder be entitled to receive more than an aggregate of 10,000,000 Earn-Out Shares.</w:t>
      </w:r>
    </w:p>
    <w:p>
      <w:pPr>
        <w:spacing w:after="0" w:line="115" w:lineRule="exact"/>
        <w:rPr>
          <w:sz w:val="20"/>
          <w:szCs w:val="20"/>
          <w:color w:val="auto"/>
        </w:rPr>
      </w:pPr>
    </w:p>
    <w:p>
      <w:pPr>
        <w:ind w:left="8" w:right="80" w:firstLine="602"/>
        <w:spacing w:after="0" w:line="259" w:lineRule="auto"/>
        <w:rPr>
          <w:sz w:val="20"/>
          <w:szCs w:val="20"/>
          <w:color w:val="auto"/>
        </w:rPr>
      </w:pPr>
      <w:r>
        <w:rPr>
          <w:rFonts w:ascii="Arial" w:cs="Arial" w:eastAsia="Arial" w:hAnsi="Arial"/>
          <w:sz w:val="12"/>
          <w:szCs w:val="12"/>
          <w:color w:val="auto"/>
        </w:rPr>
        <w:t>If, during the earn-out period, there is a change of control (as defined in the Merger Agreement) that will result in the holders of Parent Class A Common Stock receiving a per share price equal to or in excess of the applicable Common Stock Price required in connection with any Triggering Event (an “</w:t>
      </w:r>
      <w:r>
        <w:rPr>
          <w:rFonts w:ascii="Arial" w:cs="Arial" w:eastAsia="Arial" w:hAnsi="Arial"/>
          <w:sz w:val="12"/>
          <w:szCs w:val="12"/>
          <w:b w:val="1"/>
          <w:bCs w:val="1"/>
          <w:i w:val="1"/>
          <w:iCs w:val="1"/>
          <w:color w:val="auto"/>
        </w:rPr>
        <w:t>Acceleration Event</w:t>
      </w:r>
      <w:r>
        <w:rPr>
          <w:rFonts w:ascii="Arial" w:cs="Arial" w:eastAsia="Arial" w:hAnsi="Arial"/>
          <w:sz w:val="12"/>
          <w:szCs w:val="12"/>
          <w:color w:val="auto"/>
        </w:rPr>
        <w:t>”), then immediately prior to the consummation of such change of control: (a) any such Triggering Event that has not previously occurred shall be deemed to have occurred; and (b) Parent shall issue the applicable Earn-Out Shares to the cash consideration stockholders (as defined in the Merger Agreement) (in accordance with their respective pro rata cash share), and the recipients of the issued Earn-Out Shares shall be eligible to participate in such change of control.</w:t>
      </w:r>
    </w:p>
    <w:p>
      <w:pPr>
        <w:spacing w:after="0" w:line="269"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42545</wp:posOffset>
            </wp:positionV>
            <wp:extent cx="7317740" cy="3683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ectPr>
          <w:pgSz w:w="11900" w:h="16838" w:orient="portrait"/>
          <w:cols w:equalWidth="0" w:num="1">
            <w:col w:w="11488"/>
          </w:cols>
          <w:pgMar w:left="212" w:top="379" w:right="199" w:bottom="1440" w:gutter="0" w:footer="0" w:header="0"/>
        </w:sectPr>
      </w:pPr>
    </w:p>
    <w:bookmarkStart w:id="99" w:name="page100"/>
    <w:bookmarkEnd w:id="99"/>
    <w:p>
      <w:pPr>
        <w:ind w:right="60" w:firstLine="602"/>
        <w:spacing w:after="0" w:line="257" w:lineRule="auto"/>
        <w:rPr>
          <w:sz w:val="20"/>
          <w:szCs w:val="20"/>
          <w:color w:val="auto"/>
        </w:rPr>
      </w:pPr>
      <w:r>
        <w:rPr>
          <w:rFonts w:ascii="Arial" w:cs="Arial" w:eastAsia="Arial" w:hAnsi="Arial"/>
          <w:sz w:val="12"/>
          <w:szCs w:val="12"/>
          <w:color w:val="auto"/>
        </w:rPr>
        <w:t>The Company estimated the original fair value of the contingently issuable shares to be $73.15 million, of which $54.9 million remains contingently issuable as of December 31, 2019. The Company used a Monte Carlo simulation option-pricing model to arrive at its original estimate. Each tranche was valued separately giving specific consideration to the tranche’s price target. The simulation considered volatility and risk free rates utilizing a peer group based on a five year term. This was initially recorded as a distribution to shareholders and was presented as Common stock contingent consideration. Upon the occurrence of a Triggering Event, any issuable shares would be transferred from Common stock contingent consideration to Common stock and Additional paid-in capital accounts. Any contingently issuable shares not issued as a result of a Triggering Event not being attained by the end of earn-out period will be cancelled.</w:t>
      </w:r>
    </w:p>
    <w:p>
      <w:pPr>
        <w:spacing w:after="0" w:line="126" w:lineRule="exact"/>
        <w:rPr>
          <w:sz w:val="20"/>
          <w:szCs w:val="20"/>
          <w:color w:val="auto"/>
        </w:rPr>
      </w:pPr>
    </w:p>
    <w:p>
      <w:pPr>
        <w:jc w:val="both"/>
        <w:ind w:right="120" w:firstLine="602"/>
        <w:spacing w:after="0" w:line="259" w:lineRule="auto"/>
        <w:rPr>
          <w:sz w:val="20"/>
          <w:szCs w:val="20"/>
          <w:color w:val="auto"/>
        </w:rPr>
      </w:pPr>
      <w:r>
        <w:rPr>
          <w:rFonts w:ascii="Arial" w:cs="Arial" w:eastAsia="Arial" w:hAnsi="Arial"/>
          <w:sz w:val="12"/>
          <w:szCs w:val="12"/>
          <w:color w:val="auto"/>
        </w:rPr>
        <w:t>On April 26, 2019, the Triggering Event for the issuance of the first tranche of Earn-Out Shares occurred, as the volume weighted average closing sale price per share of the Company’s Class A Common Stock as of that date had been greater than $13.00 for 10 out of 20 consecutive trading days. This Triggering Event resulted in the issuance of 2,500,000 shares of the Company’s Class A Common Stock and an increase in the Company’s Common stock and Additional paid-in capital accounts of $18.3 million, with a corresponding decrease to the Common stock contingent consideration account. See Note 21</w:t>
      </w:r>
      <w:r>
        <w:rPr>
          <w:rFonts w:ascii="Arial" w:cs="Arial" w:eastAsia="Arial" w:hAnsi="Arial"/>
          <w:sz w:val="12"/>
          <w:szCs w:val="12"/>
          <w:i w:val="1"/>
          <w:iCs w:val="1"/>
          <w:color w:val="auto"/>
        </w:rPr>
        <w:t>, Subsequent Events</w:t>
      </w:r>
      <w:r>
        <w:rPr>
          <w:rFonts w:ascii="Arial" w:cs="Arial" w:eastAsia="Arial" w:hAnsi="Arial"/>
          <w:sz w:val="12"/>
          <w:szCs w:val="12"/>
          <w:color w:val="auto"/>
        </w:rPr>
        <w:t>, for information on the issuance of the second tranche of Earn-Out Shares.</w:t>
      </w:r>
    </w:p>
    <w:p>
      <w:pPr>
        <w:spacing w:after="0" w:line="19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Platinum Stockholder Secondary Offerings</w:t>
      </w:r>
    </w:p>
    <w:p>
      <w:pPr>
        <w:spacing w:after="0" w:line="78" w:lineRule="exact"/>
        <w:rPr>
          <w:sz w:val="20"/>
          <w:szCs w:val="20"/>
          <w:color w:val="auto"/>
        </w:rPr>
      </w:pPr>
    </w:p>
    <w:p>
      <w:pPr>
        <w:ind w:right="120" w:firstLine="602"/>
        <w:spacing w:after="0" w:line="263" w:lineRule="auto"/>
        <w:rPr>
          <w:sz w:val="20"/>
          <w:szCs w:val="20"/>
          <w:color w:val="auto"/>
        </w:rPr>
      </w:pPr>
      <w:r>
        <w:rPr>
          <w:rFonts w:ascii="Arial" w:cs="Arial" w:eastAsia="Arial" w:hAnsi="Arial"/>
          <w:sz w:val="12"/>
          <w:szCs w:val="12"/>
          <w:color w:val="auto"/>
        </w:rPr>
        <w:t>On June 10, 2019, the Platinum Stockholder sold 15,000,000 shares of the Company’s Class A Common Stock in a secondary offering. On July 8, 2019, the underwriters of the secondary offering fully exercised the overallotment option granted at the time of the secondary offering to purchase an additional 2,250,000 shares of the Company’s Class A Common Stock at the secondary offering price of $12.50 per share, less underwriting discounts and commissions, from the Platinum Stockholder.</w:t>
      </w:r>
    </w:p>
    <w:p>
      <w:pPr>
        <w:spacing w:after="0" w:line="123" w:lineRule="exact"/>
        <w:rPr>
          <w:sz w:val="20"/>
          <w:szCs w:val="20"/>
          <w:color w:val="auto"/>
        </w:rPr>
      </w:pPr>
    </w:p>
    <w:p>
      <w:pPr>
        <w:ind w:right="40" w:firstLine="602"/>
        <w:spacing w:after="0" w:line="263" w:lineRule="auto"/>
        <w:rPr>
          <w:sz w:val="20"/>
          <w:szCs w:val="20"/>
          <w:color w:val="auto"/>
        </w:rPr>
      </w:pPr>
      <w:r>
        <w:rPr>
          <w:rFonts w:ascii="Arial" w:cs="Arial" w:eastAsia="Arial" w:hAnsi="Arial"/>
          <w:sz w:val="12"/>
          <w:szCs w:val="12"/>
          <w:color w:val="auto"/>
        </w:rPr>
        <w:t>On November 18, 2019, the Platinum Stockholder sold 17,250,000 shares of the Company’s Class A Common Stock in a secondary offering at a price per share of $14.10. The offering consisted of an initial 15,000,000 shares, along with an additional 2,250,000 shares purchased pursuant to the underwriter’s exercise in full of an overallotment option granted by the Platinum Stockholder. The Company received no proceeds from either secondary offering conducted by the Platinum Stockholder during 2019.</w:t>
      </w:r>
    </w:p>
    <w:p>
      <w:pPr>
        <w:spacing w:after="0" w:line="123" w:lineRule="exact"/>
        <w:rPr>
          <w:sz w:val="20"/>
          <w:szCs w:val="20"/>
          <w:color w:val="auto"/>
        </w:rPr>
      </w:pPr>
    </w:p>
    <w:p>
      <w:pPr>
        <w:ind w:firstLine="602"/>
        <w:spacing w:after="0" w:line="259" w:lineRule="auto"/>
        <w:rPr>
          <w:sz w:val="20"/>
          <w:szCs w:val="20"/>
          <w:color w:val="auto"/>
        </w:rPr>
      </w:pPr>
      <w:r>
        <w:rPr>
          <w:rFonts w:ascii="Arial" w:cs="Arial" w:eastAsia="Arial" w:hAnsi="Arial"/>
          <w:sz w:val="12"/>
          <w:szCs w:val="12"/>
          <w:color w:val="auto"/>
        </w:rPr>
        <w:t>The Company incurred $1.7 million in expenses related to the secondary offerings, consisting of various registration, filing and professional services fees, which were included in the Selling, general and administrative expenses in the consolidated statements of operations. Specifically, pursuant to the Amended and Restated Registration Rights Agreement dated as of October 17, 2018, the Company was required to pay, among other things, all registration and filing fees, reasonable fees and expenses of legal counsel for the Platinum Stockholder, and road show and marketing expenses. After giving effect to both secondary offerings and exercises of the overallotment options, the Platinum Stockholder held approximately 13.7% of the Company’s outstanding Class A Common Stock.</w:t>
      </w:r>
    </w:p>
    <w:p>
      <w:pPr>
        <w:spacing w:after="0" w:line="21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Advisory Services Agreement</w:t>
      </w:r>
    </w:p>
    <w:p>
      <w:pPr>
        <w:spacing w:after="0" w:line="78" w:lineRule="exact"/>
        <w:rPr>
          <w:sz w:val="20"/>
          <w:szCs w:val="20"/>
          <w:color w:val="auto"/>
        </w:rPr>
      </w:pPr>
    </w:p>
    <w:p>
      <w:pPr>
        <w:jc w:val="both"/>
        <w:ind w:right="40" w:firstLine="602"/>
        <w:spacing w:after="0" w:line="298" w:lineRule="auto"/>
        <w:rPr>
          <w:sz w:val="20"/>
          <w:szCs w:val="20"/>
          <w:color w:val="auto"/>
        </w:rPr>
      </w:pPr>
      <w:r>
        <w:rPr>
          <w:rFonts w:ascii="Arial" w:cs="Arial" w:eastAsia="Arial" w:hAnsi="Arial"/>
          <w:sz w:val="11"/>
          <w:szCs w:val="11"/>
          <w:color w:val="auto"/>
        </w:rPr>
        <w:t>The Company had a corporate advisory services agreement with Advisors whereby the Company paid a management fee for services and related expenses incurred by Advisors in the provision of those services. The Company paid $4.2 million and $5.4 million in management fees for the 2017 Successor Period and fiscal year 2018, respectively. The Company paid $9.7 million related to the provision of acquisition related services and $2.8 million related to the provision of debt financing related services during fiscal year 2018. The agreement was terminated effective October 17, 2018 in connection with the Business Combination.</w:t>
      </w:r>
    </w:p>
    <w:p>
      <w:pPr>
        <w:spacing w:after="0" w:line="132" w:lineRule="exact"/>
        <w:rPr>
          <w:sz w:val="20"/>
          <w:szCs w:val="20"/>
          <w:color w:val="auto"/>
        </w:rPr>
      </w:pPr>
    </w:p>
    <w:p>
      <w:pPr>
        <w:jc w:val="both"/>
        <w:ind w:right="40" w:firstLine="602"/>
        <w:spacing w:after="0" w:line="380" w:lineRule="auto"/>
        <w:rPr>
          <w:sz w:val="20"/>
          <w:szCs w:val="20"/>
          <w:color w:val="auto"/>
        </w:rPr>
      </w:pPr>
      <w:r>
        <w:rPr>
          <w:rFonts w:ascii="Arial" w:cs="Arial" w:eastAsia="Arial" w:hAnsi="Arial"/>
          <w:sz w:val="10"/>
          <w:szCs w:val="10"/>
          <w:color w:val="auto"/>
        </w:rPr>
        <w:t>On January 7, 2019, the Company entered into a new corporate advisory services agreement with Advisors to provide certain transactional and corporate advisory services to the Company as mutually agreed by the parties. No fees are payable under the agreement, but the Company must reimburse Advisors for its out-of-pocket expenses incurred in connection with services rendered. There were no significant payments made during fiscal year 2019.</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17740" cy="3683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ectPr>
          <w:pgSz w:w="11900" w:h="16838" w:orient="portrait"/>
          <w:cols w:equalWidth="0" w:num="1">
            <w:col w:w="11460"/>
          </w:cols>
          <w:pgMar w:left="220" w:top="302" w:right="219" w:bottom="1440" w:gutter="0" w:footer="0" w:header="0"/>
        </w:sectPr>
      </w:pPr>
    </w:p>
    <w:bookmarkStart w:id="100" w:name="page101"/>
    <w:bookmarkEnd w:id="100"/>
    <w:p>
      <w:pPr>
        <w:ind w:left="588" w:hanging="588"/>
        <w:spacing w:after="0"/>
        <w:tabs>
          <w:tab w:leader="none" w:pos="588" w:val="left"/>
        </w:tabs>
        <w:numPr>
          <w:ilvl w:val="0"/>
          <w:numId w:val="39"/>
        </w:numPr>
        <w:rPr>
          <w:rFonts w:ascii="Arial" w:cs="Arial" w:eastAsia="Arial" w:hAnsi="Arial"/>
          <w:sz w:val="12"/>
          <w:szCs w:val="12"/>
          <w:b w:val="1"/>
          <w:bCs w:val="1"/>
          <w:color w:val="auto"/>
        </w:rPr>
      </w:pPr>
      <w:r>
        <w:rPr>
          <w:rFonts w:ascii="Arial" w:cs="Arial" w:eastAsia="Arial" w:hAnsi="Arial"/>
          <w:sz w:val="12"/>
          <w:szCs w:val="12"/>
          <w:b w:val="1"/>
          <w:bCs w:val="1"/>
          <w:color w:val="auto"/>
        </w:rPr>
        <w:t>Commitments and Contingencies</w:t>
      </w:r>
    </w:p>
    <w:p>
      <w:pPr>
        <w:spacing w:after="0" w:line="82" w:lineRule="exact"/>
        <w:rPr>
          <w:rFonts w:ascii="Arial" w:cs="Arial" w:eastAsia="Arial" w:hAnsi="Arial"/>
          <w:sz w:val="12"/>
          <w:szCs w:val="12"/>
          <w:b w:val="1"/>
          <w:bCs w:val="1"/>
          <w:color w:val="auto"/>
        </w:rPr>
      </w:pPr>
    </w:p>
    <w:p>
      <w:pPr>
        <w:ind w:left="608" w:right="220"/>
        <w:spacing w:after="0" w:line="546" w:lineRule="auto"/>
        <w:rPr>
          <w:rFonts w:ascii="Arial" w:cs="Arial" w:eastAsia="Arial" w:hAnsi="Arial"/>
          <w:sz w:val="12"/>
          <w:szCs w:val="12"/>
          <w:b w:val="1"/>
          <w:bCs w:val="1"/>
          <w:color w:val="auto"/>
        </w:rPr>
      </w:pPr>
      <w:r>
        <w:rPr>
          <w:rFonts w:ascii="Arial" w:cs="Arial" w:eastAsia="Arial" w:hAnsi="Arial"/>
          <w:sz w:val="11"/>
          <w:szCs w:val="11"/>
          <w:color w:val="auto"/>
        </w:rPr>
        <w:t>The Company has issued various letters of credit under contractual arrangements with certain of its vendors and customers. Outstanding letters of credit under these arrangements totaled $0.1 million at December 31, 2019. The Company has non-cancelable purchase commitments to certain vendors. The aggregate non-cancelable purchase commitments outstanding at December 31, 2019 were $29.3 million.</w:t>
      </w:r>
    </w:p>
    <w:p>
      <w:pPr>
        <w:ind w:left="608"/>
        <w:spacing w:after="0"/>
        <w:rPr>
          <w:rFonts w:ascii="Arial" w:cs="Arial" w:eastAsia="Arial" w:hAnsi="Arial"/>
          <w:sz w:val="12"/>
          <w:szCs w:val="12"/>
          <w:b w:val="1"/>
          <w:bCs w:val="1"/>
          <w:color w:val="auto"/>
        </w:rPr>
      </w:pPr>
      <w:r>
        <w:rPr>
          <w:rFonts w:ascii="Arial" w:cs="Arial" w:eastAsia="Arial" w:hAnsi="Arial"/>
          <w:sz w:val="12"/>
          <w:szCs w:val="12"/>
          <w:color w:val="auto"/>
        </w:rPr>
        <w:t>The Company is subject to tax audits in the normal course of business and does not have material contingencies recorded related to such audits.</w:t>
      </w:r>
    </w:p>
    <w:p>
      <w:pPr>
        <w:spacing w:after="0" w:line="222"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Legal Proceedings</w:t>
      </w:r>
    </w:p>
    <w:p>
      <w:pPr>
        <w:spacing w:after="0" w:line="78" w:lineRule="exact"/>
        <w:rPr>
          <w:sz w:val="20"/>
          <w:szCs w:val="20"/>
          <w:color w:val="auto"/>
        </w:rPr>
      </w:pPr>
    </w:p>
    <w:p>
      <w:pPr>
        <w:ind w:left="8" w:firstLine="602"/>
        <w:spacing w:after="0" w:line="259" w:lineRule="auto"/>
        <w:rPr>
          <w:sz w:val="20"/>
          <w:szCs w:val="20"/>
          <w:color w:val="auto"/>
        </w:rPr>
      </w:pPr>
      <w:r>
        <w:rPr>
          <w:rFonts w:ascii="Arial" w:cs="Arial" w:eastAsia="Arial" w:hAnsi="Arial"/>
          <w:sz w:val="12"/>
          <w:szCs w:val="12"/>
          <w:color w:val="auto"/>
        </w:rPr>
        <w:t>The Company is subject to legal and regulatory actions that arise from time to time in the ordinary course of business. The Company records a liability when it believes it is probable a loss will be incurred and the amount of loss or range of loss can be reasonably estimated. The assessment as to whether a loss is probable, reasonably possible or remote, and as to whether a loss or a range of such loss is estimable, often involves significant judgment about future events. The Company has determined that resolution of pending matters is not probable to have a material adverse impact on its consolidated results of operations, cash flows, or financial position. However, the outcome of litigation is inherently uncertain.</w:t>
      </w:r>
    </w:p>
    <w:p>
      <w:pPr>
        <w:spacing w:after="0" w:line="220" w:lineRule="exact"/>
        <w:rPr>
          <w:sz w:val="20"/>
          <w:szCs w:val="20"/>
          <w:color w:val="auto"/>
        </w:rPr>
      </w:pPr>
    </w:p>
    <w:p>
      <w:pPr>
        <w:ind w:left="588" w:hanging="588"/>
        <w:spacing w:after="0"/>
        <w:tabs>
          <w:tab w:leader="none" w:pos="588" w:val="left"/>
        </w:tabs>
        <w:numPr>
          <w:ilvl w:val="0"/>
          <w:numId w:val="40"/>
        </w:numPr>
        <w:rPr>
          <w:rFonts w:ascii="Arial" w:cs="Arial" w:eastAsia="Arial" w:hAnsi="Arial"/>
          <w:sz w:val="12"/>
          <w:szCs w:val="12"/>
          <w:b w:val="1"/>
          <w:bCs w:val="1"/>
          <w:color w:val="auto"/>
        </w:rPr>
      </w:pPr>
      <w:r>
        <w:rPr>
          <w:rFonts w:ascii="Arial" w:cs="Arial" w:eastAsia="Arial" w:hAnsi="Arial"/>
          <w:sz w:val="12"/>
          <w:szCs w:val="12"/>
          <w:b w:val="1"/>
          <w:bCs w:val="1"/>
          <w:color w:val="auto"/>
        </w:rPr>
        <w:t>Segment Reporting</w:t>
      </w:r>
    </w:p>
    <w:p>
      <w:pPr>
        <w:spacing w:after="0" w:line="82" w:lineRule="exact"/>
        <w:rPr>
          <w:sz w:val="20"/>
          <w:szCs w:val="20"/>
          <w:color w:val="auto"/>
        </w:rPr>
      </w:pPr>
    </w:p>
    <w:p>
      <w:pPr>
        <w:ind w:left="8" w:firstLine="602"/>
        <w:spacing w:after="0" w:line="259" w:lineRule="auto"/>
        <w:rPr>
          <w:sz w:val="20"/>
          <w:szCs w:val="20"/>
          <w:color w:val="auto"/>
        </w:rPr>
      </w:pPr>
      <w:r>
        <w:rPr>
          <w:rFonts w:ascii="Arial" w:cs="Arial" w:eastAsia="Arial" w:hAnsi="Arial"/>
          <w:sz w:val="12"/>
          <w:szCs w:val="12"/>
          <w:color w:val="auto"/>
        </w:rPr>
        <w:t>The Company has two operating and reportable segments, Commercial Services and Government Solutions. Commercial Services offers toll and violation management solutions and title and registration services to commercial fleet vehicle owners, rental car companies and violation issuing authorities. Government Solutions implements and administers traffic safety programs and products for municipalities and local government agencies of all sizes. The Company’s Chief Operating Decision Maker function (“</w:t>
      </w:r>
      <w:r>
        <w:rPr>
          <w:rFonts w:ascii="Arial" w:cs="Arial" w:eastAsia="Arial" w:hAnsi="Arial"/>
          <w:sz w:val="12"/>
          <w:szCs w:val="12"/>
          <w:b w:val="1"/>
          <w:bCs w:val="1"/>
          <w:i w:val="1"/>
          <w:iCs w:val="1"/>
          <w:color w:val="auto"/>
        </w:rPr>
        <w:t>CODM</w:t>
      </w:r>
      <w:r>
        <w:rPr>
          <w:rFonts w:ascii="Arial" w:cs="Arial" w:eastAsia="Arial" w:hAnsi="Arial"/>
          <w:sz w:val="12"/>
          <w:szCs w:val="12"/>
          <w:color w:val="auto"/>
        </w:rPr>
        <w:t>”) is comprised of the Company’s CEO and certain defined representatives of the Company’s executive management team. The Company’s CODM monitors operating performance, allocates resources and deploys capital based on these two segments.</w:t>
      </w:r>
    </w:p>
    <w:p>
      <w:pPr>
        <w:spacing w:after="0" w:line="125" w:lineRule="exact"/>
        <w:rPr>
          <w:sz w:val="20"/>
          <w:szCs w:val="20"/>
          <w:color w:val="auto"/>
        </w:rPr>
      </w:pPr>
    </w:p>
    <w:p>
      <w:pPr>
        <w:ind w:left="8" w:firstLine="602"/>
        <w:spacing w:after="0" w:line="290" w:lineRule="auto"/>
        <w:rPr>
          <w:sz w:val="20"/>
          <w:szCs w:val="20"/>
          <w:color w:val="auto"/>
        </w:rPr>
      </w:pPr>
      <w:r>
        <w:rPr>
          <w:rFonts w:ascii="Arial" w:cs="Arial" w:eastAsia="Arial" w:hAnsi="Arial"/>
          <w:sz w:val="11"/>
          <w:szCs w:val="11"/>
          <w:color w:val="auto"/>
        </w:rPr>
        <w:t>Segment performance is based on revenues and income (loss) from operations before depreciation, amortization, gain (loss) on disposal of assets, net, impairment of property and equipment, and stock-based compensation. The measure also excludes interest expense, net, loss on extinguishment of debt, income taxes and is inclusive of other income, net. The tables below refer to this measure as Segment profit (loss). The aforementioned items are not indicative of operating performance, and, as a result are not included in the measures that are reviewed by the CODM for the operating and reportable segments. Other income, net consists primarily of credit card rebates earned on the prepayment of tolling violations and is therefore included in Segment profit (loss). There are no significant non-cash items reported in Segment profit (loss).</w:t>
      </w:r>
    </w:p>
    <w:p>
      <w:pPr>
        <w:spacing w:after="0" w:line="109" w:lineRule="exact"/>
        <w:rPr>
          <w:sz w:val="20"/>
          <w:szCs w:val="20"/>
          <w:color w:val="auto"/>
        </w:rPr>
      </w:pPr>
    </w:p>
    <w:p>
      <w:pPr>
        <w:ind w:left="8" w:right="400" w:firstLine="602"/>
        <w:spacing w:after="0" w:line="263" w:lineRule="auto"/>
        <w:rPr>
          <w:sz w:val="20"/>
          <w:szCs w:val="20"/>
          <w:color w:val="auto"/>
        </w:rPr>
      </w:pPr>
      <w:r>
        <w:rPr>
          <w:rFonts w:ascii="Arial" w:cs="Arial" w:eastAsia="Arial" w:hAnsi="Arial"/>
          <w:sz w:val="12"/>
          <w:szCs w:val="12"/>
          <w:color w:val="auto"/>
        </w:rPr>
        <w:t>The Company allocates certain corporate expenses to the two segments. The corporate expenses are allocated using several different factors depending on the item being allocated. These factors range from specific identification to headcount based to split proportionately between the two operating and reportable segments. The Corporate and other columns below include all of the items above that are not included in Segment profit (loss) plus transaction expenses, fees to Advisors and other items designated by the CODM as corporate initiatives.</w:t>
      </w:r>
    </w:p>
    <w:p>
      <w:pPr>
        <w:spacing w:after="0" w:line="123" w:lineRule="exact"/>
        <w:rPr>
          <w:sz w:val="20"/>
          <w:szCs w:val="20"/>
          <w:color w:val="auto"/>
        </w:rPr>
      </w:pPr>
    </w:p>
    <w:p>
      <w:pPr>
        <w:ind w:left="8" w:right="180" w:firstLine="602"/>
        <w:spacing w:after="0" w:line="380" w:lineRule="auto"/>
        <w:rPr>
          <w:sz w:val="20"/>
          <w:szCs w:val="20"/>
          <w:color w:val="auto"/>
        </w:rPr>
      </w:pPr>
      <w:r>
        <w:rPr>
          <w:rFonts w:ascii="Arial" w:cs="Arial" w:eastAsia="Arial" w:hAnsi="Arial"/>
          <w:sz w:val="10"/>
          <w:szCs w:val="10"/>
          <w:color w:val="auto"/>
        </w:rPr>
        <w:t xml:space="preserve">The Company does not disaggregate assets by segment other than equipment installed at customer sites and automobiles, which had carrying values of $46.6 million and $1.5 million, respectively, at December 31, 2019 and carrying values of $46.8 million and $0.8 million, respectively, at December 31, 2018 all of which relate solely to the Government Solutions segment. Refer to Note 6, </w:t>
      </w:r>
      <w:r>
        <w:rPr>
          <w:rFonts w:ascii="Arial" w:cs="Arial" w:eastAsia="Arial" w:hAnsi="Arial"/>
          <w:sz w:val="10"/>
          <w:szCs w:val="10"/>
          <w:i w:val="1"/>
          <w:iCs w:val="1"/>
          <w:color w:val="auto"/>
        </w:rPr>
        <w:t>Goodwill and Intangible Assets</w:t>
      </w:r>
      <w:r>
        <w:rPr>
          <w:rFonts w:ascii="Arial" w:cs="Arial" w:eastAsia="Arial" w:hAnsi="Arial"/>
          <w:sz w:val="10"/>
          <w:szCs w:val="10"/>
          <w:color w:val="auto"/>
        </w:rPr>
        <w:t xml:space="preserve"> for goodwill balances by segment.</w:t>
      </w:r>
    </w:p>
    <w:p>
      <w:pPr>
        <w:spacing w:after="0" w:line="68" w:lineRule="exact"/>
        <w:rPr>
          <w:sz w:val="20"/>
          <w:szCs w:val="20"/>
          <w:color w:val="auto"/>
        </w:rPr>
      </w:pPr>
    </w:p>
    <w:p>
      <w:pPr>
        <w:jc w:val="center"/>
        <w:ind w:right="-27"/>
        <w:spacing w:after="0"/>
        <w:rPr>
          <w:sz w:val="20"/>
          <w:szCs w:val="20"/>
          <w:color w:val="auto"/>
        </w:rPr>
      </w:pPr>
      <w:r>
        <w:rPr>
          <w:rFonts w:ascii="Arial" w:cs="Arial" w:eastAsia="Arial" w:hAnsi="Arial"/>
          <w:sz w:val="12"/>
          <w:szCs w:val="12"/>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42545</wp:posOffset>
            </wp:positionV>
            <wp:extent cx="7317740" cy="3683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ectPr>
          <w:pgSz w:w="11900" w:h="16838" w:orient="portrait"/>
          <w:cols w:equalWidth="0" w:num="1">
            <w:col w:w="11468"/>
          </w:cols>
          <w:pgMar w:left="212" w:top="370" w:right="219" w:bottom="1440" w:gutter="0" w:footer="0" w:header="0"/>
        </w:sectPr>
      </w:pPr>
    </w:p>
    <w:bookmarkStart w:id="101" w:name="page102"/>
    <w:bookmarkEnd w:id="101"/>
    <w:p>
      <w:pPr>
        <w:ind w:left="600"/>
        <w:spacing w:after="0"/>
        <w:rPr>
          <w:sz w:val="20"/>
          <w:szCs w:val="20"/>
          <w:color w:val="auto"/>
        </w:rPr>
      </w:pPr>
      <w:r>
        <w:rPr>
          <w:rFonts w:ascii="Arial" w:cs="Arial" w:eastAsia="Arial" w:hAnsi="Arial"/>
          <w:sz w:val="12"/>
          <w:szCs w:val="12"/>
          <w:color w:val="auto"/>
        </w:rPr>
        <w:t>The following tables set forth financial information by segment for the years ended December 31, 2019 and 2018, the 2017 Successor Period and the 2017 Predecessor Period:</w:t>
      </w:r>
    </w:p>
    <w:p>
      <w:pPr>
        <w:spacing w:after="0" w:line="22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Successor</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40" w:type="dxa"/>
            <w:vAlign w:val="bottom"/>
          </w:tcPr>
          <w:p>
            <w:pPr>
              <w:spacing w:after="0"/>
              <w:rPr>
                <w:sz w:val="10"/>
                <w:szCs w:val="10"/>
                <w:color w:val="auto"/>
              </w:rPr>
            </w:pPr>
          </w:p>
        </w:tc>
        <w:tc>
          <w:tcPr>
            <w:tcW w:w="324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2900" w:type="dxa"/>
            <w:vAlign w:val="bottom"/>
            <w:tcBorders>
              <w:bottom w:val="single" w:sz="8" w:color="auto"/>
            </w:tcBorders>
            <w:gridSpan w:val="6"/>
          </w:tcPr>
          <w:p>
            <w:pPr>
              <w:jc w:val="right"/>
              <w:ind w:right="860"/>
              <w:spacing w:after="0"/>
              <w:rPr>
                <w:sz w:val="20"/>
                <w:szCs w:val="20"/>
                <w:color w:val="auto"/>
              </w:rPr>
            </w:pPr>
            <w:r>
              <w:rPr>
                <w:rFonts w:ascii="Arial" w:cs="Arial" w:eastAsia="Arial" w:hAnsi="Arial"/>
                <w:sz w:val="10"/>
                <w:szCs w:val="10"/>
                <w:b w:val="1"/>
                <w:bCs w:val="1"/>
                <w:color w:val="auto"/>
              </w:rPr>
              <w:t>For the Year Ended December 31, 2019</w:t>
            </w:r>
          </w:p>
        </w:tc>
        <w:tc>
          <w:tcPr>
            <w:tcW w:w="2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640" w:type="dxa"/>
            <w:vAlign w:val="bottom"/>
          </w:tcPr>
          <w:p>
            <w:pPr>
              <w:spacing w:after="0"/>
              <w:rPr>
                <w:sz w:val="7"/>
                <w:szCs w:val="7"/>
                <w:color w:val="auto"/>
              </w:rPr>
            </w:pPr>
          </w:p>
        </w:tc>
        <w:tc>
          <w:tcPr>
            <w:tcW w:w="3240" w:type="dxa"/>
            <w:vAlign w:val="bottom"/>
          </w:tcPr>
          <w:p>
            <w:pPr>
              <w:spacing w:after="0"/>
              <w:rPr>
                <w:sz w:val="7"/>
                <w:szCs w:val="7"/>
                <w:color w:val="auto"/>
              </w:rPr>
            </w:pPr>
          </w:p>
        </w:tc>
        <w:tc>
          <w:tcPr>
            <w:tcW w:w="17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00" w:type="dxa"/>
            <w:vAlign w:val="bottom"/>
            <w:gridSpan w:val="2"/>
          </w:tcPr>
          <w:p>
            <w:pPr>
              <w:jc w:val="center"/>
              <w:ind w:right="540"/>
              <w:spacing w:after="0" w:line="92" w:lineRule="exact"/>
              <w:rPr>
                <w:sz w:val="20"/>
                <w:szCs w:val="20"/>
                <w:color w:val="auto"/>
              </w:rPr>
            </w:pPr>
            <w:r>
              <w:rPr>
                <w:rFonts w:ascii="Arial" w:cs="Arial" w:eastAsia="Arial" w:hAnsi="Arial"/>
                <w:sz w:val="10"/>
                <w:szCs w:val="10"/>
                <w:b w:val="1"/>
                <w:bCs w:val="1"/>
                <w:color w:val="auto"/>
                <w:w w:val="87"/>
              </w:rPr>
              <w:t>Commercial</w:t>
            </w:r>
          </w:p>
        </w:tc>
        <w:tc>
          <w:tcPr>
            <w:tcW w:w="180" w:type="dxa"/>
            <w:vAlign w:val="bottom"/>
          </w:tcPr>
          <w:p>
            <w:pPr>
              <w:spacing w:after="0"/>
              <w:rPr>
                <w:sz w:val="7"/>
                <w:szCs w:val="7"/>
                <w:color w:val="auto"/>
              </w:rPr>
            </w:pPr>
          </w:p>
        </w:tc>
        <w:tc>
          <w:tcPr>
            <w:tcW w:w="1120" w:type="dxa"/>
            <w:vAlign w:val="bottom"/>
            <w:gridSpan w:val="2"/>
          </w:tcPr>
          <w:p>
            <w:pPr>
              <w:jc w:val="center"/>
              <w:ind w:right="360"/>
              <w:spacing w:after="0" w:line="92" w:lineRule="exact"/>
              <w:rPr>
                <w:sz w:val="20"/>
                <w:szCs w:val="20"/>
                <w:color w:val="auto"/>
              </w:rPr>
            </w:pPr>
            <w:r>
              <w:rPr>
                <w:rFonts w:ascii="Arial" w:cs="Arial" w:eastAsia="Arial" w:hAnsi="Arial"/>
                <w:sz w:val="10"/>
                <w:szCs w:val="10"/>
                <w:b w:val="1"/>
                <w:bCs w:val="1"/>
                <w:color w:val="auto"/>
                <w:w w:val="88"/>
              </w:rPr>
              <w:t>Government</w:t>
            </w:r>
          </w:p>
        </w:tc>
        <w:tc>
          <w:tcPr>
            <w:tcW w:w="1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400" w:type="dxa"/>
            <w:vAlign w:val="bottom"/>
            <w:gridSpan w:val="2"/>
          </w:tcPr>
          <w:p>
            <w:pPr>
              <w:ind w:left="200"/>
              <w:spacing w:after="0" w:line="92" w:lineRule="exact"/>
              <w:rPr>
                <w:sz w:val="20"/>
                <w:szCs w:val="20"/>
                <w:color w:val="auto"/>
              </w:rPr>
            </w:pPr>
            <w:r>
              <w:rPr>
                <w:rFonts w:ascii="Arial" w:cs="Arial" w:eastAsia="Arial" w:hAnsi="Arial"/>
                <w:sz w:val="10"/>
                <w:szCs w:val="10"/>
                <w:b w:val="1"/>
                <w:bCs w:val="1"/>
                <w:color w:val="auto"/>
              </w:rPr>
              <w:t>Corporate</w:t>
            </w:r>
          </w:p>
        </w:tc>
        <w:tc>
          <w:tcPr>
            <w:tcW w:w="28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5"/>
        </w:trPr>
        <w:tc>
          <w:tcPr>
            <w:tcW w:w="3880" w:type="dxa"/>
            <w:vAlign w:val="bottom"/>
            <w:gridSpan w:val="2"/>
          </w:tcPr>
          <w:p>
            <w:pPr>
              <w:spacing w:after="0" w:line="105" w:lineRule="exact"/>
              <w:rPr>
                <w:sz w:val="20"/>
                <w:szCs w:val="20"/>
                <w:color w:val="auto"/>
              </w:rPr>
            </w:pPr>
            <w:r>
              <w:rPr>
                <w:rFonts w:ascii="Arial" w:cs="Arial" w:eastAsia="Arial" w:hAnsi="Arial"/>
                <w:sz w:val="10"/>
                <w:szCs w:val="10"/>
                <w:b w:val="1"/>
                <w:bCs w:val="1"/>
                <w:u w:val="single" w:color="auto"/>
                <w:color w:val="auto"/>
              </w:rPr>
              <w:t>(</w:t>
            </w:r>
            <w:r>
              <w:rPr>
                <w:rFonts w:ascii="Arial" w:cs="Arial" w:eastAsia="Arial" w:hAnsi="Arial"/>
                <w:sz w:val="10"/>
                <w:szCs w:val="10"/>
                <w:b w:val="1"/>
                <w:bCs w:val="1"/>
                <w:color w:val="auto"/>
              </w:rPr>
              <w:t>$ in thousands)</w:t>
            </w:r>
          </w:p>
        </w:tc>
        <w:tc>
          <w:tcPr>
            <w:tcW w:w="17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0" w:type="dxa"/>
            <w:vAlign w:val="bottom"/>
            <w:gridSpan w:val="2"/>
          </w:tcPr>
          <w:p>
            <w:pPr>
              <w:jc w:val="center"/>
              <w:ind w:right="540"/>
              <w:spacing w:after="0" w:line="105" w:lineRule="exact"/>
              <w:rPr>
                <w:sz w:val="20"/>
                <w:szCs w:val="20"/>
                <w:color w:val="auto"/>
              </w:rPr>
            </w:pPr>
            <w:r>
              <w:rPr>
                <w:rFonts w:ascii="Arial" w:cs="Arial" w:eastAsia="Arial" w:hAnsi="Arial"/>
                <w:sz w:val="10"/>
                <w:szCs w:val="10"/>
                <w:b w:val="1"/>
                <w:bCs w:val="1"/>
                <w:color w:val="auto"/>
                <w:w w:val="82"/>
              </w:rPr>
              <w:t>Services</w:t>
            </w:r>
          </w:p>
        </w:tc>
        <w:tc>
          <w:tcPr>
            <w:tcW w:w="180" w:type="dxa"/>
            <w:vAlign w:val="bottom"/>
          </w:tcPr>
          <w:p>
            <w:pPr>
              <w:spacing w:after="0"/>
              <w:rPr>
                <w:sz w:val="9"/>
                <w:szCs w:val="9"/>
                <w:color w:val="auto"/>
              </w:rPr>
            </w:pPr>
          </w:p>
        </w:tc>
        <w:tc>
          <w:tcPr>
            <w:tcW w:w="1120" w:type="dxa"/>
            <w:vAlign w:val="bottom"/>
            <w:gridSpan w:val="2"/>
          </w:tcPr>
          <w:p>
            <w:pPr>
              <w:jc w:val="center"/>
              <w:ind w:right="380"/>
              <w:spacing w:after="0" w:line="105" w:lineRule="exact"/>
              <w:rPr>
                <w:sz w:val="20"/>
                <w:szCs w:val="20"/>
                <w:color w:val="auto"/>
              </w:rPr>
            </w:pPr>
            <w:r>
              <w:rPr>
                <w:rFonts w:ascii="Arial" w:cs="Arial" w:eastAsia="Arial" w:hAnsi="Arial"/>
                <w:sz w:val="10"/>
                <w:szCs w:val="10"/>
                <w:b w:val="1"/>
                <w:bCs w:val="1"/>
                <w:color w:val="auto"/>
                <w:w w:val="83"/>
              </w:rPr>
              <w:t>Solutions</w:t>
            </w:r>
          </w:p>
        </w:tc>
        <w:tc>
          <w:tcPr>
            <w:tcW w:w="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0" w:type="dxa"/>
            <w:vAlign w:val="bottom"/>
            <w:gridSpan w:val="2"/>
          </w:tcPr>
          <w:p>
            <w:pPr>
              <w:ind w:left="200"/>
              <w:spacing w:after="0" w:line="105" w:lineRule="exact"/>
              <w:rPr>
                <w:sz w:val="20"/>
                <w:szCs w:val="20"/>
                <w:color w:val="auto"/>
              </w:rPr>
            </w:pPr>
            <w:r>
              <w:rPr>
                <w:rFonts w:ascii="Arial" w:cs="Arial" w:eastAsia="Arial" w:hAnsi="Arial"/>
                <w:sz w:val="10"/>
                <w:szCs w:val="10"/>
                <w:b w:val="1"/>
                <w:bCs w:val="1"/>
                <w:color w:val="auto"/>
              </w:rPr>
              <w:t>and Other</w:t>
            </w:r>
          </w:p>
        </w:tc>
        <w:tc>
          <w:tcPr>
            <w:tcW w:w="280" w:type="dxa"/>
            <w:vAlign w:val="bottom"/>
          </w:tcPr>
          <w:p>
            <w:pPr>
              <w:spacing w:after="0"/>
              <w:rPr>
                <w:sz w:val="9"/>
                <w:szCs w:val="9"/>
                <w:color w:val="auto"/>
              </w:rPr>
            </w:pPr>
          </w:p>
        </w:tc>
        <w:tc>
          <w:tcPr>
            <w:tcW w:w="1040" w:type="dxa"/>
            <w:vAlign w:val="bottom"/>
            <w:gridSpan w:val="2"/>
          </w:tcPr>
          <w:p>
            <w:pPr>
              <w:jc w:val="right"/>
              <w:ind w:right="620"/>
              <w:spacing w:after="0" w:line="105" w:lineRule="exact"/>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20"/>
        </w:trPr>
        <w:tc>
          <w:tcPr>
            <w:tcW w:w="640" w:type="dxa"/>
            <w:vAlign w:val="bottom"/>
            <w:tcBorders>
              <w:bottom w:val="single" w:sz="8" w:color="CFF0FC"/>
            </w:tcBorders>
            <w:shd w:val="clear" w:color="auto" w:fill="000000"/>
          </w:tcPr>
          <w:p>
            <w:pPr>
              <w:spacing w:after="0" w:line="20" w:lineRule="exact"/>
              <w:rPr>
                <w:sz w:val="1"/>
                <w:szCs w:val="1"/>
                <w:color w:val="auto"/>
              </w:rPr>
            </w:pPr>
          </w:p>
        </w:tc>
        <w:tc>
          <w:tcPr>
            <w:tcW w:w="3240" w:type="dxa"/>
            <w:vAlign w:val="bottom"/>
            <w:tcBorders>
              <w:bottom w:val="single" w:sz="8" w:color="CFF0FC"/>
            </w:tcBorders>
          </w:tcPr>
          <w:p>
            <w:pPr>
              <w:spacing w:after="0" w:line="20" w:lineRule="exact"/>
              <w:rPr>
                <w:sz w:val="1"/>
                <w:szCs w:val="1"/>
                <w:color w:val="auto"/>
              </w:rPr>
            </w:pPr>
          </w:p>
        </w:tc>
        <w:tc>
          <w:tcPr>
            <w:tcW w:w="1760" w:type="dxa"/>
            <w:vAlign w:val="bottom"/>
            <w:tcBorders>
              <w:bottom w:val="single" w:sz="8" w:color="CFF0FC"/>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FF0FC"/>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FF0FC"/>
            </w:tcBorders>
          </w:tcPr>
          <w:p>
            <w:pPr>
              <w:spacing w:after="0" w:line="20" w:lineRule="exact"/>
              <w:rPr>
                <w:sz w:val="1"/>
                <w:szCs w:val="1"/>
                <w:color w:val="auto"/>
              </w:rPr>
            </w:pPr>
          </w:p>
        </w:tc>
        <w:tc>
          <w:tcPr>
            <w:tcW w:w="140" w:type="dxa"/>
            <w:vAlign w:val="bottom"/>
            <w:tcBorders>
              <w:bottom w:val="single" w:sz="8" w:color="CFF0FC"/>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FF0FC"/>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3880" w:type="dxa"/>
            <w:vAlign w:val="bottom"/>
            <w:gridSpan w:val="2"/>
            <w:shd w:val="clear" w:color="auto" w:fill="CFF0FC"/>
          </w:tcPr>
          <w:p>
            <w:pPr>
              <w:spacing w:after="0" w:line="132" w:lineRule="exact"/>
              <w:rPr>
                <w:sz w:val="20"/>
                <w:szCs w:val="20"/>
                <w:color w:val="auto"/>
              </w:rPr>
            </w:pPr>
            <w:r>
              <w:rPr>
                <w:rFonts w:ascii="Arial" w:cs="Arial" w:eastAsia="Arial" w:hAnsi="Arial"/>
                <w:sz w:val="12"/>
                <w:szCs w:val="12"/>
                <w:color w:val="auto"/>
              </w:rPr>
              <w:t>Service revenue</w:t>
            </w:r>
          </w:p>
        </w:tc>
        <w:tc>
          <w:tcPr>
            <w:tcW w:w="2000" w:type="dxa"/>
            <w:vAlign w:val="bottom"/>
            <w:gridSpan w:val="2"/>
            <w:shd w:val="clear" w:color="auto" w:fill="CFF0FC"/>
          </w:tcPr>
          <w:p>
            <w:pPr>
              <w:ind w:left="1760"/>
              <w:spacing w:after="0" w:line="132" w:lineRule="exact"/>
              <w:rPr>
                <w:sz w:val="20"/>
                <w:szCs w:val="20"/>
                <w:color w:val="auto"/>
              </w:rPr>
            </w:pPr>
            <w:r>
              <w:rPr>
                <w:rFonts w:ascii="Arial" w:cs="Arial" w:eastAsia="Arial" w:hAnsi="Arial"/>
                <w:sz w:val="12"/>
                <w:szCs w:val="12"/>
                <w:color w:val="auto"/>
              </w:rPr>
              <w:t>$</w:t>
            </w:r>
          </w:p>
        </w:tc>
        <w:tc>
          <w:tcPr>
            <w:tcW w:w="900" w:type="dxa"/>
            <w:vAlign w:val="bottom"/>
            <w:shd w:val="clear" w:color="auto" w:fill="CFF0FC"/>
          </w:tcPr>
          <w:p>
            <w:pPr>
              <w:jc w:val="right"/>
              <w:spacing w:after="0" w:line="132" w:lineRule="exact"/>
              <w:rPr>
                <w:sz w:val="20"/>
                <w:szCs w:val="20"/>
                <w:color w:val="auto"/>
              </w:rPr>
            </w:pPr>
            <w:r>
              <w:rPr>
                <w:rFonts w:ascii="Arial" w:cs="Arial" w:eastAsia="Arial" w:hAnsi="Arial"/>
                <w:sz w:val="12"/>
                <w:szCs w:val="12"/>
                <w:color w:val="auto"/>
              </w:rPr>
              <w:t>276,479</w:t>
            </w:r>
          </w:p>
        </w:tc>
        <w:tc>
          <w:tcPr>
            <w:tcW w:w="3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line="132" w:lineRule="exact"/>
              <w:rPr>
                <w:sz w:val="20"/>
                <w:szCs w:val="20"/>
                <w:color w:val="auto"/>
              </w:rPr>
            </w:pPr>
            <w:r>
              <w:rPr>
                <w:rFonts w:ascii="Arial" w:cs="Arial" w:eastAsia="Arial" w:hAnsi="Arial"/>
                <w:sz w:val="12"/>
                <w:szCs w:val="12"/>
                <w:color w:val="auto"/>
              </w:rPr>
              <w:t>$</w:t>
            </w:r>
          </w:p>
        </w:tc>
        <w:tc>
          <w:tcPr>
            <w:tcW w:w="940" w:type="dxa"/>
            <w:vAlign w:val="bottom"/>
            <w:shd w:val="clear" w:color="auto" w:fill="CFF0FC"/>
          </w:tcPr>
          <w:p>
            <w:pPr>
              <w:jc w:val="right"/>
              <w:spacing w:after="0" w:line="132" w:lineRule="exact"/>
              <w:rPr>
                <w:sz w:val="20"/>
                <w:szCs w:val="20"/>
                <w:color w:val="auto"/>
              </w:rPr>
            </w:pPr>
            <w:r>
              <w:rPr>
                <w:rFonts w:ascii="Arial" w:cs="Arial" w:eastAsia="Arial" w:hAnsi="Arial"/>
                <w:sz w:val="12"/>
                <w:szCs w:val="12"/>
                <w:color w:val="auto"/>
              </w:rPr>
              <w:t>140,244</w:t>
            </w:r>
          </w:p>
        </w:tc>
        <w:tc>
          <w:tcPr>
            <w:tcW w:w="180" w:type="dxa"/>
            <w:vAlign w:val="bottom"/>
            <w:shd w:val="clear" w:color="auto" w:fill="CFF0FC"/>
          </w:tcPr>
          <w:p>
            <w:pPr>
              <w:spacing w:after="0"/>
              <w:rPr>
                <w:sz w:val="11"/>
                <w:szCs w:val="11"/>
                <w:color w:val="auto"/>
              </w:rPr>
            </w:pPr>
          </w:p>
        </w:tc>
        <w:tc>
          <w:tcPr>
            <w:tcW w:w="380" w:type="dxa"/>
            <w:vAlign w:val="bottom"/>
            <w:gridSpan w:val="2"/>
            <w:shd w:val="clear" w:color="auto" w:fill="CFF0FC"/>
          </w:tcPr>
          <w:p>
            <w:pPr>
              <w:jc w:val="right"/>
              <w:ind w:right="180"/>
              <w:spacing w:after="0" w:line="132" w:lineRule="exact"/>
              <w:rPr>
                <w:sz w:val="20"/>
                <w:szCs w:val="20"/>
                <w:color w:val="auto"/>
              </w:rPr>
            </w:pPr>
            <w:r>
              <w:rPr>
                <w:rFonts w:ascii="Arial" w:cs="Arial" w:eastAsia="Arial" w:hAnsi="Arial"/>
                <w:sz w:val="12"/>
                <w:szCs w:val="12"/>
                <w:color w:val="auto"/>
              </w:rPr>
              <w:t>$</w:t>
            </w:r>
          </w:p>
        </w:tc>
        <w:tc>
          <w:tcPr>
            <w:tcW w:w="1400" w:type="dxa"/>
            <w:vAlign w:val="bottom"/>
            <w:tcBorders>
              <w:right w:val="single" w:sz="8" w:color="CFF0FC"/>
            </w:tcBorders>
            <w:gridSpan w:val="2"/>
            <w:shd w:val="clear" w:color="auto" w:fill="CFF0FC"/>
          </w:tcPr>
          <w:p>
            <w:pPr>
              <w:jc w:val="right"/>
              <w:ind w:right="320"/>
              <w:spacing w:after="0" w:line="132" w:lineRule="exact"/>
              <w:rPr>
                <w:sz w:val="20"/>
                <w:szCs w:val="20"/>
                <w:color w:val="auto"/>
              </w:rPr>
            </w:pPr>
            <w:r>
              <w:rPr>
                <w:rFonts w:ascii="Arial" w:cs="Arial" w:eastAsia="Arial" w:hAnsi="Arial"/>
                <w:sz w:val="12"/>
                <w:szCs w:val="12"/>
                <w:color w:val="auto"/>
              </w:rPr>
              <w:t>—</w:t>
            </w:r>
          </w:p>
        </w:tc>
        <w:tc>
          <w:tcPr>
            <w:tcW w:w="280" w:type="dxa"/>
            <w:vAlign w:val="bottom"/>
            <w:shd w:val="clear" w:color="auto" w:fill="CFF0FC"/>
          </w:tcPr>
          <w:p>
            <w:pPr>
              <w:jc w:val="right"/>
              <w:ind w:right="182"/>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FF0FC"/>
          </w:tcPr>
          <w:p>
            <w:pPr>
              <w:jc w:val="right"/>
              <w:spacing w:after="0" w:line="132" w:lineRule="exact"/>
              <w:rPr>
                <w:sz w:val="20"/>
                <w:szCs w:val="20"/>
                <w:color w:val="auto"/>
              </w:rPr>
            </w:pPr>
            <w:r>
              <w:rPr>
                <w:rFonts w:ascii="Arial" w:cs="Arial" w:eastAsia="Arial" w:hAnsi="Arial"/>
                <w:sz w:val="12"/>
                <w:szCs w:val="12"/>
                <w:color w:val="auto"/>
              </w:rPr>
              <w:t>416,723</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880" w:type="dxa"/>
            <w:vAlign w:val="bottom"/>
            <w:tcBorders>
              <w:bottom w:val="single" w:sz="8" w:color="CFF0FC"/>
            </w:tcBorders>
            <w:gridSpan w:val="2"/>
          </w:tcPr>
          <w:p>
            <w:pPr>
              <w:spacing w:after="0"/>
              <w:rPr>
                <w:sz w:val="20"/>
                <w:szCs w:val="20"/>
                <w:color w:val="auto"/>
              </w:rPr>
            </w:pPr>
            <w:r>
              <w:rPr>
                <w:rFonts w:ascii="Arial" w:cs="Arial" w:eastAsia="Arial" w:hAnsi="Arial"/>
                <w:sz w:val="12"/>
                <w:szCs w:val="12"/>
                <w:color w:val="auto"/>
              </w:rPr>
              <w:t>Product sales</w:t>
            </w:r>
          </w:p>
        </w:tc>
        <w:tc>
          <w:tcPr>
            <w:tcW w:w="176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30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32,014</w:t>
            </w:r>
          </w:p>
        </w:tc>
        <w:tc>
          <w:tcPr>
            <w:tcW w:w="180" w:type="dxa"/>
            <w:vAlign w:val="bottom"/>
            <w:tcBorders>
              <w:bottom w:val="single" w:sz="8" w:color="CFF0FC"/>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32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32,014</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3880" w:type="dxa"/>
            <w:vAlign w:val="bottom"/>
            <w:gridSpan w:val="2"/>
            <w:shd w:val="clear" w:color="auto" w:fill="CFF0FC"/>
          </w:tcPr>
          <w:p>
            <w:pPr>
              <w:ind w:left="80"/>
              <w:spacing w:after="0"/>
              <w:rPr>
                <w:sz w:val="20"/>
                <w:szCs w:val="20"/>
                <w:color w:val="auto"/>
              </w:rPr>
            </w:pPr>
            <w:r>
              <w:rPr>
                <w:rFonts w:ascii="Arial" w:cs="Arial" w:eastAsia="Arial" w:hAnsi="Arial"/>
                <w:sz w:val="12"/>
                <w:szCs w:val="12"/>
                <w:color w:val="auto"/>
              </w:rPr>
              <w:t>Total revenue</w:t>
            </w:r>
          </w:p>
        </w:tc>
        <w:tc>
          <w:tcPr>
            <w:tcW w:w="17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276,479</w:t>
            </w:r>
          </w:p>
        </w:tc>
        <w:tc>
          <w:tcPr>
            <w:tcW w:w="3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172,258</w:t>
            </w:r>
          </w:p>
        </w:tc>
        <w:tc>
          <w:tcPr>
            <w:tcW w:w="180" w:type="dxa"/>
            <w:vAlign w:val="bottom"/>
            <w:shd w:val="clear" w:color="auto" w:fill="CFF0FC"/>
          </w:tcPr>
          <w:p>
            <w:pPr>
              <w:spacing w:after="0"/>
              <w:rPr>
                <w:sz w:val="12"/>
                <w:szCs w:val="12"/>
                <w:color w:val="auto"/>
              </w:rPr>
            </w:pPr>
          </w:p>
        </w:tc>
        <w:tc>
          <w:tcPr>
            <w:tcW w:w="140" w:type="dxa"/>
            <w:vAlign w:val="bottom"/>
            <w:tcBorders>
              <w:right w:val="single" w:sz="8" w:color="CFF0FC"/>
            </w:tcBorders>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400" w:type="dxa"/>
            <w:vAlign w:val="bottom"/>
            <w:tcBorders>
              <w:right w:val="single" w:sz="8" w:color="CFF0FC"/>
            </w:tcBorders>
            <w:gridSpan w:val="2"/>
            <w:shd w:val="clear" w:color="auto" w:fill="CFF0FC"/>
          </w:tcPr>
          <w:p>
            <w:pPr>
              <w:jc w:val="right"/>
              <w:ind w:right="320"/>
              <w:spacing w:after="0"/>
              <w:rPr>
                <w:sz w:val="20"/>
                <w:szCs w:val="20"/>
                <w:color w:val="auto"/>
              </w:rPr>
            </w:pPr>
            <w:r>
              <w:rPr>
                <w:rFonts w:ascii="Arial" w:cs="Arial" w:eastAsia="Arial" w:hAnsi="Arial"/>
                <w:sz w:val="12"/>
                <w:szCs w:val="12"/>
                <w:color w:val="auto"/>
              </w:rPr>
              <w:t>—</w:t>
            </w:r>
          </w:p>
        </w:tc>
        <w:tc>
          <w:tcPr>
            <w:tcW w:w="28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448,737</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880" w:type="dxa"/>
            <w:vAlign w:val="bottom"/>
            <w:gridSpan w:val="2"/>
          </w:tcPr>
          <w:p>
            <w:pPr>
              <w:spacing w:after="0"/>
              <w:rPr>
                <w:sz w:val="20"/>
                <w:szCs w:val="20"/>
                <w:color w:val="auto"/>
              </w:rPr>
            </w:pPr>
            <w:r>
              <w:rPr>
                <w:rFonts w:ascii="Arial" w:cs="Arial" w:eastAsia="Arial" w:hAnsi="Arial"/>
                <w:sz w:val="12"/>
                <w:szCs w:val="12"/>
                <w:color w:val="auto"/>
              </w:rPr>
              <w:t>Cost of service revenue</w:t>
            </w:r>
          </w:p>
        </w:tc>
        <w:tc>
          <w:tcPr>
            <w:tcW w:w="1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3,709</w:t>
            </w: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1,852</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0" w:type="dxa"/>
            <w:vAlign w:val="bottom"/>
            <w:gridSpan w:val="2"/>
          </w:tcPr>
          <w:p>
            <w:pPr>
              <w:jc w:val="right"/>
              <w:ind w:right="32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5,561</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88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Cost of product sales</w:t>
            </w:r>
          </w:p>
        </w:tc>
        <w:tc>
          <w:tcPr>
            <w:tcW w:w="17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200" w:type="dxa"/>
            <w:vAlign w:val="bottom"/>
            <w:gridSpan w:val="2"/>
            <w:shd w:val="clear" w:color="auto" w:fill="CFF0FC"/>
          </w:tcPr>
          <w:p>
            <w:pPr>
              <w:jc w:val="right"/>
              <w:ind w:right="320"/>
              <w:spacing w:after="0"/>
              <w:rPr>
                <w:sz w:val="20"/>
                <w:szCs w:val="20"/>
                <w:color w:val="auto"/>
              </w:rPr>
            </w:pPr>
            <w:r>
              <w:rPr>
                <w:rFonts w:ascii="Arial" w:cs="Arial" w:eastAsia="Arial" w:hAnsi="Arial"/>
                <w:sz w:val="12"/>
                <w:szCs w:val="12"/>
                <w:color w:val="auto"/>
              </w:rPr>
              <w:t>—</w:t>
            </w:r>
          </w:p>
        </w:tc>
        <w:tc>
          <w:tcPr>
            <w:tcW w:w="180" w:type="dxa"/>
            <w:vAlign w:val="bottom"/>
            <w:shd w:val="clear" w:color="auto" w:fill="CFF0FC"/>
          </w:tcPr>
          <w:p>
            <w:pPr>
              <w:spacing w:after="0"/>
              <w:rPr>
                <w:sz w:val="13"/>
                <w:szCs w:val="13"/>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13,919</w:t>
            </w:r>
          </w:p>
        </w:tc>
        <w:tc>
          <w:tcPr>
            <w:tcW w:w="180" w:type="dxa"/>
            <w:vAlign w:val="bottom"/>
            <w:shd w:val="clear" w:color="auto" w:fill="CFF0FC"/>
          </w:tcPr>
          <w:p>
            <w:pPr>
              <w:spacing w:after="0"/>
              <w:rPr>
                <w:sz w:val="13"/>
                <w:szCs w:val="13"/>
                <w:color w:val="auto"/>
              </w:rPr>
            </w:pPr>
          </w:p>
        </w:tc>
        <w:tc>
          <w:tcPr>
            <w:tcW w:w="140" w:type="dxa"/>
            <w:vAlign w:val="bottom"/>
            <w:tcBorders>
              <w:right w:val="single" w:sz="8" w:color="CFF0FC"/>
            </w:tcBorders>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400" w:type="dxa"/>
            <w:vAlign w:val="bottom"/>
            <w:tcBorders>
              <w:right w:val="single" w:sz="8" w:color="CFF0FC"/>
            </w:tcBorders>
            <w:gridSpan w:val="2"/>
            <w:shd w:val="clear" w:color="auto" w:fill="CFF0FC"/>
          </w:tcPr>
          <w:p>
            <w:pPr>
              <w:jc w:val="right"/>
              <w:ind w:right="320"/>
              <w:spacing w:after="0"/>
              <w:rPr>
                <w:sz w:val="20"/>
                <w:szCs w:val="20"/>
                <w:color w:val="auto"/>
              </w:rPr>
            </w:pPr>
            <w:r>
              <w:rPr>
                <w:rFonts w:ascii="Arial" w:cs="Arial" w:eastAsia="Arial" w:hAnsi="Arial"/>
                <w:sz w:val="12"/>
                <w:szCs w:val="12"/>
                <w:color w:val="auto"/>
              </w:rPr>
              <w:t>—</w:t>
            </w:r>
          </w:p>
        </w:tc>
        <w:tc>
          <w:tcPr>
            <w:tcW w:w="280" w:type="dxa"/>
            <w:vAlign w:val="bottom"/>
            <w:shd w:val="clear" w:color="auto" w:fill="CFF0FC"/>
          </w:tcPr>
          <w:p>
            <w:pPr>
              <w:spacing w:after="0"/>
              <w:rPr>
                <w:sz w:val="13"/>
                <w:szCs w:val="13"/>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13,919</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880" w:type="dxa"/>
            <w:vAlign w:val="bottom"/>
            <w:gridSpan w:val="2"/>
          </w:tcPr>
          <w:p>
            <w:pPr>
              <w:spacing w:after="0"/>
              <w:rPr>
                <w:sz w:val="20"/>
                <w:szCs w:val="20"/>
                <w:color w:val="auto"/>
              </w:rPr>
            </w:pPr>
            <w:r>
              <w:rPr>
                <w:rFonts w:ascii="Arial" w:cs="Arial" w:eastAsia="Arial" w:hAnsi="Arial"/>
                <w:sz w:val="12"/>
                <w:szCs w:val="12"/>
                <w:color w:val="auto"/>
              </w:rPr>
              <w:t>Operating expenses</w:t>
            </w:r>
          </w:p>
        </w:tc>
        <w:tc>
          <w:tcPr>
            <w:tcW w:w="1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66,916</w:t>
            </w: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57,905</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0" w:type="dxa"/>
            <w:vAlign w:val="bottom"/>
            <w:gridSpan w:val="2"/>
          </w:tcPr>
          <w:p>
            <w:pPr>
              <w:jc w:val="right"/>
              <w:ind w:right="32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124,821</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88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Selling, general and administrative expenses</w:t>
            </w:r>
          </w:p>
        </w:tc>
        <w:tc>
          <w:tcPr>
            <w:tcW w:w="17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41,384</w:t>
            </w:r>
          </w:p>
        </w:tc>
        <w:tc>
          <w:tcPr>
            <w:tcW w:w="3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32,696</w:t>
            </w:r>
          </w:p>
        </w:tc>
        <w:tc>
          <w:tcPr>
            <w:tcW w:w="180" w:type="dxa"/>
            <w:vAlign w:val="bottom"/>
            <w:shd w:val="clear" w:color="auto" w:fill="CFF0FC"/>
          </w:tcPr>
          <w:p>
            <w:pPr>
              <w:spacing w:after="0"/>
              <w:rPr>
                <w:sz w:val="13"/>
                <w:szCs w:val="13"/>
                <w:color w:val="auto"/>
              </w:rPr>
            </w:pPr>
          </w:p>
        </w:tc>
        <w:tc>
          <w:tcPr>
            <w:tcW w:w="140" w:type="dxa"/>
            <w:vAlign w:val="bottom"/>
            <w:tcBorders>
              <w:right w:val="single" w:sz="8" w:color="CFF0FC"/>
            </w:tcBorders>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2,220</w:t>
            </w:r>
          </w:p>
        </w:tc>
        <w:tc>
          <w:tcPr>
            <w:tcW w:w="320" w:type="dxa"/>
            <w:vAlign w:val="bottom"/>
            <w:tcBorders>
              <w:left w:val="single" w:sz="8" w:color="CFF0FC"/>
              <w:right w:val="single" w:sz="8" w:color="CFF0FC"/>
            </w:tcBorders>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76,300</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880" w:type="dxa"/>
            <w:vAlign w:val="bottom"/>
            <w:gridSpan w:val="2"/>
          </w:tcPr>
          <w:p>
            <w:pPr>
              <w:spacing w:after="0"/>
              <w:rPr>
                <w:sz w:val="20"/>
                <w:szCs w:val="20"/>
                <w:color w:val="auto"/>
              </w:rPr>
            </w:pPr>
            <w:r>
              <w:rPr>
                <w:rFonts w:ascii="Arial" w:cs="Arial" w:eastAsia="Arial" w:hAnsi="Arial"/>
                <w:sz w:val="12"/>
                <w:szCs w:val="12"/>
                <w:color w:val="auto"/>
              </w:rPr>
              <w:t>Other income, net</w:t>
            </w:r>
          </w:p>
        </w:tc>
        <w:tc>
          <w:tcPr>
            <w:tcW w:w="1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2"/>
                <w:szCs w:val="12"/>
                <w:color w:val="auto"/>
              </w:rPr>
              <w:t>(10,920)</w:t>
            </w:r>
          </w:p>
        </w:tc>
        <w:tc>
          <w:tcPr>
            <w:tcW w:w="180" w:type="dxa"/>
            <w:vAlign w:val="bottom"/>
          </w:tcPr>
          <w:p>
            <w:pPr>
              <w:spacing w:after="0"/>
              <w:rPr>
                <w:sz w:val="13"/>
                <w:szCs w:val="13"/>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2"/>
                <w:szCs w:val="12"/>
                <w:color w:val="auto"/>
              </w:rPr>
              <w:t>(278)</w:t>
            </w: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0" w:type="dxa"/>
            <w:vAlign w:val="bottom"/>
            <w:gridSpan w:val="2"/>
          </w:tcPr>
          <w:p>
            <w:pPr>
              <w:jc w:val="right"/>
              <w:ind w:right="32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3"/>
                <w:szCs w:val="13"/>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2"/>
                <w:szCs w:val="12"/>
                <w:color w:val="auto"/>
              </w:rPr>
              <w:t>(11,198)</w:t>
            </w:r>
          </w:p>
        </w:tc>
        <w:tc>
          <w:tcPr>
            <w:tcW w:w="0" w:type="dxa"/>
            <w:vAlign w:val="bottom"/>
          </w:tcPr>
          <w:p>
            <w:pPr>
              <w:spacing w:after="0"/>
              <w:rPr>
                <w:sz w:val="1"/>
                <w:szCs w:val="1"/>
                <w:color w:val="auto"/>
              </w:rPr>
            </w:pPr>
          </w:p>
        </w:tc>
      </w:tr>
      <w:tr>
        <w:trPr>
          <w:trHeight w:val="20"/>
        </w:trPr>
        <w:tc>
          <w:tcPr>
            <w:tcW w:w="3880" w:type="dxa"/>
            <w:vAlign w:val="bottom"/>
            <w:gridSpan w:val="2"/>
            <w:vMerge w:val="restart"/>
            <w:shd w:val="clear" w:color="auto" w:fill="CFF0FC"/>
          </w:tcPr>
          <w:p>
            <w:pPr>
              <w:ind w:left="80"/>
              <w:spacing w:after="0"/>
              <w:rPr>
                <w:sz w:val="20"/>
                <w:szCs w:val="20"/>
                <w:color w:val="auto"/>
              </w:rPr>
            </w:pPr>
            <w:r>
              <w:rPr>
                <w:rFonts w:ascii="Arial" w:cs="Arial" w:eastAsia="Arial" w:hAnsi="Arial"/>
                <w:sz w:val="12"/>
                <w:szCs w:val="12"/>
                <w:b w:val="1"/>
                <w:bCs w:val="1"/>
                <w:color w:val="auto"/>
              </w:rPr>
              <w:t>Segment profit (loss)</w:t>
            </w:r>
          </w:p>
        </w:tc>
        <w:tc>
          <w:tcPr>
            <w:tcW w:w="176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40" w:type="dxa"/>
            <w:vAlign w:val="bottom"/>
            <w:tcBorders>
              <w:right w:val="single" w:sz="8" w:color="CFF0FC"/>
            </w:tcBorders>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20" w:type="dxa"/>
            <w:vAlign w:val="bottom"/>
            <w:tcBorders>
              <w:left w:val="single" w:sz="8" w:color="auto"/>
              <w:right w:val="single" w:sz="8" w:color="CFF0FC"/>
            </w:tcBorders>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880" w:type="dxa"/>
            <w:vAlign w:val="bottom"/>
            <w:gridSpan w:val="2"/>
            <w:vMerge w:val="continue"/>
            <w:shd w:val="clear" w:color="auto" w:fill="CFF0FC"/>
          </w:tcPr>
          <w:p>
            <w:pPr>
              <w:spacing w:after="0"/>
              <w:rPr>
                <w:sz w:val="12"/>
                <w:szCs w:val="12"/>
                <w:color w:val="auto"/>
              </w:rPr>
            </w:pPr>
          </w:p>
        </w:tc>
        <w:tc>
          <w:tcPr>
            <w:tcW w:w="17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20"/>
                <w:szCs w:val="20"/>
                <w:color w:val="auto"/>
              </w:rPr>
            </w:pPr>
            <w:r>
              <w:rPr>
                <w:rFonts w:ascii="Arial" w:cs="Arial" w:eastAsia="Arial" w:hAnsi="Arial"/>
                <w:sz w:val="12"/>
                <w:szCs w:val="12"/>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175,390</w:t>
            </w:r>
          </w:p>
        </w:tc>
        <w:tc>
          <w:tcPr>
            <w:tcW w:w="3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20"/>
                <w:szCs w:val="20"/>
                <w:color w:val="auto"/>
              </w:rPr>
            </w:pPr>
            <w:r>
              <w:rPr>
                <w:rFonts w:ascii="Arial" w:cs="Arial" w:eastAsia="Arial" w:hAnsi="Arial"/>
                <w:sz w:val="12"/>
                <w:szCs w:val="12"/>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66,164</w:t>
            </w:r>
          </w:p>
        </w:tc>
        <w:tc>
          <w:tcPr>
            <w:tcW w:w="180" w:type="dxa"/>
            <w:vAlign w:val="bottom"/>
            <w:shd w:val="clear" w:color="auto" w:fill="CFF0FC"/>
          </w:tcPr>
          <w:p>
            <w:pPr>
              <w:spacing w:after="0"/>
              <w:rPr>
                <w:sz w:val="12"/>
                <w:szCs w:val="12"/>
                <w:color w:val="auto"/>
              </w:rPr>
            </w:pPr>
          </w:p>
        </w:tc>
        <w:tc>
          <w:tcPr>
            <w:tcW w:w="38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w:t>
            </w:r>
          </w:p>
        </w:tc>
        <w:tc>
          <w:tcPr>
            <w:tcW w:w="1400" w:type="dxa"/>
            <w:vAlign w:val="bottom"/>
            <w:tcBorders>
              <w:right w:val="single" w:sz="8" w:color="CFF0FC"/>
            </w:tcBorders>
            <w:gridSpan w:val="2"/>
            <w:shd w:val="clear" w:color="auto" w:fill="CFF0FC"/>
          </w:tcPr>
          <w:p>
            <w:pPr>
              <w:jc w:val="right"/>
              <w:ind w:right="260"/>
              <w:spacing w:after="0"/>
              <w:rPr>
                <w:sz w:val="20"/>
                <w:szCs w:val="20"/>
                <w:color w:val="auto"/>
              </w:rPr>
            </w:pPr>
            <w:r>
              <w:rPr>
                <w:rFonts w:ascii="Arial" w:cs="Arial" w:eastAsia="Arial" w:hAnsi="Arial"/>
                <w:sz w:val="12"/>
                <w:szCs w:val="12"/>
                <w:color w:val="auto"/>
              </w:rPr>
              <w:t>(2,220)</w:t>
            </w:r>
          </w:p>
        </w:tc>
        <w:tc>
          <w:tcPr>
            <w:tcW w:w="280" w:type="dxa"/>
            <w:vAlign w:val="bottom"/>
            <w:shd w:val="clear" w:color="auto" w:fill="CFF0FC"/>
          </w:tcPr>
          <w:p>
            <w:pPr>
              <w:jc w:val="right"/>
              <w:ind w:right="182"/>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239,334</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880" w:type="dxa"/>
            <w:vAlign w:val="bottom"/>
            <w:tcBorders>
              <w:top w:val="single" w:sz="8" w:color="CFF0FC"/>
            </w:tcBorders>
            <w:gridSpan w:val="2"/>
            <w:vMerge w:val="restart"/>
          </w:tcPr>
          <w:p>
            <w:pPr>
              <w:spacing w:after="0"/>
              <w:rPr>
                <w:sz w:val="20"/>
                <w:szCs w:val="20"/>
                <w:color w:val="auto"/>
              </w:rPr>
            </w:pPr>
            <w:r>
              <w:rPr>
                <w:rFonts w:ascii="Arial" w:cs="Arial" w:eastAsia="Arial" w:hAnsi="Arial"/>
                <w:sz w:val="12"/>
                <w:szCs w:val="12"/>
                <w:color w:val="auto"/>
              </w:rPr>
              <w:t>Segment profit (loss)</w:t>
            </w:r>
          </w:p>
        </w:tc>
        <w:tc>
          <w:tcPr>
            <w:tcW w:w="176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left w:val="single" w:sz="8" w:color="auto"/>
            </w:tcBorders>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3880" w:type="dxa"/>
            <w:vAlign w:val="bottom"/>
            <w:gridSpan w:val="2"/>
            <w:vMerge w:val="continue"/>
          </w:tcPr>
          <w:p>
            <w:pPr>
              <w:spacing w:after="0"/>
              <w:rPr>
                <w:sz w:val="12"/>
                <w:szCs w:val="12"/>
                <w:color w:val="auto"/>
              </w:rPr>
            </w:pPr>
          </w:p>
        </w:tc>
        <w:tc>
          <w:tcPr>
            <w:tcW w:w="1760" w:type="dxa"/>
            <w:vAlign w:val="bottom"/>
          </w:tcPr>
          <w:p>
            <w:pPr>
              <w:spacing w:after="0"/>
              <w:rPr>
                <w:sz w:val="12"/>
                <w:szCs w:val="12"/>
                <w:color w:val="auto"/>
              </w:rPr>
            </w:pPr>
          </w:p>
        </w:tc>
        <w:tc>
          <w:tcPr>
            <w:tcW w:w="240" w:type="dxa"/>
            <w:vAlign w:val="bottom"/>
          </w:tcPr>
          <w:p>
            <w:pPr>
              <w:spacing w:after="0"/>
              <w:rPr>
                <w:sz w:val="20"/>
                <w:szCs w:val="20"/>
                <w:color w:val="auto"/>
              </w:rPr>
            </w:pPr>
            <w:r>
              <w:rPr>
                <w:rFonts w:ascii="Arial" w:cs="Arial" w:eastAsia="Arial" w:hAnsi="Arial"/>
                <w:sz w:val="12"/>
                <w:szCs w:val="12"/>
                <w:color w:val="auto"/>
              </w:rPr>
              <w:t>$</w:t>
            </w:r>
          </w:p>
        </w:tc>
        <w:tc>
          <w:tcPr>
            <w:tcW w:w="900" w:type="dxa"/>
            <w:vAlign w:val="bottom"/>
          </w:tcPr>
          <w:p>
            <w:pPr>
              <w:jc w:val="right"/>
              <w:spacing w:after="0"/>
              <w:rPr>
                <w:sz w:val="20"/>
                <w:szCs w:val="20"/>
                <w:color w:val="auto"/>
              </w:rPr>
            </w:pPr>
            <w:r>
              <w:rPr>
                <w:rFonts w:ascii="Arial" w:cs="Arial" w:eastAsia="Arial" w:hAnsi="Arial"/>
                <w:sz w:val="12"/>
                <w:szCs w:val="12"/>
                <w:color w:val="auto"/>
              </w:rPr>
              <w:t>175,390</w:t>
            </w:r>
          </w:p>
        </w:tc>
        <w:tc>
          <w:tcPr>
            <w:tcW w:w="300" w:type="dxa"/>
            <w:vAlign w:val="bottom"/>
          </w:tcPr>
          <w:p>
            <w:pPr>
              <w:spacing w:after="0"/>
              <w:rPr>
                <w:sz w:val="12"/>
                <w:szCs w:val="12"/>
                <w:color w:val="auto"/>
              </w:rPr>
            </w:pPr>
          </w:p>
        </w:tc>
        <w:tc>
          <w:tcPr>
            <w:tcW w:w="180" w:type="dxa"/>
            <w:vAlign w:val="bottom"/>
          </w:tcPr>
          <w:p>
            <w:pPr>
              <w:spacing w:after="0"/>
              <w:rPr>
                <w:sz w:val="20"/>
                <w:szCs w:val="20"/>
                <w:color w:val="auto"/>
              </w:rPr>
            </w:pPr>
            <w:r>
              <w:rPr>
                <w:rFonts w:ascii="Arial" w:cs="Arial" w:eastAsia="Arial" w:hAnsi="Arial"/>
                <w:sz w:val="12"/>
                <w:szCs w:val="12"/>
                <w:color w:val="auto"/>
              </w:rPr>
              <w:t>$</w:t>
            </w:r>
          </w:p>
        </w:tc>
        <w:tc>
          <w:tcPr>
            <w:tcW w:w="940" w:type="dxa"/>
            <w:vAlign w:val="bottom"/>
          </w:tcPr>
          <w:p>
            <w:pPr>
              <w:jc w:val="right"/>
              <w:spacing w:after="0"/>
              <w:rPr>
                <w:sz w:val="20"/>
                <w:szCs w:val="20"/>
                <w:color w:val="auto"/>
              </w:rPr>
            </w:pPr>
            <w:r>
              <w:rPr>
                <w:rFonts w:ascii="Arial" w:cs="Arial" w:eastAsia="Arial" w:hAnsi="Arial"/>
                <w:sz w:val="12"/>
                <w:szCs w:val="12"/>
                <w:color w:val="auto"/>
              </w:rPr>
              <w:t>66,164</w:t>
            </w:r>
          </w:p>
        </w:tc>
        <w:tc>
          <w:tcPr>
            <w:tcW w:w="180" w:type="dxa"/>
            <w:vAlign w:val="bottom"/>
          </w:tcPr>
          <w:p>
            <w:pPr>
              <w:spacing w:after="0"/>
              <w:rPr>
                <w:sz w:val="12"/>
                <w:szCs w:val="12"/>
                <w:color w:val="auto"/>
              </w:rPr>
            </w:pPr>
          </w:p>
        </w:tc>
        <w:tc>
          <w:tcPr>
            <w:tcW w:w="38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400" w:type="dxa"/>
            <w:vAlign w:val="bottom"/>
            <w:gridSpan w:val="2"/>
          </w:tcPr>
          <w:p>
            <w:pPr>
              <w:jc w:val="right"/>
              <w:ind w:right="260"/>
              <w:spacing w:after="0"/>
              <w:rPr>
                <w:sz w:val="20"/>
                <w:szCs w:val="20"/>
                <w:color w:val="auto"/>
              </w:rPr>
            </w:pPr>
            <w:r>
              <w:rPr>
                <w:rFonts w:ascii="Arial" w:cs="Arial" w:eastAsia="Arial" w:hAnsi="Arial"/>
                <w:sz w:val="12"/>
                <w:szCs w:val="12"/>
                <w:color w:val="auto"/>
              </w:rPr>
              <w:t>(2,220)</w:t>
            </w:r>
          </w:p>
        </w:tc>
        <w:tc>
          <w:tcPr>
            <w:tcW w:w="280" w:type="dxa"/>
            <w:vAlign w:val="bottom"/>
          </w:tcPr>
          <w:p>
            <w:pPr>
              <w:jc w:val="right"/>
              <w:ind w:right="182"/>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spacing w:after="0"/>
              <w:rPr>
                <w:sz w:val="20"/>
                <w:szCs w:val="20"/>
                <w:color w:val="auto"/>
              </w:rPr>
            </w:pPr>
            <w:r>
              <w:rPr>
                <w:rFonts w:ascii="Arial" w:cs="Arial" w:eastAsia="Arial" w:hAnsi="Arial"/>
                <w:sz w:val="12"/>
                <w:szCs w:val="12"/>
                <w:color w:val="auto"/>
              </w:rPr>
              <w:t>239,334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88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Depreciation and amortization</w:t>
            </w:r>
          </w:p>
        </w:tc>
        <w:tc>
          <w:tcPr>
            <w:tcW w:w="17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200" w:type="dxa"/>
            <w:vAlign w:val="bottom"/>
            <w:gridSpan w:val="2"/>
            <w:shd w:val="clear" w:color="auto" w:fill="CFF0FC"/>
          </w:tcPr>
          <w:p>
            <w:pPr>
              <w:jc w:val="right"/>
              <w:ind w:right="320"/>
              <w:spacing w:after="0"/>
              <w:rPr>
                <w:sz w:val="20"/>
                <w:szCs w:val="20"/>
                <w:color w:val="auto"/>
              </w:rPr>
            </w:pPr>
            <w:r>
              <w:rPr>
                <w:rFonts w:ascii="Arial" w:cs="Arial" w:eastAsia="Arial" w:hAnsi="Arial"/>
                <w:sz w:val="12"/>
                <w:szCs w:val="12"/>
                <w:color w:val="auto"/>
              </w:rPr>
              <w:t>—</w:t>
            </w:r>
          </w:p>
        </w:tc>
        <w:tc>
          <w:tcPr>
            <w:tcW w:w="180" w:type="dxa"/>
            <w:vAlign w:val="bottom"/>
            <w:shd w:val="clear" w:color="auto" w:fill="CFF0FC"/>
          </w:tcPr>
          <w:p>
            <w:pPr>
              <w:spacing w:after="0"/>
              <w:rPr>
                <w:sz w:val="13"/>
                <w:szCs w:val="13"/>
                <w:color w:val="auto"/>
              </w:rPr>
            </w:pP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w:t>
            </w:r>
          </w:p>
        </w:tc>
        <w:tc>
          <w:tcPr>
            <w:tcW w:w="140" w:type="dxa"/>
            <w:vAlign w:val="bottom"/>
            <w:tcBorders>
              <w:right w:val="single" w:sz="8" w:color="CFF0FC"/>
            </w:tcBorders>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115,566</w:t>
            </w:r>
          </w:p>
        </w:tc>
        <w:tc>
          <w:tcPr>
            <w:tcW w:w="320" w:type="dxa"/>
            <w:vAlign w:val="bottom"/>
            <w:tcBorders>
              <w:left w:val="single" w:sz="8" w:color="CFF0FC"/>
              <w:right w:val="single" w:sz="8" w:color="CFF0FC"/>
            </w:tcBorders>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115,566</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880" w:type="dxa"/>
            <w:vAlign w:val="bottom"/>
            <w:gridSpan w:val="2"/>
          </w:tcPr>
          <w:p>
            <w:pPr>
              <w:spacing w:after="0"/>
              <w:rPr>
                <w:sz w:val="20"/>
                <w:szCs w:val="20"/>
                <w:color w:val="auto"/>
              </w:rPr>
            </w:pPr>
            <w:r>
              <w:rPr>
                <w:rFonts w:ascii="Arial" w:cs="Arial" w:eastAsia="Arial" w:hAnsi="Arial"/>
                <w:sz w:val="12"/>
                <w:szCs w:val="12"/>
                <w:color w:val="auto"/>
              </w:rPr>
              <w:t>Loss on disposal of assets, net</w:t>
            </w:r>
          </w:p>
        </w:tc>
        <w:tc>
          <w:tcPr>
            <w:tcW w:w="1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145</w:t>
            </w: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60</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0" w:type="dxa"/>
            <w:vAlign w:val="bottom"/>
            <w:gridSpan w:val="2"/>
          </w:tcPr>
          <w:p>
            <w:pPr>
              <w:jc w:val="right"/>
              <w:ind w:right="32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205</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88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Impairment of property and equipment</w:t>
            </w:r>
          </w:p>
        </w:tc>
        <w:tc>
          <w:tcPr>
            <w:tcW w:w="17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200" w:type="dxa"/>
            <w:vAlign w:val="bottom"/>
            <w:gridSpan w:val="2"/>
            <w:shd w:val="clear" w:color="auto" w:fill="CFF0FC"/>
          </w:tcPr>
          <w:p>
            <w:pPr>
              <w:jc w:val="right"/>
              <w:ind w:right="320"/>
              <w:spacing w:after="0"/>
              <w:rPr>
                <w:sz w:val="20"/>
                <w:szCs w:val="20"/>
                <w:color w:val="auto"/>
              </w:rPr>
            </w:pPr>
            <w:r>
              <w:rPr>
                <w:rFonts w:ascii="Arial" w:cs="Arial" w:eastAsia="Arial" w:hAnsi="Arial"/>
                <w:sz w:val="12"/>
                <w:szCs w:val="12"/>
                <w:color w:val="auto"/>
              </w:rPr>
              <w:t>—</w:t>
            </w:r>
          </w:p>
        </w:tc>
        <w:tc>
          <w:tcPr>
            <w:tcW w:w="180" w:type="dxa"/>
            <w:vAlign w:val="bottom"/>
            <w:shd w:val="clear" w:color="auto" w:fill="CFF0FC"/>
          </w:tcPr>
          <w:p>
            <w:pPr>
              <w:spacing w:after="0"/>
              <w:rPr>
                <w:sz w:val="13"/>
                <w:szCs w:val="13"/>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5,898</w:t>
            </w:r>
          </w:p>
        </w:tc>
        <w:tc>
          <w:tcPr>
            <w:tcW w:w="180" w:type="dxa"/>
            <w:vAlign w:val="bottom"/>
            <w:shd w:val="clear" w:color="auto" w:fill="CFF0FC"/>
          </w:tcPr>
          <w:p>
            <w:pPr>
              <w:spacing w:after="0"/>
              <w:rPr>
                <w:sz w:val="13"/>
                <w:szCs w:val="13"/>
                <w:color w:val="auto"/>
              </w:rPr>
            </w:pPr>
          </w:p>
        </w:tc>
        <w:tc>
          <w:tcPr>
            <w:tcW w:w="140" w:type="dxa"/>
            <w:vAlign w:val="bottom"/>
            <w:tcBorders>
              <w:right w:val="single" w:sz="8" w:color="CFF0FC"/>
            </w:tcBorders>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400" w:type="dxa"/>
            <w:vAlign w:val="bottom"/>
            <w:tcBorders>
              <w:right w:val="single" w:sz="8" w:color="CFF0FC"/>
            </w:tcBorders>
            <w:gridSpan w:val="2"/>
            <w:shd w:val="clear" w:color="auto" w:fill="CFF0FC"/>
          </w:tcPr>
          <w:p>
            <w:pPr>
              <w:jc w:val="right"/>
              <w:ind w:right="320"/>
              <w:spacing w:after="0"/>
              <w:rPr>
                <w:sz w:val="20"/>
                <w:szCs w:val="20"/>
                <w:color w:val="auto"/>
              </w:rPr>
            </w:pPr>
            <w:r>
              <w:rPr>
                <w:rFonts w:ascii="Arial" w:cs="Arial" w:eastAsia="Arial" w:hAnsi="Arial"/>
                <w:sz w:val="12"/>
                <w:szCs w:val="12"/>
                <w:color w:val="auto"/>
              </w:rPr>
              <w:t>—</w:t>
            </w:r>
          </w:p>
        </w:tc>
        <w:tc>
          <w:tcPr>
            <w:tcW w:w="280" w:type="dxa"/>
            <w:vAlign w:val="bottom"/>
            <w:shd w:val="clear" w:color="auto" w:fill="CFF0FC"/>
          </w:tcPr>
          <w:p>
            <w:pPr>
              <w:spacing w:after="0"/>
              <w:rPr>
                <w:sz w:val="13"/>
                <w:szCs w:val="13"/>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5,898</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880" w:type="dxa"/>
            <w:vAlign w:val="bottom"/>
            <w:gridSpan w:val="2"/>
          </w:tcPr>
          <w:p>
            <w:pPr>
              <w:spacing w:after="0"/>
              <w:rPr>
                <w:sz w:val="20"/>
                <w:szCs w:val="20"/>
                <w:color w:val="auto"/>
              </w:rPr>
            </w:pPr>
            <w:r>
              <w:rPr>
                <w:rFonts w:ascii="Arial" w:cs="Arial" w:eastAsia="Arial" w:hAnsi="Arial"/>
                <w:sz w:val="12"/>
                <w:szCs w:val="12"/>
                <w:color w:val="auto"/>
              </w:rPr>
              <w:t>Stock-based compensation</w:t>
            </w:r>
          </w:p>
        </w:tc>
        <w:tc>
          <w:tcPr>
            <w:tcW w:w="1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10,012</w:t>
            </w: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10,012</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88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Interest expense, net</w:t>
            </w:r>
          </w:p>
        </w:tc>
        <w:tc>
          <w:tcPr>
            <w:tcW w:w="1760" w:type="dxa"/>
            <w:vAlign w:val="bottom"/>
            <w:shd w:val="clear" w:color="auto" w:fill="CFF0FC"/>
          </w:tcPr>
          <w:p>
            <w:pPr>
              <w:spacing w:after="0"/>
              <w:rPr>
                <w:sz w:val="13"/>
                <w:szCs w:val="13"/>
                <w:color w:val="auto"/>
              </w:rPr>
            </w:pPr>
          </w:p>
        </w:tc>
        <w:tc>
          <w:tcPr>
            <w:tcW w:w="240" w:type="dxa"/>
            <w:vAlign w:val="bottom"/>
            <w:tcBorders>
              <w:bottom w:val="single" w:sz="8" w:color="auto"/>
            </w:tcBorders>
            <w:shd w:val="clear" w:color="auto" w:fill="CFF0FC"/>
          </w:tcPr>
          <w:p>
            <w:pPr>
              <w:spacing w:after="0"/>
              <w:rPr>
                <w:sz w:val="13"/>
                <w:szCs w:val="13"/>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300" w:type="dxa"/>
            <w:vAlign w:val="bottom"/>
            <w:shd w:val="clear" w:color="auto" w:fill="CFF0FC"/>
          </w:tcPr>
          <w:p>
            <w:pPr>
              <w:spacing w:after="0"/>
              <w:rPr>
                <w:sz w:val="13"/>
                <w:szCs w:val="13"/>
                <w:color w:val="auto"/>
              </w:rPr>
            </w:pPr>
          </w:p>
        </w:tc>
        <w:tc>
          <w:tcPr>
            <w:tcW w:w="180" w:type="dxa"/>
            <w:vAlign w:val="bottom"/>
            <w:tcBorders>
              <w:bottom w:val="single" w:sz="8" w:color="auto"/>
            </w:tcBorders>
            <w:shd w:val="clear" w:color="auto" w:fill="CFF0FC"/>
          </w:tcPr>
          <w:p>
            <w:pPr>
              <w:spacing w:after="0"/>
              <w:rPr>
                <w:sz w:val="13"/>
                <w:szCs w:val="13"/>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80" w:type="dxa"/>
            <w:vAlign w:val="bottom"/>
            <w:shd w:val="clear" w:color="auto" w:fill="CFF0FC"/>
          </w:tcPr>
          <w:p>
            <w:pPr>
              <w:spacing w:after="0"/>
              <w:rPr>
                <w:sz w:val="13"/>
                <w:szCs w:val="13"/>
                <w:color w:val="auto"/>
              </w:rPr>
            </w:pPr>
          </w:p>
        </w:tc>
        <w:tc>
          <w:tcPr>
            <w:tcW w:w="140" w:type="dxa"/>
            <w:vAlign w:val="bottom"/>
            <w:tcBorders>
              <w:right w:val="single" w:sz="8" w:color="CFF0FC"/>
            </w:tcBorders>
            <w:shd w:val="clear" w:color="auto" w:fill="CFF0FC"/>
          </w:tcPr>
          <w:p>
            <w:pPr>
              <w:spacing w:after="0"/>
              <w:rPr>
                <w:sz w:val="13"/>
                <w:szCs w:val="13"/>
                <w:color w:val="auto"/>
              </w:rPr>
            </w:pPr>
          </w:p>
        </w:tc>
        <w:tc>
          <w:tcPr>
            <w:tcW w:w="240" w:type="dxa"/>
            <w:vAlign w:val="bottom"/>
            <w:tcBorders>
              <w:bottom w:val="single" w:sz="8" w:color="auto"/>
            </w:tcBorders>
            <w:shd w:val="clear" w:color="auto" w:fill="CFF0FC"/>
          </w:tcPr>
          <w:p>
            <w:pPr>
              <w:spacing w:after="0"/>
              <w:rPr>
                <w:sz w:val="13"/>
                <w:szCs w:val="13"/>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60,729</w:t>
            </w:r>
          </w:p>
        </w:tc>
        <w:tc>
          <w:tcPr>
            <w:tcW w:w="320" w:type="dxa"/>
            <w:vAlign w:val="bottom"/>
            <w:tcBorders>
              <w:left w:val="single" w:sz="8" w:color="CFF0FC"/>
              <w:right w:val="single" w:sz="8" w:color="CFF0FC"/>
            </w:tcBorders>
            <w:shd w:val="clear" w:color="auto" w:fill="CFF0FC"/>
          </w:tcPr>
          <w:p>
            <w:pPr>
              <w:spacing w:after="0"/>
              <w:rPr>
                <w:sz w:val="13"/>
                <w:szCs w:val="13"/>
                <w:color w:val="auto"/>
              </w:rPr>
            </w:pPr>
          </w:p>
        </w:tc>
        <w:tc>
          <w:tcPr>
            <w:tcW w:w="280" w:type="dxa"/>
            <w:vAlign w:val="bottom"/>
            <w:tcBorders>
              <w:bottom w:val="single" w:sz="8" w:color="auto"/>
            </w:tcBorders>
            <w:shd w:val="clear" w:color="auto" w:fill="CFF0FC"/>
          </w:tcPr>
          <w:p>
            <w:pPr>
              <w:spacing w:after="0"/>
              <w:rPr>
                <w:sz w:val="13"/>
                <w:szCs w:val="13"/>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60,729</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3880" w:type="dxa"/>
            <w:vAlign w:val="bottom"/>
            <w:gridSpan w:val="2"/>
          </w:tcPr>
          <w:p>
            <w:pPr>
              <w:ind w:left="80"/>
              <w:spacing w:after="0"/>
              <w:rPr>
                <w:sz w:val="20"/>
                <w:szCs w:val="20"/>
                <w:color w:val="auto"/>
              </w:rPr>
            </w:pPr>
            <w:r>
              <w:rPr>
                <w:rFonts w:ascii="Arial" w:cs="Arial" w:eastAsia="Arial" w:hAnsi="Arial"/>
                <w:sz w:val="12"/>
                <w:szCs w:val="12"/>
                <w:color w:val="auto"/>
              </w:rPr>
              <w:t>Income (loss) before income tax provision</w:t>
            </w:r>
          </w:p>
        </w:tc>
        <w:tc>
          <w:tcPr>
            <w:tcW w:w="1760" w:type="dxa"/>
            <w:vAlign w:val="bottom"/>
          </w:tcPr>
          <w:p>
            <w:pPr>
              <w:spacing w:after="0"/>
              <w:rPr>
                <w:sz w:val="12"/>
                <w:szCs w:val="12"/>
                <w:color w:val="auto"/>
              </w:rPr>
            </w:pPr>
          </w:p>
        </w:tc>
        <w:tc>
          <w:tcPr>
            <w:tcW w:w="240" w:type="dxa"/>
            <w:vAlign w:val="bottom"/>
          </w:tcPr>
          <w:p>
            <w:pPr>
              <w:spacing w:after="0"/>
              <w:rPr>
                <w:sz w:val="20"/>
                <w:szCs w:val="20"/>
                <w:color w:val="auto"/>
              </w:rPr>
            </w:pPr>
            <w:r>
              <w:rPr>
                <w:rFonts w:ascii="Arial" w:cs="Arial" w:eastAsia="Arial" w:hAnsi="Arial"/>
                <w:sz w:val="12"/>
                <w:szCs w:val="12"/>
                <w:color w:val="auto"/>
              </w:rPr>
              <w:t>$</w:t>
            </w:r>
          </w:p>
        </w:tc>
        <w:tc>
          <w:tcPr>
            <w:tcW w:w="900" w:type="dxa"/>
            <w:vAlign w:val="bottom"/>
          </w:tcPr>
          <w:p>
            <w:pPr>
              <w:jc w:val="right"/>
              <w:spacing w:after="0"/>
              <w:rPr>
                <w:sz w:val="20"/>
                <w:szCs w:val="20"/>
                <w:color w:val="auto"/>
              </w:rPr>
            </w:pPr>
            <w:r>
              <w:rPr>
                <w:rFonts w:ascii="Arial" w:cs="Arial" w:eastAsia="Arial" w:hAnsi="Arial"/>
                <w:sz w:val="12"/>
                <w:szCs w:val="12"/>
                <w:color w:val="auto"/>
              </w:rPr>
              <w:t>175,245</w:t>
            </w:r>
          </w:p>
        </w:tc>
        <w:tc>
          <w:tcPr>
            <w:tcW w:w="300" w:type="dxa"/>
            <w:vAlign w:val="bottom"/>
          </w:tcPr>
          <w:p>
            <w:pPr>
              <w:spacing w:after="0"/>
              <w:rPr>
                <w:sz w:val="12"/>
                <w:szCs w:val="12"/>
                <w:color w:val="auto"/>
              </w:rPr>
            </w:pPr>
          </w:p>
        </w:tc>
        <w:tc>
          <w:tcPr>
            <w:tcW w:w="180" w:type="dxa"/>
            <w:vAlign w:val="bottom"/>
          </w:tcPr>
          <w:p>
            <w:pPr>
              <w:spacing w:after="0"/>
              <w:rPr>
                <w:sz w:val="20"/>
                <w:szCs w:val="20"/>
                <w:color w:val="auto"/>
              </w:rPr>
            </w:pPr>
            <w:r>
              <w:rPr>
                <w:rFonts w:ascii="Arial" w:cs="Arial" w:eastAsia="Arial" w:hAnsi="Arial"/>
                <w:sz w:val="12"/>
                <w:szCs w:val="12"/>
                <w:color w:val="auto"/>
              </w:rPr>
              <w:t>$</w:t>
            </w:r>
          </w:p>
        </w:tc>
        <w:tc>
          <w:tcPr>
            <w:tcW w:w="940" w:type="dxa"/>
            <w:vAlign w:val="bottom"/>
          </w:tcPr>
          <w:p>
            <w:pPr>
              <w:jc w:val="right"/>
              <w:spacing w:after="0"/>
              <w:rPr>
                <w:sz w:val="20"/>
                <w:szCs w:val="20"/>
                <w:color w:val="auto"/>
              </w:rPr>
            </w:pPr>
            <w:r>
              <w:rPr>
                <w:rFonts w:ascii="Arial" w:cs="Arial" w:eastAsia="Arial" w:hAnsi="Arial"/>
                <w:sz w:val="12"/>
                <w:szCs w:val="12"/>
                <w:color w:val="auto"/>
              </w:rPr>
              <w:t>60,206</w:t>
            </w:r>
          </w:p>
        </w:tc>
        <w:tc>
          <w:tcPr>
            <w:tcW w:w="180" w:type="dxa"/>
            <w:vAlign w:val="bottom"/>
          </w:tcPr>
          <w:p>
            <w:pPr>
              <w:spacing w:after="0"/>
              <w:rPr>
                <w:sz w:val="12"/>
                <w:szCs w:val="12"/>
                <w:color w:val="auto"/>
              </w:rPr>
            </w:pPr>
          </w:p>
        </w:tc>
        <w:tc>
          <w:tcPr>
            <w:tcW w:w="38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400" w:type="dxa"/>
            <w:vAlign w:val="bottom"/>
            <w:gridSpan w:val="2"/>
          </w:tcPr>
          <w:p>
            <w:pPr>
              <w:jc w:val="right"/>
              <w:ind w:right="260"/>
              <w:spacing w:after="0"/>
              <w:rPr>
                <w:sz w:val="20"/>
                <w:szCs w:val="20"/>
                <w:color w:val="auto"/>
              </w:rPr>
            </w:pPr>
            <w:r>
              <w:rPr>
                <w:rFonts w:ascii="Arial" w:cs="Arial" w:eastAsia="Arial" w:hAnsi="Arial"/>
                <w:sz w:val="12"/>
                <w:szCs w:val="12"/>
                <w:color w:val="auto"/>
              </w:rPr>
              <w:t>(188,527)</w:t>
            </w:r>
          </w:p>
        </w:tc>
        <w:tc>
          <w:tcPr>
            <w:tcW w:w="280" w:type="dxa"/>
            <w:vAlign w:val="bottom"/>
          </w:tcPr>
          <w:p>
            <w:pPr>
              <w:jc w:val="right"/>
              <w:ind w:right="182"/>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spacing w:after="0"/>
              <w:rPr>
                <w:sz w:val="20"/>
                <w:szCs w:val="20"/>
                <w:color w:val="auto"/>
              </w:rPr>
            </w:pPr>
            <w:r>
              <w:rPr>
                <w:rFonts w:ascii="Arial" w:cs="Arial" w:eastAsia="Arial" w:hAnsi="Arial"/>
                <w:sz w:val="12"/>
                <w:szCs w:val="12"/>
                <w:color w:val="auto"/>
              </w:rPr>
              <w:t>46,924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640" w:type="dxa"/>
            <w:vAlign w:val="bottom"/>
          </w:tcPr>
          <w:p>
            <w:pPr>
              <w:spacing w:after="0"/>
              <w:rPr>
                <w:sz w:val="2"/>
                <w:szCs w:val="2"/>
                <w:color w:val="auto"/>
              </w:rPr>
            </w:pPr>
          </w:p>
        </w:tc>
        <w:tc>
          <w:tcPr>
            <w:tcW w:w="32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20" w:type="dxa"/>
            <w:vAlign w:val="bottom"/>
            <w:gridSpan w:val="2"/>
          </w:tcPr>
          <w:p>
            <w:pPr>
              <w:spacing w:after="0"/>
              <w:rPr>
                <w:sz w:val="2"/>
                <w:szCs w:val="2"/>
                <w:color w:val="auto"/>
              </w:rPr>
            </w:pPr>
          </w:p>
        </w:tc>
        <w:tc>
          <w:tcPr>
            <w:tcW w:w="1320" w:type="dxa"/>
            <w:vAlign w:val="bottom"/>
            <w:gridSpan w:val="2"/>
            <w:shd w:val="clear" w:color="auto" w:fill="000000"/>
          </w:tcPr>
          <w:p>
            <w:pPr>
              <w:spacing w:after="0"/>
              <w:rPr>
                <w:sz w:val="2"/>
                <w:szCs w:val="2"/>
                <w:color w:val="auto"/>
              </w:rPr>
            </w:pPr>
          </w:p>
        </w:tc>
        <w:tc>
          <w:tcPr>
            <w:tcW w:w="320" w:type="dxa"/>
            <w:vAlign w:val="bottom"/>
            <w:tcBorders>
              <w:left w:val="single" w:sz="8" w:color="auto"/>
            </w:tcBorders>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64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6"/>
          </w:tcPr>
          <w:p>
            <w:pPr>
              <w:jc w:val="right"/>
              <w:ind w:right="860"/>
              <w:spacing w:after="0"/>
              <w:rPr>
                <w:sz w:val="20"/>
                <w:szCs w:val="20"/>
                <w:color w:val="auto"/>
              </w:rPr>
            </w:pPr>
            <w:r>
              <w:rPr>
                <w:rFonts w:ascii="Arial" w:cs="Arial" w:eastAsia="Arial" w:hAnsi="Arial"/>
                <w:sz w:val="10"/>
                <w:szCs w:val="10"/>
                <w:b w:val="1"/>
                <w:bCs w:val="1"/>
                <w:color w:val="auto"/>
              </w:rPr>
              <w:t>For the Year Ended December 31, 2018</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2"/>
        </w:trPr>
        <w:tc>
          <w:tcPr>
            <w:tcW w:w="640" w:type="dxa"/>
            <w:vAlign w:val="bottom"/>
          </w:tcPr>
          <w:p>
            <w:pPr>
              <w:spacing w:after="0"/>
              <w:rPr>
                <w:sz w:val="7"/>
                <w:szCs w:val="7"/>
                <w:color w:val="auto"/>
              </w:rPr>
            </w:pPr>
          </w:p>
        </w:tc>
        <w:tc>
          <w:tcPr>
            <w:tcW w:w="3240" w:type="dxa"/>
            <w:vAlign w:val="bottom"/>
          </w:tcPr>
          <w:p>
            <w:pPr>
              <w:spacing w:after="0"/>
              <w:rPr>
                <w:sz w:val="7"/>
                <w:szCs w:val="7"/>
                <w:color w:val="auto"/>
              </w:rPr>
            </w:pPr>
          </w:p>
        </w:tc>
        <w:tc>
          <w:tcPr>
            <w:tcW w:w="17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00" w:type="dxa"/>
            <w:vAlign w:val="bottom"/>
            <w:gridSpan w:val="2"/>
          </w:tcPr>
          <w:p>
            <w:pPr>
              <w:jc w:val="center"/>
              <w:ind w:right="540"/>
              <w:spacing w:after="0" w:line="92" w:lineRule="exact"/>
              <w:rPr>
                <w:sz w:val="20"/>
                <w:szCs w:val="20"/>
                <w:color w:val="auto"/>
              </w:rPr>
            </w:pPr>
            <w:r>
              <w:rPr>
                <w:rFonts w:ascii="Arial" w:cs="Arial" w:eastAsia="Arial" w:hAnsi="Arial"/>
                <w:sz w:val="10"/>
                <w:szCs w:val="10"/>
                <w:b w:val="1"/>
                <w:bCs w:val="1"/>
                <w:color w:val="auto"/>
                <w:w w:val="87"/>
              </w:rPr>
              <w:t>Commercial</w:t>
            </w:r>
          </w:p>
        </w:tc>
        <w:tc>
          <w:tcPr>
            <w:tcW w:w="180" w:type="dxa"/>
            <w:vAlign w:val="bottom"/>
          </w:tcPr>
          <w:p>
            <w:pPr>
              <w:spacing w:after="0"/>
              <w:rPr>
                <w:sz w:val="7"/>
                <w:szCs w:val="7"/>
                <w:color w:val="auto"/>
              </w:rPr>
            </w:pPr>
          </w:p>
        </w:tc>
        <w:tc>
          <w:tcPr>
            <w:tcW w:w="1120" w:type="dxa"/>
            <w:vAlign w:val="bottom"/>
            <w:gridSpan w:val="2"/>
          </w:tcPr>
          <w:p>
            <w:pPr>
              <w:jc w:val="center"/>
              <w:ind w:right="380"/>
              <w:spacing w:after="0" w:line="92" w:lineRule="exact"/>
              <w:rPr>
                <w:sz w:val="20"/>
                <w:szCs w:val="20"/>
                <w:color w:val="auto"/>
              </w:rPr>
            </w:pPr>
            <w:r>
              <w:rPr>
                <w:rFonts w:ascii="Arial" w:cs="Arial" w:eastAsia="Arial" w:hAnsi="Arial"/>
                <w:sz w:val="10"/>
                <w:szCs w:val="10"/>
                <w:b w:val="1"/>
                <w:bCs w:val="1"/>
                <w:color w:val="auto"/>
                <w:w w:val="84"/>
              </w:rPr>
              <w:t>Government</w:t>
            </w:r>
          </w:p>
        </w:tc>
        <w:tc>
          <w:tcPr>
            <w:tcW w:w="1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400" w:type="dxa"/>
            <w:vAlign w:val="bottom"/>
            <w:gridSpan w:val="2"/>
          </w:tcPr>
          <w:p>
            <w:pPr>
              <w:ind w:left="200"/>
              <w:spacing w:after="0" w:line="92" w:lineRule="exact"/>
              <w:rPr>
                <w:sz w:val="20"/>
                <w:szCs w:val="20"/>
                <w:color w:val="auto"/>
              </w:rPr>
            </w:pPr>
            <w:r>
              <w:rPr>
                <w:rFonts w:ascii="Arial" w:cs="Arial" w:eastAsia="Arial" w:hAnsi="Arial"/>
                <w:sz w:val="10"/>
                <w:szCs w:val="10"/>
                <w:b w:val="1"/>
                <w:bCs w:val="1"/>
                <w:color w:val="auto"/>
              </w:rPr>
              <w:t>Corporate</w:t>
            </w:r>
          </w:p>
        </w:tc>
        <w:tc>
          <w:tcPr>
            <w:tcW w:w="28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5"/>
        </w:trPr>
        <w:tc>
          <w:tcPr>
            <w:tcW w:w="3880" w:type="dxa"/>
            <w:vAlign w:val="bottom"/>
            <w:gridSpan w:val="2"/>
          </w:tcPr>
          <w:p>
            <w:pPr>
              <w:spacing w:after="0" w:line="105" w:lineRule="exact"/>
              <w:rPr>
                <w:sz w:val="20"/>
                <w:szCs w:val="20"/>
                <w:color w:val="auto"/>
              </w:rPr>
            </w:pPr>
            <w:r>
              <w:rPr>
                <w:rFonts w:ascii="Arial" w:cs="Arial" w:eastAsia="Arial" w:hAnsi="Arial"/>
                <w:sz w:val="10"/>
                <w:szCs w:val="10"/>
                <w:b w:val="1"/>
                <w:bCs w:val="1"/>
                <w:u w:val="single" w:color="auto"/>
                <w:color w:val="auto"/>
              </w:rPr>
              <w:t>(</w:t>
            </w:r>
            <w:r>
              <w:rPr>
                <w:rFonts w:ascii="Arial" w:cs="Arial" w:eastAsia="Arial" w:hAnsi="Arial"/>
                <w:sz w:val="10"/>
                <w:szCs w:val="10"/>
                <w:b w:val="1"/>
                <w:bCs w:val="1"/>
                <w:color w:val="auto"/>
              </w:rPr>
              <w:t>$ in thousands)</w:t>
            </w:r>
          </w:p>
        </w:tc>
        <w:tc>
          <w:tcPr>
            <w:tcW w:w="17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0" w:type="dxa"/>
            <w:vAlign w:val="bottom"/>
            <w:gridSpan w:val="2"/>
          </w:tcPr>
          <w:p>
            <w:pPr>
              <w:jc w:val="center"/>
              <w:ind w:right="540"/>
              <w:spacing w:after="0" w:line="105" w:lineRule="exact"/>
              <w:rPr>
                <w:sz w:val="20"/>
                <w:szCs w:val="20"/>
                <w:color w:val="auto"/>
              </w:rPr>
            </w:pPr>
            <w:r>
              <w:rPr>
                <w:rFonts w:ascii="Arial" w:cs="Arial" w:eastAsia="Arial" w:hAnsi="Arial"/>
                <w:sz w:val="10"/>
                <w:szCs w:val="10"/>
                <w:b w:val="1"/>
                <w:bCs w:val="1"/>
                <w:color w:val="auto"/>
                <w:w w:val="82"/>
              </w:rPr>
              <w:t>Services</w:t>
            </w:r>
          </w:p>
        </w:tc>
        <w:tc>
          <w:tcPr>
            <w:tcW w:w="180" w:type="dxa"/>
            <w:vAlign w:val="bottom"/>
          </w:tcPr>
          <w:p>
            <w:pPr>
              <w:spacing w:after="0"/>
              <w:rPr>
                <w:sz w:val="9"/>
                <w:szCs w:val="9"/>
                <w:color w:val="auto"/>
              </w:rPr>
            </w:pPr>
          </w:p>
        </w:tc>
        <w:tc>
          <w:tcPr>
            <w:tcW w:w="1120" w:type="dxa"/>
            <w:vAlign w:val="bottom"/>
            <w:gridSpan w:val="2"/>
          </w:tcPr>
          <w:p>
            <w:pPr>
              <w:jc w:val="center"/>
              <w:ind w:right="380"/>
              <w:spacing w:after="0" w:line="105" w:lineRule="exact"/>
              <w:rPr>
                <w:sz w:val="20"/>
                <w:szCs w:val="20"/>
                <w:color w:val="auto"/>
              </w:rPr>
            </w:pPr>
            <w:r>
              <w:rPr>
                <w:rFonts w:ascii="Arial" w:cs="Arial" w:eastAsia="Arial" w:hAnsi="Arial"/>
                <w:sz w:val="10"/>
                <w:szCs w:val="10"/>
                <w:b w:val="1"/>
                <w:bCs w:val="1"/>
                <w:color w:val="auto"/>
                <w:w w:val="83"/>
              </w:rPr>
              <w:t>Solutions</w:t>
            </w:r>
          </w:p>
        </w:tc>
        <w:tc>
          <w:tcPr>
            <w:tcW w:w="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0" w:type="dxa"/>
            <w:vAlign w:val="bottom"/>
            <w:gridSpan w:val="2"/>
          </w:tcPr>
          <w:p>
            <w:pPr>
              <w:ind w:left="200"/>
              <w:spacing w:after="0" w:line="105" w:lineRule="exact"/>
              <w:rPr>
                <w:sz w:val="20"/>
                <w:szCs w:val="20"/>
                <w:color w:val="auto"/>
              </w:rPr>
            </w:pPr>
            <w:r>
              <w:rPr>
                <w:rFonts w:ascii="Arial" w:cs="Arial" w:eastAsia="Arial" w:hAnsi="Arial"/>
                <w:sz w:val="10"/>
                <w:szCs w:val="10"/>
                <w:b w:val="1"/>
                <w:bCs w:val="1"/>
                <w:color w:val="auto"/>
              </w:rPr>
              <w:t>and Other</w:t>
            </w:r>
          </w:p>
        </w:tc>
        <w:tc>
          <w:tcPr>
            <w:tcW w:w="280" w:type="dxa"/>
            <w:vAlign w:val="bottom"/>
          </w:tcPr>
          <w:p>
            <w:pPr>
              <w:spacing w:after="0"/>
              <w:rPr>
                <w:sz w:val="9"/>
                <w:szCs w:val="9"/>
                <w:color w:val="auto"/>
              </w:rPr>
            </w:pPr>
          </w:p>
        </w:tc>
        <w:tc>
          <w:tcPr>
            <w:tcW w:w="1040" w:type="dxa"/>
            <w:vAlign w:val="bottom"/>
            <w:gridSpan w:val="2"/>
          </w:tcPr>
          <w:p>
            <w:pPr>
              <w:jc w:val="right"/>
              <w:ind w:right="620"/>
              <w:spacing w:after="0" w:line="105" w:lineRule="exact"/>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20"/>
        </w:trPr>
        <w:tc>
          <w:tcPr>
            <w:tcW w:w="640" w:type="dxa"/>
            <w:vAlign w:val="bottom"/>
            <w:tcBorders>
              <w:bottom w:val="single" w:sz="8" w:color="CFF0FC"/>
            </w:tcBorders>
            <w:shd w:val="clear" w:color="auto" w:fill="000000"/>
          </w:tcPr>
          <w:p>
            <w:pPr>
              <w:spacing w:after="0" w:line="20" w:lineRule="exact"/>
              <w:rPr>
                <w:sz w:val="1"/>
                <w:szCs w:val="1"/>
                <w:color w:val="auto"/>
              </w:rPr>
            </w:pPr>
          </w:p>
        </w:tc>
        <w:tc>
          <w:tcPr>
            <w:tcW w:w="3240" w:type="dxa"/>
            <w:vAlign w:val="bottom"/>
            <w:tcBorders>
              <w:bottom w:val="single" w:sz="8" w:color="CFF0FC"/>
            </w:tcBorders>
          </w:tcPr>
          <w:p>
            <w:pPr>
              <w:spacing w:after="0" w:line="20" w:lineRule="exact"/>
              <w:rPr>
                <w:sz w:val="1"/>
                <w:szCs w:val="1"/>
                <w:color w:val="auto"/>
              </w:rPr>
            </w:pPr>
          </w:p>
        </w:tc>
        <w:tc>
          <w:tcPr>
            <w:tcW w:w="1760" w:type="dxa"/>
            <w:vAlign w:val="bottom"/>
            <w:tcBorders>
              <w:bottom w:val="single" w:sz="8" w:color="CFF0FC"/>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FF0FC"/>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FF0FC"/>
            </w:tcBorders>
          </w:tcPr>
          <w:p>
            <w:pPr>
              <w:spacing w:after="0" w:line="20" w:lineRule="exact"/>
              <w:rPr>
                <w:sz w:val="1"/>
                <w:szCs w:val="1"/>
                <w:color w:val="auto"/>
              </w:rPr>
            </w:pPr>
          </w:p>
        </w:tc>
        <w:tc>
          <w:tcPr>
            <w:tcW w:w="140" w:type="dxa"/>
            <w:vAlign w:val="bottom"/>
            <w:tcBorders>
              <w:bottom w:val="single" w:sz="8" w:color="CFF0FC"/>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FF0FC"/>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3880" w:type="dxa"/>
            <w:vAlign w:val="bottom"/>
            <w:gridSpan w:val="2"/>
            <w:shd w:val="clear" w:color="auto" w:fill="CFF0FC"/>
          </w:tcPr>
          <w:p>
            <w:pPr>
              <w:spacing w:after="0" w:line="132" w:lineRule="exact"/>
              <w:rPr>
                <w:sz w:val="20"/>
                <w:szCs w:val="20"/>
                <w:color w:val="auto"/>
              </w:rPr>
            </w:pPr>
            <w:r>
              <w:rPr>
                <w:rFonts w:ascii="Arial" w:cs="Arial" w:eastAsia="Arial" w:hAnsi="Arial"/>
                <w:sz w:val="12"/>
                <w:szCs w:val="12"/>
                <w:color w:val="auto"/>
              </w:rPr>
              <w:t>Service revenue</w:t>
            </w:r>
          </w:p>
        </w:tc>
        <w:tc>
          <w:tcPr>
            <w:tcW w:w="2000" w:type="dxa"/>
            <w:vAlign w:val="bottom"/>
            <w:gridSpan w:val="2"/>
            <w:shd w:val="clear" w:color="auto" w:fill="CFF0FC"/>
          </w:tcPr>
          <w:p>
            <w:pPr>
              <w:ind w:left="1760"/>
              <w:spacing w:after="0" w:line="132" w:lineRule="exact"/>
              <w:rPr>
                <w:sz w:val="20"/>
                <w:szCs w:val="20"/>
                <w:color w:val="auto"/>
              </w:rPr>
            </w:pPr>
            <w:r>
              <w:rPr>
                <w:rFonts w:ascii="Arial" w:cs="Arial" w:eastAsia="Arial" w:hAnsi="Arial"/>
                <w:sz w:val="12"/>
                <w:szCs w:val="12"/>
                <w:color w:val="auto"/>
              </w:rPr>
              <w:t>$</w:t>
            </w:r>
          </w:p>
        </w:tc>
        <w:tc>
          <w:tcPr>
            <w:tcW w:w="900" w:type="dxa"/>
            <w:vAlign w:val="bottom"/>
            <w:shd w:val="clear" w:color="auto" w:fill="CFF0FC"/>
          </w:tcPr>
          <w:p>
            <w:pPr>
              <w:jc w:val="right"/>
              <w:spacing w:after="0" w:line="132" w:lineRule="exact"/>
              <w:rPr>
                <w:sz w:val="20"/>
                <w:szCs w:val="20"/>
                <w:color w:val="auto"/>
              </w:rPr>
            </w:pPr>
            <w:r>
              <w:rPr>
                <w:rFonts w:ascii="Arial" w:cs="Arial" w:eastAsia="Arial" w:hAnsi="Arial"/>
                <w:sz w:val="12"/>
                <w:szCs w:val="12"/>
                <w:color w:val="auto"/>
              </w:rPr>
              <w:t>222,611</w:t>
            </w:r>
          </w:p>
        </w:tc>
        <w:tc>
          <w:tcPr>
            <w:tcW w:w="3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line="132" w:lineRule="exact"/>
              <w:rPr>
                <w:sz w:val="20"/>
                <w:szCs w:val="20"/>
                <w:color w:val="auto"/>
              </w:rPr>
            </w:pPr>
            <w:r>
              <w:rPr>
                <w:rFonts w:ascii="Arial" w:cs="Arial" w:eastAsia="Arial" w:hAnsi="Arial"/>
                <w:sz w:val="12"/>
                <w:szCs w:val="12"/>
                <w:color w:val="auto"/>
              </w:rPr>
              <w:t>$</w:t>
            </w:r>
          </w:p>
        </w:tc>
        <w:tc>
          <w:tcPr>
            <w:tcW w:w="940" w:type="dxa"/>
            <w:vAlign w:val="bottom"/>
            <w:shd w:val="clear" w:color="auto" w:fill="CFF0FC"/>
          </w:tcPr>
          <w:p>
            <w:pPr>
              <w:jc w:val="right"/>
              <w:spacing w:after="0" w:line="132" w:lineRule="exact"/>
              <w:rPr>
                <w:sz w:val="20"/>
                <w:szCs w:val="20"/>
                <w:color w:val="auto"/>
              </w:rPr>
            </w:pPr>
            <w:r>
              <w:rPr>
                <w:rFonts w:ascii="Arial" w:cs="Arial" w:eastAsia="Arial" w:hAnsi="Arial"/>
                <w:sz w:val="12"/>
                <w:szCs w:val="12"/>
                <w:color w:val="auto"/>
              </w:rPr>
              <w:t>142,465</w:t>
            </w:r>
          </w:p>
        </w:tc>
        <w:tc>
          <w:tcPr>
            <w:tcW w:w="180" w:type="dxa"/>
            <w:vAlign w:val="bottom"/>
            <w:shd w:val="clear" w:color="auto" w:fill="CFF0FC"/>
          </w:tcPr>
          <w:p>
            <w:pPr>
              <w:spacing w:after="0"/>
              <w:rPr>
                <w:sz w:val="11"/>
                <w:szCs w:val="11"/>
                <w:color w:val="auto"/>
              </w:rPr>
            </w:pPr>
          </w:p>
        </w:tc>
        <w:tc>
          <w:tcPr>
            <w:tcW w:w="380" w:type="dxa"/>
            <w:vAlign w:val="bottom"/>
            <w:gridSpan w:val="2"/>
            <w:shd w:val="clear" w:color="auto" w:fill="CFF0FC"/>
          </w:tcPr>
          <w:p>
            <w:pPr>
              <w:jc w:val="right"/>
              <w:ind w:right="200"/>
              <w:spacing w:after="0" w:line="132" w:lineRule="exact"/>
              <w:rPr>
                <w:sz w:val="20"/>
                <w:szCs w:val="20"/>
                <w:color w:val="auto"/>
              </w:rPr>
            </w:pPr>
            <w:r>
              <w:rPr>
                <w:rFonts w:ascii="Arial" w:cs="Arial" w:eastAsia="Arial" w:hAnsi="Arial"/>
                <w:sz w:val="12"/>
                <w:szCs w:val="12"/>
                <w:color w:val="auto"/>
              </w:rPr>
              <w:t>$</w:t>
            </w:r>
          </w:p>
        </w:tc>
        <w:tc>
          <w:tcPr>
            <w:tcW w:w="1400" w:type="dxa"/>
            <w:vAlign w:val="bottom"/>
            <w:tcBorders>
              <w:right w:val="single" w:sz="8" w:color="CFF0FC"/>
            </w:tcBorders>
            <w:gridSpan w:val="2"/>
            <w:shd w:val="clear" w:color="auto" w:fill="CFF0FC"/>
          </w:tcPr>
          <w:p>
            <w:pPr>
              <w:jc w:val="right"/>
              <w:ind w:right="320"/>
              <w:spacing w:after="0" w:line="132" w:lineRule="exact"/>
              <w:rPr>
                <w:sz w:val="20"/>
                <w:szCs w:val="20"/>
                <w:color w:val="auto"/>
              </w:rPr>
            </w:pPr>
            <w:r>
              <w:rPr>
                <w:rFonts w:ascii="Arial" w:cs="Arial" w:eastAsia="Arial" w:hAnsi="Arial"/>
                <w:sz w:val="12"/>
                <w:szCs w:val="12"/>
                <w:color w:val="auto"/>
              </w:rPr>
              <w:t>—</w:t>
            </w:r>
          </w:p>
        </w:tc>
        <w:tc>
          <w:tcPr>
            <w:tcW w:w="280" w:type="dxa"/>
            <w:vAlign w:val="bottom"/>
            <w:shd w:val="clear" w:color="auto" w:fill="CFF0FC"/>
          </w:tcPr>
          <w:p>
            <w:pPr>
              <w:jc w:val="right"/>
              <w:ind w:right="202"/>
              <w:spacing w:after="0"/>
              <w:rPr>
                <w:sz w:val="20"/>
                <w:szCs w:val="20"/>
                <w:color w:val="auto"/>
              </w:rPr>
            </w:pPr>
            <w:r>
              <w:rPr>
                <w:rFonts w:ascii="Arial" w:cs="Arial" w:eastAsia="Arial" w:hAnsi="Arial"/>
                <w:sz w:val="5"/>
                <w:szCs w:val="5"/>
                <w:color w:val="auto"/>
                <w:w w:val="70"/>
              </w:rPr>
              <w:t>$</w:t>
            </w:r>
          </w:p>
        </w:tc>
        <w:tc>
          <w:tcPr>
            <w:tcW w:w="920" w:type="dxa"/>
            <w:vAlign w:val="bottom"/>
            <w:shd w:val="clear" w:color="auto" w:fill="CFF0FC"/>
          </w:tcPr>
          <w:p>
            <w:pPr>
              <w:jc w:val="right"/>
              <w:spacing w:after="0" w:line="132" w:lineRule="exact"/>
              <w:rPr>
                <w:sz w:val="20"/>
                <w:szCs w:val="20"/>
                <w:color w:val="auto"/>
              </w:rPr>
            </w:pPr>
            <w:r>
              <w:rPr>
                <w:rFonts w:ascii="Arial" w:cs="Arial" w:eastAsia="Arial" w:hAnsi="Arial"/>
                <w:sz w:val="12"/>
                <w:szCs w:val="12"/>
                <w:color w:val="auto"/>
              </w:rPr>
              <w:t>365,076</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880" w:type="dxa"/>
            <w:vAlign w:val="bottom"/>
            <w:tcBorders>
              <w:bottom w:val="single" w:sz="8" w:color="CFF0FC"/>
            </w:tcBorders>
            <w:gridSpan w:val="2"/>
          </w:tcPr>
          <w:p>
            <w:pPr>
              <w:spacing w:after="0"/>
              <w:rPr>
                <w:sz w:val="20"/>
                <w:szCs w:val="20"/>
                <w:color w:val="auto"/>
              </w:rPr>
            </w:pPr>
            <w:r>
              <w:rPr>
                <w:rFonts w:ascii="Arial" w:cs="Arial" w:eastAsia="Arial" w:hAnsi="Arial"/>
                <w:sz w:val="12"/>
                <w:szCs w:val="12"/>
                <w:color w:val="auto"/>
              </w:rPr>
              <w:t>Product sales</w:t>
            </w:r>
          </w:p>
        </w:tc>
        <w:tc>
          <w:tcPr>
            <w:tcW w:w="176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30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5,070</w:t>
            </w:r>
          </w:p>
        </w:tc>
        <w:tc>
          <w:tcPr>
            <w:tcW w:w="180" w:type="dxa"/>
            <w:vAlign w:val="bottom"/>
            <w:tcBorders>
              <w:bottom w:val="single" w:sz="8" w:color="CFF0FC"/>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32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5,070</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3880" w:type="dxa"/>
            <w:vAlign w:val="bottom"/>
            <w:gridSpan w:val="2"/>
            <w:shd w:val="clear" w:color="auto" w:fill="CFF0FC"/>
          </w:tcPr>
          <w:p>
            <w:pPr>
              <w:ind w:left="80"/>
              <w:spacing w:after="0"/>
              <w:rPr>
                <w:sz w:val="20"/>
                <w:szCs w:val="20"/>
                <w:color w:val="auto"/>
              </w:rPr>
            </w:pPr>
            <w:r>
              <w:rPr>
                <w:rFonts w:ascii="Arial" w:cs="Arial" w:eastAsia="Arial" w:hAnsi="Arial"/>
                <w:sz w:val="12"/>
                <w:szCs w:val="12"/>
                <w:color w:val="auto"/>
              </w:rPr>
              <w:t>Total revenue</w:t>
            </w:r>
          </w:p>
        </w:tc>
        <w:tc>
          <w:tcPr>
            <w:tcW w:w="17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222,611</w:t>
            </w:r>
          </w:p>
        </w:tc>
        <w:tc>
          <w:tcPr>
            <w:tcW w:w="3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147,535</w:t>
            </w:r>
          </w:p>
        </w:tc>
        <w:tc>
          <w:tcPr>
            <w:tcW w:w="180" w:type="dxa"/>
            <w:vAlign w:val="bottom"/>
            <w:shd w:val="clear" w:color="auto" w:fill="CFF0FC"/>
          </w:tcPr>
          <w:p>
            <w:pPr>
              <w:spacing w:after="0"/>
              <w:rPr>
                <w:sz w:val="12"/>
                <w:szCs w:val="12"/>
                <w:color w:val="auto"/>
              </w:rPr>
            </w:pPr>
          </w:p>
        </w:tc>
        <w:tc>
          <w:tcPr>
            <w:tcW w:w="140" w:type="dxa"/>
            <w:vAlign w:val="bottom"/>
            <w:tcBorders>
              <w:right w:val="single" w:sz="8" w:color="CFF0FC"/>
            </w:tcBorders>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400" w:type="dxa"/>
            <w:vAlign w:val="bottom"/>
            <w:tcBorders>
              <w:right w:val="single" w:sz="8" w:color="CFF0FC"/>
            </w:tcBorders>
            <w:gridSpan w:val="2"/>
            <w:shd w:val="clear" w:color="auto" w:fill="CFF0FC"/>
          </w:tcPr>
          <w:p>
            <w:pPr>
              <w:jc w:val="right"/>
              <w:ind w:right="320"/>
              <w:spacing w:after="0"/>
              <w:rPr>
                <w:sz w:val="20"/>
                <w:szCs w:val="20"/>
                <w:color w:val="auto"/>
              </w:rPr>
            </w:pPr>
            <w:r>
              <w:rPr>
                <w:rFonts w:ascii="Arial" w:cs="Arial" w:eastAsia="Arial" w:hAnsi="Arial"/>
                <w:sz w:val="12"/>
                <w:szCs w:val="12"/>
                <w:color w:val="auto"/>
              </w:rPr>
              <w:t>—</w:t>
            </w:r>
          </w:p>
        </w:tc>
        <w:tc>
          <w:tcPr>
            <w:tcW w:w="28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370,146</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880" w:type="dxa"/>
            <w:vAlign w:val="bottom"/>
            <w:gridSpan w:val="2"/>
          </w:tcPr>
          <w:p>
            <w:pPr>
              <w:spacing w:after="0"/>
              <w:rPr>
                <w:sz w:val="20"/>
                <w:szCs w:val="20"/>
                <w:color w:val="auto"/>
              </w:rPr>
            </w:pPr>
            <w:r>
              <w:rPr>
                <w:rFonts w:ascii="Arial" w:cs="Arial" w:eastAsia="Arial" w:hAnsi="Arial"/>
                <w:sz w:val="12"/>
                <w:szCs w:val="12"/>
                <w:color w:val="auto"/>
              </w:rPr>
              <w:t>Cost of service revenue</w:t>
            </w:r>
          </w:p>
        </w:tc>
        <w:tc>
          <w:tcPr>
            <w:tcW w:w="1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3,078</w:t>
            </w: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2,710</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0" w:type="dxa"/>
            <w:vAlign w:val="bottom"/>
            <w:gridSpan w:val="2"/>
          </w:tcPr>
          <w:p>
            <w:pPr>
              <w:jc w:val="right"/>
              <w:ind w:right="32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5,788</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88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Cost of product sales</w:t>
            </w:r>
          </w:p>
        </w:tc>
        <w:tc>
          <w:tcPr>
            <w:tcW w:w="17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200" w:type="dxa"/>
            <w:vAlign w:val="bottom"/>
            <w:gridSpan w:val="2"/>
            <w:shd w:val="clear" w:color="auto" w:fill="CFF0FC"/>
          </w:tcPr>
          <w:p>
            <w:pPr>
              <w:jc w:val="right"/>
              <w:ind w:right="320"/>
              <w:spacing w:after="0"/>
              <w:rPr>
                <w:sz w:val="20"/>
                <w:szCs w:val="20"/>
                <w:color w:val="auto"/>
              </w:rPr>
            </w:pPr>
            <w:r>
              <w:rPr>
                <w:rFonts w:ascii="Arial" w:cs="Arial" w:eastAsia="Arial" w:hAnsi="Arial"/>
                <w:sz w:val="12"/>
                <w:szCs w:val="12"/>
                <w:color w:val="auto"/>
              </w:rPr>
              <w:t>—</w:t>
            </w:r>
          </w:p>
        </w:tc>
        <w:tc>
          <w:tcPr>
            <w:tcW w:w="180" w:type="dxa"/>
            <w:vAlign w:val="bottom"/>
            <w:shd w:val="clear" w:color="auto" w:fill="CFF0FC"/>
          </w:tcPr>
          <w:p>
            <w:pPr>
              <w:spacing w:after="0"/>
              <w:rPr>
                <w:sz w:val="13"/>
                <w:szCs w:val="13"/>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3,447</w:t>
            </w:r>
          </w:p>
        </w:tc>
        <w:tc>
          <w:tcPr>
            <w:tcW w:w="180" w:type="dxa"/>
            <w:vAlign w:val="bottom"/>
            <w:shd w:val="clear" w:color="auto" w:fill="CFF0FC"/>
          </w:tcPr>
          <w:p>
            <w:pPr>
              <w:spacing w:after="0"/>
              <w:rPr>
                <w:sz w:val="13"/>
                <w:szCs w:val="13"/>
                <w:color w:val="auto"/>
              </w:rPr>
            </w:pPr>
          </w:p>
        </w:tc>
        <w:tc>
          <w:tcPr>
            <w:tcW w:w="140" w:type="dxa"/>
            <w:vAlign w:val="bottom"/>
            <w:tcBorders>
              <w:right w:val="single" w:sz="8" w:color="CFF0FC"/>
            </w:tcBorders>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400" w:type="dxa"/>
            <w:vAlign w:val="bottom"/>
            <w:tcBorders>
              <w:right w:val="single" w:sz="8" w:color="CFF0FC"/>
            </w:tcBorders>
            <w:gridSpan w:val="2"/>
            <w:shd w:val="clear" w:color="auto" w:fill="CFF0FC"/>
          </w:tcPr>
          <w:p>
            <w:pPr>
              <w:jc w:val="right"/>
              <w:ind w:right="320"/>
              <w:spacing w:after="0"/>
              <w:rPr>
                <w:sz w:val="20"/>
                <w:szCs w:val="20"/>
                <w:color w:val="auto"/>
              </w:rPr>
            </w:pPr>
            <w:r>
              <w:rPr>
                <w:rFonts w:ascii="Arial" w:cs="Arial" w:eastAsia="Arial" w:hAnsi="Arial"/>
                <w:sz w:val="12"/>
                <w:szCs w:val="12"/>
                <w:color w:val="auto"/>
              </w:rPr>
              <w:t>—</w:t>
            </w:r>
          </w:p>
        </w:tc>
        <w:tc>
          <w:tcPr>
            <w:tcW w:w="280" w:type="dxa"/>
            <w:vAlign w:val="bottom"/>
            <w:shd w:val="clear" w:color="auto" w:fill="CFF0FC"/>
          </w:tcPr>
          <w:p>
            <w:pPr>
              <w:spacing w:after="0"/>
              <w:rPr>
                <w:sz w:val="13"/>
                <w:szCs w:val="13"/>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3,447</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880" w:type="dxa"/>
            <w:vAlign w:val="bottom"/>
            <w:gridSpan w:val="2"/>
          </w:tcPr>
          <w:p>
            <w:pPr>
              <w:spacing w:after="0"/>
              <w:rPr>
                <w:sz w:val="20"/>
                <w:szCs w:val="20"/>
                <w:color w:val="auto"/>
              </w:rPr>
            </w:pPr>
            <w:r>
              <w:rPr>
                <w:rFonts w:ascii="Arial" w:cs="Arial" w:eastAsia="Arial" w:hAnsi="Arial"/>
                <w:sz w:val="12"/>
                <w:szCs w:val="12"/>
                <w:color w:val="auto"/>
              </w:rPr>
              <w:t>Operating expenses</w:t>
            </w:r>
          </w:p>
        </w:tc>
        <w:tc>
          <w:tcPr>
            <w:tcW w:w="1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51,221</w:t>
            </w: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57,525</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0" w:type="dxa"/>
            <w:vAlign w:val="bottom"/>
            <w:gridSpan w:val="2"/>
          </w:tcPr>
          <w:p>
            <w:pPr>
              <w:jc w:val="right"/>
              <w:ind w:right="32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108,746</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88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Selling, general and administrative expenses</w:t>
            </w:r>
          </w:p>
        </w:tc>
        <w:tc>
          <w:tcPr>
            <w:tcW w:w="17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55,370</w:t>
            </w:r>
          </w:p>
        </w:tc>
        <w:tc>
          <w:tcPr>
            <w:tcW w:w="3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27,827</w:t>
            </w:r>
          </w:p>
        </w:tc>
        <w:tc>
          <w:tcPr>
            <w:tcW w:w="180" w:type="dxa"/>
            <w:vAlign w:val="bottom"/>
            <w:shd w:val="clear" w:color="auto" w:fill="CFF0FC"/>
          </w:tcPr>
          <w:p>
            <w:pPr>
              <w:spacing w:after="0"/>
              <w:rPr>
                <w:sz w:val="13"/>
                <w:szCs w:val="13"/>
                <w:color w:val="auto"/>
              </w:rPr>
            </w:pPr>
          </w:p>
        </w:tc>
        <w:tc>
          <w:tcPr>
            <w:tcW w:w="140" w:type="dxa"/>
            <w:vAlign w:val="bottom"/>
            <w:tcBorders>
              <w:right w:val="single" w:sz="8" w:color="CFF0FC"/>
            </w:tcBorders>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50,737</w:t>
            </w:r>
          </w:p>
        </w:tc>
        <w:tc>
          <w:tcPr>
            <w:tcW w:w="320" w:type="dxa"/>
            <w:vAlign w:val="bottom"/>
            <w:tcBorders>
              <w:left w:val="single" w:sz="8" w:color="CFF0FC"/>
              <w:right w:val="single" w:sz="8" w:color="CFF0FC"/>
            </w:tcBorders>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133,934</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880" w:type="dxa"/>
            <w:vAlign w:val="bottom"/>
            <w:gridSpan w:val="2"/>
          </w:tcPr>
          <w:p>
            <w:pPr>
              <w:spacing w:after="0"/>
              <w:rPr>
                <w:sz w:val="20"/>
                <w:szCs w:val="20"/>
                <w:color w:val="auto"/>
              </w:rPr>
            </w:pPr>
            <w:r>
              <w:rPr>
                <w:rFonts w:ascii="Arial" w:cs="Arial" w:eastAsia="Arial" w:hAnsi="Arial"/>
                <w:sz w:val="12"/>
                <w:szCs w:val="12"/>
                <w:color w:val="auto"/>
              </w:rPr>
              <w:t>Other (income) expenses, net</w:t>
            </w:r>
          </w:p>
        </w:tc>
        <w:tc>
          <w:tcPr>
            <w:tcW w:w="1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2"/>
                <w:szCs w:val="12"/>
                <w:color w:val="auto"/>
              </w:rPr>
              <w:t>(8,680)</w:t>
            </w:r>
          </w:p>
        </w:tc>
        <w:tc>
          <w:tcPr>
            <w:tcW w:w="180" w:type="dxa"/>
            <w:vAlign w:val="bottom"/>
          </w:tcPr>
          <w:p>
            <w:pPr>
              <w:spacing w:after="0"/>
              <w:rPr>
                <w:sz w:val="13"/>
                <w:szCs w:val="13"/>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2"/>
                <w:szCs w:val="12"/>
                <w:color w:val="auto"/>
              </w:rPr>
              <w:t>(117)</w:t>
            </w: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2</w:t>
            </w: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2"/>
                <w:szCs w:val="12"/>
                <w:color w:val="auto"/>
              </w:rPr>
              <w:t>(8,795)</w:t>
            </w:r>
          </w:p>
        </w:tc>
        <w:tc>
          <w:tcPr>
            <w:tcW w:w="0" w:type="dxa"/>
            <w:vAlign w:val="bottom"/>
          </w:tcPr>
          <w:p>
            <w:pPr>
              <w:spacing w:after="0"/>
              <w:rPr>
                <w:sz w:val="1"/>
                <w:szCs w:val="1"/>
                <w:color w:val="auto"/>
              </w:rPr>
            </w:pPr>
          </w:p>
        </w:tc>
      </w:tr>
      <w:tr>
        <w:trPr>
          <w:trHeight w:val="20"/>
        </w:trPr>
        <w:tc>
          <w:tcPr>
            <w:tcW w:w="3880" w:type="dxa"/>
            <w:vAlign w:val="bottom"/>
            <w:gridSpan w:val="2"/>
            <w:vMerge w:val="restart"/>
            <w:shd w:val="clear" w:color="auto" w:fill="CFF0FC"/>
          </w:tcPr>
          <w:p>
            <w:pPr>
              <w:ind w:left="80"/>
              <w:spacing w:after="0"/>
              <w:rPr>
                <w:sz w:val="20"/>
                <w:szCs w:val="20"/>
                <w:color w:val="auto"/>
              </w:rPr>
            </w:pPr>
            <w:r>
              <w:rPr>
                <w:rFonts w:ascii="Arial" w:cs="Arial" w:eastAsia="Arial" w:hAnsi="Arial"/>
                <w:sz w:val="12"/>
                <w:szCs w:val="12"/>
                <w:b w:val="1"/>
                <w:bCs w:val="1"/>
                <w:color w:val="auto"/>
              </w:rPr>
              <w:t>Segment profit (loss)</w:t>
            </w:r>
          </w:p>
        </w:tc>
        <w:tc>
          <w:tcPr>
            <w:tcW w:w="176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40" w:type="dxa"/>
            <w:vAlign w:val="bottom"/>
            <w:tcBorders>
              <w:right w:val="single" w:sz="8" w:color="auto"/>
            </w:tcBorders>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20" w:type="dxa"/>
            <w:vAlign w:val="bottom"/>
            <w:tcBorders>
              <w:left w:val="single" w:sz="8" w:color="CFF0FC"/>
              <w:right w:val="single" w:sz="8" w:color="auto"/>
            </w:tcBorders>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880" w:type="dxa"/>
            <w:vAlign w:val="bottom"/>
            <w:gridSpan w:val="2"/>
            <w:vMerge w:val="continue"/>
            <w:shd w:val="clear" w:color="auto" w:fill="CFF0FC"/>
          </w:tcPr>
          <w:p>
            <w:pPr>
              <w:spacing w:after="0"/>
              <w:rPr>
                <w:sz w:val="12"/>
                <w:szCs w:val="12"/>
                <w:color w:val="auto"/>
              </w:rPr>
            </w:pPr>
          </w:p>
        </w:tc>
        <w:tc>
          <w:tcPr>
            <w:tcW w:w="17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20"/>
                <w:szCs w:val="20"/>
                <w:color w:val="auto"/>
              </w:rPr>
            </w:pPr>
            <w:r>
              <w:rPr>
                <w:rFonts w:ascii="Arial" w:cs="Arial" w:eastAsia="Arial" w:hAnsi="Arial"/>
                <w:sz w:val="12"/>
                <w:szCs w:val="12"/>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121,622</w:t>
            </w:r>
          </w:p>
        </w:tc>
        <w:tc>
          <w:tcPr>
            <w:tcW w:w="3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20"/>
                <w:szCs w:val="20"/>
                <w:color w:val="auto"/>
              </w:rPr>
            </w:pPr>
            <w:r>
              <w:rPr>
                <w:rFonts w:ascii="Arial" w:cs="Arial" w:eastAsia="Arial" w:hAnsi="Arial"/>
                <w:sz w:val="12"/>
                <w:szCs w:val="12"/>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56,143</w:t>
            </w:r>
          </w:p>
        </w:tc>
        <w:tc>
          <w:tcPr>
            <w:tcW w:w="180" w:type="dxa"/>
            <w:vAlign w:val="bottom"/>
            <w:shd w:val="clear" w:color="auto" w:fill="CFF0FC"/>
          </w:tcPr>
          <w:p>
            <w:pPr>
              <w:spacing w:after="0"/>
              <w:rPr>
                <w:sz w:val="12"/>
                <w:szCs w:val="12"/>
                <w:color w:val="auto"/>
              </w:rPr>
            </w:pPr>
          </w:p>
        </w:tc>
        <w:tc>
          <w:tcPr>
            <w:tcW w:w="38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1400" w:type="dxa"/>
            <w:vAlign w:val="bottom"/>
            <w:tcBorders>
              <w:right w:val="single" w:sz="8" w:color="CFF0FC"/>
            </w:tcBorders>
            <w:gridSpan w:val="2"/>
            <w:shd w:val="clear" w:color="auto" w:fill="CFF0FC"/>
          </w:tcPr>
          <w:p>
            <w:pPr>
              <w:jc w:val="right"/>
              <w:ind w:right="280"/>
              <w:spacing w:after="0"/>
              <w:rPr>
                <w:sz w:val="20"/>
                <w:szCs w:val="20"/>
                <w:color w:val="auto"/>
              </w:rPr>
            </w:pPr>
            <w:r>
              <w:rPr>
                <w:rFonts w:ascii="Arial" w:cs="Arial" w:eastAsia="Arial" w:hAnsi="Arial"/>
                <w:sz w:val="12"/>
                <w:szCs w:val="12"/>
                <w:color w:val="auto"/>
              </w:rPr>
              <w:t>(50,739)</w:t>
            </w:r>
          </w:p>
        </w:tc>
        <w:tc>
          <w:tcPr>
            <w:tcW w:w="280" w:type="dxa"/>
            <w:vAlign w:val="bottom"/>
            <w:shd w:val="clear" w:color="auto" w:fill="CFF0FC"/>
          </w:tcPr>
          <w:p>
            <w:pPr>
              <w:jc w:val="right"/>
              <w:ind w:right="202"/>
              <w:spacing w:after="0"/>
              <w:rPr>
                <w:sz w:val="20"/>
                <w:szCs w:val="20"/>
                <w:color w:val="auto"/>
              </w:rPr>
            </w:pPr>
            <w:r>
              <w:rPr>
                <w:rFonts w:ascii="Arial" w:cs="Arial" w:eastAsia="Arial" w:hAnsi="Arial"/>
                <w:sz w:val="5"/>
                <w:szCs w:val="5"/>
                <w:color w:val="auto"/>
                <w:w w:val="70"/>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127,026</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880" w:type="dxa"/>
            <w:vAlign w:val="bottom"/>
            <w:tcBorders>
              <w:top w:val="single" w:sz="8" w:color="CFF0FC"/>
            </w:tcBorders>
            <w:gridSpan w:val="2"/>
            <w:vMerge w:val="restart"/>
          </w:tcPr>
          <w:p>
            <w:pPr>
              <w:spacing w:after="0"/>
              <w:rPr>
                <w:sz w:val="20"/>
                <w:szCs w:val="20"/>
                <w:color w:val="auto"/>
              </w:rPr>
            </w:pPr>
            <w:r>
              <w:rPr>
                <w:rFonts w:ascii="Arial" w:cs="Arial" w:eastAsia="Arial" w:hAnsi="Arial"/>
                <w:sz w:val="12"/>
                <w:szCs w:val="12"/>
                <w:color w:val="auto"/>
              </w:rPr>
              <w:t>Segment profit (loss)</w:t>
            </w:r>
          </w:p>
        </w:tc>
        <w:tc>
          <w:tcPr>
            <w:tcW w:w="176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right w:val="single" w:sz="8" w:color="auto"/>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right w:val="single" w:sz="8" w:color="auto"/>
            </w:tcBorders>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3880" w:type="dxa"/>
            <w:vAlign w:val="bottom"/>
            <w:gridSpan w:val="2"/>
            <w:vMerge w:val="continue"/>
          </w:tcPr>
          <w:p>
            <w:pPr>
              <w:spacing w:after="0"/>
              <w:rPr>
                <w:sz w:val="12"/>
                <w:szCs w:val="12"/>
                <w:color w:val="auto"/>
              </w:rPr>
            </w:pPr>
          </w:p>
        </w:tc>
        <w:tc>
          <w:tcPr>
            <w:tcW w:w="1760" w:type="dxa"/>
            <w:vAlign w:val="bottom"/>
          </w:tcPr>
          <w:p>
            <w:pPr>
              <w:spacing w:after="0"/>
              <w:rPr>
                <w:sz w:val="12"/>
                <w:szCs w:val="12"/>
                <w:color w:val="auto"/>
              </w:rPr>
            </w:pPr>
          </w:p>
        </w:tc>
        <w:tc>
          <w:tcPr>
            <w:tcW w:w="240" w:type="dxa"/>
            <w:vAlign w:val="bottom"/>
          </w:tcPr>
          <w:p>
            <w:pPr>
              <w:spacing w:after="0"/>
              <w:rPr>
                <w:sz w:val="20"/>
                <w:szCs w:val="20"/>
                <w:color w:val="auto"/>
              </w:rPr>
            </w:pPr>
            <w:r>
              <w:rPr>
                <w:rFonts w:ascii="Arial" w:cs="Arial" w:eastAsia="Arial" w:hAnsi="Arial"/>
                <w:sz w:val="12"/>
                <w:szCs w:val="12"/>
                <w:color w:val="auto"/>
              </w:rPr>
              <w:t>$</w:t>
            </w:r>
          </w:p>
        </w:tc>
        <w:tc>
          <w:tcPr>
            <w:tcW w:w="900" w:type="dxa"/>
            <w:vAlign w:val="bottom"/>
          </w:tcPr>
          <w:p>
            <w:pPr>
              <w:jc w:val="right"/>
              <w:spacing w:after="0"/>
              <w:rPr>
                <w:sz w:val="20"/>
                <w:szCs w:val="20"/>
                <w:color w:val="auto"/>
              </w:rPr>
            </w:pPr>
            <w:r>
              <w:rPr>
                <w:rFonts w:ascii="Arial" w:cs="Arial" w:eastAsia="Arial" w:hAnsi="Arial"/>
                <w:sz w:val="12"/>
                <w:szCs w:val="12"/>
                <w:color w:val="auto"/>
              </w:rPr>
              <w:t>121,622</w:t>
            </w:r>
          </w:p>
        </w:tc>
        <w:tc>
          <w:tcPr>
            <w:tcW w:w="300" w:type="dxa"/>
            <w:vAlign w:val="bottom"/>
          </w:tcPr>
          <w:p>
            <w:pPr>
              <w:spacing w:after="0"/>
              <w:rPr>
                <w:sz w:val="12"/>
                <w:szCs w:val="12"/>
                <w:color w:val="auto"/>
              </w:rPr>
            </w:pPr>
          </w:p>
        </w:tc>
        <w:tc>
          <w:tcPr>
            <w:tcW w:w="180" w:type="dxa"/>
            <w:vAlign w:val="bottom"/>
          </w:tcPr>
          <w:p>
            <w:pPr>
              <w:spacing w:after="0"/>
              <w:rPr>
                <w:sz w:val="20"/>
                <w:szCs w:val="20"/>
                <w:color w:val="auto"/>
              </w:rPr>
            </w:pPr>
            <w:r>
              <w:rPr>
                <w:rFonts w:ascii="Arial" w:cs="Arial" w:eastAsia="Arial" w:hAnsi="Arial"/>
                <w:sz w:val="12"/>
                <w:szCs w:val="12"/>
                <w:color w:val="auto"/>
              </w:rPr>
              <w:t>$</w:t>
            </w:r>
          </w:p>
        </w:tc>
        <w:tc>
          <w:tcPr>
            <w:tcW w:w="940" w:type="dxa"/>
            <w:vAlign w:val="bottom"/>
          </w:tcPr>
          <w:p>
            <w:pPr>
              <w:jc w:val="right"/>
              <w:spacing w:after="0"/>
              <w:rPr>
                <w:sz w:val="20"/>
                <w:szCs w:val="20"/>
                <w:color w:val="auto"/>
              </w:rPr>
            </w:pPr>
            <w:r>
              <w:rPr>
                <w:rFonts w:ascii="Arial" w:cs="Arial" w:eastAsia="Arial" w:hAnsi="Arial"/>
                <w:sz w:val="12"/>
                <w:szCs w:val="12"/>
                <w:color w:val="auto"/>
              </w:rPr>
              <w:t>56,143</w:t>
            </w:r>
          </w:p>
        </w:tc>
        <w:tc>
          <w:tcPr>
            <w:tcW w:w="180" w:type="dxa"/>
            <w:vAlign w:val="bottom"/>
          </w:tcPr>
          <w:p>
            <w:pPr>
              <w:spacing w:after="0"/>
              <w:rPr>
                <w:sz w:val="12"/>
                <w:szCs w:val="12"/>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400" w:type="dxa"/>
            <w:vAlign w:val="bottom"/>
            <w:gridSpan w:val="2"/>
          </w:tcPr>
          <w:p>
            <w:pPr>
              <w:jc w:val="right"/>
              <w:ind w:right="280"/>
              <w:spacing w:after="0"/>
              <w:rPr>
                <w:sz w:val="20"/>
                <w:szCs w:val="20"/>
                <w:color w:val="auto"/>
              </w:rPr>
            </w:pPr>
            <w:r>
              <w:rPr>
                <w:rFonts w:ascii="Arial" w:cs="Arial" w:eastAsia="Arial" w:hAnsi="Arial"/>
                <w:sz w:val="12"/>
                <w:szCs w:val="12"/>
                <w:color w:val="auto"/>
              </w:rPr>
              <w:t>(50,739)</w:t>
            </w:r>
          </w:p>
        </w:tc>
        <w:tc>
          <w:tcPr>
            <w:tcW w:w="280" w:type="dxa"/>
            <w:vAlign w:val="bottom"/>
          </w:tcPr>
          <w:p>
            <w:pPr>
              <w:jc w:val="right"/>
              <w:ind w:right="202"/>
              <w:spacing w:after="0"/>
              <w:rPr>
                <w:sz w:val="20"/>
                <w:szCs w:val="20"/>
                <w:color w:val="auto"/>
              </w:rPr>
            </w:pPr>
            <w:r>
              <w:rPr>
                <w:rFonts w:ascii="Arial" w:cs="Arial" w:eastAsia="Arial" w:hAnsi="Arial"/>
                <w:sz w:val="5"/>
                <w:szCs w:val="5"/>
                <w:color w:val="auto"/>
                <w:w w:val="70"/>
              </w:rPr>
              <w:t>$</w:t>
            </w:r>
          </w:p>
        </w:tc>
        <w:tc>
          <w:tcPr>
            <w:tcW w:w="920" w:type="dxa"/>
            <w:vAlign w:val="bottom"/>
          </w:tcPr>
          <w:p>
            <w:pPr>
              <w:jc w:val="right"/>
              <w:spacing w:after="0"/>
              <w:rPr>
                <w:sz w:val="20"/>
                <w:szCs w:val="20"/>
                <w:color w:val="auto"/>
              </w:rPr>
            </w:pPr>
            <w:r>
              <w:rPr>
                <w:rFonts w:ascii="Arial" w:cs="Arial" w:eastAsia="Arial" w:hAnsi="Arial"/>
                <w:sz w:val="12"/>
                <w:szCs w:val="12"/>
                <w:color w:val="auto"/>
              </w:rPr>
              <w:t>127,026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88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Depreciation and amortization</w:t>
            </w:r>
          </w:p>
        </w:tc>
        <w:tc>
          <w:tcPr>
            <w:tcW w:w="17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200" w:type="dxa"/>
            <w:vAlign w:val="bottom"/>
            <w:gridSpan w:val="2"/>
            <w:shd w:val="clear" w:color="auto" w:fill="CFF0FC"/>
          </w:tcPr>
          <w:p>
            <w:pPr>
              <w:jc w:val="right"/>
              <w:ind w:right="320"/>
              <w:spacing w:after="0"/>
              <w:rPr>
                <w:sz w:val="20"/>
                <w:szCs w:val="20"/>
                <w:color w:val="auto"/>
              </w:rPr>
            </w:pPr>
            <w:r>
              <w:rPr>
                <w:rFonts w:ascii="Arial" w:cs="Arial" w:eastAsia="Arial" w:hAnsi="Arial"/>
                <w:sz w:val="12"/>
                <w:szCs w:val="12"/>
                <w:color w:val="auto"/>
              </w:rPr>
              <w:t>—</w:t>
            </w:r>
          </w:p>
        </w:tc>
        <w:tc>
          <w:tcPr>
            <w:tcW w:w="180" w:type="dxa"/>
            <w:vAlign w:val="bottom"/>
            <w:shd w:val="clear" w:color="auto" w:fill="CFF0FC"/>
          </w:tcPr>
          <w:p>
            <w:pPr>
              <w:spacing w:after="0"/>
              <w:rPr>
                <w:sz w:val="13"/>
                <w:szCs w:val="13"/>
                <w:color w:val="auto"/>
              </w:rPr>
            </w:pPr>
          </w:p>
        </w:tc>
        <w:tc>
          <w:tcPr>
            <w:tcW w:w="112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140" w:type="dxa"/>
            <w:vAlign w:val="bottom"/>
            <w:tcBorders>
              <w:right w:val="single" w:sz="8" w:color="CFF0FC"/>
            </w:tcBorders>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103,346</w:t>
            </w:r>
          </w:p>
        </w:tc>
        <w:tc>
          <w:tcPr>
            <w:tcW w:w="320" w:type="dxa"/>
            <w:vAlign w:val="bottom"/>
            <w:tcBorders>
              <w:left w:val="single" w:sz="8" w:color="CFF0FC"/>
              <w:right w:val="single" w:sz="8" w:color="CFF0FC"/>
            </w:tcBorders>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103,346</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880" w:type="dxa"/>
            <w:vAlign w:val="bottom"/>
            <w:gridSpan w:val="2"/>
          </w:tcPr>
          <w:p>
            <w:pPr>
              <w:spacing w:after="0"/>
              <w:rPr>
                <w:sz w:val="20"/>
                <w:szCs w:val="20"/>
                <w:color w:val="auto"/>
              </w:rPr>
            </w:pPr>
            <w:r>
              <w:rPr>
                <w:rFonts w:ascii="Arial" w:cs="Arial" w:eastAsia="Arial" w:hAnsi="Arial"/>
                <w:sz w:val="12"/>
                <w:szCs w:val="12"/>
                <w:color w:val="auto"/>
              </w:rPr>
              <w:t>Loss on disposal of assets, net</w:t>
            </w:r>
          </w:p>
        </w:tc>
        <w:tc>
          <w:tcPr>
            <w:tcW w:w="1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7</w:t>
            </w: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7</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88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Stock-based compensation</w:t>
            </w:r>
          </w:p>
        </w:tc>
        <w:tc>
          <w:tcPr>
            <w:tcW w:w="17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200" w:type="dxa"/>
            <w:vAlign w:val="bottom"/>
            <w:gridSpan w:val="2"/>
            <w:shd w:val="clear" w:color="auto" w:fill="CFF0FC"/>
          </w:tcPr>
          <w:p>
            <w:pPr>
              <w:jc w:val="right"/>
              <w:ind w:right="320"/>
              <w:spacing w:after="0"/>
              <w:rPr>
                <w:sz w:val="20"/>
                <w:szCs w:val="20"/>
                <w:color w:val="auto"/>
              </w:rPr>
            </w:pPr>
            <w:r>
              <w:rPr>
                <w:rFonts w:ascii="Arial" w:cs="Arial" w:eastAsia="Arial" w:hAnsi="Arial"/>
                <w:sz w:val="12"/>
                <w:szCs w:val="12"/>
                <w:color w:val="auto"/>
              </w:rPr>
              <w:t>—</w:t>
            </w:r>
          </w:p>
        </w:tc>
        <w:tc>
          <w:tcPr>
            <w:tcW w:w="180" w:type="dxa"/>
            <w:vAlign w:val="bottom"/>
            <w:shd w:val="clear" w:color="auto" w:fill="CFF0FC"/>
          </w:tcPr>
          <w:p>
            <w:pPr>
              <w:spacing w:after="0"/>
              <w:rPr>
                <w:sz w:val="13"/>
                <w:szCs w:val="13"/>
                <w:color w:val="auto"/>
              </w:rPr>
            </w:pPr>
          </w:p>
        </w:tc>
        <w:tc>
          <w:tcPr>
            <w:tcW w:w="112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140" w:type="dxa"/>
            <w:vAlign w:val="bottom"/>
            <w:tcBorders>
              <w:right w:val="single" w:sz="8" w:color="CFF0FC"/>
            </w:tcBorders>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2,272</w:t>
            </w:r>
          </w:p>
        </w:tc>
        <w:tc>
          <w:tcPr>
            <w:tcW w:w="320" w:type="dxa"/>
            <w:vAlign w:val="bottom"/>
            <w:tcBorders>
              <w:left w:val="single" w:sz="8" w:color="CFF0FC"/>
              <w:right w:val="single" w:sz="8" w:color="CFF0FC"/>
            </w:tcBorders>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2,272</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880" w:type="dxa"/>
            <w:vAlign w:val="bottom"/>
            <w:gridSpan w:val="2"/>
          </w:tcPr>
          <w:p>
            <w:pPr>
              <w:spacing w:after="0"/>
              <w:rPr>
                <w:sz w:val="20"/>
                <w:szCs w:val="20"/>
                <w:color w:val="auto"/>
              </w:rPr>
            </w:pPr>
            <w:r>
              <w:rPr>
                <w:rFonts w:ascii="Arial" w:cs="Arial" w:eastAsia="Arial" w:hAnsi="Arial"/>
                <w:sz w:val="12"/>
                <w:szCs w:val="12"/>
                <w:color w:val="auto"/>
              </w:rPr>
              <w:t>Interest expense</w:t>
            </w:r>
          </w:p>
        </w:tc>
        <w:tc>
          <w:tcPr>
            <w:tcW w:w="1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69,550</w:t>
            </w: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69,550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88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Loss on extinguishment of debt</w:t>
            </w:r>
          </w:p>
        </w:tc>
        <w:tc>
          <w:tcPr>
            <w:tcW w:w="1760" w:type="dxa"/>
            <w:vAlign w:val="bottom"/>
            <w:shd w:val="clear" w:color="auto" w:fill="CFF0FC"/>
          </w:tcPr>
          <w:p>
            <w:pPr>
              <w:spacing w:after="0"/>
              <w:rPr>
                <w:sz w:val="13"/>
                <w:szCs w:val="13"/>
                <w:color w:val="auto"/>
              </w:rPr>
            </w:pPr>
          </w:p>
        </w:tc>
        <w:tc>
          <w:tcPr>
            <w:tcW w:w="240" w:type="dxa"/>
            <w:vAlign w:val="bottom"/>
            <w:tcBorders>
              <w:bottom w:val="single" w:sz="8" w:color="auto"/>
            </w:tcBorders>
            <w:shd w:val="clear" w:color="auto" w:fill="CFF0FC"/>
          </w:tcPr>
          <w:p>
            <w:pPr>
              <w:spacing w:after="0"/>
              <w:rPr>
                <w:sz w:val="13"/>
                <w:szCs w:val="13"/>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300" w:type="dxa"/>
            <w:vAlign w:val="bottom"/>
            <w:shd w:val="clear" w:color="auto" w:fill="CFF0FC"/>
          </w:tcPr>
          <w:p>
            <w:pPr>
              <w:spacing w:after="0"/>
              <w:rPr>
                <w:sz w:val="13"/>
                <w:szCs w:val="13"/>
                <w:color w:val="auto"/>
              </w:rPr>
            </w:pPr>
          </w:p>
        </w:tc>
        <w:tc>
          <w:tcPr>
            <w:tcW w:w="180" w:type="dxa"/>
            <w:vAlign w:val="bottom"/>
            <w:tcBorders>
              <w:bottom w:val="single" w:sz="8" w:color="auto"/>
            </w:tcBorders>
            <w:shd w:val="clear" w:color="auto" w:fill="CFF0FC"/>
          </w:tcPr>
          <w:p>
            <w:pPr>
              <w:spacing w:after="0"/>
              <w:rPr>
                <w:sz w:val="13"/>
                <w:szCs w:val="13"/>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80" w:type="dxa"/>
            <w:vAlign w:val="bottom"/>
            <w:shd w:val="clear" w:color="auto" w:fill="CFF0FC"/>
          </w:tcPr>
          <w:p>
            <w:pPr>
              <w:spacing w:after="0"/>
              <w:rPr>
                <w:sz w:val="13"/>
                <w:szCs w:val="13"/>
                <w:color w:val="auto"/>
              </w:rPr>
            </w:pPr>
          </w:p>
        </w:tc>
        <w:tc>
          <w:tcPr>
            <w:tcW w:w="140" w:type="dxa"/>
            <w:vAlign w:val="bottom"/>
            <w:tcBorders>
              <w:right w:val="single" w:sz="8" w:color="CFF0FC"/>
            </w:tcBorders>
            <w:shd w:val="clear" w:color="auto" w:fill="CFF0FC"/>
          </w:tcPr>
          <w:p>
            <w:pPr>
              <w:spacing w:after="0"/>
              <w:rPr>
                <w:sz w:val="13"/>
                <w:szCs w:val="13"/>
                <w:color w:val="auto"/>
              </w:rPr>
            </w:pPr>
          </w:p>
        </w:tc>
        <w:tc>
          <w:tcPr>
            <w:tcW w:w="240" w:type="dxa"/>
            <w:vAlign w:val="bottom"/>
            <w:tcBorders>
              <w:bottom w:val="single" w:sz="8" w:color="auto"/>
            </w:tcBorders>
            <w:shd w:val="clear" w:color="auto" w:fill="CFF0FC"/>
          </w:tcPr>
          <w:p>
            <w:pPr>
              <w:spacing w:after="0"/>
              <w:rPr>
                <w:sz w:val="13"/>
                <w:szCs w:val="13"/>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26,486</w:t>
            </w:r>
          </w:p>
        </w:tc>
        <w:tc>
          <w:tcPr>
            <w:tcW w:w="320" w:type="dxa"/>
            <w:vAlign w:val="bottom"/>
            <w:tcBorders>
              <w:left w:val="single" w:sz="8" w:color="CFF0FC"/>
              <w:right w:val="single" w:sz="8" w:color="CFF0FC"/>
            </w:tcBorders>
            <w:shd w:val="clear" w:color="auto" w:fill="CFF0FC"/>
          </w:tcPr>
          <w:p>
            <w:pPr>
              <w:spacing w:after="0"/>
              <w:rPr>
                <w:sz w:val="13"/>
                <w:szCs w:val="13"/>
                <w:color w:val="auto"/>
              </w:rPr>
            </w:pPr>
          </w:p>
        </w:tc>
        <w:tc>
          <w:tcPr>
            <w:tcW w:w="280" w:type="dxa"/>
            <w:vAlign w:val="bottom"/>
            <w:tcBorders>
              <w:bottom w:val="single" w:sz="8" w:color="auto"/>
            </w:tcBorders>
            <w:shd w:val="clear" w:color="auto" w:fill="CFF0FC"/>
          </w:tcPr>
          <w:p>
            <w:pPr>
              <w:spacing w:after="0"/>
              <w:rPr>
                <w:sz w:val="13"/>
                <w:szCs w:val="13"/>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26,486</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880" w:type="dxa"/>
            <w:vAlign w:val="bottom"/>
            <w:gridSpan w:val="2"/>
          </w:tcPr>
          <w:p>
            <w:pPr>
              <w:ind w:left="80"/>
              <w:spacing w:after="0"/>
              <w:rPr>
                <w:sz w:val="20"/>
                <w:szCs w:val="20"/>
                <w:color w:val="auto"/>
              </w:rPr>
            </w:pPr>
            <w:r>
              <w:rPr>
                <w:rFonts w:ascii="Arial" w:cs="Arial" w:eastAsia="Arial" w:hAnsi="Arial"/>
                <w:sz w:val="12"/>
                <w:szCs w:val="12"/>
                <w:color w:val="auto"/>
              </w:rPr>
              <w:t>(Loss) income before income tax (benefit)</w:t>
            </w:r>
          </w:p>
        </w:tc>
        <w:tc>
          <w:tcPr>
            <w:tcW w:w="1760" w:type="dxa"/>
            <w:vAlign w:val="bottom"/>
          </w:tcPr>
          <w:p>
            <w:pPr>
              <w:spacing w:after="0"/>
              <w:rPr>
                <w:sz w:val="12"/>
                <w:szCs w:val="12"/>
                <w:color w:val="auto"/>
              </w:rPr>
            </w:pPr>
          </w:p>
        </w:tc>
        <w:tc>
          <w:tcPr>
            <w:tcW w:w="240" w:type="dxa"/>
            <w:vAlign w:val="bottom"/>
          </w:tcPr>
          <w:p>
            <w:pPr>
              <w:spacing w:after="0"/>
              <w:rPr>
                <w:sz w:val="20"/>
                <w:szCs w:val="20"/>
                <w:color w:val="auto"/>
              </w:rPr>
            </w:pPr>
            <w:r>
              <w:rPr>
                <w:rFonts w:ascii="Arial" w:cs="Arial" w:eastAsia="Arial" w:hAnsi="Arial"/>
                <w:sz w:val="12"/>
                <w:szCs w:val="12"/>
                <w:color w:val="auto"/>
              </w:rPr>
              <w:t>$</w:t>
            </w:r>
          </w:p>
        </w:tc>
        <w:tc>
          <w:tcPr>
            <w:tcW w:w="900" w:type="dxa"/>
            <w:vAlign w:val="bottom"/>
          </w:tcPr>
          <w:p>
            <w:pPr>
              <w:jc w:val="right"/>
              <w:spacing w:after="0"/>
              <w:rPr>
                <w:sz w:val="20"/>
                <w:szCs w:val="20"/>
                <w:color w:val="auto"/>
              </w:rPr>
            </w:pPr>
            <w:r>
              <w:rPr>
                <w:rFonts w:ascii="Arial" w:cs="Arial" w:eastAsia="Arial" w:hAnsi="Arial"/>
                <w:sz w:val="12"/>
                <w:szCs w:val="12"/>
                <w:color w:val="auto"/>
              </w:rPr>
              <w:t>121,622</w:t>
            </w:r>
          </w:p>
        </w:tc>
        <w:tc>
          <w:tcPr>
            <w:tcW w:w="300" w:type="dxa"/>
            <w:vAlign w:val="bottom"/>
          </w:tcPr>
          <w:p>
            <w:pPr>
              <w:spacing w:after="0"/>
              <w:rPr>
                <w:sz w:val="12"/>
                <w:szCs w:val="12"/>
                <w:color w:val="auto"/>
              </w:rPr>
            </w:pPr>
          </w:p>
        </w:tc>
        <w:tc>
          <w:tcPr>
            <w:tcW w:w="180" w:type="dxa"/>
            <w:vAlign w:val="bottom"/>
          </w:tcPr>
          <w:p>
            <w:pPr>
              <w:spacing w:after="0"/>
              <w:rPr>
                <w:sz w:val="20"/>
                <w:szCs w:val="20"/>
                <w:color w:val="auto"/>
              </w:rPr>
            </w:pPr>
            <w:r>
              <w:rPr>
                <w:rFonts w:ascii="Arial" w:cs="Arial" w:eastAsia="Arial" w:hAnsi="Arial"/>
                <w:sz w:val="12"/>
                <w:szCs w:val="12"/>
                <w:color w:val="auto"/>
              </w:rPr>
              <w:t>$</w:t>
            </w:r>
          </w:p>
        </w:tc>
        <w:tc>
          <w:tcPr>
            <w:tcW w:w="940" w:type="dxa"/>
            <w:vAlign w:val="bottom"/>
          </w:tcPr>
          <w:p>
            <w:pPr>
              <w:jc w:val="right"/>
              <w:spacing w:after="0"/>
              <w:rPr>
                <w:sz w:val="20"/>
                <w:szCs w:val="20"/>
                <w:color w:val="auto"/>
              </w:rPr>
            </w:pPr>
            <w:r>
              <w:rPr>
                <w:rFonts w:ascii="Arial" w:cs="Arial" w:eastAsia="Arial" w:hAnsi="Arial"/>
                <w:sz w:val="12"/>
                <w:szCs w:val="12"/>
                <w:color w:val="auto"/>
              </w:rPr>
              <w:t>56,143</w:t>
            </w:r>
          </w:p>
        </w:tc>
        <w:tc>
          <w:tcPr>
            <w:tcW w:w="180" w:type="dxa"/>
            <w:vAlign w:val="bottom"/>
          </w:tcPr>
          <w:p>
            <w:pPr>
              <w:spacing w:after="0"/>
              <w:rPr>
                <w:sz w:val="12"/>
                <w:szCs w:val="12"/>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400" w:type="dxa"/>
            <w:vAlign w:val="bottom"/>
            <w:gridSpan w:val="2"/>
          </w:tcPr>
          <w:p>
            <w:pPr>
              <w:jc w:val="right"/>
              <w:ind w:right="280"/>
              <w:spacing w:after="0"/>
              <w:rPr>
                <w:sz w:val="20"/>
                <w:szCs w:val="20"/>
                <w:color w:val="auto"/>
              </w:rPr>
            </w:pPr>
            <w:r>
              <w:rPr>
                <w:rFonts w:ascii="Arial" w:cs="Arial" w:eastAsia="Arial" w:hAnsi="Arial"/>
                <w:sz w:val="12"/>
                <w:szCs w:val="12"/>
                <w:color w:val="auto"/>
              </w:rPr>
              <w:t>(252,400)</w:t>
            </w:r>
          </w:p>
        </w:tc>
        <w:tc>
          <w:tcPr>
            <w:tcW w:w="280" w:type="dxa"/>
            <w:vAlign w:val="bottom"/>
          </w:tcPr>
          <w:p>
            <w:pPr>
              <w:jc w:val="right"/>
              <w:ind w:right="202"/>
              <w:spacing w:after="0"/>
              <w:rPr>
                <w:sz w:val="20"/>
                <w:szCs w:val="20"/>
                <w:color w:val="auto"/>
              </w:rPr>
            </w:pPr>
            <w:r>
              <w:rPr>
                <w:rFonts w:ascii="Arial" w:cs="Arial" w:eastAsia="Arial" w:hAnsi="Arial"/>
                <w:sz w:val="5"/>
                <w:szCs w:val="5"/>
                <w:color w:val="auto"/>
                <w:w w:val="70"/>
              </w:rPr>
              <w:t>$</w:t>
            </w:r>
          </w:p>
        </w:tc>
        <w:tc>
          <w:tcPr>
            <w:tcW w:w="1040" w:type="dxa"/>
            <w:vAlign w:val="bottom"/>
            <w:gridSpan w:val="2"/>
          </w:tcPr>
          <w:p>
            <w:pPr>
              <w:jc w:val="right"/>
              <w:ind w:right="80"/>
              <w:spacing w:after="0"/>
              <w:rPr>
                <w:sz w:val="20"/>
                <w:szCs w:val="20"/>
                <w:color w:val="auto"/>
              </w:rPr>
            </w:pPr>
            <w:r>
              <w:rPr>
                <w:rFonts w:ascii="Arial" w:cs="Arial" w:eastAsia="Arial" w:hAnsi="Arial"/>
                <w:sz w:val="12"/>
                <w:szCs w:val="12"/>
                <w:color w:val="auto"/>
              </w:rPr>
              <w:t>(74,635)</w:t>
            </w:r>
          </w:p>
        </w:tc>
        <w:tc>
          <w:tcPr>
            <w:tcW w:w="0" w:type="dxa"/>
            <w:vAlign w:val="bottom"/>
          </w:tcPr>
          <w:p>
            <w:pPr>
              <w:spacing w:after="0"/>
              <w:rPr>
                <w:sz w:val="1"/>
                <w:szCs w:val="1"/>
                <w:color w:val="auto"/>
              </w:rPr>
            </w:pPr>
          </w:p>
        </w:tc>
      </w:tr>
      <w:tr>
        <w:trPr>
          <w:trHeight w:val="288"/>
        </w:trPr>
        <w:tc>
          <w:tcPr>
            <w:tcW w:w="64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40" w:type="dxa"/>
            <w:vAlign w:val="bottom"/>
            <w:tcBorders>
              <w:top w:val="single" w:sz="8" w:color="auto"/>
            </w:tcBorders>
          </w:tcPr>
          <w:p>
            <w:pPr>
              <w:spacing w:after="0"/>
              <w:rPr>
                <w:sz w:val="20"/>
                <w:szCs w:val="20"/>
                <w:color w:val="auto"/>
              </w:rPr>
            </w:pPr>
            <w:r>
              <w:rPr>
                <w:rFonts w:ascii="Arial" w:cs="Arial" w:eastAsia="Arial" w:hAnsi="Arial"/>
                <w:sz w:val="12"/>
                <w:szCs w:val="12"/>
                <w:color w:val="auto"/>
              </w:rPr>
              <w:t>101</w:t>
            </w:r>
          </w:p>
        </w:tc>
        <w:tc>
          <w:tcPr>
            <w:tcW w:w="90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640" w:type="dxa"/>
            <w:vAlign w:val="bottom"/>
            <w:tcBorders>
              <w:bottom w:val="single" w:sz="8" w:color="9A9A9A"/>
            </w:tcBorders>
          </w:tcPr>
          <w:p>
            <w:pPr>
              <w:spacing w:after="0"/>
              <w:rPr>
                <w:sz w:val="6"/>
                <w:szCs w:val="6"/>
                <w:color w:val="auto"/>
              </w:rPr>
            </w:pPr>
          </w:p>
        </w:tc>
        <w:tc>
          <w:tcPr>
            <w:tcW w:w="3240" w:type="dxa"/>
            <w:vAlign w:val="bottom"/>
            <w:tcBorders>
              <w:bottom w:val="single" w:sz="8" w:color="9A9A9A"/>
            </w:tcBorders>
          </w:tcPr>
          <w:p>
            <w:pPr>
              <w:spacing w:after="0"/>
              <w:rPr>
                <w:sz w:val="6"/>
                <w:szCs w:val="6"/>
                <w:color w:val="auto"/>
              </w:rPr>
            </w:pPr>
          </w:p>
        </w:tc>
        <w:tc>
          <w:tcPr>
            <w:tcW w:w="176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90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180" w:type="dxa"/>
            <w:vAlign w:val="bottom"/>
            <w:tcBorders>
              <w:bottom w:val="single" w:sz="8" w:color="9A9A9A"/>
            </w:tcBorders>
          </w:tcPr>
          <w:p>
            <w:pPr>
              <w:spacing w:after="0"/>
              <w:rPr>
                <w:sz w:val="6"/>
                <w:szCs w:val="6"/>
                <w:color w:val="auto"/>
              </w:rPr>
            </w:pPr>
          </w:p>
        </w:tc>
        <w:tc>
          <w:tcPr>
            <w:tcW w:w="940" w:type="dxa"/>
            <w:vAlign w:val="bottom"/>
            <w:tcBorders>
              <w:bottom w:val="single" w:sz="8" w:color="9A9A9A"/>
            </w:tcBorders>
          </w:tcPr>
          <w:p>
            <w:pPr>
              <w:spacing w:after="0"/>
              <w:rPr>
                <w:sz w:val="6"/>
                <w:szCs w:val="6"/>
                <w:color w:val="auto"/>
              </w:rPr>
            </w:pPr>
          </w:p>
        </w:tc>
        <w:tc>
          <w:tcPr>
            <w:tcW w:w="18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1080" w:type="dxa"/>
            <w:vAlign w:val="bottom"/>
            <w:tcBorders>
              <w:bottom w:val="single" w:sz="8" w:color="9A9A9A"/>
            </w:tcBorders>
          </w:tcPr>
          <w:p>
            <w:pPr>
              <w:spacing w:after="0"/>
              <w:rPr>
                <w:sz w:val="6"/>
                <w:szCs w:val="6"/>
                <w:color w:val="auto"/>
              </w:rPr>
            </w:pPr>
          </w:p>
        </w:tc>
        <w:tc>
          <w:tcPr>
            <w:tcW w:w="32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92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7268845</wp:posOffset>
            </wp:positionH>
            <wp:positionV relativeFrom="paragraph">
              <wp:posOffset>-23495</wp:posOffset>
            </wp:positionV>
            <wp:extent cx="31115" cy="3683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480"/>
          </w:cols>
          <w:pgMar w:left="220" w:top="419" w:right="199" w:bottom="1440" w:gutter="0" w:footer="0" w:header="0"/>
        </w:sectPr>
      </w:pPr>
    </w:p>
    <w:bookmarkStart w:id="102" w:name="page103"/>
    <w:bookmarkEnd w:id="102"/>
    <w:tbl>
      <w:tblPr>
        <w:tblLayout w:type="fixed"/>
        <w:tblInd w:w="0" w:type="dxa"/>
        <w:tblCellMar>
          <w:top w:w="0" w:type="dxa"/>
          <w:left w:w="0" w:type="dxa"/>
          <w:bottom w:w="0" w:type="dxa"/>
          <w:right w:w="0" w:type="dxa"/>
        </w:tblCellMar>
      </w:tblPr>
      <w:tr>
        <w:trPr>
          <w:trHeight w:val="115"/>
        </w:trPr>
        <w:tc>
          <w:tcPr>
            <w:tcW w:w="640" w:type="dxa"/>
            <w:vAlign w:val="bottom"/>
          </w:tcPr>
          <w:p>
            <w:pPr>
              <w:spacing w:after="0"/>
              <w:rPr>
                <w:sz w:val="10"/>
                <w:szCs w:val="10"/>
                <w:color w:val="auto"/>
              </w:rPr>
            </w:pPr>
          </w:p>
        </w:tc>
        <w:tc>
          <w:tcPr>
            <w:tcW w:w="324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2880" w:type="dxa"/>
            <w:vAlign w:val="bottom"/>
            <w:tcBorders>
              <w:bottom w:val="single" w:sz="8" w:color="auto"/>
            </w:tcBorders>
            <w:gridSpan w:val="6"/>
          </w:tcPr>
          <w:p>
            <w:pPr>
              <w:jc w:val="right"/>
              <w:ind w:right="640"/>
              <w:spacing w:after="0"/>
              <w:rPr>
                <w:sz w:val="20"/>
                <w:szCs w:val="20"/>
                <w:color w:val="auto"/>
              </w:rPr>
            </w:pPr>
            <w:r>
              <w:rPr>
                <w:rFonts w:ascii="Arial" w:cs="Arial" w:eastAsia="Arial" w:hAnsi="Arial"/>
                <w:sz w:val="10"/>
                <w:szCs w:val="10"/>
                <w:b w:val="1"/>
                <w:bCs w:val="1"/>
                <w:color w:val="auto"/>
                <w:w w:val="96"/>
              </w:rPr>
              <w:t>For the Seven Months Ended December 31, 2017</w:t>
            </w:r>
          </w:p>
        </w:tc>
        <w:tc>
          <w:tcPr>
            <w:tcW w:w="28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640" w:type="dxa"/>
            <w:vAlign w:val="bottom"/>
          </w:tcPr>
          <w:p>
            <w:pPr>
              <w:spacing w:after="0"/>
              <w:rPr>
                <w:sz w:val="7"/>
                <w:szCs w:val="7"/>
                <w:color w:val="auto"/>
              </w:rPr>
            </w:pPr>
          </w:p>
        </w:tc>
        <w:tc>
          <w:tcPr>
            <w:tcW w:w="3240" w:type="dxa"/>
            <w:vAlign w:val="bottom"/>
          </w:tcPr>
          <w:p>
            <w:pPr>
              <w:spacing w:after="0"/>
              <w:rPr>
                <w:sz w:val="7"/>
                <w:szCs w:val="7"/>
                <w:color w:val="auto"/>
              </w:rPr>
            </w:pPr>
          </w:p>
        </w:tc>
        <w:tc>
          <w:tcPr>
            <w:tcW w:w="17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40" w:type="dxa"/>
            <w:vAlign w:val="bottom"/>
            <w:gridSpan w:val="2"/>
          </w:tcPr>
          <w:p>
            <w:pPr>
              <w:jc w:val="center"/>
              <w:ind w:right="500"/>
              <w:spacing w:after="0" w:line="92" w:lineRule="exact"/>
              <w:rPr>
                <w:sz w:val="20"/>
                <w:szCs w:val="20"/>
                <w:color w:val="auto"/>
              </w:rPr>
            </w:pPr>
            <w:r>
              <w:rPr>
                <w:rFonts w:ascii="Arial" w:cs="Arial" w:eastAsia="Arial" w:hAnsi="Arial"/>
                <w:sz w:val="10"/>
                <w:szCs w:val="10"/>
                <w:b w:val="1"/>
                <w:bCs w:val="1"/>
                <w:color w:val="auto"/>
                <w:w w:val="87"/>
              </w:rPr>
              <w:t>Commercial</w:t>
            </w:r>
          </w:p>
        </w:tc>
        <w:tc>
          <w:tcPr>
            <w:tcW w:w="180" w:type="dxa"/>
            <w:vAlign w:val="bottom"/>
          </w:tcPr>
          <w:p>
            <w:pPr>
              <w:spacing w:after="0"/>
              <w:rPr>
                <w:sz w:val="7"/>
                <w:szCs w:val="7"/>
                <w:color w:val="auto"/>
              </w:rPr>
            </w:pPr>
          </w:p>
        </w:tc>
        <w:tc>
          <w:tcPr>
            <w:tcW w:w="1100" w:type="dxa"/>
            <w:vAlign w:val="bottom"/>
            <w:gridSpan w:val="2"/>
          </w:tcPr>
          <w:p>
            <w:pPr>
              <w:jc w:val="center"/>
              <w:ind w:right="360"/>
              <w:spacing w:after="0" w:line="92" w:lineRule="exact"/>
              <w:rPr>
                <w:sz w:val="20"/>
                <w:szCs w:val="20"/>
                <w:color w:val="auto"/>
              </w:rPr>
            </w:pPr>
            <w:r>
              <w:rPr>
                <w:rFonts w:ascii="Arial" w:cs="Arial" w:eastAsia="Arial" w:hAnsi="Arial"/>
                <w:sz w:val="10"/>
                <w:szCs w:val="10"/>
                <w:b w:val="1"/>
                <w:bCs w:val="1"/>
                <w:color w:val="auto"/>
                <w:w w:val="84"/>
              </w:rPr>
              <w:t>Government</w:t>
            </w:r>
          </w:p>
        </w:tc>
        <w:tc>
          <w:tcPr>
            <w:tcW w:w="1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380" w:type="dxa"/>
            <w:vAlign w:val="bottom"/>
            <w:gridSpan w:val="2"/>
          </w:tcPr>
          <w:p>
            <w:pPr>
              <w:jc w:val="right"/>
              <w:ind w:right="760"/>
              <w:spacing w:after="0" w:line="92" w:lineRule="exact"/>
              <w:rPr>
                <w:sz w:val="20"/>
                <w:szCs w:val="20"/>
                <w:color w:val="auto"/>
              </w:rPr>
            </w:pPr>
            <w:r>
              <w:rPr>
                <w:rFonts w:ascii="Arial" w:cs="Arial" w:eastAsia="Arial" w:hAnsi="Arial"/>
                <w:sz w:val="10"/>
                <w:szCs w:val="10"/>
                <w:b w:val="1"/>
                <w:bCs w:val="1"/>
                <w:color w:val="auto"/>
              </w:rPr>
              <w:t>Corporate</w:t>
            </w:r>
          </w:p>
        </w:tc>
        <w:tc>
          <w:tcPr>
            <w:tcW w:w="280" w:type="dxa"/>
            <w:vAlign w:val="bottom"/>
          </w:tcPr>
          <w:p>
            <w:pPr>
              <w:spacing w:after="0"/>
              <w:rPr>
                <w:sz w:val="7"/>
                <w:szCs w:val="7"/>
                <w:color w:val="auto"/>
              </w:rPr>
            </w:pPr>
          </w:p>
        </w:tc>
        <w:tc>
          <w:tcPr>
            <w:tcW w:w="94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5"/>
        </w:trPr>
        <w:tc>
          <w:tcPr>
            <w:tcW w:w="3880" w:type="dxa"/>
            <w:vAlign w:val="bottom"/>
            <w:gridSpan w:val="2"/>
          </w:tcPr>
          <w:p>
            <w:pPr>
              <w:spacing w:after="0" w:line="105" w:lineRule="exact"/>
              <w:rPr>
                <w:sz w:val="20"/>
                <w:szCs w:val="20"/>
                <w:color w:val="auto"/>
              </w:rPr>
            </w:pPr>
            <w:r>
              <w:rPr>
                <w:rFonts w:ascii="Arial" w:cs="Arial" w:eastAsia="Arial" w:hAnsi="Arial"/>
                <w:sz w:val="10"/>
                <w:szCs w:val="10"/>
                <w:b w:val="1"/>
                <w:bCs w:val="1"/>
                <w:u w:val="single" w:color="auto"/>
                <w:color w:val="auto"/>
              </w:rPr>
              <w:t>(</w:t>
            </w:r>
            <w:r>
              <w:rPr>
                <w:rFonts w:ascii="Arial" w:cs="Arial" w:eastAsia="Arial" w:hAnsi="Arial"/>
                <w:sz w:val="10"/>
                <w:szCs w:val="10"/>
                <w:b w:val="1"/>
                <w:bCs w:val="1"/>
                <w:color w:val="auto"/>
              </w:rPr>
              <w:t>$ in thousands)</w:t>
            </w:r>
          </w:p>
        </w:tc>
        <w:tc>
          <w:tcPr>
            <w:tcW w:w="1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40" w:type="dxa"/>
            <w:vAlign w:val="bottom"/>
            <w:gridSpan w:val="2"/>
          </w:tcPr>
          <w:p>
            <w:pPr>
              <w:jc w:val="center"/>
              <w:ind w:right="500"/>
              <w:spacing w:after="0" w:line="105" w:lineRule="exact"/>
              <w:rPr>
                <w:sz w:val="20"/>
                <w:szCs w:val="20"/>
                <w:color w:val="auto"/>
              </w:rPr>
            </w:pPr>
            <w:r>
              <w:rPr>
                <w:rFonts w:ascii="Arial" w:cs="Arial" w:eastAsia="Arial" w:hAnsi="Arial"/>
                <w:sz w:val="10"/>
                <w:szCs w:val="10"/>
                <w:b w:val="1"/>
                <w:bCs w:val="1"/>
                <w:color w:val="auto"/>
                <w:w w:val="82"/>
              </w:rPr>
              <w:t>Services</w:t>
            </w:r>
          </w:p>
        </w:tc>
        <w:tc>
          <w:tcPr>
            <w:tcW w:w="180" w:type="dxa"/>
            <w:vAlign w:val="bottom"/>
          </w:tcPr>
          <w:p>
            <w:pPr>
              <w:spacing w:after="0"/>
              <w:rPr>
                <w:sz w:val="9"/>
                <w:szCs w:val="9"/>
                <w:color w:val="auto"/>
              </w:rPr>
            </w:pPr>
          </w:p>
        </w:tc>
        <w:tc>
          <w:tcPr>
            <w:tcW w:w="1100" w:type="dxa"/>
            <w:vAlign w:val="bottom"/>
            <w:gridSpan w:val="2"/>
          </w:tcPr>
          <w:p>
            <w:pPr>
              <w:jc w:val="center"/>
              <w:ind w:right="360"/>
              <w:spacing w:after="0" w:line="105" w:lineRule="exact"/>
              <w:rPr>
                <w:sz w:val="20"/>
                <w:szCs w:val="20"/>
                <w:color w:val="auto"/>
              </w:rPr>
            </w:pPr>
            <w:r>
              <w:rPr>
                <w:rFonts w:ascii="Arial" w:cs="Arial" w:eastAsia="Arial" w:hAnsi="Arial"/>
                <w:sz w:val="10"/>
                <w:szCs w:val="10"/>
                <w:b w:val="1"/>
                <w:bCs w:val="1"/>
                <w:color w:val="auto"/>
                <w:w w:val="83"/>
              </w:rPr>
              <w:t>Solutions</w:t>
            </w:r>
          </w:p>
        </w:tc>
        <w:tc>
          <w:tcPr>
            <w:tcW w:w="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380" w:type="dxa"/>
            <w:vAlign w:val="bottom"/>
            <w:gridSpan w:val="2"/>
          </w:tcPr>
          <w:p>
            <w:pPr>
              <w:jc w:val="right"/>
              <w:ind w:right="760"/>
              <w:spacing w:after="0" w:line="105" w:lineRule="exact"/>
              <w:rPr>
                <w:sz w:val="20"/>
                <w:szCs w:val="20"/>
                <w:color w:val="auto"/>
              </w:rPr>
            </w:pPr>
            <w:r>
              <w:rPr>
                <w:rFonts w:ascii="Arial" w:cs="Arial" w:eastAsia="Arial" w:hAnsi="Arial"/>
                <w:sz w:val="10"/>
                <w:szCs w:val="10"/>
                <w:b w:val="1"/>
                <w:bCs w:val="1"/>
                <w:color w:val="auto"/>
              </w:rPr>
              <w:t>and Other</w:t>
            </w:r>
          </w:p>
        </w:tc>
        <w:tc>
          <w:tcPr>
            <w:tcW w:w="280" w:type="dxa"/>
            <w:vAlign w:val="bottom"/>
          </w:tcPr>
          <w:p>
            <w:pPr>
              <w:spacing w:after="0"/>
              <w:rPr>
                <w:sz w:val="9"/>
                <w:szCs w:val="9"/>
                <w:color w:val="auto"/>
              </w:rPr>
            </w:pPr>
          </w:p>
        </w:tc>
        <w:tc>
          <w:tcPr>
            <w:tcW w:w="1060" w:type="dxa"/>
            <w:vAlign w:val="bottom"/>
            <w:gridSpan w:val="2"/>
          </w:tcPr>
          <w:p>
            <w:pPr>
              <w:jc w:val="right"/>
              <w:ind w:right="620"/>
              <w:spacing w:after="0" w:line="105" w:lineRule="exact"/>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20"/>
        </w:trPr>
        <w:tc>
          <w:tcPr>
            <w:tcW w:w="640" w:type="dxa"/>
            <w:vAlign w:val="bottom"/>
            <w:tcBorders>
              <w:bottom w:val="single" w:sz="8" w:color="CFF0FC"/>
            </w:tcBorders>
            <w:shd w:val="clear" w:color="auto" w:fill="000000"/>
          </w:tcPr>
          <w:p>
            <w:pPr>
              <w:spacing w:after="0" w:line="20" w:lineRule="exact"/>
              <w:rPr>
                <w:sz w:val="1"/>
                <w:szCs w:val="1"/>
                <w:color w:val="auto"/>
              </w:rPr>
            </w:pPr>
          </w:p>
        </w:tc>
        <w:tc>
          <w:tcPr>
            <w:tcW w:w="3240" w:type="dxa"/>
            <w:vAlign w:val="bottom"/>
            <w:tcBorders>
              <w:bottom w:val="single" w:sz="8" w:color="CFF0FC"/>
            </w:tcBorders>
          </w:tcPr>
          <w:p>
            <w:pPr>
              <w:spacing w:after="0" w:line="20" w:lineRule="exact"/>
              <w:rPr>
                <w:sz w:val="1"/>
                <w:szCs w:val="1"/>
                <w:color w:val="auto"/>
              </w:rPr>
            </w:pPr>
          </w:p>
        </w:tc>
        <w:tc>
          <w:tcPr>
            <w:tcW w:w="1760" w:type="dxa"/>
            <w:vAlign w:val="bottom"/>
            <w:tcBorders>
              <w:bottom w:val="single" w:sz="8" w:color="CFF0FC"/>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FF0FC"/>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FF0FC"/>
            </w:tcBorders>
          </w:tcPr>
          <w:p>
            <w:pPr>
              <w:spacing w:after="0" w:line="20" w:lineRule="exact"/>
              <w:rPr>
                <w:sz w:val="1"/>
                <w:szCs w:val="1"/>
                <w:color w:val="auto"/>
              </w:rPr>
            </w:pPr>
          </w:p>
        </w:tc>
        <w:tc>
          <w:tcPr>
            <w:tcW w:w="140" w:type="dxa"/>
            <w:vAlign w:val="bottom"/>
            <w:tcBorders>
              <w:bottom w:val="single" w:sz="8" w:color="CFF0FC"/>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FF0FC"/>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3880" w:type="dxa"/>
            <w:vAlign w:val="bottom"/>
            <w:gridSpan w:val="2"/>
            <w:shd w:val="clear" w:color="auto" w:fill="CFF0FC"/>
          </w:tcPr>
          <w:p>
            <w:pPr>
              <w:spacing w:after="0" w:line="132" w:lineRule="exact"/>
              <w:rPr>
                <w:sz w:val="20"/>
                <w:szCs w:val="20"/>
                <w:color w:val="auto"/>
              </w:rPr>
            </w:pPr>
            <w:r>
              <w:rPr>
                <w:rFonts w:ascii="Arial" w:cs="Arial" w:eastAsia="Arial" w:hAnsi="Arial"/>
                <w:sz w:val="12"/>
                <w:szCs w:val="12"/>
                <w:color w:val="auto"/>
              </w:rPr>
              <w:t>Service revenue</w:t>
            </w:r>
          </w:p>
        </w:tc>
        <w:tc>
          <w:tcPr>
            <w:tcW w:w="1960" w:type="dxa"/>
            <w:vAlign w:val="bottom"/>
            <w:gridSpan w:val="2"/>
            <w:shd w:val="clear" w:color="auto" w:fill="CFF0FC"/>
          </w:tcPr>
          <w:p>
            <w:pPr>
              <w:jc w:val="right"/>
              <w:ind w:right="90"/>
              <w:spacing w:after="0" w:line="132" w:lineRule="exact"/>
              <w:rPr>
                <w:sz w:val="20"/>
                <w:szCs w:val="20"/>
                <w:color w:val="auto"/>
              </w:rPr>
            </w:pPr>
            <w:r>
              <w:rPr>
                <w:rFonts w:ascii="Arial" w:cs="Arial" w:eastAsia="Arial" w:hAnsi="Arial"/>
                <w:sz w:val="12"/>
                <w:szCs w:val="12"/>
                <w:color w:val="auto"/>
              </w:rPr>
              <w:t>$</w:t>
            </w:r>
          </w:p>
        </w:tc>
        <w:tc>
          <w:tcPr>
            <w:tcW w:w="940" w:type="dxa"/>
            <w:vAlign w:val="bottom"/>
            <w:shd w:val="clear" w:color="auto" w:fill="CFF0FC"/>
          </w:tcPr>
          <w:p>
            <w:pPr>
              <w:jc w:val="right"/>
              <w:spacing w:after="0" w:line="132" w:lineRule="exact"/>
              <w:rPr>
                <w:sz w:val="20"/>
                <w:szCs w:val="20"/>
                <w:color w:val="auto"/>
              </w:rPr>
            </w:pPr>
            <w:r>
              <w:rPr>
                <w:rFonts w:ascii="Arial" w:cs="Arial" w:eastAsia="Arial" w:hAnsi="Arial"/>
                <w:sz w:val="12"/>
                <w:szCs w:val="12"/>
                <w:color w:val="auto"/>
              </w:rPr>
              <w:t>55,874</w:t>
            </w:r>
          </w:p>
        </w:tc>
        <w:tc>
          <w:tcPr>
            <w:tcW w:w="300" w:type="dxa"/>
            <w:vAlign w:val="bottom"/>
            <w:shd w:val="clear" w:color="auto" w:fill="CFF0FC"/>
          </w:tcPr>
          <w:p>
            <w:pPr>
              <w:spacing w:after="0"/>
              <w:rPr>
                <w:sz w:val="11"/>
                <w:szCs w:val="11"/>
                <w:color w:val="auto"/>
              </w:rPr>
            </w:pPr>
          </w:p>
        </w:tc>
        <w:tc>
          <w:tcPr>
            <w:tcW w:w="180" w:type="dxa"/>
            <w:vAlign w:val="bottom"/>
            <w:shd w:val="clear" w:color="auto" w:fill="CFF0FC"/>
          </w:tcPr>
          <w:p>
            <w:pPr>
              <w:jc w:val="right"/>
              <w:ind w:right="70"/>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CFF0FC"/>
          </w:tcPr>
          <w:p>
            <w:pPr>
              <w:jc w:val="right"/>
              <w:spacing w:after="0" w:line="132" w:lineRule="exact"/>
              <w:rPr>
                <w:sz w:val="20"/>
                <w:szCs w:val="20"/>
                <w:color w:val="auto"/>
              </w:rPr>
            </w:pPr>
            <w:r>
              <w:rPr>
                <w:rFonts w:ascii="Arial" w:cs="Arial" w:eastAsia="Arial" w:hAnsi="Arial"/>
                <w:sz w:val="12"/>
                <w:szCs w:val="12"/>
                <w:color w:val="auto"/>
              </w:rPr>
              <w:t>79,781</w:t>
            </w:r>
          </w:p>
        </w:tc>
        <w:tc>
          <w:tcPr>
            <w:tcW w:w="160" w:type="dxa"/>
            <w:vAlign w:val="bottom"/>
            <w:shd w:val="clear" w:color="auto" w:fill="CFF0FC"/>
          </w:tcPr>
          <w:p>
            <w:pPr>
              <w:spacing w:after="0"/>
              <w:rPr>
                <w:sz w:val="11"/>
                <w:szCs w:val="11"/>
                <w:color w:val="auto"/>
              </w:rPr>
            </w:pPr>
          </w:p>
        </w:tc>
        <w:tc>
          <w:tcPr>
            <w:tcW w:w="400" w:type="dxa"/>
            <w:vAlign w:val="bottom"/>
            <w:gridSpan w:val="2"/>
            <w:shd w:val="clear" w:color="auto" w:fill="CFF0FC"/>
          </w:tcPr>
          <w:p>
            <w:pPr>
              <w:jc w:val="right"/>
              <w:ind w:right="200"/>
              <w:spacing w:after="0" w:line="132" w:lineRule="exact"/>
              <w:rPr>
                <w:sz w:val="20"/>
                <w:szCs w:val="20"/>
                <w:color w:val="auto"/>
              </w:rPr>
            </w:pPr>
            <w:r>
              <w:rPr>
                <w:rFonts w:ascii="Arial" w:cs="Arial" w:eastAsia="Arial" w:hAnsi="Arial"/>
                <w:sz w:val="12"/>
                <w:szCs w:val="12"/>
                <w:color w:val="auto"/>
              </w:rPr>
              <w:t>$</w:t>
            </w:r>
          </w:p>
        </w:tc>
        <w:tc>
          <w:tcPr>
            <w:tcW w:w="1380" w:type="dxa"/>
            <w:vAlign w:val="bottom"/>
            <w:gridSpan w:val="2"/>
            <w:shd w:val="clear" w:color="auto" w:fill="CFF0FC"/>
          </w:tcPr>
          <w:p>
            <w:pPr>
              <w:jc w:val="right"/>
              <w:ind w:right="300"/>
              <w:spacing w:after="0" w:line="132" w:lineRule="exact"/>
              <w:rPr>
                <w:sz w:val="20"/>
                <w:szCs w:val="20"/>
                <w:color w:val="auto"/>
              </w:rPr>
            </w:pPr>
            <w:r>
              <w:rPr>
                <w:rFonts w:ascii="Arial" w:cs="Arial" w:eastAsia="Arial" w:hAnsi="Arial"/>
                <w:sz w:val="12"/>
                <w:szCs w:val="12"/>
                <w:color w:val="auto"/>
              </w:rPr>
              <w:t>—</w:t>
            </w:r>
          </w:p>
        </w:tc>
        <w:tc>
          <w:tcPr>
            <w:tcW w:w="280" w:type="dxa"/>
            <w:vAlign w:val="bottom"/>
            <w:shd w:val="clear" w:color="auto" w:fill="CFF0FC"/>
          </w:tcPr>
          <w:p>
            <w:pPr>
              <w:jc w:val="right"/>
              <w:ind w:right="170"/>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CFF0FC"/>
          </w:tcPr>
          <w:p>
            <w:pPr>
              <w:jc w:val="right"/>
              <w:spacing w:after="0" w:line="132" w:lineRule="exact"/>
              <w:rPr>
                <w:sz w:val="20"/>
                <w:szCs w:val="20"/>
                <w:color w:val="auto"/>
              </w:rPr>
            </w:pPr>
            <w:r>
              <w:rPr>
                <w:rFonts w:ascii="Arial" w:cs="Arial" w:eastAsia="Arial" w:hAnsi="Arial"/>
                <w:sz w:val="12"/>
                <w:szCs w:val="12"/>
                <w:color w:val="auto"/>
              </w:rPr>
              <w:t>135,655</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880" w:type="dxa"/>
            <w:vAlign w:val="bottom"/>
            <w:tcBorders>
              <w:bottom w:val="single" w:sz="8" w:color="CFF0FC"/>
            </w:tcBorders>
            <w:gridSpan w:val="2"/>
          </w:tcPr>
          <w:p>
            <w:pPr>
              <w:spacing w:after="0"/>
              <w:rPr>
                <w:sz w:val="20"/>
                <w:szCs w:val="20"/>
                <w:color w:val="auto"/>
              </w:rPr>
            </w:pPr>
            <w:r>
              <w:rPr>
                <w:rFonts w:ascii="Arial" w:cs="Arial" w:eastAsia="Arial" w:hAnsi="Arial"/>
                <w:sz w:val="12"/>
                <w:szCs w:val="12"/>
                <w:color w:val="auto"/>
              </w:rPr>
              <w:t>Product sales</w:t>
            </w:r>
          </w:p>
        </w:tc>
        <w:tc>
          <w:tcPr>
            <w:tcW w:w="176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30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2,584</w:t>
            </w:r>
          </w:p>
        </w:tc>
        <w:tc>
          <w:tcPr>
            <w:tcW w:w="160" w:type="dxa"/>
            <w:vAlign w:val="bottom"/>
            <w:tcBorders>
              <w:bottom w:val="single" w:sz="8" w:color="CFF0FC"/>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30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2,584</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3880" w:type="dxa"/>
            <w:vAlign w:val="bottom"/>
            <w:gridSpan w:val="2"/>
            <w:shd w:val="clear" w:color="auto" w:fill="CFF0FC"/>
          </w:tcPr>
          <w:p>
            <w:pPr>
              <w:ind w:left="80"/>
              <w:spacing w:after="0"/>
              <w:rPr>
                <w:sz w:val="20"/>
                <w:szCs w:val="20"/>
                <w:color w:val="auto"/>
              </w:rPr>
            </w:pPr>
            <w:r>
              <w:rPr>
                <w:rFonts w:ascii="Arial" w:cs="Arial" w:eastAsia="Arial" w:hAnsi="Arial"/>
                <w:sz w:val="12"/>
                <w:szCs w:val="12"/>
                <w:color w:val="auto"/>
              </w:rPr>
              <w:t>Total revenue</w:t>
            </w:r>
          </w:p>
        </w:tc>
        <w:tc>
          <w:tcPr>
            <w:tcW w:w="17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55,874</w:t>
            </w:r>
          </w:p>
        </w:tc>
        <w:tc>
          <w:tcPr>
            <w:tcW w:w="3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82,365</w:t>
            </w:r>
          </w:p>
        </w:tc>
        <w:tc>
          <w:tcPr>
            <w:tcW w:w="1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380" w:type="dxa"/>
            <w:vAlign w:val="bottom"/>
            <w:gridSpan w:val="2"/>
            <w:shd w:val="clear" w:color="auto" w:fill="CFF0FC"/>
          </w:tcPr>
          <w:p>
            <w:pPr>
              <w:jc w:val="right"/>
              <w:ind w:right="300"/>
              <w:spacing w:after="0"/>
              <w:rPr>
                <w:sz w:val="20"/>
                <w:szCs w:val="20"/>
                <w:color w:val="auto"/>
              </w:rPr>
            </w:pPr>
            <w:r>
              <w:rPr>
                <w:rFonts w:ascii="Arial" w:cs="Arial" w:eastAsia="Arial" w:hAnsi="Arial"/>
                <w:sz w:val="12"/>
                <w:szCs w:val="12"/>
                <w:color w:val="auto"/>
              </w:rPr>
              <w:t>—</w:t>
            </w:r>
          </w:p>
        </w:tc>
        <w:tc>
          <w:tcPr>
            <w:tcW w:w="28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138,239</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880" w:type="dxa"/>
            <w:vAlign w:val="bottom"/>
            <w:gridSpan w:val="2"/>
          </w:tcPr>
          <w:p>
            <w:pPr>
              <w:spacing w:after="0"/>
              <w:rPr>
                <w:sz w:val="20"/>
                <w:szCs w:val="20"/>
                <w:color w:val="auto"/>
              </w:rPr>
            </w:pPr>
            <w:r>
              <w:rPr>
                <w:rFonts w:ascii="Arial" w:cs="Arial" w:eastAsia="Arial" w:hAnsi="Arial"/>
                <w:sz w:val="12"/>
                <w:szCs w:val="12"/>
                <w:color w:val="auto"/>
              </w:rPr>
              <w:t>Cost of service revenue</w:t>
            </w:r>
          </w:p>
        </w:tc>
        <w:tc>
          <w:tcPr>
            <w:tcW w:w="1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426</w:t>
            </w: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1,510</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8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1,936</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88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Cost of product sales</w:t>
            </w:r>
          </w:p>
        </w:tc>
        <w:tc>
          <w:tcPr>
            <w:tcW w:w="17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40" w:type="dxa"/>
            <w:vAlign w:val="bottom"/>
            <w:gridSpan w:val="2"/>
            <w:shd w:val="clear" w:color="auto" w:fill="CFF0FC"/>
          </w:tcPr>
          <w:p>
            <w:pPr>
              <w:jc w:val="right"/>
              <w:ind w:right="320"/>
              <w:spacing w:after="0"/>
              <w:rPr>
                <w:sz w:val="20"/>
                <w:szCs w:val="20"/>
                <w:color w:val="auto"/>
              </w:rPr>
            </w:pPr>
            <w:r>
              <w:rPr>
                <w:rFonts w:ascii="Arial" w:cs="Arial" w:eastAsia="Arial" w:hAnsi="Arial"/>
                <w:sz w:val="12"/>
                <w:szCs w:val="12"/>
                <w:color w:val="auto"/>
              </w:rPr>
              <w:t>—</w:t>
            </w:r>
          </w:p>
        </w:tc>
        <w:tc>
          <w:tcPr>
            <w:tcW w:w="180" w:type="dxa"/>
            <w:vAlign w:val="bottom"/>
            <w:shd w:val="clear" w:color="auto" w:fill="CFF0FC"/>
          </w:tcPr>
          <w:p>
            <w:pPr>
              <w:spacing w:after="0"/>
              <w:rPr>
                <w:sz w:val="13"/>
                <w:szCs w:val="13"/>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1,590</w:t>
            </w:r>
          </w:p>
        </w:tc>
        <w:tc>
          <w:tcPr>
            <w:tcW w:w="1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380" w:type="dxa"/>
            <w:vAlign w:val="bottom"/>
            <w:gridSpan w:val="2"/>
            <w:shd w:val="clear" w:color="auto" w:fill="CFF0FC"/>
          </w:tcPr>
          <w:p>
            <w:pPr>
              <w:jc w:val="right"/>
              <w:ind w:right="300"/>
              <w:spacing w:after="0"/>
              <w:rPr>
                <w:sz w:val="20"/>
                <w:szCs w:val="20"/>
                <w:color w:val="auto"/>
              </w:rPr>
            </w:pPr>
            <w:r>
              <w:rPr>
                <w:rFonts w:ascii="Arial" w:cs="Arial" w:eastAsia="Arial" w:hAnsi="Arial"/>
                <w:sz w:val="12"/>
                <w:szCs w:val="12"/>
                <w:color w:val="auto"/>
              </w:rPr>
              <w:t>—</w:t>
            </w:r>
          </w:p>
        </w:tc>
        <w:tc>
          <w:tcPr>
            <w:tcW w:w="280" w:type="dxa"/>
            <w:vAlign w:val="bottom"/>
            <w:shd w:val="clear" w:color="auto" w:fill="CFF0FC"/>
          </w:tcPr>
          <w:p>
            <w:pPr>
              <w:spacing w:after="0"/>
              <w:rPr>
                <w:sz w:val="13"/>
                <w:szCs w:val="13"/>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1,590</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880" w:type="dxa"/>
            <w:vAlign w:val="bottom"/>
            <w:gridSpan w:val="2"/>
          </w:tcPr>
          <w:p>
            <w:pPr>
              <w:spacing w:after="0"/>
              <w:rPr>
                <w:sz w:val="20"/>
                <w:szCs w:val="20"/>
                <w:color w:val="auto"/>
              </w:rPr>
            </w:pPr>
            <w:r>
              <w:rPr>
                <w:rFonts w:ascii="Arial" w:cs="Arial" w:eastAsia="Arial" w:hAnsi="Arial"/>
                <w:sz w:val="12"/>
                <w:szCs w:val="12"/>
                <w:color w:val="auto"/>
              </w:rPr>
              <w:t>Operating expenses</w:t>
            </w:r>
          </w:p>
        </w:tc>
        <w:tc>
          <w:tcPr>
            <w:tcW w:w="1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16,425</w:t>
            </w: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34,046</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8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50,471</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88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Selling, general and administrative expenses</w:t>
            </w:r>
          </w:p>
        </w:tc>
        <w:tc>
          <w:tcPr>
            <w:tcW w:w="17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14,784</w:t>
            </w:r>
          </w:p>
        </w:tc>
        <w:tc>
          <w:tcPr>
            <w:tcW w:w="3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11,767</w:t>
            </w:r>
          </w:p>
        </w:tc>
        <w:tc>
          <w:tcPr>
            <w:tcW w:w="1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18,331</w:t>
            </w:r>
          </w:p>
        </w:tc>
        <w:tc>
          <w:tcPr>
            <w:tcW w:w="30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44,882</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880" w:type="dxa"/>
            <w:vAlign w:val="bottom"/>
            <w:gridSpan w:val="2"/>
          </w:tcPr>
          <w:p>
            <w:pPr>
              <w:spacing w:after="0"/>
              <w:rPr>
                <w:sz w:val="20"/>
                <w:szCs w:val="20"/>
                <w:color w:val="auto"/>
              </w:rPr>
            </w:pPr>
            <w:r>
              <w:rPr>
                <w:rFonts w:ascii="Arial" w:cs="Arial" w:eastAsia="Arial" w:hAnsi="Arial"/>
                <w:sz w:val="12"/>
                <w:szCs w:val="12"/>
                <w:color w:val="auto"/>
              </w:rPr>
              <w:t>Other (income) expenses, net</w:t>
            </w:r>
          </w:p>
        </w:tc>
        <w:tc>
          <w:tcPr>
            <w:tcW w:w="1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2"/>
                <w:szCs w:val="12"/>
                <w:color w:val="auto"/>
              </w:rPr>
              <w:t>(2,114)</w:t>
            </w:r>
          </w:p>
        </w:tc>
        <w:tc>
          <w:tcPr>
            <w:tcW w:w="180" w:type="dxa"/>
            <w:vAlign w:val="bottom"/>
          </w:tcPr>
          <w:p>
            <w:pPr>
              <w:spacing w:after="0"/>
              <w:rPr>
                <w:sz w:val="13"/>
                <w:szCs w:val="13"/>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2"/>
                <w:szCs w:val="12"/>
                <w:color w:val="auto"/>
              </w:rPr>
              <w:t>(63)</w:t>
            </w: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5</w:t>
            </w: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2"/>
                <w:szCs w:val="12"/>
                <w:color w:val="auto"/>
              </w:rPr>
              <w:t>(2,172)</w:t>
            </w:r>
          </w:p>
        </w:tc>
        <w:tc>
          <w:tcPr>
            <w:tcW w:w="0" w:type="dxa"/>
            <w:vAlign w:val="bottom"/>
          </w:tcPr>
          <w:p>
            <w:pPr>
              <w:spacing w:after="0"/>
              <w:rPr>
                <w:sz w:val="1"/>
                <w:szCs w:val="1"/>
                <w:color w:val="auto"/>
              </w:rPr>
            </w:pPr>
          </w:p>
        </w:tc>
      </w:tr>
      <w:tr>
        <w:trPr>
          <w:trHeight w:val="20"/>
        </w:trPr>
        <w:tc>
          <w:tcPr>
            <w:tcW w:w="3880" w:type="dxa"/>
            <w:vAlign w:val="bottom"/>
            <w:gridSpan w:val="2"/>
            <w:vMerge w:val="restart"/>
            <w:shd w:val="clear" w:color="auto" w:fill="CFF0FC"/>
          </w:tcPr>
          <w:p>
            <w:pPr>
              <w:ind w:left="80"/>
              <w:spacing w:after="0"/>
              <w:rPr>
                <w:sz w:val="20"/>
                <w:szCs w:val="20"/>
                <w:color w:val="auto"/>
              </w:rPr>
            </w:pPr>
            <w:r>
              <w:rPr>
                <w:rFonts w:ascii="Arial" w:cs="Arial" w:eastAsia="Arial" w:hAnsi="Arial"/>
                <w:sz w:val="12"/>
                <w:szCs w:val="12"/>
                <w:b w:val="1"/>
                <w:bCs w:val="1"/>
                <w:color w:val="auto"/>
              </w:rPr>
              <w:t>Segment profit (loss)</w:t>
            </w:r>
          </w:p>
        </w:tc>
        <w:tc>
          <w:tcPr>
            <w:tcW w:w="17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880" w:type="dxa"/>
            <w:vAlign w:val="bottom"/>
            <w:gridSpan w:val="2"/>
            <w:vMerge w:val="continue"/>
            <w:shd w:val="clear" w:color="auto" w:fill="CFF0FC"/>
          </w:tcPr>
          <w:p>
            <w:pPr>
              <w:spacing w:after="0"/>
              <w:rPr>
                <w:sz w:val="12"/>
                <w:szCs w:val="12"/>
                <w:color w:val="auto"/>
              </w:rPr>
            </w:pPr>
          </w:p>
        </w:tc>
        <w:tc>
          <w:tcPr>
            <w:tcW w:w="1760" w:type="dxa"/>
            <w:vAlign w:val="bottom"/>
            <w:shd w:val="clear" w:color="auto" w:fill="CFF0FC"/>
          </w:tcPr>
          <w:p>
            <w:pPr>
              <w:spacing w:after="0"/>
              <w:rPr>
                <w:sz w:val="12"/>
                <w:szCs w:val="12"/>
                <w:color w:val="auto"/>
              </w:rPr>
            </w:pPr>
          </w:p>
        </w:tc>
        <w:tc>
          <w:tcPr>
            <w:tcW w:w="200" w:type="dxa"/>
            <w:vAlign w:val="bottom"/>
            <w:shd w:val="clear" w:color="auto" w:fill="CFF0FC"/>
          </w:tcPr>
          <w:p>
            <w:pPr>
              <w:jc w:val="right"/>
              <w:ind w:right="90"/>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26,353</w:t>
            </w:r>
          </w:p>
        </w:tc>
        <w:tc>
          <w:tcPr>
            <w:tcW w:w="300" w:type="dxa"/>
            <w:vAlign w:val="bottom"/>
            <w:shd w:val="clear" w:color="auto" w:fill="CFF0FC"/>
          </w:tcPr>
          <w:p>
            <w:pPr>
              <w:spacing w:after="0"/>
              <w:rPr>
                <w:sz w:val="12"/>
                <w:szCs w:val="12"/>
                <w:color w:val="auto"/>
              </w:rPr>
            </w:pPr>
          </w:p>
        </w:tc>
        <w:tc>
          <w:tcPr>
            <w:tcW w:w="180" w:type="dxa"/>
            <w:vAlign w:val="bottom"/>
            <w:shd w:val="clear" w:color="auto" w:fill="CFF0FC"/>
          </w:tcPr>
          <w:p>
            <w:pPr>
              <w:jc w:val="right"/>
              <w:ind w:right="70"/>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33,515</w:t>
            </w:r>
          </w:p>
        </w:tc>
        <w:tc>
          <w:tcPr>
            <w:tcW w:w="160" w:type="dxa"/>
            <w:vAlign w:val="bottom"/>
            <w:shd w:val="clear" w:color="auto" w:fill="CFF0FC"/>
          </w:tcPr>
          <w:p>
            <w:pPr>
              <w:spacing w:after="0"/>
              <w:rPr>
                <w:sz w:val="12"/>
                <w:szCs w:val="12"/>
                <w:color w:val="auto"/>
              </w:rPr>
            </w:pPr>
          </w:p>
        </w:tc>
        <w:tc>
          <w:tcPr>
            <w:tcW w:w="40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1380" w:type="dxa"/>
            <w:vAlign w:val="bottom"/>
            <w:gridSpan w:val="2"/>
            <w:shd w:val="clear" w:color="auto" w:fill="CFF0FC"/>
          </w:tcPr>
          <w:p>
            <w:pPr>
              <w:jc w:val="right"/>
              <w:ind w:right="260"/>
              <w:spacing w:after="0"/>
              <w:rPr>
                <w:sz w:val="20"/>
                <w:szCs w:val="20"/>
                <w:color w:val="auto"/>
              </w:rPr>
            </w:pPr>
            <w:r>
              <w:rPr>
                <w:rFonts w:ascii="Arial" w:cs="Arial" w:eastAsia="Arial" w:hAnsi="Arial"/>
                <w:sz w:val="12"/>
                <w:szCs w:val="12"/>
                <w:color w:val="auto"/>
              </w:rPr>
              <w:t>(18,336)</w:t>
            </w:r>
          </w:p>
        </w:tc>
        <w:tc>
          <w:tcPr>
            <w:tcW w:w="280" w:type="dxa"/>
            <w:vAlign w:val="bottom"/>
            <w:shd w:val="clear" w:color="auto" w:fill="CFF0FC"/>
          </w:tcPr>
          <w:p>
            <w:pPr>
              <w:jc w:val="right"/>
              <w:ind w:right="170"/>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41,532</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880" w:type="dxa"/>
            <w:vAlign w:val="bottom"/>
            <w:tcBorders>
              <w:top w:val="single" w:sz="8" w:color="CFF0FC"/>
            </w:tcBorders>
            <w:gridSpan w:val="2"/>
            <w:vMerge w:val="restart"/>
          </w:tcPr>
          <w:p>
            <w:pPr>
              <w:spacing w:after="0"/>
              <w:rPr>
                <w:sz w:val="20"/>
                <w:szCs w:val="20"/>
                <w:color w:val="auto"/>
              </w:rPr>
            </w:pPr>
            <w:r>
              <w:rPr>
                <w:rFonts w:ascii="Arial" w:cs="Arial" w:eastAsia="Arial" w:hAnsi="Arial"/>
                <w:sz w:val="12"/>
                <w:szCs w:val="12"/>
                <w:color w:val="auto"/>
              </w:rPr>
              <w:t>Segment profit (loss)</w:t>
            </w:r>
          </w:p>
        </w:tc>
        <w:tc>
          <w:tcPr>
            <w:tcW w:w="176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3880" w:type="dxa"/>
            <w:vAlign w:val="bottom"/>
            <w:gridSpan w:val="2"/>
            <w:vMerge w:val="continue"/>
          </w:tcPr>
          <w:p>
            <w:pPr>
              <w:spacing w:after="0"/>
              <w:rPr>
                <w:sz w:val="12"/>
                <w:szCs w:val="12"/>
                <w:color w:val="auto"/>
              </w:rPr>
            </w:pPr>
          </w:p>
        </w:tc>
        <w:tc>
          <w:tcPr>
            <w:tcW w:w="1760" w:type="dxa"/>
            <w:vAlign w:val="bottom"/>
          </w:tcPr>
          <w:p>
            <w:pPr>
              <w:spacing w:after="0"/>
              <w:rPr>
                <w:sz w:val="12"/>
                <w:szCs w:val="12"/>
                <w:color w:val="auto"/>
              </w:rPr>
            </w:pPr>
          </w:p>
        </w:tc>
        <w:tc>
          <w:tcPr>
            <w:tcW w:w="200" w:type="dxa"/>
            <w:vAlign w:val="bottom"/>
          </w:tcPr>
          <w:p>
            <w:pPr>
              <w:jc w:val="right"/>
              <w:ind w:right="90"/>
              <w:spacing w:after="0"/>
              <w:rPr>
                <w:sz w:val="20"/>
                <w:szCs w:val="20"/>
                <w:color w:val="auto"/>
              </w:rPr>
            </w:pPr>
            <w:r>
              <w:rPr>
                <w:rFonts w:ascii="Arial" w:cs="Arial" w:eastAsia="Arial" w:hAnsi="Arial"/>
                <w:sz w:val="10"/>
                <w:szCs w:val="10"/>
                <w:color w:val="auto"/>
                <w:w w:val="71"/>
              </w:rPr>
              <w:t>$</w:t>
            </w:r>
          </w:p>
        </w:tc>
        <w:tc>
          <w:tcPr>
            <w:tcW w:w="940" w:type="dxa"/>
            <w:vAlign w:val="bottom"/>
          </w:tcPr>
          <w:p>
            <w:pPr>
              <w:jc w:val="right"/>
              <w:spacing w:after="0"/>
              <w:rPr>
                <w:sz w:val="20"/>
                <w:szCs w:val="20"/>
                <w:color w:val="auto"/>
              </w:rPr>
            </w:pPr>
            <w:r>
              <w:rPr>
                <w:rFonts w:ascii="Arial" w:cs="Arial" w:eastAsia="Arial" w:hAnsi="Arial"/>
                <w:sz w:val="12"/>
                <w:szCs w:val="12"/>
                <w:color w:val="auto"/>
              </w:rPr>
              <w:t>26,353</w:t>
            </w:r>
          </w:p>
        </w:tc>
        <w:tc>
          <w:tcPr>
            <w:tcW w:w="300" w:type="dxa"/>
            <w:vAlign w:val="bottom"/>
          </w:tcPr>
          <w:p>
            <w:pPr>
              <w:spacing w:after="0"/>
              <w:rPr>
                <w:sz w:val="12"/>
                <w:szCs w:val="12"/>
                <w:color w:val="auto"/>
              </w:rPr>
            </w:pPr>
          </w:p>
        </w:tc>
        <w:tc>
          <w:tcPr>
            <w:tcW w:w="180" w:type="dxa"/>
            <w:vAlign w:val="bottom"/>
          </w:tcPr>
          <w:p>
            <w:pPr>
              <w:jc w:val="right"/>
              <w:ind w:right="70"/>
              <w:spacing w:after="0"/>
              <w:rPr>
                <w:sz w:val="20"/>
                <w:szCs w:val="20"/>
                <w:color w:val="auto"/>
              </w:rPr>
            </w:pPr>
            <w:r>
              <w:rPr>
                <w:rFonts w:ascii="Arial" w:cs="Arial" w:eastAsia="Arial" w:hAnsi="Arial"/>
                <w:sz w:val="10"/>
                <w:szCs w:val="10"/>
                <w:color w:val="auto"/>
                <w:w w:val="71"/>
              </w:rPr>
              <w:t>$</w:t>
            </w:r>
          </w:p>
        </w:tc>
        <w:tc>
          <w:tcPr>
            <w:tcW w:w="940" w:type="dxa"/>
            <w:vAlign w:val="bottom"/>
          </w:tcPr>
          <w:p>
            <w:pPr>
              <w:jc w:val="right"/>
              <w:spacing w:after="0"/>
              <w:rPr>
                <w:sz w:val="20"/>
                <w:szCs w:val="20"/>
                <w:color w:val="auto"/>
              </w:rPr>
            </w:pPr>
            <w:r>
              <w:rPr>
                <w:rFonts w:ascii="Arial" w:cs="Arial" w:eastAsia="Arial" w:hAnsi="Arial"/>
                <w:sz w:val="12"/>
                <w:szCs w:val="12"/>
                <w:color w:val="auto"/>
              </w:rPr>
              <w:t>33,515</w:t>
            </w:r>
          </w:p>
        </w:tc>
        <w:tc>
          <w:tcPr>
            <w:tcW w:w="160" w:type="dxa"/>
            <w:vAlign w:val="bottom"/>
          </w:tcPr>
          <w:p>
            <w:pPr>
              <w:spacing w:after="0"/>
              <w:rPr>
                <w:sz w:val="12"/>
                <w:szCs w:val="12"/>
                <w:color w:val="auto"/>
              </w:rPr>
            </w:pPr>
          </w:p>
        </w:tc>
        <w:tc>
          <w:tcPr>
            <w:tcW w:w="40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380" w:type="dxa"/>
            <w:vAlign w:val="bottom"/>
            <w:gridSpan w:val="2"/>
          </w:tcPr>
          <w:p>
            <w:pPr>
              <w:jc w:val="right"/>
              <w:ind w:right="260"/>
              <w:spacing w:after="0"/>
              <w:rPr>
                <w:sz w:val="20"/>
                <w:szCs w:val="20"/>
                <w:color w:val="auto"/>
              </w:rPr>
            </w:pPr>
            <w:r>
              <w:rPr>
                <w:rFonts w:ascii="Arial" w:cs="Arial" w:eastAsia="Arial" w:hAnsi="Arial"/>
                <w:sz w:val="12"/>
                <w:szCs w:val="12"/>
                <w:color w:val="auto"/>
              </w:rPr>
              <w:t>(18,336)</w:t>
            </w:r>
          </w:p>
        </w:tc>
        <w:tc>
          <w:tcPr>
            <w:tcW w:w="280" w:type="dxa"/>
            <w:vAlign w:val="bottom"/>
          </w:tcPr>
          <w:p>
            <w:pPr>
              <w:jc w:val="right"/>
              <w:ind w:right="170"/>
              <w:spacing w:after="0"/>
              <w:rPr>
                <w:sz w:val="20"/>
                <w:szCs w:val="20"/>
                <w:color w:val="auto"/>
              </w:rPr>
            </w:pPr>
            <w:r>
              <w:rPr>
                <w:rFonts w:ascii="Arial" w:cs="Arial" w:eastAsia="Arial" w:hAnsi="Arial"/>
                <w:sz w:val="10"/>
                <w:szCs w:val="10"/>
                <w:color w:val="auto"/>
                <w:w w:val="71"/>
              </w:rPr>
              <w:t>$</w:t>
            </w:r>
          </w:p>
        </w:tc>
        <w:tc>
          <w:tcPr>
            <w:tcW w:w="940" w:type="dxa"/>
            <w:vAlign w:val="bottom"/>
          </w:tcPr>
          <w:p>
            <w:pPr>
              <w:jc w:val="right"/>
              <w:spacing w:after="0"/>
              <w:rPr>
                <w:sz w:val="20"/>
                <w:szCs w:val="20"/>
                <w:color w:val="auto"/>
              </w:rPr>
            </w:pPr>
            <w:r>
              <w:rPr>
                <w:rFonts w:ascii="Arial" w:cs="Arial" w:eastAsia="Arial" w:hAnsi="Arial"/>
                <w:sz w:val="12"/>
                <w:szCs w:val="12"/>
                <w:color w:val="auto"/>
              </w:rPr>
              <w:t>41,532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88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Depreciation and amortization</w:t>
            </w:r>
          </w:p>
        </w:tc>
        <w:tc>
          <w:tcPr>
            <w:tcW w:w="17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40" w:type="dxa"/>
            <w:vAlign w:val="bottom"/>
            <w:gridSpan w:val="2"/>
            <w:shd w:val="clear" w:color="auto" w:fill="CFF0FC"/>
          </w:tcPr>
          <w:p>
            <w:pPr>
              <w:jc w:val="right"/>
              <w:ind w:right="320"/>
              <w:spacing w:after="0"/>
              <w:rPr>
                <w:sz w:val="20"/>
                <w:szCs w:val="20"/>
                <w:color w:val="auto"/>
              </w:rPr>
            </w:pPr>
            <w:r>
              <w:rPr>
                <w:rFonts w:ascii="Arial" w:cs="Arial" w:eastAsia="Arial" w:hAnsi="Arial"/>
                <w:sz w:val="12"/>
                <w:szCs w:val="12"/>
                <w:color w:val="auto"/>
              </w:rPr>
              <w:t>—</w:t>
            </w:r>
          </w:p>
        </w:tc>
        <w:tc>
          <w:tcPr>
            <w:tcW w:w="180" w:type="dxa"/>
            <w:vAlign w:val="bottom"/>
            <w:shd w:val="clear" w:color="auto" w:fill="CFF0FC"/>
          </w:tcPr>
          <w:p>
            <w:pPr>
              <w:spacing w:after="0"/>
              <w:rPr>
                <w:sz w:val="13"/>
                <w:szCs w:val="13"/>
                <w:color w:val="auto"/>
              </w:rPr>
            </w:pPr>
          </w:p>
        </w:tc>
        <w:tc>
          <w:tcPr>
            <w:tcW w:w="110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w:t>
            </w:r>
          </w:p>
        </w:tc>
        <w:tc>
          <w:tcPr>
            <w:tcW w:w="1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33,151</w:t>
            </w:r>
          </w:p>
        </w:tc>
        <w:tc>
          <w:tcPr>
            <w:tcW w:w="30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33,151</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880" w:type="dxa"/>
            <w:vAlign w:val="bottom"/>
            <w:gridSpan w:val="2"/>
          </w:tcPr>
          <w:p>
            <w:pPr>
              <w:spacing w:after="0"/>
              <w:rPr>
                <w:sz w:val="20"/>
                <w:szCs w:val="20"/>
                <w:color w:val="auto"/>
              </w:rPr>
            </w:pPr>
            <w:r>
              <w:rPr>
                <w:rFonts w:ascii="Arial" w:cs="Arial" w:eastAsia="Arial" w:hAnsi="Arial"/>
                <w:sz w:val="12"/>
                <w:szCs w:val="12"/>
                <w:color w:val="auto"/>
              </w:rPr>
              <w:t>Gain on disposal of assets, net</w:t>
            </w:r>
          </w:p>
        </w:tc>
        <w:tc>
          <w:tcPr>
            <w:tcW w:w="1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2"/>
                <w:szCs w:val="12"/>
                <w:color w:val="auto"/>
              </w:rPr>
              <w:t>(38)</w:t>
            </w:r>
          </w:p>
        </w:tc>
        <w:tc>
          <w:tcPr>
            <w:tcW w:w="280" w:type="dxa"/>
            <w:vAlign w:val="bottom"/>
          </w:tcPr>
          <w:p>
            <w:pPr>
              <w:spacing w:after="0"/>
              <w:rPr>
                <w:sz w:val="13"/>
                <w:szCs w:val="13"/>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2"/>
                <w:szCs w:val="12"/>
                <w:color w:val="auto"/>
              </w:rPr>
              <w:t>(38)</w:t>
            </w:r>
          </w:p>
        </w:tc>
        <w:tc>
          <w:tcPr>
            <w:tcW w:w="0" w:type="dxa"/>
            <w:vAlign w:val="bottom"/>
          </w:tcPr>
          <w:p>
            <w:pPr>
              <w:spacing w:after="0"/>
              <w:rPr>
                <w:sz w:val="1"/>
                <w:szCs w:val="1"/>
                <w:color w:val="auto"/>
              </w:rPr>
            </w:pPr>
          </w:p>
        </w:tc>
      </w:tr>
      <w:tr>
        <w:trPr>
          <w:trHeight w:val="153"/>
        </w:trPr>
        <w:tc>
          <w:tcPr>
            <w:tcW w:w="388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Interest expense</w:t>
            </w:r>
          </w:p>
        </w:tc>
        <w:tc>
          <w:tcPr>
            <w:tcW w:w="1760" w:type="dxa"/>
            <w:vAlign w:val="bottom"/>
            <w:shd w:val="clear" w:color="auto" w:fill="CFF0FC"/>
          </w:tcPr>
          <w:p>
            <w:pPr>
              <w:spacing w:after="0"/>
              <w:rPr>
                <w:sz w:val="13"/>
                <w:szCs w:val="13"/>
                <w:color w:val="auto"/>
              </w:rPr>
            </w:pPr>
          </w:p>
        </w:tc>
        <w:tc>
          <w:tcPr>
            <w:tcW w:w="200" w:type="dxa"/>
            <w:vAlign w:val="bottom"/>
            <w:tcBorders>
              <w:bottom w:val="single" w:sz="8" w:color="auto"/>
            </w:tcBorders>
            <w:shd w:val="clear" w:color="auto" w:fill="CFF0FC"/>
          </w:tcPr>
          <w:p>
            <w:pPr>
              <w:spacing w:after="0"/>
              <w:rPr>
                <w:sz w:val="13"/>
                <w:szCs w:val="13"/>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300" w:type="dxa"/>
            <w:vAlign w:val="bottom"/>
            <w:shd w:val="clear" w:color="auto" w:fill="CFF0FC"/>
          </w:tcPr>
          <w:p>
            <w:pPr>
              <w:spacing w:after="0"/>
              <w:rPr>
                <w:sz w:val="13"/>
                <w:szCs w:val="13"/>
                <w:color w:val="auto"/>
              </w:rPr>
            </w:pPr>
          </w:p>
        </w:tc>
        <w:tc>
          <w:tcPr>
            <w:tcW w:w="180" w:type="dxa"/>
            <w:vAlign w:val="bottom"/>
            <w:tcBorders>
              <w:bottom w:val="single" w:sz="8" w:color="auto"/>
            </w:tcBorders>
            <w:shd w:val="clear" w:color="auto" w:fill="CFF0FC"/>
          </w:tcPr>
          <w:p>
            <w:pPr>
              <w:spacing w:after="0"/>
              <w:rPr>
                <w:sz w:val="13"/>
                <w:szCs w:val="13"/>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260" w:type="dxa"/>
            <w:vAlign w:val="bottom"/>
            <w:tcBorders>
              <w:bottom w:val="single" w:sz="8" w:color="auto"/>
            </w:tcBorders>
            <w:shd w:val="clear" w:color="auto" w:fill="CFF0FC"/>
          </w:tcPr>
          <w:p>
            <w:pPr>
              <w:spacing w:after="0"/>
              <w:rPr>
                <w:sz w:val="13"/>
                <w:szCs w:val="13"/>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20,858</w:t>
            </w:r>
          </w:p>
        </w:tc>
        <w:tc>
          <w:tcPr>
            <w:tcW w:w="300" w:type="dxa"/>
            <w:vAlign w:val="bottom"/>
            <w:shd w:val="clear" w:color="auto" w:fill="CFF0FC"/>
          </w:tcPr>
          <w:p>
            <w:pPr>
              <w:spacing w:after="0"/>
              <w:rPr>
                <w:sz w:val="13"/>
                <w:szCs w:val="13"/>
                <w:color w:val="auto"/>
              </w:rPr>
            </w:pPr>
          </w:p>
        </w:tc>
        <w:tc>
          <w:tcPr>
            <w:tcW w:w="280" w:type="dxa"/>
            <w:vAlign w:val="bottom"/>
            <w:tcBorders>
              <w:bottom w:val="single" w:sz="8" w:color="auto"/>
            </w:tcBorders>
            <w:shd w:val="clear" w:color="auto" w:fill="CFF0FC"/>
          </w:tcPr>
          <w:p>
            <w:pPr>
              <w:spacing w:after="0"/>
              <w:rPr>
                <w:sz w:val="13"/>
                <w:szCs w:val="13"/>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20,858</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880" w:type="dxa"/>
            <w:vAlign w:val="bottom"/>
            <w:gridSpan w:val="2"/>
          </w:tcPr>
          <w:p>
            <w:pPr>
              <w:ind w:left="80"/>
              <w:spacing w:after="0"/>
              <w:rPr>
                <w:sz w:val="20"/>
                <w:szCs w:val="20"/>
                <w:color w:val="auto"/>
              </w:rPr>
            </w:pPr>
            <w:r>
              <w:rPr>
                <w:rFonts w:ascii="Arial" w:cs="Arial" w:eastAsia="Arial" w:hAnsi="Arial"/>
                <w:sz w:val="12"/>
                <w:szCs w:val="12"/>
                <w:color w:val="auto"/>
              </w:rPr>
              <w:t>(Loss) income before income tax (benefit)</w:t>
            </w:r>
          </w:p>
        </w:tc>
        <w:tc>
          <w:tcPr>
            <w:tcW w:w="1960" w:type="dxa"/>
            <w:vAlign w:val="bottom"/>
            <w:gridSpan w:val="2"/>
          </w:tcPr>
          <w:p>
            <w:pPr>
              <w:jc w:val="right"/>
              <w:ind w:right="90"/>
              <w:spacing w:after="0"/>
              <w:rPr>
                <w:sz w:val="20"/>
                <w:szCs w:val="20"/>
                <w:color w:val="auto"/>
              </w:rPr>
            </w:pPr>
            <w:r>
              <w:rPr>
                <w:rFonts w:ascii="Arial" w:cs="Arial" w:eastAsia="Arial" w:hAnsi="Arial"/>
                <w:sz w:val="12"/>
                <w:szCs w:val="12"/>
                <w:color w:val="auto"/>
              </w:rPr>
              <w:t>$</w:t>
            </w:r>
          </w:p>
        </w:tc>
        <w:tc>
          <w:tcPr>
            <w:tcW w:w="940" w:type="dxa"/>
            <w:vAlign w:val="bottom"/>
          </w:tcPr>
          <w:p>
            <w:pPr>
              <w:jc w:val="right"/>
              <w:spacing w:after="0"/>
              <w:rPr>
                <w:sz w:val="20"/>
                <w:szCs w:val="20"/>
                <w:color w:val="auto"/>
              </w:rPr>
            </w:pPr>
            <w:r>
              <w:rPr>
                <w:rFonts w:ascii="Arial" w:cs="Arial" w:eastAsia="Arial" w:hAnsi="Arial"/>
                <w:sz w:val="12"/>
                <w:szCs w:val="12"/>
                <w:color w:val="auto"/>
              </w:rPr>
              <w:t>26,353</w:t>
            </w:r>
          </w:p>
        </w:tc>
        <w:tc>
          <w:tcPr>
            <w:tcW w:w="300" w:type="dxa"/>
            <w:vAlign w:val="bottom"/>
          </w:tcPr>
          <w:p>
            <w:pPr>
              <w:spacing w:after="0"/>
              <w:rPr>
                <w:sz w:val="12"/>
                <w:szCs w:val="12"/>
                <w:color w:val="auto"/>
              </w:rPr>
            </w:pPr>
          </w:p>
        </w:tc>
        <w:tc>
          <w:tcPr>
            <w:tcW w:w="180" w:type="dxa"/>
            <w:vAlign w:val="bottom"/>
          </w:tcPr>
          <w:p>
            <w:pPr>
              <w:jc w:val="right"/>
              <w:ind w:right="70"/>
              <w:spacing w:after="0"/>
              <w:rPr>
                <w:sz w:val="20"/>
                <w:szCs w:val="20"/>
                <w:color w:val="auto"/>
              </w:rPr>
            </w:pPr>
            <w:r>
              <w:rPr>
                <w:rFonts w:ascii="Arial" w:cs="Arial" w:eastAsia="Arial" w:hAnsi="Arial"/>
                <w:sz w:val="10"/>
                <w:szCs w:val="10"/>
                <w:color w:val="auto"/>
                <w:w w:val="71"/>
              </w:rPr>
              <w:t>$</w:t>
            </w:r>
          </w:p>
        </w:tc>
        <w:tc>
          <w:tcPr>
            <w:tcW w:w="940" w:type="dxa"/>
            <w:vAlign w:val="bottom"/>
          </w:tcPr>
          <w:p>
            <w:pPr>
              <w:jc w:val="right"/>
              <w:spacing w:after="0"/>
              <w:rPr>
                <w:sz w:val="20"/>
                <w:szCs w:val="20"/>
                <w:color w:val="auto"/>
              </w:rPr>
            </w:pPr>
            <w:r>
              <w:rPr>
                <w:rFonts w:ascii="Arial" w:cs="Arial" w:eastAsia="Arial" w:hAnsi="Arial"/>
                <w:sz w:val="12"/>
                <w:szCs w:val="12"/>
                <w:color w:val="auto"/>
              </w:rPr>
              <w:t>33,515</w:t>
            </w:r>
          </w:p>
        </w:tc>
        <w:tc>
          <w:tcPr>
            <w:tcW w:w="160" w:type="dxa"/>
            <w:vAlign w:val="bottom"/>
          </w:tcPr>
          <w:p>
            <w:pPr>
              <w:spacing w:after="0"/>
              <w:rPr>
                <w:sz w:val="12"/>
                <w:szCs w:val="12"/>
                <w:color w:val="auto"/>
              </w:rPr>
            </w:pPr>
          </w:p>
        </w:tc>
        <w:tc>
          <w:tcPr>
            <w:tcW w:w="40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380" w:type="dxa"/>
            <w:vAlign w:val="bottom"/>
            <w:gridSpan w:val="2"/>
          </w:tcPr>
          <w:p>
            <w:pPr>
              <w:jc w:val="right"/>
              <w:ind w:right="260"/>
              <w:spacing w:after="0"/>
              <w:rPr>
                <w:sz w:val="20"/>
                <w:szCs w:val="20"/>
                <w:color w:val="auto"/>
              </w:rPr>
            </w:pPr>
            <w:r>
              <w:rPr>
                <w:rFonts w:ascii="Arial" w:cs="Arial" w:eastAsia="Arial" w:hAnsi="Arial"/>
                <w:sz w:val="12"/>
                <w:szCs w:val="12"/>
                <w:color w:val="auto"/>
              </w:rPr>
              <w:t>(72,307)</w:t>
            </w:r>
          </w:p>
        </w:tc>
        <w:tc>
          <w:tcPr>
            <w:tcW w:w="280" w:type="dxa"/>
            <w:vAlign w:val="bottom"/>
          </w:tcPr>
          <w:p>
            <w:pPr>
              <w:jc w:val="right"/>
              <w:ind w:right="170"/>
              <w:spacing w:after="0"/>
              <w:rPr>
                <w:sz w:val="20"/>
                <w:szCs w:val="20"/>
                <w:color w:val="auto"/>
              </w:rPr>
            </w:pPr>
            <w:r>
              <w:rPr>
                <w:rFonts w:ascii="Arial" w:cs="Arial" w:eastAsia="Arial" w:hAnsi="Arial"/>
                <w:sz w:val="10"/>
                <w:szCs w:val="10"/>
                <w:color w:val="auto"/>
                <w:w w:val="71"/>
              </w:rPr>
              <w:t>$</w:t>
            </w:r>
          </w:p>
        </w:tc>
        <w:tc>
          <w:tcPr>
            <w:tcW w:w="1060" w:type="dxa"/>
            <w:vAlign w:val="bottom"/>
            <w:gridSpan w:val="2"/>
          </w:tcPr>
          <w:p>
            <w:pPr>
              <w:jc w:val="right"/>
              <w:ind w:right="80"/>
              <w:spacing w:after="0"/>
              <w:rPr>
                <w:sz w:val="20"/>
                <w:szCs w:val="20"/>
                <w:color w:val="auto"/>
              </w:rPr>
            </w:pPr>
            <w:r>
              <w:rPr>
                <w:rFonts w:ascii="Arial" w:cs="Arial" w:eastAsia="Arial" w:hAnsi="Arial"/>
                <w:sz w:val="12"/>
                <w:szCs w:val="12"/>
                <w:color w:val="auto"/>
              </w:rPr>
              <w:t>(12,439)</w:t>
            </w:r>
          </w:p>
        </w:tc>
        <w:tc>
          <w:tcPr>
            <w:tcW w:w="0" w:type="dxa"/>
            <w:vAlign w:val="bottom"/>
          </w:tcPr>
          <w:p>
            <w:pPr>
              <w:spacing w:after="0"/>
              <w:rPr>
                <w:sz w:val="1"/>
                <w:szCs w:val="1"/>
                <w:color w:val="auto"/>
              </w:rPr>
            </w:pPr>
          </w:p>
        </w:tc>
      </w:tr>
      <w:tr>
        <w:trPr>
          <w:trHeight w:val="387"/>
        </w:trPr>
        <w:tc>
          <w:tcPr>
            <w:tcW w:w="3880" w:type="dxa"/>
            <w:vAlign w:val="bottom"/>
            <w:gridSpan w:val="2"/>
          </w:tcPr>
          <w:p>
            <w:pPr>
              <w:spacing w:after="0"/>
              <w:rPr>
                <w:sz w:val="20"/>
                <w:szCs w:val="20"/>
                <w:color w:val="auto"/>
              </w:rPr>
            </w:pPr>
            <w:r>
              <w:rPr>
                <w:rFonts w:ascii="Arial" w:cs="Arial" w:eastAsia="Arial" w:hAnsi="Arial"/>
                <w:sz w:val="12"/>
                <w:szCs w:val="12"/>
                <w:b w:val="1"/>
                <w:bCs w:val="1"/>
                <w:i w:val="1"/>
                <w:iCs w:val="1"/>
                <w:color w:val="auto"/>
              </w:rPr>
              <w:t>Predecessor</w:t>
            </w:r>
          </w:p>
        </w:tc>
        <w:tc>
          <w:tcPr>
            <w:tcW w:w="176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640" w:type="dxa"/>
            <w:vAlign w:val="bottom"/>
          </w:tcPr>
          <w:p>
            <w:pPr>
              <w:spacing w:after="0"/>
              <w:rPr>
                <w:sz w:val="21"/>
                <w:szCs w:val="21"/>
                <w:color w:val="auto"/>
              </w:rPr>
            </w:pPr>
          </w:p>
        </w:tc>
        <w:tc>
          <w:tcPr>
            <w:tcW w:w="324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880" w:type="dxa"/>
            <w:vAlign w:val="bottom"/>
            <w:tcBorders>
              <w:bottom w:val="single" w:sz="8" w:color="auto"/>
            </w:tcBorders>
            <w:gridSpan w:val="6"/>
          </w:tcPr>
          <w:p>
            <w:pPr>
              <w:jc w:val="right"/>
              <w:ind w:right="800"/>
              <w:spacing w:after="0"/>
              <w:rPr>
                <w:sz w:val="20"/>
                <w:szCs w:val="20"/>
                <w:color w:val="auto"/>
              </w:rPr>
            </w:pPr>
            <w:r>
              <w:rPr>
                <w:rFonts w:ascii="Arial" w:cs="Arial" w:eastAsia="Arial" w:hAnsi="Arial"/>
                <w:sz w:val="10"/>
                <w:szCs w:val="10"/>
                <w:b w:val="1"/>
                <w:bCs w:val="1"/>
                <w:color w:val="auto"/>
              </w:rPr>
              <w:t>For the Five Months Ended May 31, 2017</w:t>
            </w:r>
          </w:p>
        </w:tc>
        <w:tc>
          <w:tcPr>
            <w:tcW w:w="2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2"/>
        </w:trPr>
        <w:tc>
          <w:tcPr>
            <w:tcW w:w="640" w:type="dxa"/>
            <w:vAlign w:val="bottom"/>
          </w:tcPr>
          <w:p>
            <w:pPr>
              <w:spacing w:after="0"/>
              <w:rPr>
                <w:sz w:val="7"/>
                <w:szCs w:val="7"/>
                <w:color w:val="auto"/>
              </w:rPr>
            </w:pPr>
          </w:p>
        </w:tc>
        <w:tc>
          <w:tcPr>
            <w:tcW w:w="3240" w:type="dxa"/>
            <w:vAlign w:val="bottom"/>
          </w:tcPr>
          <w:p>
            <w:pPr>
              <w:spacing w:after="0"/>
              <w:rPr>
                <w:sz w:val="7"/>
                <w:szCs w:val="7"/>
                <w:color w:val="auto"/>
              </w:rPr>
            </w:pPr>
          </w:p>
        </w:tc>
        <w:tc>
          <w:tcPr>
            <w:tcW w:w="17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40" w:type="dxa"/>
            <w:vAlign w:val="bottom"/>
            <w:gridSpan w:val="2"/>
          </w:tcPr>
          <w:p>
            <w:pPr>
              <w:jc w:val="center"/>
              <w:ind w:right="500"/>
              <w:spacing w:after="0" w:line="92" w:lineRule="exact"/>
              <w:rPr>
                <w:sz w:val="20"/>
                <w:szCs w:val="20"/>
                <w:color w:val="auto"/>
              </w:rPr>
            </w:pPr>
            <w:r>
              <w:rPr>
                <w:rFonts w:ascii="Arial" w:cs="Arial" w:eastAsia="Arial" w:hAnsi="Arial"/>
                <w:sz w:val="10"/>
                <w:szCs w:val="10"/>
                <w:b w:val="1"/>
                <w:bCs w:val="1"/>
                <w:color w:val="auto"/>
                <w:w w:val="87"/>
              </w:rPr>
              <w:t>Commercial</w:t>
            </w:r>
          </w:p>
        </w:tc>
        <w:tc>
          <w:tcPr>
            <w:tcW w:w="180" w:type="dxa"/>
            <w:vAlign w:val="bottom"/>
          </w:tcPr>
          <w:p>
            <w:pPr>
              <w:spacing w:after="0"/>
              <w:rPr>
                <w:sz w:val="7"/>
                <w:szCs w:val="7"/>
                <w:color w:val="auto"/>
              </w:rPr>
            </w:pPr>
          </w:p>
        </w:tc>
        <w:tc>
          <w:tcPr>
            <w:tcW w:w="1100" w:type="dxa"/>
            <w:vAlign w:val="bottom"/>
            <w:gridSpan w:val="2"/>
          </w:tcPr>
          <w:p>
            <w:pPr>
              <w:jc w:val="center"/>
              <w:ind w:right="360"/>
              <w:spacing w:after="0" w:line="92" w:lineRule="exact"/>
              <w:rPr>
                <w:sz w:val="20"/>
                <w:szCs w:val="20"/>
                <w:color w:val="auto"/>
              </w:rPr>
            </w:pPr>
            <w:r>
              <w:rPr>
                <w:rFonts w:ascii="Arial" w:cs="Arial" w:eastAsia="Arial" w:hAnsi="Arial"/>
                <w:sz w:val="10"/>
                <w:szCs w:val="10"/>
                <w:b w:val="1"/>
                <w:bCs w:val="1"/>
                <w:color w:val="auto"/>
                <w:w w:val="84"/>
              </w:rPr>
              <w:t>Government</w:t>
            </w:r>
          </w:p>
        </w:tc>
        <w:tc>
          <w:tcPr>
            <w:tcW w:w="1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380" w:type="dxa"/>
            <w:vAlign w:val="bottom"/>
            <w:gridSpan w:val="2"/>
          </w:tcPr>
          <w:p>
            <w:pPr>
              <w:jc w:val="right"/>
              <w:ind w:right="760"/>
              <w:spacing w:after="0" w:line="92" w:lineRule="exact"/>
              <w:rPr>
                <w:sz w:val="20"/>
                <w:szCs w:val="20"/>
                <w:color w:val="auto"/>
              </w:rPr>
            </w:pPr>
            <w:r>
              <w:rPr>
                <w:rFonts w:ascii="Arial" w:cs="Arial" w:eastAsia="Arial" w:hAnsi="Arial"/>
                <w:sz w:val="10"/>
                <w:szCs w:val="10"/>
                <w:b w:val="1"/>
                <w:bCs w:val="1"/>
                <w:color w:val="auto"/>
              </w:rPr>
              <w:t>Corporate</w:t>
            </w:r>
          </w:p>
        </w:tc>
        <w:tc>
          <w:tcPr>
            <w:tcW w:w="280" w:type="dxa"/>
            <w:vAlign w:val="bottom"/>
          </w:tcPr>
          <w:p>
            <w:pPr>
              <w:spacing w:after="0"/>
              <w:rPr>
                <w:sz w:val="7"/>
                <w:szCs w:val="7"/>
                <w:color w:val="auto"/>
              </w:rPr>
            </w:pPr>
          </w:p>
        </w:tc>
        <w:tc>
          <w:tcPr>
            <w:tcW w:w="94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5"/>
        </w:trPr>
        <w:tc>
          <w:tcPr>
            <w:tcW w:w="3880" w:type="dxa"/>
            <w:vAlign w:val="bottom"/>
            <w:gridSpan w:val="2"/>
          </w:tcPr>
          <w:p>
            <w:pPr>
              <w:spacing w:after="0" w:line="105" w:lineRule="exact"/>
              <w:rPr>
                <w:sz w:val="20"/>
                <w:szCs w:val="20"/>
                <w:color w:val="auto"/>
              </w:rPr>
            </w:pPr>
            <w:r>
              <w:rPr>
                <w:rFonts w:ascii="Arial" w:cs="Arial" w:eastAsia="Arial" w:hAnsi="Arial"/>
                <w:sz w:val="10"/>
                <w:szCs w:val="10"/>
                <w:b w:val="1"/>
                <w:bCs w:val="1"/>
                <w:u w:val="single" w:color="auto"/>
                <w:color w:val="auto"/>
              </w:rPr>
              <w:t>(</w:t>
            </w:r>
            <w:r>
              <w:rPr>
                <w:rFonts w:ascii="Arial" w:cs="Arial" w:eastAsia="Arial" w:hAnsi="Arial"/>
                <w:sz w:val="10"/>
                <w:szCs w:val="10"/>
                <w:b w:val="1"/>
                <w:bCs w:val="1"/>
                <w:color w:val="auto"/>
              </w:rPr>
              <w:t>$ in thousands)</w:t>
            </w:r>
          </w:p>
        </w:tc>
        <w:tc>
          <w:tcPr>
            <w:tcW w:w="1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40" w:type="dxa"/>
            <w:vAlign w:val="bottom"/>
            <w:gridSpan w:val="2"/>
          </w:tcPr>
          <w:p>
            <w:pPr>
              <w:jc w:val="center"/>
              <w:ind w:right="500"/>
              <w:spacing w:after="0" w:line="105" w:lineRule="exact"/>
              <w:rPr>
                <w:sz w:val="20"/>
                <w:szCs w:val="20"/>
                <w:color w:val="auto"/>
              </w:rPr>
            </w:pPr>
            <w:r>
              <w:rPr>
                <w:rFonts w:ascii="Arial" w:cs="Arial" w:eastAsia="Arial" w:hAnsi="Arial"/>
                <w:sz w:val="10"/>
                <w:szCs w:val="10"/>
                <w:b w:val="1"/>
                <w:bCs w:val="1"/>
                <w:color w:val="auto"/>
                <w:w w:val="82"/>
              </w:rPr>
              <w:t>Services</w:t>
            </w:r>
          </w:p>
        </w:tc>
        <w:tc>
          <w:tcPr>
            <w:tcW w:w="180" w:type="dxa"/>
            <w:vAlign w:val="bottom"/>
          </w:tcPr>
          <w:p>
            <w:pPr>
              <w:spacing w:after="0"/>
              <w:rPr>
                <w:sz w:val="9"/>
                <w:szCs w:val="9"/>
                <w:color w:val="auto"/>
              </w:rPr>
            </w:pPr>
          </w:p>
        </w:tc>
        <w:tc>
          <w:tcPr>
            <w:tcW w:w="1100" w:type="dxa"/>
            <w:vAlign w:val="bottom"/>
            <w:gridSpan w:val="2"/>
          </w:tcPr>
          <w:p>
            <w:pPr>
              <w:jc w:val="center"/>
              <w:ind w:right="360"/>
              <w:spacing w:after="0" w:line="105" w:lineRule="exact"/>
              <w:rPr>
                <w:sz w:val="20"/>
                <w:szCs w:val="20"/>
                <w:color w:val="auto"/>
              </w:rPr>
            </w:pPr>
            <w:r>
              <w:rPr>
                <w:rFonts w:ascii="Arial" w:cs="Arial" w:eastAsia="Arial" w:hAnsi="Arial"/>
                <w:sz w:val="10"/>
                <w:szCs w:val="10"/>
                <w:b w:val="1"/>
                <w:bCs w:val="1"/>
                <w:color w:val="auto"/>
                <w:w w:val="83"/>
              </w:rPr>
              <w:t>Solutions</w:t>
            </w:r>
          </w:p>
        </w:tc>
        <w:tc>
          <w:tcPr>
            <w:tcW w:w="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380" w:type="dxa"/>
            <w:vAlign w:val="bottom"/>
            <w:gridSpan w:val="2"/>
          </w:tcPr>
          <w:p>
            <w:pPr>
              <w:jc w:val="right"/>
              <w:ind w:right="760"/>
              <w:spacing w:after="0" w:line="105" w:lineRule="exact"/>
              <w:rPr>
                <w:sz w:val="20"/>
                <w:szCs w:val="20"/>
                <w:color w:val="auto"/>
              </w:rPr>
            </w:pPr>
            <w:r>
              <w:rPr>
                <w:rFonts w:ascii="Arial" w:cs="Arial" w:eastAsia="Arial" w:hAnsi="Arial"/>
                <w:sz w:val="10"/>
                <w:szCs w:val="10"/>
                <w:b w:val="1"/>
                <w:bCs w:val="1"/>
                <w:color w:val="auto"/>
              </w:rPr>
              <w:t>and Other</w:t>
            </w:r>
          </w:p>
        </w:tc>
        <w:tc>
          <w:tcPr>
            <w:tcW w:w="280" w:type="dxa"/>
            <w:vAlign w:val="bottom"/>
          </w:tcPr>
          <w:p>
            <w:pPr>
              <w:spacing w:after="0"/>
              <w:rPr>
                <w:sz w:val="9"/>
                <w:szCs w:val="9"/>
                <w:color w:val="auto"/>
              </w:rPr>
            </w:pPr>
          </w:p>
        </w:tc>
        <w:tc>
          <w:tcPr>
            <w:tcW w:w="1060" w:type="dxa"/>
            <w:vAlign w:val="bottom"/>
            <w:gridSpan w:val="2"/>
          </w:tcPr>
          <w:p>
            <w:pPr>
              <w:jc w:val="right"/>
              <w:ind w:right="620"/>
              <w:spacing w:after="0" w:line="105" w:lineRule="exact"/>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20"/>
        </w:trPr>
        <w:tc>
          <w:tcPr>
            <w:tcW w:w="640" w:type="dxa"/>
            <w:vAlign w:val="bottom"/>
            <w:tcBorders>
              <w:bottom w:val="single" w:sz="8" w:color="CFF0FC"/>
            </w:tcBorders>
            <w:shd w:val="clear" w:color="auto" w:fill="000000"/>
          </w:tcPr>
          <w:p>
            <w:pPr>
              <w:spacing w:after="0" w:line="20" w:lineRule="exact"/>
              <w:rPr>
                <w:sz w:val="1"/>
                <w:szCs w:val="1"/>
                <w:color w:val="auto"/>
              </w:rPr>
            </w:pPr>
          </w:p>
        </w:tc>
        <w:tc>
          <w:tcPr>
            <w:tcW w:w="3240" w:type="dxa"/>
            <w:vAlign w:val="bottom"/>
            <w:tcBorders>
              <w:bottom w:val="single" w:sz="8" w:color="CFF0FC"/>
            </w:tcBorders>
          </w:tcPr>
          <w:p>
            <w:pPr>
              <w:spacing w:after="0" w:line="20" w:lineRule="exact"/>
              <w:rPr>
                <w:sz w:val="1"/>
                <w:szCs w:val="1"/>
                <w:color w:val="auto"/>
              </w:rPr>
            </w:pPr>
          </w:p>
        </w:tc>
        <w:tc>
          <w:tcPr>
            <w:tcW w:w="1760" w:type="dxa"/>
            <w:vAlign w:val="bottom"/>
            <w:tcBorders>
              <w:bottom w:val="single" w:sz="8" w:color="CFF0FC"/>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FF0FC"/>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FF0FC"/>
            </w:tcBorders>
          </w:tcPr>
          <w:p>
            <w:pPr>
              <w:spacing w:after="0" w:line="20" w:lineRule="exact"/>
              <w:rPr>
                <w:sz w:val="1"/>
                <w:szCs w:val="1"/>
                <w:color w:val="auto"/>
              </w:rPr>
            </w:pPr>
          </w:p>
        </w:tc>
        <w:tc>
          <w:tcPr>
            <w:tcW w:w="140" w:type="dxa"/>
            <w:vAlign w:val="bottom"/>
            <w:tcBorders>
              <w:bottom w:val="single" w:sz="8" w:color="CFF0FC"/>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FF0FC"/>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3880" w:type="dxa"/>
            <w:vAlign w:val="bottom"/>
            <w:gridSpan w:val="2"/>
            <w:shd w:val="clear" w:color="auto" w:fill="CFF0FC"/>
          </w:tcPr>
          <w:p>
            <w:pPr>
              <w:spacing w:after="0" w:line="132" w:lineRule="exact"/>
              <w:rPr>
                <w:sz w:val="20"/>
                <w:szCs w:val="20"/>
                <w:color w:val="auto"/>
              </w:rPr>
            </w:pPr>
            <w:r>
              <w:rPr>
                <w:rFonts w:ascii="Arial" w:cs="Arial" w:eastAsia="Arial" w:hAnsi="Arial"/>
                <w:sz w:val="12"/>
                <w:szCs w:val="12"/>
                <w:color w:val="auto"/>
              </w:rPr>
              <w:t>Service revenue</w:t>
            </w:r>
          </w:p>
        </w:tc>
        <w:tc>
          <w:tcPr>
            <w:tcW w:w="1960" w:type="dxa"/>
            <w:vAlign w:val="bottom"/>
            <w:gridSpan w:val="2"/>
            <w:shd w:val="clear" w:color="auto" w:fill="CFF0FC"/>
          </w:tcPr>
          <w:p>
            <w:pPr>
              <w:jc w:val="right"/>
              <w:ind w:right="90"/>
              <w:spacing w:after="0" w:line="132" w:lineRule="exact"/>
              <w:rPr>
                <w:sz w:val="20"/>
                <w:szCs w:val="20"/>
                <w:color w:val="auto"/>
              </w:rPr>
            </w:pPr>
            <w:r>
              <w:rPr>
                <w:rFonts w:ascii="Arial" w:cs="Arial" w:eastAsia="Arial" w:hAnsi="Arial"/>
                <w:sz w:val="12"/>
                <w:szCs w:val="12"/>
                <w:color w:val="auto"/>
              </w:rPr>
              <w:t>$</w:t>
            </w:r>
          </w:p>
        </w:tc>
        <w:tc>
          <w:tcPr>
            <w:tcW w:w="940" w:type="dxa"/>
            <w:vAlign w:val="bottom"/>
            <w:shd w:val="clear" w:color="auto" w:fill="CFF0FC"/>
          </w:tcPr>
          <w:p>
            <w:pPr>
              <w:jc w:val="right"/>
              <w:spacing w:after="0" w:line="132" w:lineRule="exact"/>
              <w:rPr>
                <w:sz w:val="20"/>
                <w:szCs w:val="20"/>
                <w:color w:val="auto"/>
              </w:rPr>
            </w:pPr>
            <w:r>
              <w:rPr>
                <w:rFonts w:ascii="Arial" w:cs="Arial" w:eastAsia="Arial" w:hAnsi="Arial"/>
                <w:sz w:val="12"/>
                <w:szCs w:val="12"/>
                <w:color w:val="auto"/>
              </w:rPr>
              <w:t>35,509</w:t>
            </w:r>
          </w:p>
        </w:tc>
        <w:tc>
          <w:tcPr>
            <w:tcW w:w="300" w:type="dxa"/>
            <w:vAlign w:val="bottom"/>
            <w:shd w:val="clear" w:color="auto" w:fill="CFF0FC"/>
          </w:tcPr>
          <w:p>
            <w:pPr>
              <w:spacing w:after="0"/>
              <w:rPr>
                <w:sz w:val="11"/>
                <w:szCs w:val="11"/>
                <w:color w:val="auto"/>
              </w:rPr>
            </w:pPr>
          </w:p>
        </w:tc>
        <w:tc>
          <w:tcPr>
            <w:tcW w:w="180" w:type="dxa"/>
            <w:vAlign w:val="bottom"/>
            <w:shd w:val="clear" w:color="auto" w:fill="CFF0FC"/>
          </w:tcPr>
          <w:p>
            <w:pPr>
              <w:jc w:val="right"/>
              <w:ind w:right="70"/>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CFF0FC"/>
          </w:tcPr>
          <w:p>
            <w:pPr>
              <w:jc w:val="right"/>
              <w:spacing w:after="0" w:line="132" w:lineRule="exact"/>
              <w:rPr>
                <w:sz w:val="20"/>
                <w:szCs w:val="20"/>
                <w:color w:val="auto"/>
              </w:rPr>
            </w:pPr>
            <w:r>
              <w:rPr>
                <w:rFonts w:ascii="Arial" w:cs="Arial" w:eastAsia="Arial" w:hAnsi="Arial"/>
                <w:sz w:val="12"/>
                <w:szCs w:val="12"/>
                <w:color w:val="auto"/>
              </w:rPr>
              <w:t>57,022</w:t>
            </w:r>
          </w:p>
        </w:tc>
        <w:tc>
          <w:tcPr>
            <w:tcW w:w="160" w:type="dxa"/>
            <w:vAlign w:val="bottom"/>
            <w:shd w:val="clear" w:color="auto" w:fill="CFF0FC"/>
          </w:tcPr>
          <w:p>
            <w:pPr>
              <w:spacing w:after="0"/>
              <w:rPr>
                <w:sz w:val="11"/>
                <w:szCs w:val="11"/>
                <w:color w:val="auto"/>
              </w:rPr>
            </w:pPr>
          </w:p>
        </w:tc>
        <w:tc>
          <w:tcPr>
            <w:tcW w:w="400" w:type="dxa"/>
            <w:vAlign w:val="bottom"/>
            <w:gridSpan w:val="2"/>
            <w:shd w:val="clear" w:color="auto" w:fill="CFF0FC"/>
          </w:tcPr>
          <w:p>
            <w:pPr>
              <w:jc w:val="right"/>
              <w:ind w:right="200"/>
              <w:spacing w:after="0" w:line="132" w:lineRule="exact"/>
              <w:rPr>
                <w:sz w:val="20"/>
                <w:szCs w:val="20"/>
                <w:color w:val="auto"/>
              </w:rPr>
            </w:pPr>
            <w:r>
              <w:rPr>
                <w:rFonts w:ascii="Arial" w:cs="Arial" w:eastAsia="Arial" w:hAnsi="Arial"/>
                <w:sz w:val="12"/>
                <w:szCs w:val="12"/>
                <w:color w:val="auto"/>
              </w:rPr>
              <w:t>$</w:t>
            </w:r>
          </w:p>
        </w:tc>
        <w:tc>
          <w:tcPr>
            <w:tcW w:w="1380" w:type="dxa"/>
            <w:vAlign w:val="bottom"/>
            <w:gridSpan w:val="2"/>
            <w:shd w:val="clear" w:color="auto" w:fill="CFF0FC"/>
          </w:tcPr>
          <w:p>
            <w:pPr>
              <w:jc w:val="right"/>
              <w:ind w:right="300"/>
              <w:spacing w:after="0" w:line="132" w:lineRule="exact"/>
              <w:rPr>
                <w:sz w:val="20"/>
                <w:szCs w:val="20"/>
                <w:color w:val="auto"/>
              </w:rPr>
            </w:pPr>
            <w:r>
              <w:rPr>
                <w:rFonts w:ascii="Arial" w:cs="Arial" w:eastAsia="Arial" w:hAnsi="Arial"/>
                <w:sz w:val="12"/>
                <w:szCs w:val="12"/>
                <w:color w:val="auto"/>
              </w:rPr>
              <w:t>—</w:t>
            </w:r>
          </w:p>
        </w:tc>
        <w:tc>
          <w:tcPr>
            <w:tcW w:w="280" w:type="dxa"/>
            <w:vAlign w:val="bottom"/>
            <w:shd w:val="clear" w:color="auto" w:fill="CFF0FC"/>
          </w:tcPr>
          <w:p>
            <w:pPr>
              <w:jc w:val="right"/>
              <w:ind w:right="170"/>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CFF0FC"/>
          </w:tcPr>
          <w:p>
            <w:pPr>
              <w:jc w:val="right"/>
              <w:spacing w:after="0" w:line="132" w:lineRule="exact"/>
              <w:rPr>
                <w:sz w:val="20"/>
                <w:szCs w:val="20"/>
                <w:color w:val="auto"/>
              </w:rPr>
            </w:pPr>
            <w:r>
              <w:rPr>
                <w:rFonts w:ascii="Arial" w:cs="Arial" w:eastAsia="Arial" w:hAnsi="Arial"/>
                <w:sz w:val="12"/>
                <w:szCs w:val="12"/>
                <w:color w:val="auto"/>
              </w:rPr>
              <w:t>92,531</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880" w:type="dxa"/>
            <w:vAlign w:val="bottom"/>
            <w:tcBorders>
              <w:bottom w:val="single" w:sz="8" w:color="CFF0FC"/>
            </w:tcBorders>
            <w:gridSpan w:val="2"/>
          </w:tcPr>
          <w:p>
            <w:pPr>
              <w:spacing w:after="0"/>
              <w:rPr>
                <w:sz w:val="20"/>
                <w:szCs w:val="20"/>
                <w:color w:val="auto"/>
              </w:rPr>
            </w:pPr>
            <w:r>
              <w:rPr>
                <w:rFonts w:ascii="Arial" w:cs="Arial" w:eastAsia="Arial" w:hAnsi="Arial"/>
                <w:sz w:val="12"/>
                <w:szCs w:val="12"/>
                <w:color w:val="auto"/>
              </w:rPr>
              <w:t>Product sales</w:t>
            </w:r>
          </w:p>
        </w:tc>
        <w:tc>
          <w:tcPr>
            <w:tcW w:w="176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30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1,340</w:t>
            </w:r>
          </w:p>
        </w:tc>
        <w:tc>
          <w:tcPr>
            <w:tcW w:w="160" w:type="dxa"/>
            <w:vAlign w:val="bottom"/>
            <w:tcBorders>
              <w:bottom w:val="single" w:sz="8" w:color="CFF0FC"/>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30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1,340</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3880" w:type="dxa"/>
            <w:vAlign w:val="bottom"/>
            <w:gridSpan w:val="2"/>
            <w:shd w:val="clear" w:color="auto" w:fill="CFF0FC"/>
          </w:tcPr>
          <w:p>
            <w:pPr>
              <w:ind w:left="80"/>
              <w:spacing w:after="0"/>
              <w:rPr>
                <w:sz w:val="20"/>
                <w:szCs w:val="20"/>
                <w:color w:val="auto"/>
              </w:rPr>
            </w:pPr>
            <w:r>
              <w:rPr>
                <w:rFonts w:ascii="Arial" w:cs="Arial" w:eastAsia="Arial" w:hAnsi="Arial"/>
                <w:sz w:val="12"/>
                <w:szCs w:val="12"/>
                <w:color w:val="auto"/>
              </w:rPr>
              <w:t>Total revenue</w:t>
            </w:r>
          </w:p>
        </w:tc>
        <w:tc>
          <w:tcPr>
            <w:tcW w:w="17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35,509</w:t>
            </w:r>
          </w:p>
        </w:tc>
        <w:tc>
          <w:tcPr>
            <w:tcW w:w="3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58,362</w:t>
            </w:r>
          </w:p>
        </w:tc>
        <w:tc>
          <w:tcPr>
            <w:tcW w:w="1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380" w:type="dxa"/>
            <w:vAlign w:val="bottom"/>
            <w:gridSpan w:val="2"/>
            <w:shd w:val="clear" w:color="auto" w:fill="CFF0FC"/>
          </w:tcPr>
          <w:p>
            <w:pPr>
              <w:jc w:val="right"/>
              <w:ind w:right="300"/>
              <w:spacing w:after="0"/>
              <w:rPr>
                <w:sz w:val="20"/>
                <w:szCs w:val="20"/>
                <w:color w:val="auto"/>
              </w:rPr>
            </w:pPr>
            <w:r>
              <w:rPr>
                <w:rFonts w:ascii="Arial" w:cs="Arial" w:eastAsia="Arial" w:hAnsi="Arial"/>
                <w:sz w:val="12"/>
                <w:szCs w:val="12"/>
                <w:color w:val="auto"/>
              </w:rPr>
              <w:t>—</w:t>
            </w:r>
          </w:p>
        </w:tc>
        <w:tc>
          <w:tcPr>
            <w:tcW w:w="28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93,871</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880" w:type="dxa"/>
            <w:vAlign w:val="bottom"/>
            <w:gridSpan w:val="2"/>
          </w:tcPr>
          <w:p>
            <w:pPr>
              <w:spacing w:after="0"/>
              <w:rPr>
                <w:sz w:val="20"/>
                <w:szCs w:val="20"/>
                <w:color w:val="auto"/>
              </w:rPr>
            </w:pPr>
            <w:r>
              <w:rPr>
                <w:rFonts w:ascii="Arial" w:cs="Arial" w:eastAsia="Arial" w:hAnsi="Arial"/>
                <w:sz w:val="12"/>
                <w:szCs w:val="12"/>
                <w:color w:val="auto"/>
              </w:rPr>
              <w:t>Cost of service revenue</w:t>
            </w:r>
          </w:p>
        </w:tc>
        <w:tc>
          <w:tcPr>
            <w:tcW w:w="1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194</w:t>
            </w: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1,175</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8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1,369</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88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Cost of product sales</w:t>
            </w:r>
          </w:p>
        </w:tc>
        <w:tc>
          <w:tcPr>
            <w:tcW w:w="17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40" w:type="dxa"/>
            <w:vAlign w:val="bottom"/>
            <w:gridSpan w:val="2"/>
            <w:shd w:val="clear" w:color="auto" w:fill="CFF0FC"/>
          </w:tcPr>
          <w:p>
            <w:pPr>
              <w:jc w:val="right"/>
              <w:ind w:right="320"/>
              <w:spacing w:after="0"/>
              <w:rPr>
                <w:sz w:val="20"/>
                <w:szCs w:val="20"/>
                <w:color w:val="auto"/>
              </w:rPr>
            </w:pPr>
            <w:r>
              <w:rPr>
                <w:rFonts w:ascii="Arial" w:cs="Arial" w:eastAsia="Arial" w:hAnsi="Arial"/>
                <w:sz w:val="12"/>
                <w:szCs w:val="12"/>
                <w:color w:val="auto"/>
              </w:rPr>
              <w:t>—</w:t>
            </w:r>
          </w:p>
        </w:tc>
        <w:tc>
          <w:tcPr>
            <w:tcW w:w="180" w:type="dxa"/>
            <w:vAlign w:val="bottom"/>
            <w:shd w:val="clear" w:color="auto" w:fill="CFF0FC"/>
          </w:tcPr>
          <w:p>
            <w:pPr>
              <w:spacing w:after="0"/>
              <w:rPr>
                <w:sz w:val="13"/>
                <w:szCs w:val="13"/>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964</w:t>
            </w:r>
          </w:p>
        </w:tc>
        <w:tc>
          <w:tcPr>
            <w:tcW w:w="1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380" w:type="dxa"/>
            <w:vAlign w:val="bottom"/>
            <w:gridSpan w:val="2"/>
            <w:shd w:val="clear" w:color="auto" w:fill="CFF0FC"/>
          </w:tcPr>
          <w:p>
            <w:pPr>
              <w:jc w:val="right"/>
              <w:ind w:right="300"/>
              <w:spacing w:after="0"/>
              <w:rPr>
                <w:sz w:val="20"/>
                <w:szCs w:val="20"/>
                <w:color w:val="auto"/>
              </w:rPr>
            </w:pPr>
            <w:r>
              <w:rPr>
                <w:rFonts w:ascii="Arial" w:cs="Arial" w:eastAsia="Arial" w:hAnsi="Arial"/>
                <w:sz w:val="12"/>
                <w:szCs w:val="12"/>
                <w:color w:val="auto"/>
              </w:rPr>
              <w:t>—</w:t>
            </w:r>
          </w:p>
        </w:tc>
        <w:tc>
          <w:tcPr>
            <w:tcW w:w="280" w:type="dxa"/>
            <w:vAlign w:val="bottom"/>
            <w:shd w:val="clear" w:color="auto" w:fill="CFF0FC"/>
          </w:tcPr>
          <w:p>
            <w:pPr>
              <w:spacing w:after="0"/>
              <w:rPr>
                <w:sz w:val="13"/>
                <w:szCs w:val="13"/>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964</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880" w:type="dxa"/>
            <w:vAlign w:val="bottom"/>
            <w:gridSpan w:val="2"/>
          </w:tcPr>
          <w:p>
            <w:pPr>
              <w:spacing w:after="0"/>
              <w:rPr>
                <w:sz w:val="20"/>
                <w:szCs w:val="20"/>
                <w:color w:val="auto"/>
              </w:rPr>
            </w:pPr>
            <w:r>
              <w:rPr>
                <w:rFonts w:ascii="Arial" w:cs="Arial" w:eastAsia="Arial" w:hAnsi="Arial"/>
                <w:sz w:val="12"/>
                <w:szCs w:val="12"/>
                <w:color w:val="auto"/>
              </w:rPr>
              <w:t>Operating expenses</w:t>
            </w:r>
          </w:p>
        </w:tc>
        <w:tc>
          <w:tcPr>
            <w:tcW w:w="1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11,266</w:t>
            </w: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24,702</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8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35,968</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88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Selling, general and administrative expenses</w:t>
            </w:r>
          </w:p>
        </w:tc>
        <w:tc>
          <w:tcPr>
            <w:tcW w:w="17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9,882</w:t>
            </w:r>
          </w:p>
        </w:tc>
        <w:tc>
          <w:tcPr>
            <w:tcW w:w="3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9,231</w:t>
            </w:r>
          </w:p>
        </w:tc>
        <w:tc>
          <w:tcPr>
            <w:tcW w:w="1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21,771</w:t>
            </w:r>
          </w:p>
        </w:tc>
        <w:tc>
          <w:tcPr>
            <w:tcW w:w="30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40,884</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880" w:type="dxa"/>
            <w:vAlign w:val="bottom"/>
            <w:gridSpan w:val="2"/>
          </w:tcPr>
          <w:p>
            <w:pPr>
              <w:spacing w:after="0"/>
              <w:rPr>
                <w:sz w:val="20"/>
                <w:szCs w:val="20"/>
                <w:color w:val="auto"/>
              </w:rPr>
            </w:pPr>
            <w:r>
              <w:rPr>
                <w:rFonts w:ascii="Arial" w:cs="Arial" w:eastAsia="Arial" w:hAnsi="Arial"/>
                <w:sz w:val="12"/>
                <w:szCs w:val="12"/>
                <w:color w:val="auto"/>
              </w:rPr>
              <w:t>Other income, net</w:t>
            </w:r>
          </w:p>
        </w:tc>
        <w:tc>
          <w:tcPr>
            <w:tcW w:w="1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2"/>
                <w:szCs w:val="12"/>
                <w:color w:val="auto"/>
              </w:rPr>
              <w:t>(1,243)</w:t>
            </w:r>
          </w:p>
        </w:tc>
        <w:tc>
          <w:tcPr>
            <w:tcW w:w="180" w:type="dxa"/>
            <w:vAlign w:val="bottom"/>
          </w:tcPr>
          <w:p>
            <w:pPr>
              <w:spacing w:after="0"/>
              <w:rPr>
                <w:sz w:val="13"/>
                <w:szCs w:val="13"/>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2"/>
                <w:szCs w:val="12"/>
                <w:color w:val="auto"/>
              </w:rPr>
              <w:t>(49)</w:t>
            </w: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2"/>
                <w:szCs w:val="12"/>
                <w:color w:val="auto"/>
              </w:rPr>
              <w:t>(2)</w:t>
            </w:r>
          </w:p>
        </w:tc>
        <w:tc>
          <w:tcPr>
            <w:tcW w:w="280" w:type="dxa"/>
            <w:vAlign w:val="bottom"/>
          </w:tcPr>
          <w:p>
            <w:pPr>
              <w:spacing w:after="0"/>
              <w:rPr>
                <w:sz w:val="13"/>
                <w:szCs w:val="13"/>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2"/>
                <w:szCs w:val="12"/>
                <w:color w:val="auto"/>
              </w:rPr>
              <w:t>(1,294)</w:t>
            </w:r>
          </w:p>
        </w:tc>
        <w:tc>
          <w:tcPr>
            <w:tcW w:w="0" w:type="dxa"/>
            <w:vAlign w:val="bottom"/>
          </w:tcPr>
          <w:p>
            <w:pPr>
              <w:spacing w:after="0"/>
              <w:rPr>
                <w:sz w:val="1"/>
                <w:szCs w:val="1"/>
                <w:color w:val="auto"/>
              </w:rPr>
            </w:pPr>
          </w:p>
        </w:tc>
      </w:tr>
      <w:tr>
        <w:trPr>
          <w:trHeight w:val="20"/>
        </w:trPr>
        <w:tc>
          <w:tcPr>
            <w:tcW w:w="3880" w:type="dxa"/>
            <w:vAlign w:val="bottom"/>
            <w:gridSpan w:val="2"/>
            <w:vMerge w:val="restart"/>
            <w:shd w:val="clear" w:color="auto" w:fill="CFF0FC"/>
          </w:tcPr>
          <w:p>
            <w:pPr>
              <w:ind w:left="80"/>
              <w:spacing w:after="0"/>
              <w:rPr>
                <w:sz w:val="20"/>
                <w:szCs w:val="20"/>
                <w:color w:val="auto"/>
              </w:rPr>
            </w:pPr>
            <w:r>
              <w:rPr>
                <w:rFonts w:ascii="Arial" w:cs="Arial" w:eastAsia="Arial" w:hAnsi="Arial"/>
                <w:sz w:val="12"/>
                <w:szCs w:val="12"/>
                <w:b w:val="1"/>
                <w:bCs w:val="1"/>
                <w:color w:val="auto"/>
              </w:rPr>
              <w:t>Segment profit (loss)</w:t>
            </w:r>
          </w:p>
        </w:tc>
        <w:tc>
          <w:tcPr>
            <w:tcW w:w="17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880" w:type="dxa"/>
            <w:vAlign w:val="bottom"/>
            <w:gridSpan w:val="2"/>
            <w:vMerge w:val="continue"/>
            <w:shd w:val="clear" w:color="auto" w:fill="CFF0FC"/>
          </w:tcPr>
          <w:p>
            <w:pPr>
              <w:spacing w:after="0"/>
              <w:rPr>
                <w:sz w:val="12"/>
                <w:szCs w:val="12"/>
                <w:color w:val="auto"/>
              </w:rPr>
            </w:pPr>
          </w:p>
        </w:tc>
        <w:tc>
          <w:tcPr>
            <w:tcW w:w="1760" w:type="dxa"/>
            <w:vAlign w:val="bottom"/>
            <w:shd w:val="clear" w:color="auto" w:fill="CFF0FC"/>
          </w:tcPr>
          <w:p>
            <w:pPr>
              <w:spacing w:after="0"/>
              <w:rPr>
                <w:sz w:val="12"/>
                <w:szCs w:val="12"/>
                <w:color w:val="auto"/>
              </w:rPr>
            </w:pPr>
          </w:p>
        </w:tc>
        <w:tc>
          <w:tcPr>
            <w:tcW w:w="200" w:type="dxa"/>
            <w:vAlign w:val="bottom"/>
            <w:shd w:val="clear" w:color="auto" w:fill="CFF0FC"/>
          </w:tcPr>
          <w:p>
            <w:pPr>
              <w:jc w:val="right"/>
              <w:ind w:right="90"/>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15,410</w:t>
            </w:r>
          </w:p>
        </w:tc>
        <w:tc>
          <w:tcPr>
            <w:tcW w:w="300" w:type="dxa"/>
            <w:vAlign w:val="bottom"/>
            <w:shd w:val="clear" w:color="auto" w:fill="CFF0FC"/>
          </w:tcPr>
          <w:p>
            <w:pPr>
              <w:spacing w:after="0"/>
              <w:rPr>
                <w:sz w:val="12"/>
                <w:szCs w:val="12"/>
                <w:color w:val="auto"/>
              </w:rPr>
            </w:pPr>
          </w:p>
        </w:tc>
        <w:tc>
          <w:tcPr>
            <w:tcW w:w="180" w:type="dxa"/>
            <w:vAlign w:val="bottom"/>
            <w:shd w:val="clear" w:color="auto" w:fill="CFF0FC"/>
          </w:tcPr>
          <w:p>
            <w:pPr>
              <w:jc w:val="right"/>
              <w:ind w:right="70"/>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22,339</w:t>
            </w:r>
          </w:p>
        </w:tc>
        <w:tc>
          <w:tcPr>
            <w:tcW w:w="160" w:type="dxa"/>
            <w:vAlign w:val="bottom"/>
            <w:shd w:val="clear" w:color="auto" w:fill="CFF0FC"/>
          </w:tcPr>
          <w:p>
            <w:pPr>
              <w:spacing w:after="0"/>
              <w:rPr>
                <w:sz w:val="12"/>
                <w:szCs w:val="12"/>
                <w:color w:val="auto"/>
              </w:rPr>
            </w:pPr>
          </w:p>
        </w:tc>
        <w:tc>
          <w:tcPr>
            <w:tcW w:w="40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1380" w:type="dxa"/>
            <w:vAlign w:val="bottom"/>
            <w:gridSpan w:val="2"/>
            <w:shd w:val="clear" w:color="auto" w:fill="CFF0FC"/>
          </w:tcPr>
          <w:p>
            <w:pPr>
              <w:jc w:val="right"/>
              <w:ind w:right="260"/>
              <w:spacing w:after="0"/>
              <w:rPr>
                <w:sz w:val="20"/>
                <w:szCs w:val="20"/>
                <w:color w:val="auto"/>
              </w:rPr>
            </w:pPr>
            <w:r>
              <w:rPr>
                <w:rFonts w:ascii="Arial" w:cs="Arial" w:eastAsia="Arial" w:hAnsi="Arial"/>
                <w:sz w:val="12"/>
                <w:szCs w:val="12"/>
                <w:color w:val="auto"/>
              </w:rPr>
              <w:t>(21,769)</w:t>
            </w:r>
          </w:p>
        </w:tc>
        <w:tc>
          <w:tcPr>
            <w:tcW w:w="280" w:type="dxa"/>
            <w:vAlign w:val="bottom"/>
            <w:shd w:val="clear" w:color="auto" w:fill="CFF0FC"/>
          </w:tcPr>
          <w:p>
            <w:pPr>
              <w:jc w:val="right"/>
              <w:ind w:right="170"/>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15,980</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880" w:type="dxa"/>
            <w:vAlign w:val="bottom"/>
            <w:tcBorders>
              <w:top w:val="single" w:sz="8" w:color="CFF0FC"/>
            </w:tcBorders>
            <w:gridSpan w:val="2"/>
            <w:vMerge w:val="restart"/>
          </w:tcPr>
          <w:p>
            <w:pPr>
              <w:spacing w:after="0"/>
              <w:rPr>
                <w:sz w:val="20"/>
                <w:szCs w:val="20"/>
                <w:color w:val="auto"/>
              </w:rPr>
            </w:pPr>
            <w:r>
              <w:rPr>
                <w:rFonts w:ascii="Arial" w:cs="Arial" w:eastAsia="Arial" w:hAnsi="Arial"/>
                <w:sz w:val="12"/>
                <w:szCs w:val="12"/>
                <w:color w:val="auto"/>
              </w:rPr>
              <w:t>Segment profit (loss)</w:t>
            </w:r>
          </w:p>
        </w:tc>
        <w:tc>
          <w:tcPr>
            <w:tcW w:w="176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3880" w:type="dxa"/>
            <w:vAlign w:val="bottom"/>
            <w:gridSpan w:val="2"/>
            <w:vMerge w:val="continue"/>
          </w:tcPr>
          <w:p>
            <w:pPr>
              <w:spacing w:after="0"/>
              <w:rPr>
                <w:sz w:val="12"/>
                <w:szCs w:val="12"/>
                <w:color w:val="auto"/>
              </w:rPr>
            </w:pPr>
          </w:p>
        </w:tc>
        <w:tc>
          <w:tcPr>
            <w:tcW w:w="1760" w:type="dxa"/>
            <w:vAlign w:val="bottom"/>
          </w:tcPr>
          <w:p>
            <w:pPr>
              <w:spacing w:after="0"/>
              <w:rPr>
                <w:sz w:val="12"/>
                <w:szCs w:val="12"/>
                <w:color w:val="auto"/>
              </w:rPr>
            </w:pPr>
          </w:p>
        </w:tc>
        <w:tc>
          <w:tcPr>
            <w:tcW w:w="200" w:type="dxa"/>
            <w:vAlign w:val="bottom"/>
          </w:tcPr>
          <w:p>
            <w:pPr>
              <w:jc w:val="right"/>
              <w:ind w:right="90"/>
              <w:spacing w:after="0"/>
              <w:rPr>
                <w:sz w:val="20"/>
                <w:szCs w:val="20"/>
                <w:color w:val="auto"/>
              </w:rPr>
            </w:pPr>
            <w:r>
              <w:rPr>
                <w:rFonts w:ascii="Arial" w:cs="Arial" w:eastAsia="Arial" w:hAnsi="Arial"/>
                <w:sz w:val="10"/>
                <w:szCs w:val="10"/>
                <w:color w:val="auto"/>
                <w:w w:val="71"/>
              </w:rPr>
              <w:t>$</w:t>
            </w:r>
          </w:p>
        </w:tc>
        <w:tc>
          <w:tcPr>
            <w:tcW w:w="940" w:type="dxa"/>
            <w:vAlign w:val="bottom"/>
          </w:tcPr>
          <w:p>
            <w:pPr>
              <w:jc w:val="right"/>
              <w:spacing w:after="0"/>
              <w:rPr>
                <w:sz w:val="20"/>
                <w:szCs w:val="20"/>
                <w:color w:val="auto"/>
              </w:rPr>
            </w:pPr>
            <w:r>
              <w:rPr>
                <w:rFonts w:ascii="Arial" w:cs="Arial" w:eastAsia="Arial" w:hAnsi="Arial"/>
                <w:sz w:val="12"/>
                <w:szCs w:val="12"/>
                <w:color w:val="auto"/>
              </w:rPr>
              <w:t>15,410</w:t>
            </w:r>
          </w:p>
        </w:tc>
        <w:tc>
          <w:tcPr>
            <w:tcW w:w="300" w:type="dxa"/>
            <w:vAlign w:val="bottom"/>
          </w:tcPr>
          <w:p>
            <w:pPr>
              <w:spacing w:after="0"/>
              <w:rPr>
                <w:sz w:val="12"/>
                <w:szCs w:val="12"/>
                <w:color w:val="auto"/>
              </w:rPr>
            </w:pPr>
          </w:p>
        </w:tc>
        <w:tc>
          <w:tcPr>
            <w:tcW w:w="180" w:type="dxa"/>
            <w:vAlign w:val="bottom"/>
          </w:tcPr>
          <w:p>
            <w:pPr>
              <w:jc w:val="right"/>
              <w:ind w:right="70"/>
              <w:spacing w:after="0"/>
              <w:rPr>
                <w:sz w:val="20"/>
                <w:szCs w:val="20"/>
                <w:color w:val="auto"/>
              </w:rPr>
            </w:pPr>
            <w:r>
              <w:rPr>
                <w:rFonts w:ascii="Arial" w:cs="Arial" w:eastAsia="Arial" w:hAnsi="Arial"/>
                <w:sz w:val="10"/>
                <w:szCs w:val="10"/>
                <w:color w:val="auto"/>
                <w:w w:val="71"/>
              </w:rPr>
              <w:t>$</w:t>
            </w:r>
          </w:p>
        </w:tc>
        <w:tc>
          <w:tcPr>
            <w:tcW w:w="940" w:type="dxa"/>
            <w:vAlign w:val="bottom"/>
          </w:tcPr>
          <w:p>
            <w:pPr>
              <w:jc w:val="right"/>
              <w:spacing w:after="0"/>
              <w:rPr>
                <w:sz w:val="20"/>
                <w:szCs w:val="20"/>
                <w:color w:val="auto"/>
              </w:rPr>
            </w:pPr>
            <w:r>
              <w:rPr>
                <w:rFonts w:ascii="Arial" w:cs="Arial" w:eastAsia="Arial" w:hAnsi="Arial"/>
                <w:sz w:val="12"/>
                <w:szCs w:val="12"/>
                <w:color w:val="auto"/>
              </w:rPr>
              <w:t>22,339</w:t>
            </w:r>
          </w:p>
        </w:tc>
        <w:tc>
          <w:tcPr>
            <w:tcW w:w="160" w:type="dxa"/>
            <w:vAlign w:val="bottom"/>
          </w:tcPr>
          <w:p>
            <w:pPr>
              <w:spacing w:after="0"/>
              <w:rPr>
                <w:sz w:val="12"/>
                <w:szCs w:val="12"/>
                <w:color w:val="auto"/>
              </w:rPr>
            </w:pPr>
          </w:p>
        </w:tc>
        <w:tc>
          <w:tcPr>
            <w:tcW w:w="40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380" w:type="dxa"/>
            <w:vAlign w:val="bottom"/>
            <w:gridSpan w:val="2"/>
          </w:tcPr>
          <w:p>
            <w:pPr>
              <w:jc w:val="right"/>
              <w:ind w:right="260"/>
              <w:spacing w:after="0"/>
              <w:rPr>
                <w:sz w:val="20"/>
                <w:szCs w:val="20"/>
                <w:color w:val="auto"/>
              </w:rPr>
            </w:pPr>
            <w:r>
              <w:rPr>
                <w:rFonts w:ascii="Arial" w:cs="Arial" w:eastAsia="Arial" w:hAnsi="Arial"/>
                <w:sz w:val="12"/>
                <w:szCs w:val="12"/>
                <w:color w:val="auto"/>
              </w:rPr>
              <w:t>(21,769)</w:t>
            </w:r>
          </w:p>
        </w:tc>
        <w:tc>
          <w:tcPr>
            <w:tcW w:w="280" w:type="dxa"/>
            <w:vAlign w:val="bottom"/>
          </w:tcPr>
          <w:p>
            <w:pPr>
              <w:jc w:val="right"/>
              <w:ind w:right="170"/>
              <w:spacing w:after="0"/>
              <w:rPr>
                <w:sz w:val="20"/>
                <w:szCs w:val="20"/>
                <w:color w:val="auto"/>
              </w:rPr>
            </w:pPr>
            <w:r>
              <w:rPr>
                <w:rFonts w:ascii="Arial" w:cs="Arial" w:eastAsia="Arial" w:hAnsi="Arial"/>
                <w:sz w:val="10"/>
                <w:szCs w:val="10"/>
                <w:color w:val="auto"/>
                <w:w w:val="71"/>
              </w:rPr>
              <w:t>$</w:t>
            </w:r>
          </w:p>
        </w:tc>
        <w:tc>
          <w:tcPr>
            <w:tcW w:w="940" w:type="dxa"/>
            <w:vAlign w:val="bottom"/>
          </w:tcPr>
          <w:p>
            <w:pPr>
              <w:jc w:val="right"/>
              <w:spacing w:after="0"/>
              <w:rPr>
                <w:sz w:val="20"/>
                <w:szCs w:val="20"/>
                <w:color w:val="auto"/>
              </w:rPr>
            </w:pPr>
            <w:r>
              <w:rPr>
                <w:rFonts w:ascii="Arial" w:cs="Arial" w:eastAsia="Arial" w:hAnsi="Arial"/>
                <w:sz w:val="12"/>
                <w:szCs w:val="12"/>
                <w:color w:val="auto"/>
              </w:rPr>
              <w:t>15,980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88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Depreciation and amortization</w:t>
            </w:r>
          </w:p>
        </w:tc>
        <w:tc>
          <w:tcPr>
            <w:tcW w:w="17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40" w:type="dxa"/>
            <w:vAlign w:val="bottom"/>
            <w:gridSpan w:val="2"/>
            <w:shd w:val="clear" w:color="auto" w:fill="CFF0FC"/>
          </w:tcPr>
          <w:p>
            <w:pPr>
              <w:jc w:val="right"/>
              <w:ind w:right="320"/>
              <w:spacing w:after="0"/>
              <w:rPr>
                <w:sz w:val="20"/>
                <w:szCs w:val="20"/>
                <w:color w:val="auto"/>
              </w:rPr>
            </w:pPr>
            <w:r>
              <w:rPr>
                <w:rFonts w:ascii="Arial" w:cs="Arial" w:eastAsia="Arial" w:hAnsi="Arial"/>
                <w:sz w:val="12"/>
                <w:szCs w:val="12"/>
                <w:color w:val="auto"/>
              </w:rPr>
              <w:t>—</w:t>
            </w:r>
          </w:p>
        </w:tc>
        <w:tc>
          <w:tcPr>
            <w:tcW w:w="180" w:type="dxa"/>
            <w:vAlign w:val="bottom"/>
            <w:shd w:val="clear" w:color="auto" w:fill="CFF0FC"/>
          </w:tcPr>
          <w:p>
            <w:pPr>
              <w:spacing w:after="0"/>
              <w:rPr>
                <w:sz w:val="13"/>
                <w:szCs w:val="13"/>
                <w:color w:val="auto"/>
              </w:rPr>
            </w:pPr>
          </w:p>
        </w:tc>
        <w:tc>
          <w:tcPr>
            <w:tcW w:w="110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w:t>
            </w:r>
          </w:p>
        </w:tc>
        <w:tc>
          <w:tcPr>
            <w:tcW w:w="1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12,574</w:t>
            </w:r>
          </w:p>
        </w:tc>
        <w:tc>
          <w:tcPr>
            <w:tcW w:w="30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12,574</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880" w:type="dxa"/>
            <w:vAlign w:val="bottom"/>
            <w:gridSpan w:val="2"/>
          </w:tcPr>
          <w:p>
            <w:pPr>
              <w:spacing w:after="0"/>
              <w:rPr>
                <w:sz w:val="20"/>
                <w:szCs w:val="20"/>
                <w:color w:val="auto"/>
              </w:rPr>
            </w:pPr>
            <w:r>
              <w:rPr>
                <w:rFonts w:ascii="Arial" w:cs="Arial" w:eastAsia="Arial" w:hAnsi="Arial"/>
                <w:sz w:val="12"/>
                <w:szCs w:val="12"/>
                <w:color w:val="auto"/>
              </w:rPr>
              <w:t>Loss on disposal of assets, net</w:t>
            </w:r>
          </w:p>
        </w:tc>
        <w:tc>
          <w:tcPr>
            <w:tcW w:w="1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39</w:t>
            </w: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39</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88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Interest expense</w:t>
            </w:r>
          </w:p>
        </w:tc>
        <w:tc>
          <w:tcPr>
            <w:tcW w:w="1760" w:type="dxa"/>
            <w:vAlign w:val="bottom"/>
            <w:shd w:val="clear" w:color="auto" w:fill="CFF0FC"/>
          </w:tcPr>
          <w:p>
            <w:pPr>
              <w:spacing w:after="0"/>
              <w:rPr>
                <w:sz w:val="13"/>
                <w:szCs w:val="13"/>
                <w:color w:val="auto"/>
              </w:rPr>
            </w:pPr>
          </w:p>
        </w:tc>
        <w:tc>
          <w:tcPr>
            <w:tcW w:w="200" w:type="dxa"/>
            <w:vAlign w:val="bottom"/>
            <w:tcBorders>
              <w:bottom w:val="single" w:sz="8" w:color="auto"/>
            </w:tcBorders>
            <w:shd w:val="clear" w:color="auto" w:fill="CFF0FC"/>
          </w:tcPr>
          <w:p>
            <w:pPr>
              <w:spacing w:after="0"/>
              <w:rPr>
                <w:sz w:val="13"/>
                <w:szCs w:val="13"/>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300" w:type="dxa"/>
            <w:vAlign w:val="bottom"/>
            <w:shd w:val="clear" w:color="auto" w:fill="CFF0FC"/>
          </w:tcPr>
          <w:p>
            <w:pPr>
              <w:spacing w:after="0"/>
              <w:rPr>
                <w:sz w:val="13"/>
                <w:szCs w:val="13"/>
                <w:color w:val="auto"/>
              </w:rPr>
            </w:pPr>
          </w:p>
        </w:tc>
        <w:tc>
          <w:tcPr>
            <w:tcW w:w="180" w:type="dxa"/>
            <w:vAlign w:val="bottom"/>
            <w:tcBorders>
              <w:bottom w:val="single" w:sz="8" w:color="auto"/>
            </w:tcBorders>
            <w:shd w:val="clear" w:color="auto" w:fill="CFF0FC"/>
          </w:tcPr>
          <w:p>
            <w:pPr>
              <w:spacing w:after="0"/>
              <w:rPr>
                <w:sz w:val="13"/>
                <w:szCs w:val="13"/>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260" w:type="dxa"/>
            <w:vAlign w:val="bottom"/>
            <w:tcBorders>
              <w:bottom w:val="single" w:sz="8" w:color="auto"/>
            </w:tcBorders>
            <w:shd w:val="clear" w:color="auto" w:fill="CFF0FC"/>
          </w:tcPr>
          <w:p>
            <w:pPr>
              <w:spacing w:after="0"/>
              <w:rPr>
                <w:sz w:val="13"/>
                <w:szCs w:val="13"/>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875</w:t>
            </w:r>
          </w:p>
        </w:tc>
        <w:tc>
          <w:tcPr>
            <w:tcW w:w="300" w:type="dxa"/>
            <w:vAlign w:val="bottom"/>
            <w:shd w:val="clear" w:color="auto" w:fill="CFF0FC"/>
          </w:tcPr>
          <w:p>
            <w:pPr>
              <w:spacing w:after="0"/>
              <w:rPr>
                <w:sz w:val="13"/>
                <w:szCs w:val="13"/>
                <w:color w:val="auto"/>
              </w:rPr>
            </w:pPr>
          </w:p>
        </w:tc>
        <w:tc>
          <w:tcPr>
            <w:tcW w:w="280" w:type="dxa"/>
            <w:vAlign w:val="bottom"/>
            <w:tcBorders>
              <w:bottom w:val="single" w:sz="8" w:color="auto"/>
            </w:tcBorders>
            <w:shd w:val="clear" w:color="auto" w:fill="CFF0FC"/>
          </w:tcPr>
          <w:p>
            <w:pPr>
              <w:spacing w:after="0"/>
              <w:rPr>
                <w:sz w:val="13"/>
                <w:szCs w:val="13"/>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875</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3880" w:type="dxa"/>
            <w:vAlign w:val="bottom"/>
            <w:gridSpan w:val="2"/>
          </w:tcPr>
          <w:p>
            <w:pPr>
              <w:ind w:left="80"/>
              <w:spacing w:after="0"/>
              <w:rPr>
                <w:sz w:val="20"/>
                <w:szCs w:val="20"/>
                <w:color w:val="auto"/>
              </w:rPr>
            </w:pPr>
            <w:r>
              <w:rPr>
                <w:rFonts w:ascii="Arial" w:cs="Arial" w:eastAsia="Arial" w:hAnsi="Arial"/>
                <w:sz w:val="12"/>
                <w:szCs w:val="12"/>
                <w:color w:val="auto"/>
              </w:rPr>
              <w:t>Income (loss) before income tax provision</w:t>
            </w:r>
          </w:p>
        </w:tc>
        <w:tc>
          <w:tcPr>
            <w:tcW w:w="1760" w:type="dxa"/>
            <w:vAlign w:val="bottom"/>
          </w:tcPr>
          <w:p>
            <w:pPr>
              <w:spacing w:after="0"/>
              <w:rPr>
                <w:sz w:val="12"/>
                <w:szCs w:val="12"/>
                <w:color w:val="auto"/>
              </w:rPr>
            </w:pPr>
          </w:p>
        </w:tc>
        <w:tc>
          <w:tcPr>
            <w:tcW w:w="200" w:type="dxa"/>
            <w:vAlign w:val="bottom"/>
          </w:tcPr>
          <w:p>
            <w:pPr>
              <w:jc w:val="right"/>
              <w:ind w:right="90"/>
              <w:spacing w:after="0"/>
              <w:rPr>
                <w:sz w:val="20"/>
                <w:szCs w:val="20"/>
                <w:color w:val="auto"/>
              </w:rPr>
            </w:pPr>
            <w:r>
              <w:rPr>
                <w:rFonts w:ascii="Arial" w:cs="Arial" w:eastAsia="Arial" w:hAnsi="Arial"/>
                <w:sz w:val="10"/>
                <w:szCs w:val="10"/>
                <w:color w:val="auto"/>
                <w:w w:val="71"/>
              </w:rPr>
              <w:t>$</w:t>
            </w:r>
          </w:p>
        </w:tc>
        <w:tc>
          <w:tcPr>
            <w:tcW w:w="940" w:type="dxa"/>
            <w:vAlign w:val="bottom"/>
          </w:tcPr>
          <w:p>
            <w:pPr>
              <w:jc w:val="right"/>
              <w:spacing w:after="0"/>
              <w:rPr>
                <w:sz w:val="20"/>
                <w:szCs w:val="20"/>
                <w:color w:val="auto"/>
              </w:rPr>
            </w:pPr>
            <w:r>
              <w:rPr>
                <w:rFonts w:ascii="Arial" w:cs="Arial" w:eastAsia="Arial" w:hAnsi="Arial"/>
                <w:sz w:val="12"/>
                <w:szCs w:val="12"/>
                <w:color w:val="auto"/>
              </w:rPr>
              <w:t>15,410</w:t>
            </w:r>
          </w:p>
        </w:tc>
        <w:tc>
          <w:tcPr>
            <w:tcW w:w="300" w:type="dxa"/>
            <w:vAlign w:val="bottom"/>
          </w:tcPr>
          <w:p>
            <w:pPr>
              <w:spacing w:after="0"/>
              <w:rPr>
                <w:sz w:val="12"/>
                <w:szCs w:val="12"/>
                <w:color w:val="auto"/>
              </w:rPr>
            </w:pPr>
          </w:p>
        </w:tc>
        <w:tc>
          <w:tcPr>
            <w:tcW w:w="180" w:type="dxa"/>
            <w:vAlign w:val="bottom"/>
          </w:tcPr>
          <w:p>
            <w:pPr>
              <w:jc w:val="right"/>
              <w:ind w:right="70"/>
              <w:spacing w:after="0"/>
              <w:rPr>
                <w:sz w:val="20"/>
                <w:szCs w:val="20"/>
                <w:color w:val="auto"/>
              </w:rPr>
            </w:pPr>
            <w:r>
              <w:rPr>
                <w:rFonts w:ascii="Arial" w:cs="Arial" w:eastAsia="Arial" w:hAnsi="Arial"/>
                <w:sz w:val="10"/>
                <w:szCs w:val="10"/>
                <w:color w:val="auto"/>
                <w:w w:val="71"/>
              </w:rPr>
              <w:t>$</w:t>
            </w:r>
          </w:p>
        </w:tc>
        <w:tc>
          <w:tcPr>
            <w:tcW w:w="940" w:type="dxa"/>
            <w:vAlign w:val="bottom"/>
          </w:tcPr>
          <w:p>
            <w:pPr>
              <w:jc w:val="right"/>
              <w:spacing w:after="0"/>
              <w:rPr>
                <w:sz w:val="20"/>
                <w:szCs w:val="20"/>
                <w:color w:val="auto"/>
              </w:rPr>
            </w:pPr>
            <w:r>
              <w:rPr>
                <w:rFonts w:ascii="Arial" w:cs="Arial" w:eastAsia="Arial" w:hAnsi="Arial"/>
                <w:sz w:val="12"/>
                <w:szCs w:val="12"/>
                <w:color w:val="auto"/>
              </w:rPr>
              <w:t>22,339</w:t>
            </w:r>
          </w:p>
        </w:tc>
        <w:tc>
          <w:tcPr>
            <w:tcW w:w="160" w:type="dxa"/>
            <w:vAlign w:val="bottom"/>
          </w:tcPr>
          <w:p>
            <w:pPr>
              <w:spacing w:after="0"/>
              <w:rPr>
                <w:sz w:val="12"/>
                <w:szCs w:val="12"/>
                <w:color w:val="auto"/>
              </w:rPr>
            </w:pPr>
          </w:p>
        </w:tc>
        <w:tc>
          <w:tcPr>
            <w:tcW w:w="40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380" w:type="dxa"/>
            <w:vAlign w:val="bottom"/>
            <w:gridSpan w:val="2"/>
          </w:tcPr>
          <w:p>
            <w:pPr>
              <w:jc w:val="right"/>
              <w:ind w:right="260"/>
              <w:spacing w:after="0"/>
              <w:rPr>
                <w:sz w:val="20"/>
                <w:szCs w:val="20"/>
                <w:color w:val="auto"/>
              </w:rPr>
            </w:pPr>
            <w:r>
              <w:rPr>
                <w:rFonts w:ascii="Arial" w:cs="Arial" w:eastAsia="Arial" w:hAnsi="Arial"/>
                <w:sz w:val="12"/>
                <w:szCs w:val="12"/>
                <w:color w:val="auto"/>
              </w:rPr>
              <w:t>(35,257)</w:t>
            </w:r>
          </w:p>
        </w:tc>
        <w:tc>
          <w:tcPr>
            <w:tcW w:w="280" w:type="dxa"/>
            <w:vAlign w:val="bottom"/>
          </w:tcPr>
          <w:p>
            <w:pPr>
              <w:jc w:val="right"/>
              <w:ind w:right="170"/>
              <w:spacing w:after="0"/>
              <w:rPr>
                <w:sz w:val="20"/>
                <w:szCs w:val="20"/>
                <w:color w:val="auto"/>
              </w:rPr>
            </w:pPr>
            <w:r>
              <w:rPr>
                <w:rFonts w:ascii="Arial" w:cs="Arial" w:eastAsia="Arial" w:hAnsi="Arial"/>
                <w:sz w:val="10"/>
                <w:szCs w:val="10"/>
                <w:color w:val="auto"/>
                <w:w w:val="71"/>
              </w:rPr>
              <w:t>$</w:t>
            </w:r>
          </w:p>
        </w:tc>
        <w:tc>
          <w:tcPr>
            <w:tcW w:w="940" w:type="dxa"/>
            <w:vAlign w:val="bottom"/>
          </w:tcPr>
          <w:p>
            <w:pPr>
              <w:jc w:val="right"/>
              <w:spacing w:after="0"/>
              <w:rPr>
                <w:sz w:val="20"/>
                <w:szCs w:val="20"/>
                <w:color w:val="auto"/>
              </w:rPr>
            </w:pPr>
            <w:r>
              <w:rPr>
                <w:rFonts w:ascii="Arial" w:cs="Arial" w:eastAsia="Arial" w:hAnsi="Arial"/>
                <w:sz w:val="12"/>
                <w:szCs w:val="12"/>
                <w:color w:val="auto"/>
              </w:rPr>
              <w:t>2,492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640" w:type="dxa"/>
            <w:vAlign w:val="bottom"/>
          </w:tcPr>
          <w:p>
            <w:pPr>
              <w:spacing w:after="0"/>
              <w:rPr>
                <w:sz w:val="2"/>
                <w:szCs w:val="2"/>
                <w:color w:val="auto"/>
              </w:rPr>
            </w:pPr>
          </w:p>
        </w:tc>
        <w:tc>
          <w:tcPr>
            <w:tcW w:w="32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ind w:right="180" w:firstLine="602"/>
        <w:spacing w:after="0" w:line="263" w:lineRule="auto"/>
        <w:rPr>
          <w:sz w:val="20"/>
          <w:szCs w:val="20"/>
          <w:color w:val="auto"/>
        </w:rPr>
      </w:pPr>
      <w:r>
        <w:rPr>
          <w:rFonts w:ascii="Arial" w:cs="Arial" w:eastAsia="Arial" w:hAnsi="Arial"/>
          <w:sz w:val="12"/>
          <w:szCs w:val="12"/>
          <w:color w:val="auto"/>
        </w:rPr>
        <w:t>The Company operates in the United States, Canada and Europe. Revenues are attributable to countries based upon the location of the customer. During the years ended December 31, 2019 and 2018, the Company’s international revenues were $14.5 million and $11.0 million, respectively. The Company’s international revenues for the 2017 Successor period and the 2017 Predecessor period were zero. Substantially all of the Company’s assets are in the United States.</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17740" cy="3683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ectPr>
          <w:pgSz w:w="11900" w:h="16838" w:orient="portrait"/>
          <w:cols w:equalWidth="0" w:num="1">
            <w:col w:w="11480"/>
          </w:cols>
          <w:pgMar w:left="220" w:top="448" w:right="199" w:bottom="1440" w:gutter="0" w:footer="0" w:header="0"/>
        </w:sectPr>
      </w:pPr>
    </w:p>
    <w:bookmarkStart w:id="103" w:name="page104"/>
    <w:bookmarkEnd w:id="103"/>
    <w:p>
      <w:pPr>
        <w:ind w:left="588" w:hanging="588"/>
        <w:spacing w:after="0"/>
        <w:tabs>
          <w:tab w:leader="none" w:pos="588" w:val="left"/>
        </w:tabs>
        <w:numPr>
          <w:ilvl w:val="0"/>
          <w:numId w:val="41"/>
        </w:numPr>
        <w:rPr>
          <w:rFonts w:ascii="Arial" w:cs="Arial" w:eastAsia="Arial" w:hAnsi="Arial"/>
          <w:sz w:val="12"/>
          <w:szCs w:val="12"/>
          <w:b w:val="1"/>
          <w:bCs w:val="1"/>
          <w:color w:val="auto"/>
        </w:rPr>
      </w:pPr>
      <w:r>
        <w:rPr>
          <w:rFonts w:ascii="Arial" w:cs="Arial" w:eastAsia="Arial" w:hAnsi="Arial"/>
          <w:sz w:val="12"/>
          <w:szCs w:val="12"/>
          <w:b w:val="1"/>
          <w:bCs w:val="1"/>
          <w:color w:val="auto"/>
        </w:rPr>
        <w:t>Quarterly Financial Information (Unaudited)</w:t>
      </w:r>
    </w:p>
    <w:p>
      <w:pPr>
        <w:spacing w:after="0" w:line="196" w:lineRule="exact"/>
        <w:rPr>
          <w:sz w:val="20"/>
          <w:szCs w:val="20"/>
          <w:color w:val="auto"/>
        </w:rPr>
      </w:pPr>
    </w:p>
    <w:tbl>
      <w:tblPr>
        <w:tblLayout w:type="fixed"/>
        <w:tblInd w:w="8" w:type="dxa"/>
        <w:tblCellMar>
          <w:top w:w="0" w:type="dxa"/>
          <w:left w:w="0" w:type="dxa"/>
          <w:bottom w:w="0" w:type="dxa"/>
          <w:right w:w="0" w:type="dxa"/>
        </w:tblCellMar>
      </w:tblPr>
      <w:tr>
        <w:trPr>
          <w:trHeight w:val="115"/>
        </w:trPr>
        <w:tc>
          <w:tcPr>
            <w:tcW w:w="158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740" w:type="dxa"/>
            <w:vAlign w:val="bottom"/>
          </w:tcPr>
          <w:p>
            <w:pPr>
              <w:jc w:val="center"/>
              <w:ind w:left="332"/>
              <w:spacing w:after="0"/>
              <w:rPr>
                <w:sz w:val="20"/>
                <w:szCs w:val="20"/>
                <w:color w:val="auto"/>
              </w:rPr>
            </w:pPr>
            <w:r>
              <w:rPr>
                <w:rFonts w:ascii="Arial" w:cs="Arial" w:eastAsia="Arial" w:hAnsi="Arial"/>
                <w:sz w:val="10"/>
                <w:szCs w:val="10"/>
                <w:b w:val="1"/>
                <w:bCs w:val="1"/>
                <w:color w:val="auto"/>
                <w:w w:val="92"/>
              </w:rPr>
              <w:t>First</w:t>
            </w:r>
          </w:p>
        </w:tc>
        <w:tc>
          <w:tcPr>
            <w:tcW w:w="4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20" w:type="dxa"/>
            <w:vAlign w:val="bottom"/>
          </w:tcPr>
          <w:p>
            <w:pPr>
              <w:jc w:val="center"/>
              <w:ind w:left="331"/>
              <w:spacing w:after="0"/>
              <w:rPr>
                <w:sz w:val="20"/>
                <w:szCs w:val="20"/>
                <w:color w:val="auto"/>
              </w:rPr>
            </w:pPr>
            <w:r>
              <w:rPr>
                <w:rFonts w:ascii="Arial" w:cs="Arial" w:eastAsia="Arial" w:hAnsi="Arial"/>
                <w:sz w:val="10"/>
                <w:szCs w:val="10"/>
                <w:b w:val="1"/>
                <w:bCs w:val="1"/>
                <w:color w:val="auto"/>
                <w:w w:val="82"/>
              </w:rPr>
              <w:t>Second</w:t>
            </w:r>
          </w:p>
        </w:tc>
        <w:tc>
          <w:tcPr>
            <w:tcW w:w="4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tcPr>
          <w:p>
            <w:pPr>
              <w:jc w:val="center"/>
              <w:ind w:left="372"/>
              <w:spacing w:after="0"/>
              <w:rPr>
                <w:sz w:val="20"/>
                <w:szCs w:val="20"/>
                <w:color w:val="auto"/>
              </w:rPr>
            </w:pPr>
            <w:r>
              <w:rPr>
                <w:rFonts w:ascii="Arial" w:cs="Arial" w:eastAsia="Arial" w:hAnsi="Arial"/>
                <w:sz w:val="10"/>
                <w:szCs w:val="10"/>
                <w:b w:val="1"/>
                <w:bCs w:val="1"/>
                <w:color w:val="auto"/>
                <w:w w:val="95"/>
              </w:rPr>
              <w:t>Third</w:t>
            </w:r>
          </w:p>
        </w:tc>
        <w:tc>
          <w:tcPr>
            <w:tcW w:w="4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0"/>
                <w:szCs w:val="10"/>
                <w:b w:val="1"/>
                <w:bCs w:val="1"/>
                <w:color w:val="auto"/>
                <w:w w:val="94"/>
              </w:rPr>
              <w:t>Fourth</w:t>
            </w:r>
          </w:p>
        </w:tc>
      </w:tr>
      <w:tr>
        <w:trPr>
          <w:trHeight w:val="125"/>
        </w:trPr>
        <w:tc>
          <w:tcPr>
            <w:tcW w:w="1580" w:type="dxa"/>
            <w:vAlign w:val="bottom"/>
            <w:tcBorders>
              <w:bottom w:val="single" w:sz="8" w:color="auto"/>
            </w:tcBorders>
          </w:tcPr>
          <w:p>
            <w:pPr>
              <w:spacing w:after="0" w:line="105" w:lineRule="exact"/>
              <w:rPr>
                <w:sz w:val="20"/>
                <w:szCs w:val="20"/>
                <w:color w:val="auto"/>
              </w:rPr>
            </w:pPr>
            <w:r>
              <w:rPr>
                <w:rFonts w:ascii="Arial" w:cs="Arial" w:eastAsia="Arial" w:hAnsi="Arial"/>
                <w:sz w:val="10"/>
                <w:szCs w:val="10"/>
                <w:b w:val="1"/>
                <w:bCs w:val="1"/>
                <w:u w:val="single" w:color="auto"/>
                <w:color w:val="auto"/>
                <w:w w:val="84"/>
              </w:rPr>
              <w:t>(</w:t>
            </w:r>
            <w:r>
              <w:rPr>
                <w:rFonts w:ascii="Arial" w:cs="Arial" w:eastAsia="Arial" w:hAnsi="Arial"/>
                <w:sz w:val="10"/>
                <w:szCs w:val="10"/>
                <w:b w:val="1"/>
                <w:bCs w:val="1"/>
                <w:color w:val="auto"/>
                <w:w w:val="84"/>
              </w:rPr>
              <w:t>$ in thousands, except per share data)</w:t>
            </w:r>
          </w:p>
        </w:tc>
        <w:tc>
          <w:tcPr>
            <w:tcW w:w="230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740" w:type="dxa"/>
            <w:vAlign w:val="bottom"/>
          </w:tcPr>
          <w:p>
            <w:pPr>
              <w:jc w:val="center"/>
              <w:ind w:left="352"/>
              <w:spacing w:after="0" w:line="105" w:lineRule="exact"/>
              <w:rPr>
                <w:sz w:val="20"/>
                <w:szCs w:val="20"/>
                <w:color w:val="auto"/>
              </w:rPr>
            </w:pPr>
            <w:r>
              <w:rPr>
                <w:rFonts w:ascii="Arial" w:cs="Arial" w:eastAsia="Arial" w:hAnsi="Arial"/>
                <w:sz w:val="10"/>
                <w:szCs w:val="10"/>
                <w:b w:val="1"/>
                <w:bCs w:val="1"/>
                <w:color w:val="auto"/>
                <w:w w:val="93"/>
              </w:rPr>
              <w:t>Quarter</w:t>
            </w:r>
          </w:p>
        </w:tc>
        <w:tc>
          <w:tcPr>
            <w:tcW w:w="4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20" w:type="dxa"/>
            <w:vAlign w:val="bottom"/>
          </w:tcPr>
          <w:p>
            <w:pPr>
              <w:jc w:val="center"/>
              <w:ind w:left="331"/>
              <w:spacing w:after="0" w:line="105" w:lineRule="exact"/>
              <w:rPr>
                <w:sz w:val="20"/>
                <w:szCs w:val="20"/>
                <w:color w:val="auto"/>
              </w:rPr>
            </w:pPr>
            <w:r>
              <w:rPr>
                <w:rFonts w:ascii="Arial" w:cs="Arial" w:eastAsia="Arial" w:hAnsi="Arial"/>
                <w:sz w:val="10"/>
                <w:szCs w:val="10"/>
                <w:b w:val="1"/>
                <w:bCs w:val="1"/>
                <w:color w:val="auto"/>
                <w:w w:val="93"/>
              </w:rPr>
              <w:t>Quarter</w:t>
            </w:r>
          </w:p>
        </w:tc>
        <w:tc>
          <w:tcPr>
            <w:tcW w:w="4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tcPr>
          <w:p>
            <w:pPr>
              <w:jc w:val="center"/>
              <w:ind w:left="392"/>
              <w:spacing w:after="0" w:line="105" w:lineRule="exact"/>
              <w:rPr>
                <w:sz w:val="20"/>
                <w:szCs w:val="20"/>
                <w:color w:val="auto"/>
              </w:rPr>
            </w:pPr>
            <w:r>
              <w:rPr>
                <w:rFonts w:ascii="Arial" w:cs="Arial" w:eastAsia="Arial" w:hAnsi="Arial"/>
                <w:sz w:val="10"/>
                <w:szCs w:val="10"/>
                <w:b w:val="1"/>
                <w:bCs w:val="1"/>
                <w:color w:val="auto"/>
                <w:w w:val="93"/>
              </w:rPr>
              <w:t>Quarter</w:t>
            </w:r>
          </w:p>
        </w:tc>
        <w:tc>
          <w:tcPr>
            <w:tcW w:w="4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20" w:type="dxa"/>
            <w:vAlign w:val="bottom"/>
            <w:gridSpan w:val="2"/>
          </w:tcPr>
          <w:p>
            <w:pPr>
              <w:jc w:val="center"/>
              <w:ind w:right="340"/>
              <w:spacing w:after="0" w:line="105" w:lineRule="exact"/>
              <w:rPr>
                <w:sz w:val="20"/>
                <w:szCs w:val="20"/>
                <w:color w:val="auto"/>
              </w:rPr>
            </w:pPr>
            <w:r>
              <w:rPr>
                <w:rFonts w:ascii="Arial" w:cs="Arial" w:eastAsia="Arial" w:hAnsi="Arial"/>
                <w:sz w:val="10"/>
                <w:szCs w:val="10"/>
                <w:b w:val="1"/>
                <w:bCs w:val="1"/>
                <w:color w:val="auto"/>
                <w:w w:val="93"/>
              </w:rPr>
              <w:t>Quarter</w:t>
            </w:r>
          </w:p>
        </w:tc>
      </w:tr>
      <w:tr>
        <w:trPr>
          <w:trHeight w:val="131"/>
        </w:trPr>
        <w:tc>
          <w:tcPr>
            <w:tcW w:w="3880" w:type="dxa"/>
            <w:vAlign w:val="bottom"/>
            <w:tcBorders>
              <w:top w:val="single" w:sz="8" w:color="CFF0FC"/>
            </w:tcBorders>
            <w:gridSpan w:val="2"/>
            <w:shd w:val="clear" w:color="auto" w:fill="CFF0FC"/>
          </w:tcPr>
          <w:p>
            <w:pPr>
              <w:spacing w:after="0" w:line="132" w:lineRule="exact"/>
              <w:rPr>
                <w:sz w:val="20"/>
                <w:szCs w:val="20"/>
                <w:color w:val="auto"/>
              </w:rPr>
            </w:pPr>
            <w:r>
              <w:rPr>
                <w:rFonts w:ascii="Arial" w:cs="Arial" w:eastAsia="Arial" w:hAnsi="Arial"/>
                <w:sz w:val="12"/>
                <w:szCs w:val="12"/>
                <w:b w:val="1"/>
                <w:bCs w:val="1"/>
                <w:color w:val="auto"/>
              </w:rPr>
              <w:t>For the year ended December 31, 2019</w:t>
            </w:r>
          </w:p>
        </w:tc>
        <w:tc>
          <w:tcPr>
            <w:tcW w:w="1760" w:type="dxa"/>
            <w:vAlign w:val="bottom"/>
            <w:tcBorders>
              <w:top w:val="single" w:sz="8" w:color="CFF0FC"/>
            </w:tcBorders>
            <w:shd w:val="clear" w:color="auto" w:fill="CFF0FC"/>
          </w:tcPr>
          <w:p>
            <w:pPr>
              <w:spacing w:after="0"/>
              <w:rPr>
                <w:sz w:val="11"/>
                <w:szCs w:val="11"/>
                <w:color w:val="auto"/>
              </w:rPr>
            </w:pPr>
          </w:p>
        </w:tc>
        <w:tc>
          <w:tcPr>
            <w:tcW w:w="740" w:type="dxa"/>
            <w:vAlign w:val="bottom"/>
            <w:tcBorders>
              <w:top w:val="single" w:sz="8" w:color="auto"/>
            </w:tcBorders>
            <w:shd w:val="clear" w:color="auto" w:fill="CFF0FC"/>
          </w:tcPr>
          <w:p>
            <w:pPr>
              <w:spacing w:after="0"/>
              <w:rPr>
                <w:sz w:val="11"/>
                <w:szCs w:val="11"/>
                <w:color w:val="auto"/>
              </w:rPr>
            </w:pPr>
          </w:p>
        </w:tc>
        <w:tc>
          <w:tcPr>
            <w:tcW w:w="400" w:type="dxa"/>
            <w:vAlign w:val="bottom"/>
            <w:tcBorders>
              <w:top w:val="single" w:sz="8" w:color="auto"/>
            </w:tcBorders>
            <w:shd w:val="clear" w:color="auto" w:fill="CFF0FC"/>
          </w:tcPr>
          <w:p>
            <w:pPr>
              <w:spacing w:after="0"/>
              <w:rPr>
                <w:sz w:val="11"/>
                <w:szCs w:val="11"/>
                <w:color w:val="auto"/>
              </w:rPr>
            </w:pPr>
          </w:p>
        </w:tc>
        <w:tc>
          <w:tcPr>
            <w:tcW w:w="300" w:type="dxa"/>
            <w:vAlign w:val="bottom"/>
            <w:tcBorders>
              <w:top w:val="single" w:sz="8" w:color="CFF0FC"/>
            </w:tcBorders>
            <w:shd w:val="clear" w:color="auto" w:fill="CFF0FC"/>
          </w:tcPr>
          <w:p>
            <w:pPr>
              <w:spacing w:after="0"/>
              <w:rPr>
                <w:sz w:val="11"/>
                <w:szCs w:val="11"/>
                <w:color w:val="auto"/>
              </w:rPr>
            </w:pPr>
          </w:p>
        </w:tc>
        <w:tc>
          <w:tcPr>
            <w:tcW w:w="720" w:type="dxa"/>
            <w:vAlign w:val="bottom"/>
            <w:tcBorders>
              <w:top w:val="single" w:sz="8" w:color="auto"/>
            </w:tcBorders>
            <w:shd w:val="clear" w:color="auto" w:fill="CFF0FC"/>
          </w:tcPr>
          <w:p>
            <w:pPr>
              <w:spacing w:after="0"/>
              <w:rPr>
                <w:sz w:val="11"/>
                <w:szCs w:val="11"/>
                <w:color w:val="auto"/>
              </w:rPr>
            </w:pPr>
          </w:p>
        </w:tc>
        <w:tc>
          <w:tcPr>
            <w:tcW w:w="400" w:type="dxa"/>
            <w:vAlign w:val="bottom"/>
            <w:tcBorders>
              <w:top w:val="single" w:sz="8" w:color="auto"/>
            </w:tcBorders>
            <w:shd w:val="clear" w:color="auto" w:fill="CFF0FC"/>
          </w:tcPr>
          <w:p>
            <w:pPr>
              <w:spacing w:after="0"/>
              <w:rPr>
                <w:sz w:val="11"/>
                <w:szCs w:val="11"/>
                <w:color w:val="auto"/>
              </w:rPr>
            </w:pPr>
          </w:p>
        </w:tc>
        <w:tc>
          <w:tcPr>
            <w:tcW w:w="160" w:type="dxa"/>
            <w:vAlign w:val="bottom"/>
            <w:tcBorders>
              <w:top w:val="single" w:sz="8" w:color="CFF0FC"/>
            </w:tcBorders>
            <w:shd w:val="clear" w:color="auto" w:fill="CFF0FC"/>
          </w:tcPr>
          <w:p>
            <w:pPr>
              <w:spacing w:after="0"/>
              <w:rPr>
                <w:sz w:val="11"/>
                <w:szCs w:val="11"/>
                <w:color w:val="auto"/>
              </w:rPr>
            </w:pPr>
          </w:p>
        </w:tc>
        <w:tc>
          <w:tcPr>
            <w:tcW w:w="140" w:type="dxa"/>
            <w:vAlign w:val="bottom"/>
            <w:tcBorders>
              <w:top w:val="single" w:sz="8" w:color="CFF0FC"/>
            </w:tcBorders>
            <w:shd w:val="clear" w:color="auto" w:fill="CFF0FC"/>
          </w:tcPr>
          <w:p>
            <w:pPr>
              <w:spacing w:after="0"/>
              <w:rPr>
                <w:sz w:val="11"/>
                <w:szCs w:val="11"/>
                <w:color w:val="auto"/>
              </w:rPr>
            </w:pPr>
          </w:p>
        </w:tc>
        <w:tc>
          <w:tcPr>
            <w:tcW w:w="900" w:type="dxa"/>
            <w:vAlign w:val="bottom"/>
            <w:tcBorders>
              <w:top w:val="single" w:sz="8" w:color="auto"/>
            </w:tcBorders>
            <w:shd w:val="clear" w:color="auto" w:fill="CFF0FC"/>
          </w:tcPr>
          <w:p>
            <w:pPr>
              <w:spacing w:after="0"/>
              <w:rPr>
                <w:sz w:val="11"/>
                <w:szCs w:val="11"/>
                <w:color w:val="auto"/>
              </w:rPr>
            </w:pPr>
          </w:p>
        </w:tc>
        <w:tc>
          <w:tcPr>
            <w:tcW w:w="440" w:type="dxa"/>
            <w:vAlign w:val="bottom"/>
            <w:tcBorders>
              <w:top w:val="single" w:sz="8" w:color="auto"/>
            </w:tcBorders>
            <w:shd w:val="clear" w:color="auto" w:fill="CFF0FC"/>
          </w:tcPr>
          <w:p>
            <w:pPr>
              <w:spacing w:after="0"/>
              <w:rPr>
                <w:sz w:val="11"/>
                <w:szCs w:val="11"/>
                <w:color w:val="auto"/>
              </w:rPr>
            </w:pPr>
          </w:p>
        </w:tc>
        <w:tc>
          <w:tcPr>
            <w:tcW w:w="300" w:type="dxa"/>
            <w:vAlign w:val="bottom"/>
            <w:tcBorders>
              <w:top w:val="single" w:sz="8" w:color="CFF0FC"/>
            </w:tcBorders>
            <w:shd w:val="clear" w:color="auto" w:fill="CFF0FC"/>
          </w:tcPr>
          <w:p>
            <w:pPr>
              <w:spacing w:after="0"/>
              <w:rPr>
                <w:sz w:val="11"/>
                <w:szCs w:val="11"/>
                <w:color w:val="auto"/>
              </w:rPr>
            </w:pPr>
          </w:p>
        </w:tc>
        <w:tc>
          <w:tcPr>
            <w:tcW w:w="220" w:type="dxa"/>
            <w:vAlign w:val="bottom"/>
            <w:tcBorders>
              <w:top w:val="single" w:sz="8" w:color="auto"/>
            </w:tcBorders>
            <w:shd w:val="clear" w:color="auto" w:fill="CFF0FC"/>
          </w:tcPr>
          <w:p>
            <w:pPr>
              <w:spacing w:after="0"/>
              <w:rPr>
                <w:sz w:val="11"/>
                <w:szCs w:val="11"/>
                <w:color w:val="auto"/>
              </w:rPr>
            </w:pPr>
          </w:p>
        </w:tc>
        <w:tc>
          <w:tcPr>
            <w:tcW w:w="100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r>
      <w:tr>
        <w:trPr>
          <w:trHeight w:val="153"/>
        </w:trPr>
        <w:tc>
          <w:tcPr>
            <w:tcW w:w="3880" w:type="dxa"/>
            <w:vAlign w:val="bottom"/>
            <w:gridSpan w:val="2"/>
          </w:tcPr>
          <w:p>
            <w:pPr>
              <w:spacing w:after="0"/>
              <w:rPr>
                <w:sz w:val="20"/>
                <w:szCs w:val="20"/>
                <w:color w:val="auto"/>
              </w:rPr>
            </w:pPr>
            <w:r>
              <w:rPr>
                <w:rFonts w:ascii="Arial" w:cs="Arial" w:eastAsia="Arial" w:hAnsi="Arial"/>
                <w:sz w:val="12"/>
                <w:szCs w:val="12"/>
                <w:color w:val="auto"/>
              </w:rPr>
              <w:t>Total revenue</w:t>
            </w:r>
          </w:p>
        </w:tc>
        <w:tc>
          <w:tcPr>
            <w:tcW w:w="2500" w:type="dxa"/>
            <w:vAlign w:val="bottom"/>
            <w:gridSpan w:val="2"/>
          </w:tcPr>
          <w:p>
            <w:pPr>
              <w:jc w:val="right"/>
              <w:ind w:right="632"/>
              <w:spacing w:after="0"/>
              <w:rPr>
                <w:sz w:val="20"/>
                <w:szCs w:val="20"/>
                <w:color w:val="auto"/>
              </w:rPr>
            </w:pPr>
            <w:r>
              <w:rPr>
                <w:rFonts w:ascii="Arial" w:cs="Arial" w:eastAsia="Arial" w:hAnsi="Arial"/>
                <w:sz w:val="12"/>
                <w:szCs w:val="12"/>
                <w:color w:val="auto"/>
              </w:rPr>
              <w:t>$</w:t>
            </w:r>
          </w:p>
        </w:tc>
        <w:tc>
          <w:tcPr>
            <w:tcW w:w="400" w:type="dxa"/>
            <w:vAlign w:val="bottom"/>
          </w:tcPr>
          <w:p>
            <w:pPr>
              <w:jc w:val="right"/>
              <w:spacing w:after="0"/>
              <w:rPr>
                <w:sz w:val="20"/>
                <w:szCs w:val="20"/>
                <w:color w:val="auto"/>
              </w:rPr>
            </w:pPr>
            <w:r>
              <w:rPr>
                <w:rFonts w:ascii="Arial" w:cs="Arial" w:eastAsia="Arial" w:hAnsi="Arial"/>
                <w:sz w:val="12"/>
                <w:szCs w:val="12"/>
                <w:color w:val="auto"/>
                <w:w w:val="97"/>
              </w:rPr>
              <w:t>98,461</w:t>
            </w:r>
          </w:p>
        </w:tc>
        <w:tc>
          <w:tcPr>
            <w:tcW w:w="300" w:type="dxa"/>
            <w:vAlign w:val="bottom"/>
          </w:tcPr>
          <w:p>
            <w:pPr>
              <w:spacing w:after="0"/>
              <w:rPr>
                <w:sz w:val="13"/>
                <w:szCs w:val="13"/>
                <w:color w:val="auto"/>
              </w:rPr>
            </w:pPr>
          </w:p>
        </w:tc>
        <w:tc>
          <w:tcPr>
            <w:tcW w:w="720" w:type="dxa"/>
            <w:vAlign w:val="bottom"/>
          </w:tcPr>
          <w:p>
            <w:pPr>
              <w:jc w:val="right"/>
              <w:ind w:right="611"/>
              <w:spacing w:after="0"/>
              <w:rPr>
                <w:sz w:val="20"/>
                <w:szCs w:val="20"/>
                <w:color w:val="auto"/>
              </w:rPr>
            </w:pPr>
            <w:r>
              <w:rPr>
                <w:rFonts w:ascii="Arial" w:cs="Arial" w:eastAsia="Arial" w:hAnsi="Arial"/>
                <w:sz w:val="10"/>
                <w:szCs w:val="10"/>
                <w:color w:val="auto"/>
                <w:w w:val="71"/>
              </w:rPr>
              <w:t>$</w:t>
            </w:r>
          </w:p>
        </w:tc>
        <w:tc>
          <w:tcPr>
            <w:tcW w:w="400" w:type="dxa"/>
            <w:vAlign w:val="bottom"/>
          </w:tcPr>
          <w:p>
            <w:pPr>
              <w:jc w:val="right"/>
              <w:spacing w:after="0"/>
              <w:rPr>
                <w:sz w:val="20"/>
                <w:szCs w:val="20"/>
                <w:color w:val="auto"/>
              </w:rPr>
            </w:pPr>
            <w:r>
              <w:rPr>
                <w:rFonts w:ascii="Arial" w:cs="Arial" w:eastAsia="Arial" w:hAnsi="Arial"/>
                <w:sz w:val="12"/>
                <w:szCs w:val="12"/>
                <w:color w:val="auto"/>
                <w:w w:val="82"/>
              </w:rPr>
              <w:t>109,575</w:t>
            </w:r>
          </w:p>
        </w:tc>
        <w:tc>
          <w:tcPr>
            <w:tcW w:w="160" w:type="dxa"/>
            <w:vAlign w:val="bottom"/>
          </w:tcPr>
          <w:p>
            <w:pPr>
              <w:spacing w:after="0"/>
              <w:rPr>
                <w:sz w:val="13"/>
                <w:szCs w:val="13"/>
                <w:color w:val="auto"/>
              </w:rPr>
            </w:pPr>
          </w:p>
        </w:tc>
        <w:tc>
          <w:tcPr>
            <w:tcW w:w="1040" w:type="dxa"/>
            <w:vAlign w:val="bottom"/>
            <w:gridSpan w:val="2"/>
          </w:tcPr>
          <w:p>
            <w:pPr>
              <w:jc w:val="right"/>
              <w:ind w:right="792"/>
              <w:spacing w:after="0"/>
              <w:rPr>
                <w:sz w:val="20"/>
                <w:szCs w:val="20"/>
                <w:color w:val="auto"/>
              </w:rPr>
            </w:pPr>
            <w:r>
              <w:rPr>
                <w:rFonts w:ascii="Arial" w:cs="Arial" w:eastAsia="Arial" w:hAnsi="Arial"/>
                <w:sz w:val="12"/>
                <w:szCs w:val="12"/>
                <w:color w:val="auto"/>
              </w:rPr>
              <w:t>$</w:t>
            </w:r>
          </w:p>
        </w:tc>
        <w:tc>
          <w:tcPr>
            <w:tcW w:w="440" w:type="dxa"/>
            <w:vAlign w:val="bottom"/>
          </w:tcPr>
          <w:p>
            <w:pPr>
              <w:jc w:val="right"/>
              <w:spacing w:after="0"/>
              <w:rPr>
                <w:sz w:val="20"/>
                <w:szCs w:val="20"/>
                <w:color w:val="auto"/>
              </w:rPr>
            </w:pPr>
            <w:r>
              <w:rPr>
                <w:rFonts w:ascii="Arial" w:cs="Arial" w:eastAsia="Arial" w:hAnsi="Arial"/>
                <w:sz w:val="12"/>
                <w:szCs w:val="12"/>
                <w:color w:val="auto"/>
                <w:w w:val="96"/>
              </w:rPr>
              <w:t>128,240</w:t>
            </w:r>
          </w:p>
        </w:tc>
        <w:tc>
          <w:tcPr>
            <w:tcW w:w="300" w:type="dxa"/>
            <w:vAlign w:val="bottom"/>
          </w:tcPr>
          <w:p>
            <w:pPr>
              <w:spacing w:after="0"/>
              <w:rPr>
                <w:sz w:val="13"/>
                <w:szCs w:val="13"/>
                <w:color w:val="auto"/>
              </w:rPr>
            </w:pPr>
          </w:p>
        </w:tc>
        <w:tc>
          <w:tcPr>
            <w:tcW w:w="220" w:type="dxa"/>
            <w:vAlign w:val="bottom"/>
          </w:tcPr>
          <w:p>
            <w:pPr>
              <w:jc w:val="right"/>
              <w:ind w:right="110"/>
              <w:spacing w:after="0"/>
              <w:rPr>
                <w:sz w:val="20"/>
                <w:szCs w:val="20"/>
                <w:color w:val="auto"/>
              </w:rPr>
            </w:pPr>
            <w:r>
              <w:rPr>
                <w:rFonts w:ascii="Arial" w:cs="Arial" w:eastAsia="Arial" w:hAnsi="Arial"/>
                <w:sz w:val="10"/>
                <w:szCs w:val="10"/>
                <w:color w:val="auto"/>
                <w:w w:val="71"/>
              </w:rPr>
              <w:t>$</w:t>
            </w:r>
          </w:p>
        </w:tc>
        <w:tc>
          <w:tcPr>
            <w:tcW w:w="1000" w:type="dxa"/>
            <w:vAlign w:val="bottom"/>
          </w:tcPr>
          <w:p>
            <w:pPr>
              <w:jc w:val="right"/>
              <w:spacing w:after="0"/>
              <w:rPr>
                <w:sz w:val="20"/>
                <w:szCs w:val="20"/>
                <w:color w:val="auto"/>
              </w:rPr>
            </w:pPr>
            <w:r>
              <w:rPr>
                <w:rFonts w:ascii="Arial" w:cs="Arial" w:eastAsia="Arial" w:hAnsi="Arial"/>
                <w:sz w:val="12"/>
                <w:szCs w:val="12"/>
                <w:color w:val="auto"/>
              </w:rPr>
              <w:t>112,461</w:t>
            </w:r>
          </w:p>
        </w:tc>
        <w:tc>
          <w:tcPr>
            <w:tcW w:w="120" w:type="dxa"/>
            <w:vAlign w:val="bottom"/>
          </w:tcPr>
          <w:p>
            <w:pPr>
              <w:spacing w:after="0"/>
              <w:rPr>
                <w:sz w:val="13"/>
                <w:szCs w:val="13"/>
                <w:color w:val="auto"/>
              </w:rPr>
            </w:pPr>
          </w:p>
        </w:tc>
      </w:tr>
      <w:tr>
        <w:trPr>
          <w:trHeight w:val="153"/>
        </w:trPr>
        <w:tc>
          <w:tcPr>
            <w:tcW w:w="388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Income from operations</w:t>
            </w:r>
          </w:p>
        </w:tc>
        <w:tc>
          <w:tcPr>
            <w:tcW w:w="176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2"/>
                <w:szCs w:val="12"/>
                <w:color w:val="auto"/>
                <w:w w:val="97"/>
              </w:rPr>
              <w:t>17,966</w:t>
            </w:r>
          </w:p>
        </w:tc>
        <w:tc>
          <w:tcPr>
            <w:tcW w:w="30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2"/>
                <w:szCs w:val="12"/>
                <w:color w:val="auto"/>
                <w:w w:val="97"/>
              </w:rPr>
              <w:t>17,636</w:t>
            </w:r>
          </w:p>
        </w:tc>
        <w:tc>
          <w:tcPr>
            <w:tcW w:w="1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36,659</w:t>
            </w:r>
          </w:p>
        </w:tc>
        <w:tc>
          <w:tcPr>
            <w:tcW w:w="3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24,194</w:t>
            </w:r>
          </w:p>
        </w:tc>
        <w:tc>
          <w:tcPr>
            <w:tcW w:w="120" w:type="dxa"/>
            <w:vAlign w:val="bottom"/>
            <w:shd w:val="clear" w:color="auto" w:fill="CFF0FC"/>
          </w:tcPr>
          <w:p>
            <w:pPr>
              <w:spacing w:after="0"/>
              <w:rPr>
                <w:sz w:val="13"/>
                <w:szCs w:val="13"/>
                <w:color w:val="auto"/>
              </w:rPr>
            </w:pPr>
          </w:p>
        </w:tc>
      </w:tr>
      <w:tr>
        <w:trPr>
          <w:trHeight w:val="153"/>
        </w:trPr>
        <w:tc>
          <w:tcPr>
            <w:tcW w:w="3880" w:type="dxa"/>
            <w:vAlign w:val="bottom"/>
            <w:gridSpan w:val="2"/>
          </w:tcPr>
          <w:p>
            <w:pPr>
              <w:spacing w:after="0"/>
              <w:rPr>
                <w:sz w:val="20"/>
                <w:szCs w:val="20"/>
                <w:color w:val="auto"/>
              </w:rPr>
            </w:pPr>
            <w:r>
              <w:rPr>
                <w:rFonts w:ascii="Arial" w:cs="Arial" w:eastAsia="Arial" w:hAnsi="Arial"/>
                <w:sz w:val="12"/>
                <w:szCs w:val="12"/>
                <w:color w:val="auto"/>
              </w:rPr>
              <w:t>Net income</w:t>
            </w:r>
          </w:p>
        </w:tc>
        <w:tc>
          <w:tcPr>
            <w:tcW w:w="1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2,820</w:t>
            </w:r>
          </w:p>
        </w:tc>
        <w:tc>
          <w:tcPr>
            <w:tcW w:w="3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3,591</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17,752</w:t>
            </w: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9,180</w:t>
            </w:r>
          </w:p>
        </w:tc>
        <w:tc>
          <w:tcPr>
            <w:tcW w:w="120" w:type="dxa"/>
            <w:vAlign w:val="bottom"/>
          </w:tcPr>
          <w:p>
            <w:pPr>
              <w:spacing w:after="0"/>
              <w:rPr>
                <w:sz w:val="13"/>
                <w:szCs w:val="13"/>
                <w:color w:val="auto"/>
              </w:rPr>
            </w:pPr>
          </w:p>
        </w:tc>
      </w:tr>
      <w:tr>
        <w:trPr>
          <w:trHeight w:val="153"/>
        </w:trPr>
        <w:tc>
          <w:tcPr>
            <w:tcW w:w="388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Earnings per share - basic and diluted</w:t>
            </w:r>
          </w:p>
        </w:tc>
        <w:tc>
          <w:tcPr>
            <w:tcW w:w="2500" w:type="dxa"/>
            <w:vAlign w:val="bottom"/>
            <w:gridSpan w:val="2"/>
            <w:shd w:val="clear" w:color="auto" w:fill="CFF0FC"/>
          </w:tcPr>
          <w:p>
            <w:pPr>
              <w:jc w:val="right"/>
              <w:ind w:right="632"/>
              <w:spacing w:after="0"/>
              <w:rPr>
                <w:sz w:val="20"/>
                <w:szCs w:val="20"/>
                <w:color w:val="auto"/>
              </w:rPr>
            </w:pPr>
            <w:r>
              <w:rPr>
                <w:rFonts w:ascii="Arial" w:cs="Arial" w:eastAsia="Arial" w:hAnsi="Arial"/>
                <w:sz w:val="12"/>
                <w:szCs w:val="12"/>
                <w:color w:val="auto"/>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0.02</w:t>
            </w:r>
          </w:p>
        </w:tc>
        <w:tc>
          <w:tcPr>
            <w:tcW w:w="300" w:type="dxa"/>
            <w:vAlign w:val="bottom"/>
            <w:shd w:val="clear" w:color="auto" w:fill="CFF0FC"/>
          </w:tcPr>
          <w:p>
            <w:pPr>
              <w:spacing w:after="0"/>
              <w:rPr>
                <w:sz w:val="13"/>
                <w:szCs w:val="13"/>
                <w:color w:val="auto"/>
              </w:rPr>
            </w:pPr>
          </w:p>
        </w:tc>
        <w:tc>
          <w:tcPr>
            <w:tcW w:w="720" w:type="dxa"/>
            <w:vAlign w:val="bottom"/>
            <w:shd w:val="clear" w:color="auto" w:fill="CFF0FC"/>
          </w:tcPr>
          <w:p>
            <w:pPr>
              <w:jc w:val="right"/>
              <w:ind w:right="611"/>
              <w:spacing w:after="0"/>
              <w:rPr>
                <w:sz w:val="20"/>
                <w:szCs w:val="20"/>
                <w:color w:val="auto"/>
              </w:rPr>
            </w:pPr>
            <w:r>
              <w:rPr>
                <w:rFonts w:ascii="Arial" w:cs="Arial" w:eastAsia="Arial" w:hAnsi="Arial"/>
                <w:sz w:val="10"/>
                <w:szCs w:val="10"/>
                <w:color w:val="auto"/>
                <w:w w:val="71"/>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0.02</w:t>
            </w:r>
          </w:p>
        </w:tc>
        <w:tc>
          <w:tcPr>
            <w:tcW w:w="160" w:type="dxa"/>
            <w:vAlign w:val="bottom"/>
            <w:shd w:val="clear" w:color="auto" w:fill="CFF0FC"/>
          </w:tcPr>
          <w:p>
            <w:pPr>
              <w:spacing w:after="0"/>
              <w:rPr>
                <w:sz w:val="13"/>
                <w:szCs w:val="13"/>
                <w:color w:val="auto"/>
              </w:rPr>
            </w:pPr>
          </w:p>
        </w:tc>
        <w:tc>
          <w:tcPr>
            <w:tcW w:w="1040" w:type="dxa"/>
            <w:vAlign w:val="bottom"/>
            <w:gridSpan w:val="2"/>
            <w:shd w:val="clear" w:color="auto" w:fill="CFF0FC"/>
          </w:tcPr>
          <w:p>
            <w:pPr>
              <w:jc w:val="right"/>
              <w:ind w:right="792"/>
              <w:spacing w:after="0"/>
              <w:rPr>
                <w:sz w:val="20"/>
                <w:szCs w:val="20"/>
                <w:color w:val="auto"/>
              </w:rPr>
            </w:pPr>
            <w:r>
              <w:rPr>
                <w:rFonts w:ascii="Arial" w:cs="Arial" w:eastAsia="Arial" w:hAnsi="Arial"/>
                <w:sz w:val="12"/>
                <w:szCs w:val="12"/>
                <w:color w:val="auto"/>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0.11</w:t>
            </w:r>
          </w:p>
        </w:tc>
        <w:tc>
          <w:tcPr>
            <w:tcW w:w="300" w:type="dxa"/>
            <w:vAlign w:val="bottom"/>
            <w:shd w:val="clear" w:color="auto" w:fill="CFF0FC"/>
          </w:tcPr>
          <w:p>
            <w:pPr>
              <w:spacing w:after="0"/>
              <w:rPr>
                <w:sz w:val="13"/>
                <w:szCs w:val="13"/>
                <w:color w:val="auto"/>
              </w:rPr>
            </w:pPr>
          </w:p>
        </w:tc>
        <w:tc>
          <w:tcPr>
            <w:tcW w:w="220" w:type="dxa"/>
            <w:vAlign w:val="bottom"/>
            <w:shd w:val="clear" w:color="auto" w:fill="CFF0FC"/>
          </w:tcPr>
          <w:p>
            <w:pPr>
              <w:jc w:val="right"/>
              <w:ind w:right="110"/>
              <w:spacing w:after="0"/>
              <w:rPr>
                <w:sz w:val="20"/>
                <w:szCs w:val="20"/>
                <w:color w:val="auto"/>
              </w:rPr>
            </w:pPr>
            <w:r>
              <w:rPr>
                <w:rFonts w:ascii="Arial" w:cs="Arial" w:eastAsia="Arial" w:hAnsi="Arial"/>
                <w:sz w:val="10"/>
                <w:szCs w:val="10"/>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0.06</w:t>
            </w:r>
          </w:p>
        </w:tc>
        <w:tc>
          <w:tcPr>
            <w:tcW w:w="120" w:type="dxa"/>
            <w:vAlign w:val="bottom"/>
            <w:shd w:val="clear" w:color="auto" w:fill="CFF0FC"/>
          </w:tcPr>
          <w:p>
            <w:pPr>
              <w:spacing w:after="0"/>
              <w:rPr>
                <w:sz w:val="13"/>
                <w:szCs w:val="13"/>
                <w:color w:val="auto"/>
              </w:rPr>
            </w:pPr>
          </w:p>
        </w:tc>
      </w:tr>
      <w:tr>
        <w:trPr>
          <w:trHeight w:val="409"/>
        </w:trPr>
        <w:tc>
          <w:tcPr>
            <w:tcW w:w="15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740" w:type="dxa"/>
            <w:vAlign w:val="bottom"/>
          </w:tcPr>
          <w:p>
            <w:pPr>
              <w:jc w:val="center"/>
              <w:ind w:left="332"/>
              <w:spacing w:after="0"/>
              <w:rPr>
                <w:sz w:val="20"/>
                <w:szCs w:val="20"/>
                <w:color w:val="auto"/>
              </w:rPr>
            </w:pPr>
            <w:r>
              <w:rPr>
                <w:rFonts w:ascii="Arial" w:cs="Arial" w:eastAsia="Arial" w:hAnsi="Arial"/>
                <w:sz w:val="10"/>
                <w:szCs w:val="10"/>
                <w:b w:val="1"/>
                <w:bCs w:val="1"/>
                <w:color w:val="auto"/>
                <w:w w:val="92"/>
              </w:rPr>
              <w:t>First</w:t>
            </w: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jc w:val="center"/>
              <w:ind w:left="331"/>
              <w:spacing w:after="0"/>
              <w:rPr>
                <w:sz w:val="20"/>
                <w:szCs w:val="20"/>
                <w:color w:val="auto"/>
              </w:rPr>
            </w:pPr>
            <w:r>
              <w:rPr>
                <w:rFonts w:ascii="Arial" w:cs="Arial" w:eastAsia="Arial" w:hAnsi="Arial"/>
                <w:sz w:val="10"/>
                <w:szCs w:val="10"/>
                <w:b w:val="1"/>
                <w:bCs w:val="1"/>
                <w:color w:val="auto"/>
                <w:w w:val="82"/>
              </w:rPr>
              <w:t>Second</w:t>
            </w: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jc w:val="center"/>
              <w:ind w:left="372"/>
              <w:spacing w:after="0"/>
              <w:rPr>
                <w:sz w:val="20"/>
                <w:szCs w:val="20"/>
                <w:color w:val="auto"/>
              </w:rPr>
            </w:pPr>
            <w:r>
              <w:rPr>
                <w:rFonts w:ascii="Arial" w:cs="Arial" w:eastAsia="Arial" w:hAnsi="Arial"/>
                <w:sz w:val="10"/>
                <w:szCs w:val="10"/>
                <w:b w:val="1"/>
                <w:bCs w:val="1"/>
                <w:color w:val="auto"/>
                <w:w w:val="95"/>
              </w:rPr>
              <w:t>Third</w:t>
            </w: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0"/>
                <w:szCs w:val="10"/>
                <w:b w:val="1"/>
                <w:bCs w:val="1"/>
                <w:color w:val="auto"/>
                <w:w w:val="94"/>
              </w:rPr>
              <w:t>Fourth</w:t>
            </w:r>
          </w:p>
        </w:tc>
      </w:tr>
      <w:tr>
        <w:trPr>
          <w:trHeight w:val="125"/>
        </w:trPr>
        <w:tc>
          <w:tcPr>
            <w:tcW w:w="1580" w:type="dxa"/>
            <w:vAlign w:val="bottom"/>
            <w:tcBorders>
              <w:bottom w:val="single" w:sz="8" w:color="auto"/>
            </w:tcBorders>
          </w:tcPr>
          <w:p>
            <w:pPr>
              <w:spacing w:after="0" w:line="105" w:lineRule="exact"/>
              <w:rPr>
                <w:sz w:val="20"/>
                <w:szCs w:val="20"/>
                <w:color w:val="auto"/>
              </w:rPr>
            </w:pPr>
            <w:r>
              <w:rPr>
                <w:rFonts w:ascii="Arial" w:cs="Arial" w:eastAsia="Arial" w:hAnsi="Arial"/>
                <w:sz w:val="10"/>
                <w:szCs w:val="10"/>
                <w:b w:val="1"/>
                <w:bCs w:val="1"/>
                <w:u w:val="single" w:color="auto"/>
                <w:color w:val="auto"/>
                <w:w w:val="84"/>
              </w:rPr>
              <w:t>(</w:t>
            </w:r>
            <w:r>
              <w:rPr>
                <w:rFonts w:ascii="Arial" w:cs="Arial" w:eastAsia="Arial" w:hAnsi="Arial"/>
                <w:sz w:val="10"/>
                <w:szCs w:val="10"/>
                <w:b w:val="1"/>
                <w:bCs w:val="1"/>
                <w:color w:val="auto"/>
                <w:w w:val="84"/>
              </w:rPr>
              <w:t>$ in thousands, except per share data)</w:t>
            </w:r>
          </w:p>
        </w:tc>
        <w:tc>
          <w:tcPr>
            <w:tcW w:w="230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740" w:type="dxa"/>
            <w:vAlign w:val="bottom"/>
          </w:tcPr>
          <w:p>
            <w:pPr>
              <w:jc w:val="center"/>
              <w:ind w:left="352"/>
              <w:spacing w:after="0" w:line="105" w:lineRule="exact"/>
              <w:rPr>
                <w:sz w:val="20"/>
                <w:szCs w:val="20"/>
                <w:color w:val="auto"/>
              </w:rPr>
            </w:pPr>
            <w:r>
              <w:rPr>
                <w:rFonts w:ascii="Arial" w:cs="Arial" w:eastAsia="Arial" w:hAnsi="Arial"/>
                <w:sz w:val="10"/>
                <w:szCs w:val="10"/>
                <w:b w:val="1"/>
                <w:bCs w:val="1"/>
                <w:color w:val="auto"/>
                <w:w w:val="93"/>
              </w:rPr>
              <w:t>Quarter</w:t>
            </w:r>
          </w:p>
        </w:tc>
        <w:tc>
          <w:tcPr>
            <w:tcW w:w="4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20" w:type="dxa"/>
            <w:vAlign w:val="bottom"/>
          </w:tcPr>
          <w:p>
            <w:pPr>
              <w:jc w:val="center"/>
              <w:ind w:left="331"/>
              <w:spacing w:after="0" w:line="105" w:lineRule="exact"/>
              <w:rPr>
                <w:sz w:val="20"/>
                <w:szCs w:val="20"/>
                <w:color w:val="auto"/>
              </w:rPr>
            </w:pPr>
            <w:r>
              <w:rPr>
                <w:rFonts w:ascii="Arial" w:cs="Arial" w:eastAsia="Arial" w:hAnsi="Arial"/>
                <w:sz w:val="10"/>
                <w:szCs w:val="10"/>
                <w:b w:val="1"/>
                <w:bCs w:val="1"/>
                <w:color w:val="auto"/>
                <w:w w:val="93"/>
              </w:rPr>
              <w:t>Quarter</w:t>
            </w:r>
          </w:p>
        </w:tc>
        <w:tc>
          <w:tcPr>
            <w:tcW w:w="4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tcPr>
          <w:p>
            <w:pPr>
              <w:jc w:val="center"/>
              <w:ind w:left="392"/>
              <w:spacing w:after="0" w:line="105" w:lineRule="exact"/>
              <w:rPr>
                <w:sz w:val="20"/>
                <w:szCs w:val="20"/>
                <w:color w:val="auto"/>
              </w:rPr>
            </w:pPr>
            <w:r>
              <w:rPr>
                <w:rFonts w:ascii="Arial" w:cs="Arial" w:eastAsia="Arial" w:hAnsi="Arial"/>
                <w:sz w:val="10"/>
                <w:szCs w:val="10"/>
                <w:b w:val="1"/>
                <w:bCs w:val="1"/>
                <w:color w:val="auto"/>
                <w:w w:val="93"/>
              </w:rPr>
              <w:t>Quarter</w:t>
            </w:r>
          </w:p>
        </w:tc>
        <w:tc>
          <w:tcPr>
            <w:tcW w:w="4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20" w:type="dxa"/>
            <w:vAlign w:val="bottom"/>
            <w:gridSpan w:val="2"/>
          </w:tcPr>
          <w:p>
            <w:pPr>
              <w:jc w:val="center"/>
              <w:ind w:right="340"/>
              <w:spacing w:after="0" w:line="105" w:lineRule="exact"/>
              <w:rPr>
                <w:sz w:val="20"/>
                <w:szCs w:val="20"/>
                <w:color w:val="auto"/>
              </w:rPr>
            </w:pPr>
            <w:r>
              <w:rPr>
                <w:rFonts w:ascii="Arial" w:cs="Arial" w:eastAsia="Arial" w:hAnsi="Arial"/>
                <w:sz w:val="10"/>
                <w:szCs w:val="10"/>
                <w:b w:val="1"/>
                <w:bCs w:val="1"/>
                <w:color w:val="auto"/>
                <w:w w:val="95"/>
              </w:rPr>
              <w:t>Quarter(a)</w:t>
            </w:r>
          </w:p>
        </w:tc>
      </w:tr>
      <w:tr>
        <w:trPr>
          <w:trHeight w:val="131"/>
        </w:trPr>
        <w:tc>
          <w:tcPr>
            <w:tcW w:w="3880" w:type="dxa"/>
            <w:vAlign w:val="bottom"/>
            <w:tcBorders>
              <w:top w:val="single" w:sz="8" w:color="CFF0FC"/>
            </w:tcBorders>
            <w:gridSpan w:val="2"/>
            <w:shd w:val="clear" w:color="auto" w:fill="CFF0FC"/>
          </w:tcPr>
          <w:p>
            <w:pPr>
              <w:spacing w:after="0" w:line="132" w:lineRule="exact"/>
              <w:rPr>
                <w:sz w:val="20"/>
                <w:szCs w:val="20"/>
                <w:color w:val="auto"/>
              </w:rPr>
            </w:pPr>
            <w:r>
              <w:rPr>
                <w:rFonts w:ascii="Arial" w:cs="Arial" w:eastAsia="Arial" w:hAnsi="Arial"/>
                <w:sz w:val="12"/>
                <w:szCs w:val="12"/>
                <w:b w:val="1"/>
                <w:bCs w:val="1"/>
                <w:color w:val="auto"/>
              </w:rPr>
              <w:t>For the year ended December 31, 2018</w:t>
            </w:r>
          </w:p>
        </w:tc>
        <w:tc>
          <w:tcPr>
            <w:tcW w:w="1760" w:type="dxa"/>
            <w:vAlign w:val="bottom"/>
            <w:tcBorders>
              <w:top w:val="single" w:sz="8" w:color="CFF0FC"/>
            </w:tcBorders>
            <w:shd w:val="clear" w:color="auto" w:fill="CFF0FC"/>
          </w:tcPr>
          <w:p>
            <w:pPr>
              <w:spacing w:after="0"/>
              <w:rPr>
                <w:sz w:val="11"/>
                <w:szCs w:val="11"/>
                <w:color w:val="auto"/>
              </w:rPr>
            </w:pPr>
          </w:p>
        </w:tc>
        <w:tc>
          <w:tcPr>
            <w:tcW w:w="740" w:type="dxa"/>
            <w:vAlign w:val="bottom"/>
            <w:tcBorders>
              <w:top w:val="single" w:sz="8" w:color="auto"/>
            </w:tcBorders>
            <w:shd w:val="clear" w:color="auto" w:fill="CFF0FC"/>
          </w:tcPr>
          <w:p>
            <w:pPr>
              <w:spacing w:after="0"/>
              <w:rPr>
                <w:sz w:val="11"/>
                <w:szCs w:val="11"/>
                <w:color w:val="auto"/>
              </w:rPr>
            </w:pPr>
          </w:p>
        </w:tc>
        <w:tc>
          <w:tcPr>
            <w:tcW w:w="400" w:type="dxa"/>
            <w:vAlign w:val="bottom"/>
            <w:tcBorders>
              <w:top w:val="single" w:sz="8" w:color="auto"/>
            </w:tcBorders>
            <w:shd w:val="clear" w:color="auto" w:fill="CFF0FC"/>
          </w:tcPr>
          <w:p>
            <w:pPr>
              <w:spacing w:after="0"/>
              <w:rPr>
                <w:sz w:val="11"/>
                <w:szCs w:val="11"/>
                <w:color w:val="auto"/>
              </w:rPr>
            </w:pPr>
          </w:p>
        </w:tc>
        <w:tc>
          <w:tcPr>
            <w:tcW w:w="300" w:type="dxa"/>
            <w:vAlign w:val="bottom"/>
            <w:tcBorders>
              <w:top w:val="single" w:sz="8" w:color="CFF0FC"/>
            </w:tcBorders>
            <w:shd w:val="clear" w:color="auto" w:fill="CFF0FC"/>
          </w:tcPr>
          <w:p>
            <w:pPr>
              <w:spacing w:after="0"/>
              <w:rPr>
                <w:sz w:val="11"/>
                <w:szCs w:val="11"/>
                <w:color w:val="auto"/>
              </w:rPr>
            </w:pPr>
          </w:p>
        </w:tc>
        <w:tc>
          <w:tcPr>
            <w:tcW w:w="720" w:type="dxa"/>
            <w:vAlign w:val="bottom"/>
            <w:tcBorders>
              <w:top w:val="single" w:sz="8" w:color="auto"/>
            </w:tcBorders>
            <w:shd w:val="clear" w:color="auto" w:fill="CFF0FC"/>
          </w:tcPr>
          <w:p>
            <w:pPr>
              <w:spacing w:after="0"/>
              <w:rPr>
                <w:sz w:val="11"/>
                <w:szCs w:val="11"/>
                <w:color w:val="auto"/>
              </w:rPr>
            </w:pPr>
          </w:p>
        </w:tc>
        <w:tc>
          <w:tcPr>
            <w:tcW w:w="400" w:type="dxa"/>
            <w:vAlign w:val="bottom"/>
            <w:tcBorders>
              <w:top w:val="single" w:sz="8" w:color="auto"/>
            </w:tcBorders>
            <w:shd w:val="clear" w:color="auto" w:fill="CFF0FC"/>
          </w:tcPr>
          <w:p>
            <w:pPr>
              <w:spacing w:after="0"/>
              <w:rPr>
                <w:sz w:val="11"/>
                <w:szCs w:val="11"/>
                <w:color w:val="auto"/>
              </w:rPr>
            </w:pPr>
          </w:p>
        </w:tc>
        <w:tc>
          <w:tcPr>
            <w:tcW w:w="160" w:type="dxa"/>
            <w:vAlign w:val="bottom"/>
            <w:tcBorders>
              <w:top w:val="single" w:sz="8" w:color="CFF0FC"/>
            </w:tcBorders>
            <w:shd w:val="clear" w:color="auto" w:fill="CFF0FC"/>
          </w:tcPr>
          <w:p>
            <w:pPr>
              <w:spacing w:after="0"/>
              <w:rPr>
                <w:sz w:val="11"/>
                <w:szCs w:val="11"/>
                <w:color w:val="auto"/>
              </w:rPr>
            </w:pPr>
          </w:p>
        </w:tc>
        <w:tc>
          <w:tcPr>
            <w:tcW w:w="140" w:type="dxa"/>
            <w:vAlign w:val="bottom"/>
            <w:tcBorders>
              <w:top w:val="single" w:sz="8" w:color="CFF0FC"/>
            </w:tcBorders>
            <w:shd w:val="clear" w:color="auto" w:fill="CFF0FC"/>
          </w:tcPr>
          <w:p>
            <w:pPr>
              <w:spacing w:after="0"/>
              <w:rPr>
                <w:sz w:val="11"/>
                <w:szCs w:val="11"/>
                <w:color w:val="auto"/>
              </w:rPr>
            </w:pPr>
          </w:p>
        </w:tc>
        <w:tc>
          <w:tcPr>
            <w:tcW w:w="900" w:type="dxa"/>
            <w:vAlign w:val="bottom"/>
            <w:tcBorders>
              <w:top w:val="single" w:sz="8" w:color="auto"/>
            </w:tcBorders>
            <w:shd w:val="clear" w:color="auto" w:fill="CFF0FC"/>
          </w:tcPr>
          <w:p>
            <w:pPr>
              <w:spacing w:after="0"/>
              <w:rPr>
                <w:sz w:val="11"/>
                <w:szCs w:val="11"/>
                <w:color w:val="auto"/>
              </w:rPr>
            </w:pPr>
          </w:p>
        </w:tc>
        <w:tc>
          <w:tcPr>
            <w:tcW w:w="440" w:type="dxa"/>
            <w:vAlign w:val="bottom"/>
            <w:tcBorders>
              <w:top w:val="single" w:sz="8" w:color="auto"/>
            </w:tcBorders>
            <w:shd w:val="clear" w:color="auto" w:fill="CFF0FC"/>
          </w:tcPr>
          <w:p>
            <w:pPr>
              <w:spacing w:after="0"/>
              <w:rPr>
                <w:sz w:val="11"/>
                <w:szCs w:val="11"/>
                <w:color w:val="auto"/>
              </w:rPr>
            </w:pPr>
          </w:p>
        </w:tc>
        <w:tc>
          <w:tcPr>
            <w:tcW w:w="300" w:type="dxa"/>
            <w:vAlign w:val="bottom"/>
            <w:tcBorders>
              <w:top w:val="single" w:sz="8" w:color="CFF0FC"/>
            </w:tcBorders>
            <w:shd w:val="clear" w:color="auto" w:fill="CFF0FC"/>
          </w:tcPr>
          <w:p>
            <w:pPr>
              <w:spacing w:after="0"/>
              <w:rPr>
                <w:sz w:val="11"/>
                <w:szCs w:val="11"/>
                <w:color w:val="auto"/>
              </w:rPr>
            </w:pPr>
          </w:p>
        </w:tc>
        <w:tc>
          <w:tcPr>
            <w:tcW w:w="220" w:type="dxa"/>
            <w:vAlign w:val="bottom"/>
            <w:tcBorders>
              <w:top w:val="single" w:sz="8" w:color="auto"/>
            </w:tcBorders>
            <w:shd w:val="clear" w:color="auto" w:fill="CFF0FC"/>
          </w:tcPr>
          <w:p>
            <w:pPr>
              <w:spacing w:after="0"/>
              <w:rPr>
                <w:sz w:val="11"/>
                <w:szCs w:val="11"/>
                <w:color w:val="auto"/>
              </w:rPr>
            </w:pPr>
          </w:p>
        </w:tc>
        <w:tc>
          <w:tcPr>
            <w:tcW w:w="100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r>
      <w:tr>
        <w:trPr>
          <w:trHeight w:val="153"/>
        </w:trPr>
        <w:tc>
          <w:tcPr>
            <w:tcW w:w="3880" w:type="dxa"/>
            <w:vAlign w:val="bottom"/>
            <w:gridSpan w:val="2"/>
          </w:tcPr>
          <w:p>
            <w:pPr>
              <w:spacing w:after="0"/>
              <w:rPr>
                <w:sz w:val="20"/>
                <w:szCs w:val="20"/>
                <w:color w:val="auto"/>
              </w:rPr>
            </w:pPr>
            <w:r>
              <w:rPr>
                <w:rFonts w:ascii="Arial" w:cs="Arial" w:eastAsia="Arial" w:hAnsi="Arial"/>
                <w:sz w:val="12"/>
                <w:szCs w:val="12"/>
                <w:color w:val="auto"/>
              </w:rPr>
              <w:t>Total revenue</w:t>
            </w:r>
          </w:p>
        </w:tc>
        <w:tc>
          <w:tcPr>
            <w:tcW w:w="2500" w:type="dxa"/>
            <w:vAlign w:val="bottom"/>
            <w:gridSpan w:val="2"/>
          </w:tcPr>
          <w:p>
            <w:pPr>
              <w:jc w:val="right"/>
              <w:ind w:right="632"/>
              <w:spacing w:after="0"/>
              <w:rPr>
                <w:sz w:val="20"/>
                <w:szCs w:val="20"/>
                <w:color w:val="auto"/>
              </w:rPr>
            </w:pPr>
            <w:r>
              <w:rPr>
                <w:rFonts w:ascii="Arial" w:cs="Arial" w:eastAsia="Arial" w:hAnsi="Arial"/>
                <w:sz w:val="12"/>
                <w:szCs w:val="12"/>
                <w:color w:val="auto"/>
              </w:rPr>
              <w:t>$</w:t>
            </w:r>
          </w:p>
        </w:tc>
        <w:tc>
          <w:tcPr>
            <w:tcW w:w="400" w:type="dxa"/>
            <w:vAlign w:val="bottom"/>
          </w:tcPr>
          <w:p>
            <w:pPr>
              <w:jc w:val="right"/>
              <w:spacing w:after="0"/>
              <w:rPr>
                <w:sz w:val="20"/>
                <w:szCs w:val="20"/>
                <w:color w:val="auto"/>
              </w:rPr>
            </w:pPr>
            <w:r>
              <w:rPr>
                <w:rFonts w:ascii="Arial" w:cs="Arial" w:eastAsia="Arial" w:hAnsi="Arial"/>
                <w:sz w:val="12"/>
                <w:szCs w:val="12"/>
                <w:color w:val="auto"/>
                <w:w w:val="97"/>
              </w:rPr>
              <w:t>69,241</w:t>
            </w:r>
          </w:p>
        </w:tc>
        <w:tc>
          <w:tcPr>
            <w:tcW w:w="300" w:type="dxa"/>
            <w:vAlign w:val="bottom"/>
          </w:tcPr>
          <w:p>
            <w:pPr>
              <w:spacing w:after="0"/>
              <w:rPr>
                <w:sz w:val="13"/>
                <w:szCs w:val="13"/>
                <w:color w:val="auto"/>
              </w:rPr>
            </w:pPr>
          </w:p>
        </w:tc>
        <w:tc>
          <w:tcPr>
            <w:tcW w:w="720" w:type="dxa"/>
            <w:vAlign w:val="bottom"/>
          </w:tcPr>
          <w:p>
            <w:pPr>
              <w:jc w:val="right"/>
              <w:ind w:right="611"/>
              <w:spacing w:after="0"/>
              <w:rPr>
                <w:sz w:val="20"/>
                <w:szCs w:val="20"/>
                <w:color w:val="auto"/>
              </w:rPr>
            </w:pPr>
            <w:r>
              <w:rPr>
                <w:rFonts w:ascii="Arial" w:cs="Arial" w:eastAsia="Arial" w:hAnsi="Arial"/>
                <w:sz w:val="10"/>
                <w:szCs w:val="10"/>
                <w:color w:val="auto"/>
                <w:w w:val="71"/>
              </w:rPr>
              <w:t>$</w:t>
            </w:r>
          </w:p>
        </w:tc>
        <w:tc>
          <w:tcPr>
            <w:tcW w:w="400" w:type="dxa"/>
            <w:vAlign w:val="bottom"/>
          </w:tcPr>
          <w:p>
            <w:pPr>
              <w:jc w:val="right"/>
              <w:spacing w:after="0"/>
              <w:rPr>
                <w:sz w:val="20"/>
                <w:szCs w:val="20"/>
                <w:color w:val="auto"/>
              </w:rPr>
            </w:pPr>
            <w:r>
              <w:rPr>
                <w:rFonts w:ascii="Arial" w:cs="Arial" w:eastAsia="Arial" w:hAnsi="Arial"/>
                <w:sz w:val="12"/>
                <w:szCs w:val="12"/>
                <w:color w:val="auto"/>
                <w:w w:val="97"/>
              </w:rPr>
              <w:t>98,197</w:t>
            </w:r>
          </w:p>
        </w:tc>
        <w:tc>
          <w:tcPr>
            <w:tcW w:w="160" w:type="dxa"/>
            <w:vAlign w:val="bottom"/>
          </w:tcPr>
          <w:p>
            <w:pPr>
              <w:spacing w:after="0"/>
              <w:rPr>
                <w:sz w:val="13"/>
                <w:szCs w:val="13"/>
                <w:color w:val="auto"/>
              </w:rPr>
            </w:pPr>
          </w:p>
        </w:tc>
        <w:tc>
          <w:tcPr>
            <w:tcW w:w="1040" w:type="dxa"/>
            <w:vAlign w:val="bottom"/>
            <w:gridSpan w:val="2"/>
          </w:tcPr>
          <w:p>
            <w:pPr>
              <w:jc w:val="right"/>
              <w:ind w:right="792"/>
              <w:spacing w:after="0"/>
              <w:rPr>
                <w:sz w:val="20"/>
                <w:szCs w:val="20"/>
                <w:color w:val="auto"/>
              </w:rPr>
            </w:pPr>
            <w:r>
              <w:rPr>
                <w:rFonts w:ascii="Arial" w:cs="Arial" w:eastAsia="Arial" w:hAnsi="Arial"/>
                <w:sz w:val="12"/>
                <w:szCs w:val="12"/>
                <w:color w:val="auto"/>
              </w:rPr>
              <w:t>$</w:t>
            </w:r>
          </w:p>
        </w:tc>
        <w:tc>
          <w:tcPr>
            <w:tcW w:w="440" w:type="dxa"/>
            <w:vAlign w:val="bottom"/>
          </w:tcPr>
          <w:p>
            <w:pPr>
              <w:jc w:val="right"/>
              <w:spacing w:after="0"/>
              <w:rPr>
                <w:sz w:val="20"/>
                <w:szCs w:val="20"/>
                <w:color w:val="auto"/>
              </w:rPr>
            </w:pPr>
            <w:r>
              <w:rPr>
                <w:rFonts w:ascii="Arial" w:cs="Arial" w:eastAsia="Arial" w:hAnsi="Arial"/>
                <w:sz w:val="12"/>
                <w:szCs w:val="12"/>
                <w:color w:val="auto"/>
                <w:w w:val="96"/>
              </w:rPr>
              <w:t>107,602</w:t>
            </w:r>
          </w:p>
        </w:tc>
        <w:tc>
          <w:tcPr>
            <w:tcW w:w="300" w:type="dxa"/>
            <w:vAlign w:val="bottom"/>
          </w:tcPr>
          <w:p>
            <w:pPr>
              <w:spacing w:after="0"/>
              <w:rPr>
                <w:sz w:val="13"/>
                <w:szCs w:val="13"/>
                <w:color w:val="auto"/>
              </w:rPr>
            </w:pPr>
          </w:p>
        </w:tc>
        <w:tc>
          <w:tcPr>
            <w:tcW w:w="220" w:type="dxa"/>
            <w:vAlign w:val="bottom"/>
          </w:tcPr>
          <w:p>
            <w:pPr>
              <w:jc w:val="right"/>
              <w:ind w:right="110"/>
              <w:spacing w:after="0"/>
              <w:rPr>
                <w:sz w:val="20"/>
                <w:szCs w:val="20"/>
                <w:color w:val="auto"/>
              </w:rPr>
            </w:pPr>
            <w:r>
              <w:rPr>
                <w:rFonts w:ascii="Arial" w:cs="Arial" w:eastAsia="Arial" w:hAnsi="Arial"/>
                <w:sz w:val="10"/>
                <w:szCs w:val="10"/>
                <w:color w:val="auto"/>
                <w:w w:val="71"/>
              </w:rPr>
              <w:t>$</w:t>
            </w:r>
          </w:p>
        </w:tc>
        <w:tc>
          <w:tcPr>
            <w:tcW w:w="1000" w:type="dxa"/>
            <w:vAlign w:val="bottom"/>
          </w:tcPr>
          <w:p>
            <w:pPr>
              <w:jc w:val="right"/>
              <w:spacing w:after="0"/>
              <w:rPr>
                <w:sz w:val="20"/>
                <w:szCs w:val="20"/>
                <w:color w:val="auto"/>
              </w:rPr>
            </w:pPr>
            <w:r>
              <w:rPr>
                <w:rFonts w:ascii="Arial" w:cs="Arial" w:eastAsia="Arial" w:hAnsi="Arial"/>
                <w:sz w:val="12"/>
                <w:szCs w:val="12"/>
                <w:color w:val="auto"/>
              </w:rPr>
              <w:t>95,106</w:t>
            </w:r>
          </w:p>
        </w:tc>
        <w:tc>
          <w:tcPr>
            <w:tcW w:w="120" w:type="dxa"/>
            <w:vAlign w:val="bottom"/>
          </w:tcPr>
          <w:p>
            <w:pPr>
              <w:spacing w:after="0"/>
              <w:rPr>
                <w:sz w:val="13"/>
                <w:szCs w:val="13"/>
                <w:color w:val="auto"/>
              </w:rPr>
            </w:pPr>
          </w:p>
        </w:tc>
      </w:tr>
      <w:tr>
        <w:trPr>
          <w:trHeight w:val="153"/>
        </w:trPr>
        <w:tc>
          <w:tcPr>
            <w:tcW w:w="388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(Loss) income from operations</w:t>
            </w:r>
          </w:p>
        </w:tc>
        <w:tc>
          <w:tcPr>
            <w:tcW w:w="176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700" w:type="dxa"/>
            <w:vAlign w:val="bottom"/>
            <w:gridSpan w:val="2"/>
            <w:shd w:val="clear" w:color="auto" w:fill="CFF0FC"/>
          </w:tcPr>
          <w:p>
            <w:pPr>
              <w:jc w:val="right"/>
              <w:ind w:right="260"/>
              <w:spacing w:after="0"/>
              <w:rPr>
                <w:sz w:val="20"/>
                <w:szCs w:val="20"/>
                <w:color w:val="auto"/>
              </w:rPr>
            </w:pPr>
            <w:r>
              <w:rPr>
                <w:rFonts w:ascii="Arial" w:cs="Arial" w:eastAsia="Arial" w:hAnsi="Arial"/>
                <w:sz w:val="12"/>
                <w:szCs w:val="12"/>
                <w:color w:val="auto"/>
              </w:rPr>
              <w:t>(7,263)</w:t>
            </w:r>
          </w:p>
        </w:tc>
        <w:tc>
          <w:tcPr>
            <w:tcW w:w="720" w:type="dxa"/>
            <w:vAlign w:val="bottom"/>
            <w:shd w:val="clear" w:color="auto" w:fill="CFF0FC"/>
          </w:tcPr>
          <w:p>
            <w:pPr>
              <w:spacing w:after="0"/>
              <w:rPr>
                <w:sz w:val="13"/>
                <w:szCs w:val="13"/>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2"/>
                <w:szCs w:val="12"/>
                <w:color w:val="auto"/>
                <w:w w:val="97"/>
              </w:rPr>
              <w:t>11,784</w:t>
            </w:r>
          </w:p>
        </w:tc>
        <w:tc>
          <w:tcPr>
            <w:tcW w:w="1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26,195</w:t>
            </w:r>
          </w:p>
        </w:tc>
        <w:tc>
          <w:tcPr>
            <w:tcW w:w="3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(18,110)</w:t>
            </w:r>
          </w:p>
        </w:tc>
      </w:tr>
      <w:tr>
        <w:trPr>
          <w:trHeight w:val="153"/>
        </w:trPr>
        <w:tc>
          <w:tcPr>
            <w:tcW w:w="3880" w:type="dxa"/>
            <w:vAlign w:val="bottom"/>
            <w:gridSpan w:val="2"/>
          </w:tcPr>
          <w:p>
            <w:pPr>
              <w:spacing w:after="0"/>
              <w:rPr>
                <w:sz w:val="20"/>
                <w:szCs w:val="20"/>
                <w:color w:val="auto"/>
              </w:rPr>
            </w:pPr>
            <w:r>
              <w:rPr>
                <w:rFonts w:ascii="Arial" w:cs="Arial" w:eastAsia="Arial" w:hAnsi="Arial"/>
                <w:sz w:val="12"/>
                <w:szCs w:val="12"/>
                <w:color w:val="auto"/>
              </w:rPr>
              <w:t>Net (loss) income</w:t>
            </w:r>
          </w:p>
        </w:tc>
        <w:tc>
          <w:tcPr>
            <w:tcW w:w="1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2"/>
                <w:szCs w:val="12"/>
                <w:color w:val="auto"/>
                <w:w w:val="93"/>
              </w:rPr>
              <w:t>(22,158)</w:t>
            </w:r>
          </w:p>
        </w:tc>
        <w:tc>
          <w:tcPr>
            <w:tcW w:w="720" w:type="dxa"/>
            <w:vAlign w:val="bottom"/>
          </w:tcPr>
          <w:p>
            <w:pPr>
              <w:spacing w:after="0"/>
              <w:rPr>
                <w:sz w:val="13"/>
                <w:szCs w:val="13"/>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2"/>
                <w:szCs w:val="12"/>
                <w:color w:val="auto"/>
              </w:rPr>
              <w:t>(4,795)</w:t>
            </w: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6,513</w:t>
            </w: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2"/>
                <w:szCs w:val="12"/>
                <w:color w:val="auto"/>
              </w:rPr>
              <w:t>(37,954)</w:t>
            </w:r>
          </w:p>
        </w:tc>
      </w:tr>
      <w:tr>
        <w:trPr>
          <w:trHeight w:val="153"/>
        </w:trPr>
        <w:tc>
          <w:tcPr>
            <w:tcW w:w="388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Earnings (loss) per share - basic and diluted</w:t>
            </w:r>
          </w:p>
        </w:tc>
        <w:tc>
          <w:tcPr>
            <w:tcW w:w="2500" w:type="dxa"/>
            <w:vAlign w:val="bottom"/>
            <w:gridSpan w:val="2"/>
            <w:shd w:val="clear" w:color="auto" w:fill="CFF0FC"/>
          </w:tcPr>
          <w:p>
            <w:pPr>
              <w:jc w:val="right"/>
              <w:ind w:right="632"/>
              <w:spacing w:after="0"/>
              <w:rPr>
                <w:sz w:val="20"/>
                <w:szCs w:val="20"/>
                <w:color w:val="auto"/>
              </w:rPr>
            </w:pPr>
            <w:r>
              <w:rPr>
                <w:rFonts w:ascii="Arial" w:cs="Arial" w:eastAsia="Arial" w:hAnsi="Arial"/>
                <w:sz w:val="12"/>
                <w:szCs w:val="12"/>
                <w:color w:val="auto"/>
              </w:rPr>
              <w:t>$</w:t>
            </w:r>
          </w:p>
        </w:tc>
        <w:tc>
          <w:tcPr>
            <w:tcW w:w="700" w:type="dxa"/>
            <w:vAlign w:val="bottom"/>
            <w:gridSpan w:val="2"/>
            <w:shd w:val="clear" w:color="auto" w:fill="CFF0FC"/>
          </w:tcPr>
          <w:p>
            <w:pPr>
              <w:jc w:val="right"/>
              <w:ind w:right="260"/>
              <w:spacing w:after="0"/>
              <w:rPr>
                <w:sz w:val="20"/>
                <w:szCs w:val="20"/>
                <w:color w:val="auto"/>
              </w:rPr>
            </w:pPr>
            <w:r>
              <w:rPr>
                <w:rFonts w:ascii="Arial" w:cs="Arial" w:eastAsia="Arial" w:hAnsi="Arial"/>
                <w:sz w:val="12"/>
                <w:szCs w:val="12"/>
                <w:color w:val="auto"/>
              </w:rPr>
              <w:t>(0.35)</w:t>
            </w:r>
          </w:p>
        </w:tc>
        <w:tc>
          <w:tcPr>
            <w:tcW w:w="720" w:type="dxa"/>
            <w:vAlign w:val="bottom"/>
            <w:shd w:val="clear" w:color="auto" w:fill="CFF0FC"/>
          </w:tcPr>
          <w:p>
            <w:pPr>
              <w:jc w:val="right"/>
              <w:ind w:right="6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(0.07)</w:t>
            </w:r>
          </w:p>
        </w:tc>
        <w:tc>
          <w:tcPr>
            <w:tcW w:w="1040" w:type="dxa"/>
            <w:vAlign w:val="bottom"/>
            <w:gridSpan w:val="2"/>
            <w:shd w:val="clear" w:color="auto" w:fill="CFF0FC"/>
          </w:tcPr>
          <w:p>
            <w:pPr>
              <w:jc w:val="right"/>
              <w:ind w:right="792"/>
              <w:spacing w:after="0"/>
              <w:rPr>
                <w:sz w:val="20"/>
                <w:szCs w:val="20"/>
                <w:color w:val="auto"/>
              </w:rPr>
            </w:pPr>
            <w:r>
              <w:rPr>
                <w:rFonts w:ascii="Arial" w:cs="Arial" w:eastAsia="Arial" w:hAnsi="Arial"/>
                <w:sz w:val="12"/>
                <w:szCs w:val="12"/>
                <w:color w:val="auto"/>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0.09</w:t>
            </w:r>
          </w:p>
        </w:tc>
        <w:tc>
          <w:tcPr>
            <w:tcW w:w="300" w:type="dxa"/>
            <w:vAlign w:val="bottom"/>
            <w:shd w:val="clear" w:color="auto" w:fill="CFF0FC"/>
          </w:tcPr>
          <w:p>
            <w:pPr>
              <w:spacing w:after="0"/>
              <w:rPr>
                <w:sz w:val="13"/>
                <w:szCs w:val="13"/>
                <w:color w:val="auto"/>
              </w:rPr>
            </w:pPr>
          </w:p>
        </w:tc>
        <w:tc>
          <w:tcPr>
            <w:tcW w:w="220" w:type="dxa"/>
            <w:vAlign w:val="bottom"/>
            <w:shd w:val="clear" w:color="auto" w:fill="CFF0FC"/>
          </w:tcPr>
          <w:p>
            <w:pPr>
              <w:jc w:val="right"/>
              <w:ind w:right="110"/>
              <w:spacing w:after="0"/>
              <w:rPr>
                <w:sz w:val="20"/>
                <w:szCs w:val="20"/>
                <w:color w:val="auto"/>
              </w:rPr>
            </w:pPr>
            <w:r>
              <w:rPr>
                <w:rFonts w:ascii="Arial" w:cs="Arial" w:eastAsia="Arial" w:hAnsi="Arial"/>
                <w:sz w:val="10"/>
                <w:szCs w:val="10"/>
                <w:color w:val="auto"/>
                <w:w w:val="71"/>
              </w:rPr>
              <w:t>$</w:t>
            </w: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(0.27)</w:t>
            </w:r>
          </w:p>
        </w:tc>
      </w:tr>
    </w:tbl>
    <w:p>
      <w:pPr>
        <w:spacing w:after="0" w:line="130" w:lineRule="exact"/>
        <w:rPr>
          <w:sz w:val="20"/>
          <w:szCs w:val="20"/>
          <w:color w:val="auto"/>
        </w:rPr>
      </w:pPr>
    </w:p>
    <w:p>
      <w:pPr>
        <w:ind w:left="1188" w:hanging="593"/>
        <w:spacing w:after="0"/>
        <w:tabs>
          <w:tab w:leader="none" w:pos="1188" w:val="left"/>
        </w:tabs>
        <w:numPr>
          <w:ilvl w:val="1"/>
          <w:numId w:val="42"/>
        </w:numPr>
        <w:rPr>
          <w:rFonts w:ascii="Arial" w:cs="Arial" w:eastAsia="Arial" w:hAnsi="Arial"/>
          <w:sz w:val="15"/>
          <w:szCs w:val="15"/>
          <w:color w:val="auto"/>
          <w:vertAlign w:val="superscript"/>
        </w:rPr>
      </w:pPr>
      <w:r>
        <w:rPr>
          <w:rFonts w:ascii="Arial" w:cs="Arial" w:eastAsia="Arial" w:hAnsi="Arial"/>
          <w:sz w:val="10"/>
          <w:szCs w:val="10"/>
          <w:color w:val="auto"/>
        </w:rPr>
        <w:t xml:space="preserve">The Company recorded </w:t>
      </w:r>
      <w:r>
        <w:rPr>
          <w:rFonts w:ascii="Arial" w:cs="Arial" w:eastAsia="Arial" w:hAnsi="Arial"/>
          <w:sz w:val="7"/>
          <w:szCs w:val="7"/>
          <w:color w:val="auto"/>
        </w:rPr>
        <w:t>certain out-of-period adjustments that reduced revenue in the fourth quarter of the year ended December 31, 2018, which aggregated to $4.2 million. The impact of these adjustments to the Company’s fourth quarter consolidated financial statements was not material.</w:t>
      </w:r>
    </w:p>
    <w:p>
      <w:pPr>
        <w:spacing w:after="0" w:line="207" w:lineRule="exact"/>
        <w:rPr>
          <w:rFonts w:ascii="Arial" w:cs="Arial" w:eastAsia="Arial" w:hAnsi="Arial"/>
          <w:sz w:val="15"/>
          <w:szCs w:val="15"/>
          <w:color w:val="auto"/>
          <w:vertAlign w:val="superscript"/>
        </w:rPr>
      </w:pPr>
    </w:p>
    <w:p>
      <w:pPr>
        <w:ind w:left="588" w:hanging="588"/>
        <w:spacing w:after="0"/>
        <w:tabs>
          <w:tab w:leader="none" w:pos="588" w:val="left"/>
        </w:tabs>
        <w:numPr>
          <w:ilvl w:val="0"/>
          <w:numId w:val="43"/>
        </w:numPr>
        <w:rPr>
          <w:rFonts w:ascii="Arial" w:cs="Arial" w:eastAsia="Arial" w:hAnsi="Arial"/>
          <w:sz w:val="12"/>
          <w:szCs w:val="12"/>
          <w:b w:val="1"/>
          <w:bCs w:val="1"/>
          <w:color w:val="auto"/>
        </w:rPr>
      </w:pPr>
      <w:r>
        <w:rPr>
          <w:rFonts w:ascii="Arial" w:cs="Arial" w:eastAsia="Arial" w:hAnsi="Arial"/>
          <w:sz w:val="12"/>
          <w:szCs w:val="12"/>
          <w:b w:val="1"/>
          <w:bCs w:val="1"/>
          <w:color w:val="auto"/>
        </w:rPr>
        <w:t>Guarantor/Non-Guarantor Financial Information (Unaudited)</w:t>
      </w:r>
    </w:p>
    <w:p>
      <w:pPr>
        <w:spacing w:after="0" w:line="82" w:lineRule="exact"/>
        <w:rPr>
          <w:rFonts w:ascii="Arial" w:cs="Arial" w:eastAsia="Arial" w:hAnsi="Arial"/>
          <w:sz w:val="12"/>
          <w:szCs w:val="12"/>
          <w:b w:val="1"/>
          <w:bCs w:val="1"/>
          <w:color w:val="auto"/>
        </w:rPr>
      </w:pPr>
    </w:p>
    <w:p>
      <w:pPr>
        <w:ind w:left="608"/>
        <w:spacing w:after="0"/>
        <w:rPr>
          <w:rFonts w:ascii="Arial" w:cs="Arial" w:eastAsia="Arial" w:hAnsi="Arial"/>
          <w:sz w:val="12"/>
          <w:szCs w:val="12"/>
          <w:b w:val="1"/>
          <w:bCs w:val="1"/>
          <w:color w:val="auto"/>
        </w:rPr>
      </w:pPr>
      <w:r>
        <w:rPr>
          <w:rFonts w:ascii="Arial" w:cs="Arial" w:eastAsia="Arial" w:hAnsi="Arial"/>
          <w:sz w:val="11"/>
          <w:szCs w:val="11"/>
          <w:color w:val="auto"/>
        </w:rPr>
        <w:t>VM Consolidated, Inc., a wholly-owned subsidiary of the Company, is the lead borrower of the New First Lien Term Loan and the New Revolver. VM Consolidated, Inc. is owned by the Company through a series of holding</w:t>
      </w:r>
    </w:p>
    <w:p>
      <w:pPr>
        <w:spacing w:after="0" w:line="26" w:lineRule="exact"/>
        <w:rPr>
          <w:sz w:val="20"/>
          <w:szCs w:val="20"/>
          <w:color w:val="auto"/>
        </w:rPr>
      </w:pPr>
    </w:p>
    <w:p>
      <w:pPr>
        <w:ind w:left="8" w:right="160"/>
        <w:spacing w:after="0" w:line="254" w:lineRule="auto"/>
        <w:rPr>
          <w:sz w:val="20"/>
          <w:szCs w:val="20"/>
          <w:color w:val="auto"/>
        </w:rPr>
      </w:pPr>
      <w:r>
        <w:rPr>
          <w:rFonts w:ascii="Arial" w:cs="Arial" w:eastAsia="Arial" w:hAnsi="Arial"/>
          <w:sz w:val="12"/>
          <w:szCs w:val="12"/>
          <w:color w:val="auto"/>
        </w:rPr>
        <w:t>companies that ultimately end with the Company. VM Consolidated, Inc. is wholly-owned by Parent, which is wholly-owned by Greenlight Intermediate Holding Corporation, which is wholly-owned by Greenlight Holding Corporation, which is wholly-owned by Verra Mobility Holdings, LLC, which is wholly-owned by Verra Mobility Corporation or the Company. Prior to the Business Combination, VM Consolidated, Inc. was known as ATS Consolidated, Inc. and its financial information was the same as the lead borrower. The principal elimination entries relate to investments in subsidiaries and intercompany balances and transactions, including transactions with the Company’s wholly-owned subsidiary guarantors and non-guarantor subsidiaries.</w:t>
      </w:r>
    </w:p>
    <w:p>
      <w:pPr>
        <w:spacing w:after="0" w:line="128" w:lineRule="exact"/>
        <w:rPr>
          <w:sz w:val="20"/>
          <w:szCs w:val="20"/>
          <w:color w:val="auto"/>
        </w:rPr>
      </w:pPr>
    </w:p>
    <w:p>
      <w:pPr>
        <w:ind w:left="8" w:right="60" w:firstLine="602"/>
        <w:spacing w:after="0" w:line="276" w:lineRule="auto"/>
        <w:rPr>
          <w:sz w:val="20"/>
          <w:szCs w:val="20"/>
          <w:color w:val="auto"/>
        </w:rPr>
      </w:pPr>
      <w:r>
        <w:rPr>
          <w:rFonts w:ascii="Arial" w:cs="Arial" w:eastAsia="Arial" w:hAnsi="Arial"/>
          <w:sz w:val="12"/>
          <w:szCs w:val="12"/>
          <w:color w:val="auto"/>
        </w:rPr>
        <w:t>The following financial information presents the Consolidated Balance Sheets as of December 31, 2019 and the related Consolidated Statements of Operations and Comprehensive Income and Consolidated Statements of Cash Flows for the year ended December 31, 2019 for the Company, combined guarantor subsidiaries and combined non-guarantor subsidiaries:</w:t>
      </w:r>
    </w:p>
    <w:p>
      <w:pPr>
        <w:spacing w:after="0" w:line="115"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42545</wp:posOffset>
            </wp:positionV>
            <wp:extent cx="7317740" cy="3683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ectPr>
          <w:pgSz w:w="11900" w:h="16838" w:orient="portrait"/>
          <w:cols w:equalWidth="0" w:num="1">
            <w:col w:w="11488"/>
          </w:cols>
          <w:pgMar w:left="212" w:top="487" w:right="199" w:bottom="1440" w:gutter="0" w:footer="0" w:header="0"/>
        </w:sectPr>
      </w:pPr>
    </w:p>
    <w:bookmarkStart w:id="104" w:name="page105"/>
    <w:bookmarkEnd w:id="104"/>
    <w:p>
      <w:pPr>
        <w:jc w:val="center"/>
        <w:ind w:right="20"/>
        <w:spacing w:after="0"/>
        <w:rPr>
          <w:sz w:val="20"/>
          <w:szCs w:val="20"/>
          <w:color w:val="auto"/>
        </w:rPr>
      </w:pPr>
      <w:r>
        <w:rPr>
          <w:rFonts w:ascii="Arial" w:cs="Arial" w:eastAsia="Arial" w:hAnsi="Arial"/>
          <w:sz w:val="12"/>
          <w:szCs w:val="12"/>
          <w:b w:val="1"/>
          <w:bCs w:val="1"/>
          <w:color w:val="auto"/>
        </w:rPr>
        <w:t>Verra Mobility Corporation and Subsidiaries</w:t>
      </w:r>
    </w:p>
    <w:p>
      <w:pPr>
        <w:spacing w:after="0" w:line="19"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Consolidated Balance Sheets</w:t>
      </w:r>
    </w:p>
    <w:p>
      <w:pPr>
        <w:spacing w:after="0" w:line="6"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at December 31, 2019</w:t>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40" w:type="dxa"/>
            <w:vAlign w:val="bottom"/>
          </w:tcPr>
          <w:p>
            <w:pPr>
              <w:spacing w:after="0"/>
              <w:rPr>
                <w:sz w:val="10"/>
                <w:szCs w:val="10"/>
                <w:color w:val="auto"/>
              </w:rPr>
            </w:pPr>
          </w:p>
        </w:tc>
        <w:tc>
          <w:tcPr>
            <w:tcW w:w="4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rPr>
              <w:t>VM</w:t>
            </w: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99"/>
        </w:trPr>
        <w:tc>
          <w:tcPr>
            <w:tcW w:w="640" w:type="dxa"/>
            <w:vAlign w:val="bottom"/>
          </w:tcPr>
          <w:p>
            <w:pPr>
              <w:spacing w:after="0"/>
              <w:rPr>
                <w:sz w:val="8"/>
                <w:szCs w:val="8"/>
                <w:color w:val="auto"/>
              </w:rPr>
            </w:pPr>
          </w:p>
        </w:tc>
        <w:tc>
          <w:tcPr>
            <w:tcW w:w="4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20" w:type="dxa"/>
            <w:vAlign w:val="bottom"/>
            <w:gridSpan w:val="2"/>
          </w:tcPr>
          <w:p>
            <w:pPr>
              <w:jc w:val="center"/>
              <w:ind w:right="380"/>
              <w:spacing w:after="0" w:line="99" w:lineRule="exact"/>
              <w:rPr>
                <w:sz w:val="20"/>
                <w:szCs w:val="20"/>
                <w:color w:val="auto"/>
              </w:rPr>
            </w:pPr>
            <w:r>
              <w:rPr>
                <w:rFonts w:ascii="Arial" w:cs="Arial" w:eastAsia="Arial" w:hAnsi="Arial"/>
                <w:sz w:val="10"/>
                <w:szCs w:val="10"/>
                <w:b w:val="1"/>
                <w:bCs w:val="1"/>
                <w:color w:val="auto"/>
                <w:w w:val="85"/>
              </w:rPr>
              <w:t>Consolidated</w:t>
            </w:r>
          </w:p>
        </w:tc>
        <w:tc>
          <w:tcPr>
            <w:tcW w:w="140" w:type="dxa"/>
            <w:vAlign w:val="bottom"/>
          </w:tcPr>
          <w:p>
            <w:pPr>
              <w:spacing w:after="0"/>
              <w:rPr>
                <w:sz w:val="8"/>
                <w:szCs w:val="8"/>
                <w:color w:val="auto"/>
              </w:rPr>
            </w:pPr>
          </w:p>
        </w:tc>
        <w:tc>
          <w:tcPr>
            <w:tcW w:w="8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99"/>
        </w:trPr>
        <w:tc>
          <w:tcPr>
            <w:tcW w:w="640" w:type="dxa"/>
            <w:vAlign w:val="bottom"/>
          </w:tcPr>
          <w:p>
            <w:pPr>
              <w:spacing w:after="0"/>
              <w:rPr>
                <w:sz w:val="8"/>
                <w:szCs w:val="8"/>
                <w:color w:val="auto"/>
              </w:rPr>
            </w:pPr>
          </w:p>
        </w:tc>
        <w:tc>
          <w:tcPr>
            <w:tcW w:w="4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60" w:type="dxa"/>
            <w:vAlign w:val="bottom"/>
            <w:gridSpan w:val="2"/>
          </w:tcPr>
          <w:p>
            <w:pPr>
              <w:jc w:val="center"/>
              <w:ind w:right="340"/>
              <w:spacing w:after="0" w:line="99" w:lineRule="exact"/>
              <w:rPr>
                <w:sz w:val="20"/>
                <w:szCs w:val="20"/>
                <w:color w:val="auto"/>
              </w:rPr>
            </w:pPr>
            <w:r>
              <w:rPr>
                <w:rFonts w:ascii="Arial" w:cs="Arial" w:eastAsia="Arial" w:hAnsi="Arial"/>
                <w:sz w:val="10"/>
                <w:szCs w:val="10"/>
                <w:b w:val="1"/>
                <w:bCs w:val="1"/>
                <w:color w:val="auto"/>
                <w:w w:val="93"/>
              </w:rPr>
              <w:t>Verra Mobility</w:t>
            </w:r>
          </w:p>
        </w:tc>
        <w:tc>
          <w:tcPr>
            <w:tcW w:w="140" w:type="dxa"/>
            <w:vAlign w:val="bottom"/>
          </w:tcPr>
          <w:p>
            <w:pPr>
              <w:spacing w:after="0"/>
              <w:rPr>
                <w:sz w:val="8"/>
                <w:szCs w:val="8"/>
                <w:color w:val="auto"/>
              </w:rPr>
            </w:pPr>
          </w:p>
        </w:tc>
        <w:tc>
          <w:tcPr>
            <w:tcW w:w="1120" w:type="dxa"/>
            <w:vAlign w:val="bottom"/>
            <w:gridSpan w:val="2"/>
          </w:tcPr>
          <w:p>
            <w:pPr>
              <w:jc w:val="center"/>
              <w:ind w:right="400"/>
              <w:spacing w:after="0" w:line="99" w:lineRule="exact"/>
              <w:rPr>
                <w:sz w:val="20"/>
                <w:szCs w:val="20"/>
                <w:color w:val="auto"/>
              </w:rPr>
            </w:pPr>
            <w:r>
              <w:rPr>
                <w:rFonts w:ascii="Arial" w:cs="Arial" w:eastAsia="Arial" w:hAnsi="Arial"/>
                <w:sz w:val="10"/>
                <w:szCs w:val="10"/>
                <w:b w:val="1"/>
                <w:bCs w:val="1"/>
                <w:color w:val="auto"/>
                <w:w w:val="92"/>
              </w:rPr>
              <w:t>Inc.</w:t>
            </w:r>
          </w:p>
        </w:tc>
        <w:tc>
          <w:tcPr>
            <w:tcW w:w="140" w:type="dxa"/>
            <w:vAlign w:val="bottom"/>
          </w:tcPr>
          <w:p>
            <w:pPr>
              <w:spacing w:after="0"/>
              <w:rPr>
                <w:sz w:val="8"/>
                <w:szCs w:val="8"/>
                <w:color w:val="auto"/>
              </w:rPr>
            </w:pPr>
          </w:p>
        </w:tc>
        <w:tc>
          <w:tcPr>
            <w:tcW w:w="880" w:type="dxa"/>
            <w:vAlign w:val="bottom"/>
          </w:tcPr>
          <w:p>
            <w:pPr>
              <w:jc w:val="center"/>
              <w:ind w:right="112"/>
              <w:spacing w:after="0" w:line="99" w:lineRule="exact"/>
              <w:rPr>
                <w:sz w:val="20"/>
                <w:szCs w:val="20"/>
                <w:color w:val="auto"/>
              </w:rPr>
            </w:pPr>
            <w:r>
              <w:rPr>
                <w:rFonts w:ascii="Arial" w:cs="Arial" w:eastAsia="Arial" w:hAnsi="Arial"/>
                <w:sz w:val="10"/>
                <w:szCs w:val="10"/>
                <w:b w:val="1"/>
                <w:bCs w:val="1"/>
                <w:color w:val="auto"/>
                <w:w w:val="87"/>
              </w:rPr>
              <w:t>Non-</w:t>
            </w: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99"/>
        </w:trPr>
        <w:tc>
          <w:tcPr>
            <w:tcW w:w="640" w:type="dxa"/>
            <w:vAlign w:val="bottom"/>
          </w:tcPr>
          <w:p>
            <w:pPr>
              <w:spacing w:after="0"/>
              <w:rPr>
                <w:sz w:val="8"/>
                <w:szCs w:val="8"/>
                <w:color w:val="auto"/>
              </w:rPr>
            </w:pPr>
          </w:p>
        </w:tc>
        <w:tc>
          <w:tcPr>
            <w:tcW w:w="4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60" w:type="dxa"/>
            <w:vAlign w:val="bottom"/>
            <w:gridSpan w:val="2"/>
          </w:tcPr>
          <w:p>
            <w:pPr>
              <w:jc w:val="center"/>
              <w:ind w:right="320"/>
              <w:spacing w:after="0" w:line="99" w:lineRule="exact"/>
              <w:rPr>
                <w:sz w:val="20"/>
                <w:szCs w:val="20"/>
                <w:color w:val="auto"/>
              </w:rPr>
            </w:pPr>
            <w:r>
              <w:rPr>
                <w:rFonts w:ascii="Arial" w:cs="Arial" w:eastAsia="Arial" w:hAnsi="Arial"/>
                <w:sz w:val="10"/>
                <w:szCs w:val="10"/>
                <w:b w:val="1"/>
                <w:bCs w:val="1"/>
                <w:color w:val="auto"/>
                <w:w w:val="90"/>
              </w:rPr>
              <w:t>Corporation</w:t>
            </w:r>
          </w:p>
        </w:tc>
        <w:tc>
          <w:tcPr>
            <w:tcW w:w="140" w:type="dxa"/>
            <w:vAlign w:val="bottom"/>
          </w:tcPr>
          <w:p>
            <w:pPr>
              <w:spacing w:after="0"/>
              <w:rPr>
                <w:sz w:val="8"/>
                <w:szCs w:val="8"/>
                <w:color w:val="auto"/>
              </w:rPr>
            </w:pPr>
          </w:p>
        </w:tc>
        <w:tc>
          <w:tcPr>
            <w:tcW w:w="1120" w:type="dxa"/>
            <w:vAlign w:val="bottom"/>
            <w:gridSpan w:val="2"/>
          </w:tcPr>
          <w:p>
            <w:pPr>
              <w:jc w:val="center"/>
              <w:ind w:right="400"/>
              <w:spacing w:after="0" w:line="99" w:lineRule="exact"/>
              <w:rPr>
                <w:sz w:val="20"/>
                <w:szCs w:val="20"/>
                <w:color w:val="auto"/>
              </w:rPr>
            </w:pPr>
            <w:r>
              <w:rPr>
                <w:rFonts w:ascii="Arial" w:cs="Arial" w:eastAsia="Arial" w:hAnsi="Arial"/>
                <w:sz w:val="10"/>
                <w:szCs w:val="10"/>
                <w:b w:val="1"/>
                <w:bCs w:val="1"/>
                <w:color w:val="auto"/>
                <w:w w:val="92"/>
              </w:rPr>
              <w:t>(Guarantor</w:t>
            </w:r>
          </w:p>
        </w:tc>
        <w:tc>
          <w:tcPr>
            <w:tcW w:w="140" w:type="dxa"/>
            <w:vAlign w:val="bottom"/>
          </w:tcPr>
          <w:p>
            <w:pPr>
              <w:spacing w:after="0"/>
              <w:rPr>
                <w:sz w:val="8"/>
                <w:szCs w:val="8"/>
                <w:color w:val="auto"/>
              </w:rPr>
            </w:pPr>
          </w:p>
        </w:tc>
        <w:tc>
          <w:tcPr>
            <w:tcW w:w="880" w:type="dxa"/>
            <w:vAlign w:val="bottom"/>
          </w:tcPr>
          <w:p>
            <w:pPr>
              <w:jc w:val="center"/>
              <w:ind w:right="112"/>
              <w:spacing w:after="0" w:line="99" w:lineRule="exact"/>
              <w:rPr>
                <w:sz w:val="20"/>
                <w:szCs w:val="20"/>
                <w:color w:val="auto"/>
              </w:rPr>
            </w:pPr>
            <w:r>
              <w:rPr>
                <w:rFonts w:ascii="Arial" w:cs="Arial" w:eastAsia="Arial" w:hAnsi="Arial"/>
                <w:sz w:val="10"/>
                <w:szCs w:val="10"/>
                <w:b w:val="1"/>
                <w:bCs w:val="1"/>
                <w:color w:val="auto"/>
                <w:w w:val="85"/>
              </w:rPr>
              <w:t>guarantor</w:t>
            </w: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125"/>
        </w:trPr>
        <w:tc>
          <w:tcPr>
            <w:tcW w:w="5300" w:type="dxa"/>
            <w:vAlign w:val="bottom"/>
            <w:gridSpan w:val="2"/>
          </w:tcPr>
          <w:p>
            <w:pPr>
              <w:spacing w:after="0" w:line="105" w:lineRule="exact"/>
              <w:rPr>
                <w:sz w:val="20"/>
                <w:szCs w:val="20"/>
                <w:color w:val="auto"/>
              </w:rPr>
            </w:pPr>
            <w:r>
              <w:rPr>
                <w:rFonts w:ascii="Arial" w:cs="Arial" w:eastAsia="Arial" w:hAnsi="Arial"/>
                <w:sz w:val="10"/>
                <w:szCs w:val="10"/>
                <w:b w:val="1"/>
                <w:bCs w:val="1"/>
                <w:u w:val="single" w:color="auto"/>
                <w:color w:val="auto"/>
              </w:rPr>
              <w:t>(</w:t>
            </w:r>
            <w:r>
              <w:rPr>
                <w:rFonts w:ascii="Arial" w:cs="Arial" w:eastAsia="Arial" w:hAnsi="Arial"/>
                <w:sz w:val="10"/>
                <w:szCs w:val="10"/>
                <w:b w:val="1"/>
                <w:bCs w:val="1"/>
                <w:color w:val="auto"/>
              </w:rPr>
              <w:t>$ in thousands)</w:t>
            </w:r>
          </w:p>
        </w:tc>
        <w:tc>
          <w:tcPr>
            <w:tcW w:w="100" w:type="dxa"/>
            <w:vAlign w:val="bottom"/>
          </w:tcPr>
          <w:p>
            <w:pPr>
              <w:spacing w:after="0"/>
              <w:rPr>
                <w:sz w:val="10"/>
                <w:szCs w:val="10"/>
                <w:color w:val="auto"/>
              </w:rPr>
            </w:pPr>
          </w:p>
        </w:tc>
        <w:tc>
          <w:tcPr>
            <w:tcW w:w="1160" w:type="dxa"/>
            <w:vAlign w:val="bottom"/>
            <w:gridSpan w:val="2"/>
          </w:tcPr>
          <w:p>
            <w:pPr>
              <w:jc w:val="center"/>
              <w:ind w:right="320"/>
              <w:spacing w:after="0" w:line="105" w:lineRule="exact"/>
              <w:rPr>
                <w:sz w:val="20"/>
                <w:szCs w:val="20"/>
                <w:color w:val="auto"/>
              </w:rPr>
            </w:pPr>
            <w:r>
              <w:rPr>
                <w:rFonts w:ascii="Arial" w:cs="Arial" w:eastAsia="Arial" w:hAnsi="Arial"/>
                <w:sz w:val="10"/>
                <w:szCs w:val="10"/>
                <w:b w:val="1"/>
                <w:bCs w:val="1"/>
                <w:color w:val="auto"/>
                <w:w w:val="89"/>
              </w:rPr>
              <w:t>(Ultimate Parent)</w:t>
            </w:r>
          </w:p>
        </w:tc>
        <w:tc>
          <w:tcPr>
            <w:tcW w:w="140" w:type="dxa"/>
            <w:vAlign w:val="bottom"/>
          </w:tcPr>
          <w:p>
            <w:pPr>
              <w:spacing w:after="0"/>
              <w:rPr>
                <w:sz w:val="10"/>
                <w:szCs w:val="10"/>
                <w:color w:val="auto"/>
              </w:rPr>
            </w:pPr>
          </w:p>
        </w:tc>
        <w:tc>
          <w:tcPr>
            <w:tcW w:w="1120" w:type="dxa"/>
            <w:vAlign w:val="bottom"/>
            <w:gridSpan w:val="2"/>
          </w:tcPr>
          <w:p>
            <w:pPr>
              <w:jc w:val="center"/>
              <w:ind w:right="400"/>
              <w:spacing w:after="0" w:line="105" w:lineRule="exact"/>
              <w:rPr>
                <w:sz w:val="20"/>
                <w:szCs w:val="20"/>
                <w:color w:val="auto"/>
              </w:rPr>
            </w:pPr>
            <w:r>
              <w:rPr>
                <w:rFonts w:ascii="Arial" w:cs="Arial" w:eastAsia="Arial" w:hAnsi="Arial"/>
                <w:sz w:val="10"/>
                <w:szCs w:val="10"/>
                <w:b w:val="1"/>
                <w:bCs w:val="1"/>
                <w:color w:val="auto"/>
                <w:w w:val="88"/>
              </w:rPr>
              <w:t>Subsidiary)</w:t>
            </w:r>
          </w:p>
        </w:tc>
        <w:tc>
          <w:tcPr>
            <w:tcW w:w="140" w:type="dxa"/>
            <w:vAlign w:val="bottom"/>
          </w:tcPr>
          <w:p>
            <w:pPr>
              <w:spacing w:after="0"/>
              <w:rPr>
                <w:sz w:val="10"/>
                <w:szCs w:val="10"/>
                <w:color w:val="auto"/>
              </w:rPr>
            </w:pPr>
          </w:p>
        </w:tc>
        <w:tc>
          <w:tcPr>
            <w:tcW w:w="880" w:type="dxa"/>
            <w:vAlign w:val="bottom"/>
          </w:tcPr>
          <w:p>
            <w:pPr>
              <w:jc w:val="center"/>
              <w:ind w:right="132"/>
              <w:spacing w:after="0" w:line="105" w:lineRule="exact"/>
              <w:rPr>
                <w:sz w:val="20"/>
                <w:szCs w:val="20"/>
                <w:color w:val="auto"/>
              </w:rPr>
            </w:pPr>
            <w:r>
              <w:rPr>
                <w:rFonts w:ascii="Arial" w:cs="Arial" w:eastAsia="Arial" w:hAnsi="Arial"/>
                <w:sz w:val="10"/>
                <w:szCs w:val="10"/>
                <w:b w:val="1"/>
                <w:bCs w:val="1"/>
                <w:color w:val="auto"/>
                <w:w w:val="83"/>
              </w:rPr>
              <w:t>Subsidiaries</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gridSpan w:val="2"/>
          </w:tcPr>
          <w:p>
            <w:pPr>
              <w:jc w:val="right"/>
              <w:ind w:right="380"/>
              <w:spacing w:after="0" w:line="105" w:lineRule="exact"/>
              <w:rPr>
                <w:sz w:val="20"/>
                <w:szCs w:val="20"/>
                <w:color w:val="auto"/>
              </w:rPr>
            </w:pPr>
            <w:r>
              <w:rPr>
                <w:rFonts w:ascii="Arial" w:cs="Arial" w:eastAsia="Arial" w:hAnsi="Arial"/>
                <w:sz w:val="10"/>
                <w:szCs w:val="10"/>
                <w:b w:val="1"/>
                <w:bCs w:val="1"/>
                <w:color w:val="auto"/>
              </w:rPr>
              <w:t>Eliminations</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gridSpan w:val="2"/>
          </w:tcPr>
          <w:p>
            <w:pPr>
              <w:ind w:left="100"/>
              <w:spacing w:after="0" w:line="105" w:lineRule="exact"/>
              <w:rPr>
                <w:sz w:val="20"/>
                <w:szCs w:val="20"/>
                <w:color w:val="auto"/>
              </w:rPr>
            </w:pPr>
            <w:r>
              <w:rPr>
                <w:rFonts w:ascii="Arial" w:cs="Arial" w:eastAsia="Arial" w:hAnsi="Arial"/>
                <w:sz w:val="10"/>
                <w:szCs w:val="10"/>
                <w:b w:val="1"/>
                <w:bCs w:val="1"/>
                <w:color w:val="auto"/>
              </w:rPr>
              <w:t>Consolidated</w:t>
            </w:r>
          </w:p>
        </w:tc>
      </w:tr>
      <w:tr>
        <w:trPr>
          <w:trHeight w:val="86"/>
        </w:trPr>
        <w:tc>
          <w:tcPr>
            <w:tcW w:w="640" w:type="dxa"/>
            <w:vAlign w:val="bottom"/>
            <w:tcBorders>
              <w:top w:val="single" w:sz="8" w:color="auto"/>
            </w:tcBorders>
            <w:shd w:val="clear" w:color="auto" w:fill="CFF0FC"/>
          </w:tcPr>
          <w:p>
            <w:pPr>
              <w:spacing w:after="0" w:line="86" w:lineRule="exact"/>
              <w:rPr>
                <w:sz w:val="20"/>
                <w:szCs w:val="20"/>
                <w:color w:val="auto"/>
              </w:rPr>
            </w:pPr>
            <w:r>
              <w:rPr>
                <w:rFonts w:ascii="Arial" w:cs="Arial" w:eastAsia="Arial" w:hAnsi="Arial"/>
                <w:sz w:val="8"/>
                <w:szCs w:val="8"/>
                <w:b w:val="1"/>
                <w:bCs w:val="1"/>
                <w:color w:val="auto"/>
              </w:rPr>
              <w:t>Assets</w:t>
            </w:r>
          </w:p>
        </w:tc>
        <w:tc>
          <w:tcPr>
            <w:tcW w:w="4660" w:type="dxa"/>
            <w:vAlign w:val="bottom"/>
            <w:tcBorders>
              <w:top w:val="single" w:sz="8" w:color="CFF0FC"/>
            </w:tcBorders>
            <w:shd w:val="clear" w:color="auto" w:fill="CFF0FC"/>
          </w:tcPr>
          <w:p>
            <w:pPr>
              <w:spacing w:after="0"/>
              <w:rPr>
                <w:sz w:val="7"/>
                <w:szCs w:val="7"/>
                <w:color w:val="auto"/>
              </w:rPr>
            </w:pPr>
          </w:p>
        </w:tc>
        <w:tc>
          <w:tcPr>
            <w:tcW w:w="100" w:type="dxa"/>
            <w:vAlign w:val="bottom"/>
            <w:tcBorders>
              <w:top w:val="single" w:sz="8" w:color="auto"/>
            </w:tcBorders>
            <w:shd w:val="clear" w:color="auto" w:fill="CFF0FC"/>
          </w:tcPr>
          <w:p>
            <w:pPr>
              <w:spacing w:after="0"/>
              <w:rPr>
                <w:sz w:val="7"/>
                <w:szCs w:val="7"/>
                <w:color w:val="auto"/>
              </w:rPr>
            </w:pPr>
          </w:p>
        </w:tc>
        <w:tc>
          <w:tcPr>
            <w:tcW w:w="940" w:type="dxa"/>
            <w:vAlign w:val="bottom"/>
            <w:tcBorders>
              <w:top w:val="single" w:sz="8" w:color="auto"/>
            </w:tcBorders>
            <w:shd w:val="clear" w:color="auto" w:fill="CFF0FC"/>
          </w:tcPr>
          <w:p>
            <w:pPr>
              <w:spacing w:after="0"/>
              <w:rPr>
                <w:sz w:val="7"/>
                <w:szCs w:val="7"/>
                <w:color w:val="auto"/>
              </w:rPr>
            </w:pPr>
          </w:p>
        </w:tc>
        <w:tc>
          <w:tcPr>
            <w:tcW w:w="220" w:type="dxa"/>
            <w:vAlign w:val="bottom"/>
            <w:tcBorders>
              <w:top w:val="single" w:sz="8" w:color="CFF0FC"/>
            </w:tcBorders>
            <w:shd w:val="clear" w:color="auto" w:fill="CFF0FC"/>
          </w:tcPr>
          <w:p>
            <w:pPr>
              <w:spacing w:after="0"/>
              <w:rPr>
                <w:sz w:val="7"/>
                <w:szCs w:val="7"/>
                <w:color w:val="auto"/>
              </w:rPr>
            </w:pPr>
          </w:p>
        </w:tc>
        <w:tc>
          <w:tcPr>
            <w:tcW w:w="140" w:type="dxa"/>
            <w:vAlign w:val="bottom"/>
            <w:tcBorders>
              <w:top w:val="single" w:sz="8" w:color="auto"/>
            </w:tcBorders>
            <w:shd w:val="clear" w:color="auto" w:fill="CFF0FC"/>
          </w:tcPr>
          <w:p>
            <w:pPr>
              <w:spacing w:after="0"/>
              <w:rPr>
                <w:sz w:val="7"/>
                <w:szCs w:val="7"/>
                <w:color w:val="auto"/>
              </w:rPr>
            </w:pPr>
          </w:p>
        </w:tc>
        <w:tc>
          <w:tcPr>
            <w:tcW w:w="880" w:type="dxa"/>
            <w:vAlign w:val="bottom"/>
            <w:tcBorders>
              <w:top w:val="single" w:sz="8" w:color="auto"/>
            </w:tcBorders>
            <w:shd w:val="clear" w:color="auto" w:fill="CFF0FC"/>
          </w:tcPr>
          <w:p>
            <w:pPr>
              <w:spacing w:after="0"/>
              <w:rPr>
                <w:sz w:val="7"/>
                <w:szCs w:val="7"/>
                <w:color w:val="auto"/>
              </w:rPr>
            </w:pPr>
          </w:p>
        </w:tc>
        <w:tc>
          <w:tcPr>
            <w:tcW w:w="240" w:type="dxa"/>
            <w:vAlign w:val="bottom"/>
            <w:tcBorders>
              <w:top w:val="single" w:sz="8" w:color="CFF0FC"/>
            </w:tcBorders>
            <w:shd w:val="clear" w:color="auto" w:fill="CFF0FC"/>
          </w:tcPr>
          <w:p>
            <w:pPr>
              <w:spacing w:after="0"/>
              <w:rPr>
                <w:sz w:val="7"/>
                <w:szCs w:val="7"/>
                <w:color w:val="auto"/>
              </w:rPr>
            </w:pPr>
          </w:p>
        </w:tc>
        <w:tc>
          <w:tcPr>
            <w:tcW w:w="140" w:type="dxa"/>
            <w:vAlign w:val="bottom"/>
            <w:tcBorders>
              <w:top w:val="single" w:sz="8" w:color="auto"/>
            </w:tcBorders>
            <w:shd w:val="clear" w:color="auto" w:fill="CFF0FC"/>
          </w:tcPr>
          <w:p>
            <w:pPr>
              <w:spacing w:after="0"/>
              <w:rPr>
                <w:sz w:val="7"/>
                <w:szCs w:val="7"/>
                <w:color w:val="auto"/>
              </w:rPr>
            </w:pPr>
          </w:p>
        </w:tc>
        <w:tc>
          <w:tcPr>
            <w:tcW w:w="880" w:type="dxa"/>
            <w:vAlign w:val="bottom"/>
            <w:tcBorders>
              <w:top w:val="single" w:sz="8" w:color="auto"/>
            </w:tcBorders>
            <w:shd w:val="clear" w:color="auto" w:fill="CFF0FC"/>
          </w:tcPr>
          <w:p>
            <w:pPr>
              <w:spacing w:after="0"/>
              <w:rPr>
                <w:sz w:val="7"/>
                <w:szCs w:val="7"/>
                <w:color w:val="auto"/>
              </w:rPr>
            </w:pPr>
          </w:p>
        </w:tc>
        <w:tc>
          <w:tcPr>
            <w:tcW w:w="220" w:type="dxa"/>
            <w:vAlign w:val="bottom"/>
            <w:tcBorders>
              <w:top w:val="single" w:sz="8" w:color="CFF0FC"/>
            </w:tcBorders>
            <w:shd w:val="clear" w:color="auto" w:fill="CFF0FC"/>
          </w:tcPr>
          <w:p>
            <w:pPr>
              <w:spacing w:after="0"/>
              <w:rPr>
                <w:sz w:val="7"/>
                <w:szCs w:val="7"/>
                <w:color w:val="auto"/>
              </w:rPr>
            </w:pPr>
          </w:p>
        </w:tc>
        <w:tc>
          <w:tcPr>
            <w:tcW w:w="160" w:type="dxa"/>
            <w:vAlign w:val="bottom"/>
            <w:tcBorders>
              <w:top w:val="single" w:sz="8" w:color="auto"/>
            </w:tcBorders>
            <w:shd w:val="clear" w:color="auto" w:fill="CFF0FC"/>
          </w:tcPr>
          <w:p>
            <w:pPr>
              <w:spacing w:after="0"/>
              <w:rPr>
                <w:sz w:val="7"/>
                <w:szCs w:val="7"/>
                <w:color w:val="auto"/>
              </w:rPr>
            </w:pPr>
          </w:p>
        </w:tc>
        <w:tc>
          <w:tcPr>
            <w:tcW w:w="880" w:type="dxa"/>
            <w:vAlign w:val="bottom"/>
            <w:tcBorders>
              <w:top w:val="single" w:sz="8" w:color="auto"/>
            </w:tcBorders>
            <w:shd w:val="clear" w:color="auto" w:fill="CFF0FC"/>
          </w:tcPr>
          <w:p>
            <w:pPr>
              <w:spacing w:after="0"/>
              <w:rPr>
                <w:sz w:val="7"/>
                <w:szCs w:val="7"/>
                <w:color w:val="auto"/>
              </w:rPr>
            </w:pPr>
          </w:p>
        </w:tc>
        <w:tc>
          <w:tcPr>
            <w:tcW w:w="120" w:type="dxa"/>
            <w:vAlign w:val="bottom"/>
            <w:tcBorders>
              <w:top w:val="single" w:sz="8" w:color="CFF0FC"/>
            </w:tcBorders>
            <w:shd w:val="clear" w:color="auto" w:fill="CFF0FC"/>
          </w:tcPr>
          <w:p>
            <w:pPr>
              <w:spacing w:after="0"/>
              <w:rPr>
                <w:sz w:val="7"/>
                <w:szCs w:val="7"/>
                <w:color w:val="auto"/>
              </w:rPr>
            </w:pPr>
          </w:p>
        </w:tc>
        <w:tc>
          <w:tcPr>
            <w:tcW w:w="100" w:type="dxa"/>
            <w:vAlign w:val="bottom"/>
            <w:tcBorders>
              <w:top w:val="single" w:sz="8" w:color="CFF0FC"/>
            </w:tcBorders>
            <w:shd w:val="clear" w:color="auto" w:fill="CFF0FC"/>
          </w:tcPr>
          <w:p>
            <w:pPr>
              <w:spacing w:after="0"/>
              <w:rPr>
                <w:sz w:val="7"/>
                <w:szCs w:val="7"/>
                <w:color w:val="auto"/>
              </w:rPr>
            </w:pPr>
          </w:p>
        </w:tc>
        <w:tc>
          <w:tcPr>
            <w:tcW w:w="160" w:type="dxa"/>
            <w:vAlign w:val="bottom"/>
            <w:tcBorders>
              <w:top w:val="single" w:sz="8" w:color="auto"/>
            </w:tcBorders>
            <w:shd w:val="clear" w:color="auto" w:fill="CFF0FC"/>
          </w:tcPr>
          <w:p>
            <w:pPr>
              <w:spacing w:after="0"/>
              <w:rPr>
                <w:sz w:val="7"/>
                <w:szCs w:val="7"/>
                <w:color w:val="auto"/>
              </w:rPr>
            </w:pPr>
          </w:p>
        </w:tc>
        <w:tc>
          <w:tcPr>
            <w:tcW w:w="880" w:type="dxa"/>
            <w:vAlign w:val="bottom"/>
            <w:tcBorders>
              <w:top w:val="single" w:sz="8" w:color="auto"/>
            </w:tcBorders>
            <w:shd w:val="clear" w:color="auto" w:fill="CFF0FC"/>
          </w:tcPr>
          <w:p>
            <w:pPr>
              <w:spacing w:after="0"/>
              <w:rPr>
                <w:sz w:val="7"/>
                <w:szCs w:val="7"/>
                <w:color w:val="auto"/>
              </w:rPr>
            </w:pPr>
          </w:p>
        </w:tc>
        <w:tc>
          <w:tcPr>
            <w:tcW w:w="120" w:type="dxa"/>
            <w:vAlign w:val="bottom"/>
            <w:tcBorders>
              <w:top w:val="single" w:sz="8" w:color="CFF0FC"/>
            </w:tcBorders>
            <w:shd w:val="clear" w:color="auto" w:fill="CFF0FC"/>
          </w:tcPr>
          <w:p>
            <w:pPr>
              <w:spacing w:after="0"/>
              <w:rPr>
                <w:sz w:val="7"/>
                <w:szCs w:val="7"/>
                <w:color w:val="auto"/>
              </w:rPr>
            </w:pPr>
          </w:p>
        </w:tc>
      </w:tr>
      <w:tr>
        <w:trPr>
          <w:trHeight w:val="108"/>
        </w:trPr>
        <w:tc>
          <w:tcPr>
            <w:tcW w:w="5300" w:type="dxa"/>
            <w:vAlign w:val="bottom"/>
            <w:gridSpan w:val="2"/>
          </w:tcPr>
          <w:p>
            <w:pPr>
              <w:ind w:left="80"/>
              <w:spacing w:after="0" w:line="108" w:lineRule="exact"/>
              <w:rPr>
                <w:sz w:val="20"/>
                <w:szCs w:val="20"/>
                <w:color w:val="auto"/>
              </w:rPr>
            </w:pPr>
            <w:r>
              <w:rPr>
                <w:rFonts w:ascii="Arial" w:cs="Arial" w:eastAsia="Arial" w:hAnsi="Arial"/>
                <w:sz w:val="10"/>
                <w:szCs w:val="10"/>
                <w:color w:val="auto"/>
              </w:rPr>
              <w:t>Current assets:</w:t>
            </w:r>
          </w:p>
        </w:tc>
        <w:tc>
          <w:tcPr>
            <w:tcW w:w="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r>
      <w:tr>
        <w:trPr>
          <w:trHeight w:val="108"/>
        </w:trPr>
        <w:tc>
          <w:tcPr>
            <w:tcW w:w="5300" w:type="dxa"/>
            <w:vAlign w:val="bottom"/>
            <w:gridSpan w:val="2"/>
            <w:shd w:val="clear" w:color="auto" w:fill="CFF0FC"/>
          </w:tcPr>
          <w:p>
            <w:pPr>
              <w:ind w:left="160"/>
              <w:spacing w:after="0" w:line="108" w:lineRule="exact"/>
              <w:rPr>
                <w:sz w:val="20"/>
                <w:szCs w:val="20"/>
                <w:color w:val="auto"/>
              </w:rPr>
            </w:pPr>
            <w:r>
              <w:rPr>
                <w:rFonts w:ascii="Arial" w:cs="Arial" w:eastAsia="Arial" w:hAnsi="Arial"/>
                <w:sz w:val="10"/>
                <w:szCs w:val="10"/>
                <w:color w:val="auto"/>
              </w:rPr>
              <w:t>Cash and cash equivalents</w:t>
            </w:r>
          </w:p>
        </w:tc>
        <w:tc>
          <w:tcPr>
            <w:tcW w:w="100" w:type="dxa"/>
            <w:vAlign w:val="bottom"/>
            <w:shd w:val="clear" w:color="auto" w:fill="CFF0FC"/>
          </w:tcPr>
          <w:p>
            <w:pPr>
              <w:jc w:val="right"/>
              <w:spacing w:after="0" w:line="108" w:lineRule="exact"/>
              <w:rPr>
                <w:sz w:val="20"/>
                <w:szCs w:val="20"/>
                <w:color w:val="auto"/>
              </w:rPr>
            </w:pPr>
            <w:r>
              <w:rPr>
                <w:rFonts w:ascii="Arial" w:cs="Arial" w:eastAsia="Arial" w:hAnsi="Arial"/>
                <w:sz w:val="10"/>
                <w:szCs w:val="10"/>
                <w:color w:val="auto"/>
                <w:w w:val="71"/>
              </w:rPr>
              <w:t>$</w:t>
            </w:r>
          </w:p>
        </w:tc>
        <w:tc>
          <w:tcPr>
            <w:tcW w:w="1160" w:type="dxa"/>
            <w:vAlign w:val="bottom"/>
            <w:gridSpan w:val="2"/>
            <w:shd w:val="clear" w:color="auto" w:fill="CFF0FC"/>
          </w:tcPr>
          <w:p>
            <w:pPr>
              <w:jc w:val="right"/>
              <w:ind w:right="240"/>
              <w:spacing w:after="0" w:line="108" w:lineRule="exact"/>
              <w:rPr>
                <w:sz w:val="20"/>
                <w:szCs w:val="20"/>
                <w:color w:val="auto"/>
              </w:rPr>
            </w:pPr>
            <w:r>
              <w:rPr>
                <w:rFonts w:ascii="Arial" w:cs="Arial" w:eastAsia="Arial" w:hAnsi="Arial"/>
                <w:sz w:val="10"/>
                <w:szCs w:val="10"/>
                <w:color w:val="auto"/>
              </w:rPr>
              <w:t>—</w:t>
            </w:r>
          </w:p>
        </w:tc>
        <w:tc>
          <w:tcPr>
            <w:tcW w:w="140" w:type="dxa"/>
            <w:vAlign w:val="bottom"/>
            <w:shd w:val="clear" w:color="auto" w:fill="CFF0FC"/>
          </w:tcPr>
          <w:p>
            <w:pPr>
              <w:jc w:val="right"/>
              <w:ind w:right="76"/>
              <w:spacing w:after="0"/>
              <w:rPr>
                <w:sz w:val="20"/>
                <w:szCs w:val="20"/>
                <w:color w:val="auto"/>
              </w:rPr>
            </w:pPr>
            <w:r>
              <w:rPr>
                <w:rFonts w:ascii="Arial" w:cs="Arial" w:eastAsia="Arial" w:hAnsi="Arial"/>
                <w:sz w:val="5"/>
                <w:szCs w:val="5"/>
                <w:color w:val="auto"/>
                <w:w w:val="70"/>
              </w:rPr>
              <w:t>$</w:t>
            </w:r>
          </w:p>
        </w:tc>
        <w:tc>
          <w:tcPr>
            <w:tcW w:w="880" w:type="dxa"/>
            <w:vAlign w:val="bottom"/>
            <w:shd w:val="clear" w:color="auto" w:fill="CFF0FC"/>
          </w:tcPr>
          <w:p>
            <w:pPr>
              <w:jc w:val="right"/>
              <w:spacing w:after="0" w:line="108" w:lineRule="exact"/>
              <w:rPr>
                <w:sz w:val="20"/>
                <w:szCs w:val="20"/>
                <w:color w:val="auto"/>
              </w:rPr>
            </w:pPr>
            <w:r>
              <w:rPr>
                <w:rFonts w:ascii="Arial" w:cs="Arial" w:eastAsia="Arial" w:hAnsi="Arial"/>
                <w:sz w:val="10"/>
                <w:szCs w:val="10"/>
                <w:color w:val="auto"/>
              </w:rPr>
              <w:t>113,369</w:t>
            </w:r>
          </w:p>
        </w:tc>
        <w:tc>
          <w:tcPr>
            <w:tcW w:w="240" w:type="dxa"/>
            <w:vAlign w:val="bottom"/>
            <w:shd w:val="clear" w:color="auto" w:fill="CFF0FC"/>
          </w:tcPr>
          <w:p>
            <w:pPr>
              <w:spacing w:after="0"/>
              <w:rPr>
                <w:sz w:val="9"/>
                <w:szCs w:val="9"/>
                <w:color w:val="auto"/>
              </w:rPr>
            </w:pPr>
          </w:p>
        </w:tc>
        <w:tc>
          <w:tcPr>
            <w:tcW w:w="140" w:type="dxa"/>
            <w:vAlign w:val="bottom"/>
            <w:shd w:val="clear" w:color="auto" w:fill="CFF0FC"/>
          </w:tcPr>
          <w:p>
            <w:pPr>
              <w:jc w:val="right"/>
              <w:ind w:right="76"/>
              <w:spacing w:after="0"/>
              <w:rPr>
                <w:sz w:val="20"/>
                <w:szCs w:val="20"/>
                <w:color w:val="auto"/>
              </w:rPr>
            </w:pPr>
            <w:r>
              <w:rPr>
                <w:rFonts w:ascii="Arial" w:cs="Arial" w:eastAsia="Arial" w:hAnsi="Arial"/>
                <w:sz w:val="5"/>
                <w:szCs w:val="5"/>
                <w:color w:val="auto"/>
                <w:w w:val="70"/>
              </w:rPr>
              <w:t>$</w:t>
            </w:r>
          </w:p>
        </w:tc>
        <w:tc>
          <w:tcPr>
            <w:tcW w:w="880" w:type="dxa"/>
            <w:vAlign w:val="bottom"/>
            <w:shd w:val="clear" w:color="auto" w:fill="CFF0FC"/>
          </w:tcPr>
          <w:p>
            <w:pPr>
              <w:jc w:val="right"/>
              <w:spacing w:after="0" w:line="108" w:lineRule="exact"/>
              <w:rPr>
                <w:sz w:val="20"/>
                <w:szCs w:val="20"/>
                <w:color w:val="auto"/>
              </w:rPr>
            </w:pPr>
            <w:r>
              <w:rPr>
                <w:rFonts w:ascii="Arial" w:cs="Arial" w:eastAsia="Arial" w:hAnsi="Arial"/>
                <w:sz w:val="10"/>
                <w:szCs w:val="10"/>
                <w:color w:val="auto"/>
              </w:rPr>
              <w:t>18,144</w:t>
            </w:r>
          </w:p>
        </w:tc>
        <w:tc>
          <w:tcPr>
            <w:tcW w:w="380" w:type="dxa"/>
            <w:vAlign w:val="bottom"/>
            <w:gridSpan w:val="2"/>
            <w:shd w:val="clear" w:color="auto" w:fill="CFF0FC"/>
          </w:tcPr>
          <w:p>
            <w:pPr>
              <w:jc w:val="right"/>
              <w:ind w:right="52"/>
              <w:spacing w:after="0" w:line="108" w:lineRule="exact"/>
              <w:rPr>
                <w:sz w:val="20"/>
                <w:szCs w:val="20"/>
                <w:color w:val="auto"/>
              </w:rPr>
            </w:pPr>
            <w:r>
              <w:rPr>
                <w:rFonts w:ascii="Arial" w:cs="Arial" w:eastAsia="Arial" w:hAnsi="Arial"/>
                <w:sz w:val="10"/>
                <w:szCs w:val="10"/>
                <w:color w:val="auto"/>
              </w:rPr>
              <w:t>$</w:t>
            </w:r>
          </w:p>
        </w:tc>
        <w:tc>
          <w:tcPr>
            <w:tcW w:w="1000" w:type="dxa"/>
            <w:vAlign w:val="bottom"/>
            <w:gridSpan w:val="2"/>
            <w:shd w:val="clear" w:color="auto" w:fill="CFF0FC"/>
          </w:tcPr>
          <w:p>
            <w:pPr>
              <w:jc w:val="right"/>
              <w:ind w:right="140"/>
              <w:spacing w:after="0" w:line="108" w:lineRule="exact"/>
              <w:rPr>
                <w:sz w:val="20"/>
                <w:szCs w:val="20"/>
                <w:color w:val="auto"/>
              </w:rPr>
            </w:pPr>
            <w:r>
              <w:rPr>
                <w:rFonts w:ascii="Arial" w:cs="Arial" w:eastAsia="Arial" w:hAnsi="Arial"/>
                <w:sz w:val="10"/>
                <w:szCs w:val="10"/>
                <w:color w:val="auto"/>
              </w:rPr>
              <w:t>—</w:t>
            </w:r>
          </w:p>
        </w:tc>
        <w:tc>
          <w:tcPr>
            <w:tcW w:w="260" w:type="dxa"/>
            <w:vAlign w:val="bottom"/>
            <w:gridSpan w:val="2"/>
            <w:shd w:val="clear" w:color="auto" w:fill="CFF0FC"/>
          </w:tcPr>
          <w:p>
            <w:pPr>
              <w:jc w:val="right"/>
              <w:ind w:right="52"/>
              <w:spacing w:after="0" w:line="108" w:lineRule="exact"/>
              <w:rPr>
                <w:sz w:val="20"/>
                <w:szCs w:val="20"/>
                <w:color w:val="auto"/>
              </w:rPr>
            </w:pPr>
            <w:r>
              <w:rPr>
                <w:rFonts w:ascii="Arial" w:cs="Arial" w:eastAsia="Arial" w:hAnsi="Arial"/>
                <w:sz w:val="10"/>
                <w:szCs w:val="10"/>
                <w:color w:val="auto"/>
              </w:rPr>
              <w:t>$</w:t>
            </w:r>
          </w:p>
        </w:tc>
        <w:tc>
          <w:tcPr>
            <w:tcW w:w="880" w:type="dxa"/>
            <w:vAlign w:val="bottom"/>
            <w:shd w:val="clear" w:color="auto" w:fill="CFF0FC"/>
          </w:tcPr>
          <w:p>
            <w:pPr>
              <w:jc w:val="right"/>
              <w:spacing w:after="0" w:line="108" w:lineRule="exact"/>
              <w:rPr>
                <w:sz w:val="20"/>
                <w:szCs w:val="20"/>
                <w:color w:val="auto"/>
              </w:rPr>
            </w:pPr>
            <w:r>
              <w:rPr>
                <w:rFonts w:ascii="Arial" w:cs="Arial" w:eastAsia="Arial" w:hAnsi="Arial"/>
                <w:sz w:val="10"/>
                <w:szCs w:val="10"/>
                <w:color w:val="auto"/>
              </w:rPr>
              <w:t>131,513</w:t>
            </w:r>
          </w:p>
        </w:tc>
        <w:tc>
          <w:tcPr>
            <w:tcW w:w="120" w:type="dxa"/>
            <w:vAlign w:val="bottom"/>
            <w:shd w:val="clear" w:color="auto" w:fill="CFF0FC"/>
          </w:tcPr>
          <w:p>
            <w:pPr>
              <w:spacing w:after="0"/>
              <w:rPr>
                <w:sz w:val="9"/>
                <w:szCs w:val="9"/>
                <w:color w:val="auto"/>
              </w:rPr>
            </w:pPr>
          </w:p>
        </w:tc>
      </w:tr>
      <w:tr>
        <w:trPr>
          <w:trHeight w:val="108"/>
        </w:trPr>
        <w:tc>
          <w:tcPr>
            <w:tcW w:w="5300" w:type="dxa"/>
            <w:vAlign w:val="bottom"/>
            <w:gridSpan w:val="2"/>
          </w:tcPr>
          <w:p>
            <w:pPr>
              <w:ind w:left="160"/>
              <w:spacing w:after="0" w:line="108" w:lineRule="exact"/>
              <w:rPr>
                <w:sz w:val="20"/>
                <w:szCs w:val="20"/>
                <w:color w:val="auto"/>
              </w:rPr>
            </w:pPr>
            <w:r>
              <w:rPr>
                <w:rFonts w:ascii="Arial" w:cs="Arial" w:eastAsia="Arial" w:hAnsi="Arial"/>
                <w:sz w:val="10"/>
                <w:szCs w:val="10"/>
                <w:color w:val="auto"/>
              </w:rPr>
              <w:t>Restricted cash</w:t>
            </w:r>
          </w:p>
        </w:tc>
        <w:tc>
          <w:tcPr>
            <w:tcW w:w="100" w:type="dxa"/>
            <w:vAlign w:val="bottom"/>
          </w:tcPr>
          <w:p>
            <w:pPr>
              <w:spacing w:after="0"/>
              <w:rPr>
                <w:sz w:val="9"/>
                <w:szCs w:val="9"/>
                <w:color w:val="auto"/>
              </w:rPr>
            </w:pPr>
          </w:p>
        </w:tc>
        <w:tc>
          <w:tcPr>
            <w:tcW w:w="1160" w:type="dxa"/>
            <w:vAlign w:val="bottom"/>
            <w:gridSpan w:val="2"/>
          </w:tcPr>
          <w:p>
            <w:pPr>
              <w:jc w:val="right"/>
              <w:ind w:right="240"/>
              <w:spacing w:after="0" w:line="108" w:lineRule="exact"/>
              <w:rPr>
                <w:sz w:val="20"/>
                <w:szCs w:val="20"/>
                <w:color w:val="auto"/>
              </w:rPr>
            </w:pPr>
            <w:r>
              <w:rPr>
                <w:rFonts w:ascii="Arial" w:cs="Arial" w:eastAsia="Arial" w:hAnsi="Arial"/>
                <w:sz w:val="10"/>
                <w:szCs w:val="10"/>
                <w:color w:val="auto"/>
              </w:rPr>
              <w:t>—</w:t>
            </w:r>
          </w:p>
        </w:tc>
        <w:tc>
          <w:tcPr>
            <w:tcW w:w="140" w:type="dxa"/>
            <w:vAlign w:val="bottom"/>
          </w:tcPr>
          <w:p>
            <w:pPr>
              <w:spacing w:after="0"/>
              <w:rPr>
                <w:sz w:val="9"/>
                <w:szCs w:val="9"/>
                <w:color w:val="auto"/>
              </w:rPr>
            </w:pPr>
          </w:p>
        </w:tc>
        <w:tc>
          <w:tcPr>
            <w:tcW w:w="880" w:type="dxa"/>
            <w:vAlign w:val="bottom"/>
          </w:tcPr>
          <w:p>
            <w:pPr>
              <w:jc w:val="right"/>
              <w:spacing w:after="0" w:line="108" w:lineRule="exact"/>
              <w:rPr>
                <w:sz w:val="20"/>
                <w:szCs w:val="20"/>
                <w:color w:val="auto"/>
              </w:rPr>
            </w:pPr>
            <w:r>
              <w:rPr>
                <w:rFonts w:ascii="Arial" w:cs="Arial" w:eastAsia="Arial" w:hAnsi="Arial"/>
                <w:sz w:val="10"/>
                <w:szCs w:val="10"/>
                <w:color w:val="auto"/>
              </w:rPr>
              <w:t>917</w:t>
            </w: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jc w:val="right"/>
              <w:spacing w:after="0" w:line="108" w:lineRule="exact"/>
              <w:rPr>
                <w:sz w:val="20"/>
                <w:szCs w:val="20"/>
                <w:color w:val="auto"/>
              </w:rPr>
            </w:pPr>
            <w:r>
              <w:rPr>
                <w:rFonts w:ascii="Arial" w:cs="Arial" w:eastAsia="Arial" w:hAnsi="Arial"/>
                <w:sz w:val="10"/>
                <w:szCs w:val="10"/>
                <w:color w:val="auto"/>
              </w:rPr>
              <w:t>—</w:t>
            </w: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gridSpan w:val="2"/>
          </w:tcPr>
          <w:p>
            <w:pPr>
              <w:jc w:val="right"/>
              <w:ind w:right="140"/>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jc w:val="right"/>
              <w:spacing w:after="0" w:line="108" w:lineRule="exact"/>
              <w:rPr>
                <w:sz w:val="20"/>
                <w:szCs w:val="20"/>
                <w:color w:val="auto"/>
              </w:rPr>
            </w:pPr>
            <w:r>
              <w:rPr>
                <w:rFonts w:ascii="Arial" w:cs="Arial" w:eastAsia="Arial" w:hAnsi="Arial"/>
                <w:sz w:val="10"/>
                <w:szCs w:val="10"/>
                <w:color w:val="auto"/>
              </w:rPr>
              <w:t>917</w:t>
            </w:r>
          </w:p>
        </w:tc>
        <w:tc>
          <w:tcPr>
            <w:tcW w:w="120" w:type="dxa"/>
            <w:vAlign w:val="bottom"/>
          </w:tcPr>
          <w:p>
            <w:pPr>
              <w:spacing w:after="0"/>
              <w:rPr>
                <w:sz w:val="9"/>
                <w:szCs w:val="9"/>
                <w:color w:val="auto"/>
              </w:rPr>
            </w:pPr>
          </w:p>
        </w:tc>
      </w:tr>
      <w:tr>
        <w:trPr>
          <w:trHeight w:val="108"/>
        </w:trPr>
        <w:tc>
          <w:tcPr>
            <w:tcW w:w="5300" w:type="dxa"/>
            <w:vAlign w:val="bottom"/>
            <w:gridSpan w:val="2"/>
            <w:shd w:val="clear" w:color="auto" w:fill="CFF0FC"/>
          </w:tcPr>
          <w:p>
            <w:pPr>
              <w:ind w:left="160"/>
              <w:spacing w:after="0" w:line="108" w:lineRule="exact"/>
              <w:rPr>
                <w:sz w:val="20"/>
                <w:szCs w:val="20"/>
                <w:color w:val="auto"/>
              </w:rPr>
            </w:pPr>
            <w:r>
              <w:rPr>
                <w:rFonts w:ascii="Arial" w:cs="Arial" w:eastAsia="Arial" w:hAnsi="Arial"/>
                <w:sz w:val="10"/>
                <w:szCs w:val="10"/>
                <w:color w:val="auto"/>
              </w:rPr>
              <w:t>Accounts receivable, net</w:t>
            </w:r>
          </w:p>
        </w:tc>
        <w:tc>
          <w:tcPr>
            <w:tcW w:w="100" w:type="dxa"/>
            <w:vAlign w:val="bottom"/>
            <w:shd w:val="clear" w:color="auto" w:fill="CFF0FC"/>
          </w:tcPr>
          <w:p>
            <w:pPr>
              <w:spacing w:after="0"/>
              <w:rPr>
                <w:sz w:val="9"/>
                <w:szCs w:val="9"/>
                <w:color w:val="auto"/>
              </w:rPr>
            </w:pPr>
          </w:p>
        </w:tc>
        <w:tc>
          <w:tcPr>
            <w:tcW w:w="1160" w:type="dxa"/>
            <w:vAlign w:val="bottom"/>
            <w:gridSpan w:val="2"/>
            <w:shd w:val="clear" w:color="auto" w:fill="CFF0FC"/>
          </w:tcPr>
          <w:p>
            <w:pPr>
              <w:jc w:val="right"/>
              <w:ind w:right="240"/>
              <w:spacing w:after="0" w:line="108" w:lineRule="exact"/>
              <w:rPr>
                <w:sz w:val="20"/>
                <w:szCs w:val="20"/>
                <w:color w:val="auto"/>
              </w:rPr>
            </w:pPr>
            <w:r>
              <w:rPr>
                <w:rFonts w:ascii="Arial" w:cs="Arial" w:eastAsia="Arial" w:hAnsi="Arial"/>
                <w:sz w:val="10"/>
                <w:szCs w:val="10"/>
                <w:color w:val="auto"/>
              </w:rPr>
              <w:t>—</w:t>
            </w:r>
          </w:p>
        </w:tc>
        <w:tc>
          <w:tcPr>
            <w:tcW w:w="140" w:type="dxa"/>
            <w:vAlign w:val="bottom"/>
            <w:shd w:val="clear" w:color="auto" w:fill="CFF0FC"/>
          </w:tcPr>
          <w:p>
            <w:pPr>
              <w:spacing w:after="0"/>
              <w:rPr>
                <w:sz w:val="9"/>
                <w:szCs w:val="9"/>
                <w:color w:val="auto"/>
              </w:rPr>
            </w:pPr>
          </w:p>
        </w:tc>
        <w:tc>
          <w:tcPr>
            <w:tcW w:w="880" w:type="dxa"/>
            <w:vAlign w:val="bottom"/>
            <w:shd w:val="clear" w:color="auto" w:fill="CFF0FC"/>
          </w:tcPr>
          <w:p>
            <w:pPr>
              <w:jc w:val="right"/>
              <w:spacing w:after="0" w:line="108" w:lineRule="exact"/>
              <w:rPr>
                <w:sz w:val="20"/>
                <w:szCs w:val="20"/>
                <w:color w:val="auto"/>
              </w:rPr>
            </w:pPr>
            <w:r>
              <w:rPr>
                <w:rFonts w:ascii="Arial" w:cs="Arial" w:eastAsia="Arial" w:hAnsi="Arial"/>
                <w:sz w:val="10"/>
                <w:szCs w:val="10"/>
                <w:color w:val="auto"/>
              </w:rPr>
              <w:t>88,946</w:t>
            </w:r>
          </w:p>
        </w:tc>
        <w:tc>
          <w:tcPr>
            <w:tcW w:w="24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880" w:type="dxa"/>
            <w:vAlign w:val="bottom"/>
            <w:shd w:val="clear" w:color="auto" w:fill="CFF0FC"/>
          </w:tcPr>
          <w:p>
            <w:pPr>
              <w:jc w:val="right"/>
              <w:spacing w:after="0" w:line="108" w:lineRule="exact"/>
              <w:rPr>
                <w:sz w:val="20"/>
                <w:szCs w:val="20"/>
                <w:color w:val="auto"/>
              </w:rPr>
            </w:pPr>
            <w:r>
              <w:rPr>
                <w:rFonts w:ascii="Arial" w:cs="Arial" w:eastAsia="Arial" w:hAnsi="Arial"/>
                <w:sz w:val="10"/>
                <w:szCs w:val="10"/>
                <w:color w:val="auto"/>
              </w:rPr>
              <w:t>4,568</w:t>
            </w:r>
          </w:p>
        </w:tc>
        <w:tc>
          <w:tcPr>
            <w:tcW w:w="22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1000" w:type="dxa"/>
            <w:vAlign w:val="bottom"/>
            <w:gridSpan w:val="2"/>
            <w:shd w:val="clear" w:color="auto" w:fill="CFF0FC"/>
          </w:tcPr>
          <w:p>
            <w:pPr>
              <w:jc w:val="right"/>
              <w:ind w:right="140"/>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880" w:type="dxa"/>
            <w:vAlign w:val="bottom"/>
            <w:shd w:val="clear" w:color="auto" w:fill="CFF0FC"/>
          </w:tcPr>
          <w:p>
            <w:pPr>
              <w:jc w:val="right"/>
              <w:spacing w:after="0" w:line="108" w:lineRule="exact"/>
              <w:rPr>
                <w:sz w:val="20"/>
                <w:szCs w:val="20"/>
                <w:color w:val="auto"/>
              </w:rPr>
            </w:pPr>
            <w:r>
              <w:rPr>
                <w:rFonts w:ascii="Arial" w:cs="Arial" w:eastAsia="Arial" w:hAnsi="Arial"/>
                <w:sz w:val="10"/>
                <w:szCs w:val="10"/>
                <w:color w:val="auto"/>
              </w:rPr>
              <w:t>93,514</w:t>
            </w:r>
          </w:p>
        </w:tc>
        <w:tc>
          <w:tcPr>
            <w:tcW w:w="120" w:type="dxa"/>
            <w:vAlign w:val="bottom"/>
            <w:shd w:val="clear" w:color="auto" w:fill="CFF0FC"/>
          </w:tcPr>
          <w:p>
            <w:pPr>
              <w:spacing w:after="0"/>
              <w:rPr>
                <w:sz w:val="9"/>
                <w:szCs w:val="9"/>
                <w:color w:val="auto"/>
              </w:rPr>
            </w:pPr>
          </w:p>
        </w:tc>
      </w:tr>
      <w:tr>
        <w:trPr>
          <w:trHeight w:val="108"/>
        </w:trPr>
        <w:tc>
          <w:tcPr>
            <w:tcW w:w="5300" w:type="dxa"/>
            <w:vAlign w:val="bottom"/>
            <w:gridSpan w:val="2"/>
          </w:tcPr>
          <w:p>
            <w:pPr>
              <w:ind w:left="160"/>
              <w:spacing w:after="0" w:line="108" w:lineRule="exact"/>
              <w:rPr>
                <w:sz w:val="20"/>
                <w:szCs w:val="20"/>
                <w:color w:val="auto"/>
              </w:rPr>
            </w:pPr>
            <w:r>
              <w:rPr>
                <w:rFonts w:ascii="Arial" w:cs="Arial" w:eastAsia="Arial" w:hAnsi="Arial"/>
                <w:sz w:val="10"/>
                <w:szCs w:val="10"/>
                <w:color w:val="auto"/>
              </w:rPr>
              <w:t>Unbilled receivables</w:t>
            </w:r>
          </w:p>
        </w:tc>
        <w:tc>
          <w:tcPr>
            <w:tcW w:w="100" w:type="dxa"/>
            <w:vAlign w:val="bottom"/>
          </w:tcPr>
          <w:p>
            <w:pPr>
              <w:spacing w:after="0"/>
              <w:rPr>
                <w:sz w:val="9"/>
                <w:szCs w:val="9"/>
                <w:color w:val="auto"/>
              </w:rPr>
            </w:pPr>
          </w:p>
        </w:tc>
        <w:tc>
          <w:tcPr>
            <w:tcW w:w="1160" w:type="dxa"/>
            <w:vAlign w:val="bottom"/>
            <w:gridSpan w:val="2"/>
          </w:tcPr>
          <w:p>
            <w:pPr>
              <w:jc w:val="right"/>
              <w:ind w:right="240"/>
              <w:spacing w:after="0" w:line="108" w:lineRule="exact"/>
              <w:rPr>
                <w:sz w:val="20"/>
                <w:szCs w:val="20"/>
                <w:color w:val="auto"/>
              </w:rPr>
            </w:pPr>
            <w:r>
              <w:rPr>
                <w:rFonts w:ascii="Arial" w:cs="Arial" w:eastAsia="Arial" w:hAnsi="Arial"/>
                <w:sz w:val="10"/>
                <w:szCs w:val="10"/>
                <w:color w:val="auto"/>
              </w:rPr>
              <w:t>—</w:t>
            </w:r>
          </w:p>
        </w:tc>
        <w:tc>
          <w:tcPr>
            <w:tcW w:w="140" w:type="dxa"/>
            <w:vAlign w:val="bottom"/>
          </w:tcPr>
          <w:p>
            <w:pPr>
              <w:spacing w:after="0"/>
              <w:rPr>
                <w:sz w:val="9"/>
                <w:szCs w:val="9"/>
                <w:color w:val="auto"/>
              </w:rPr>
            </w:pPr>
          </w:p>
        </w:tc>
        <w:tc>
          <w:tcPr>
            <w:tcW w:w="880" w:type="dxa"/>
            <w:vAlign w:val="bottom"/>
          </w:tcPr>
          <w:p>
            <w:pPr>
              <w:jc w:val="right"/>
              <w:spacing w:after="0" w:line="108" w:lineRule="exact"/>
              <w:rPr>
                <w:sz w:val="20"/>
                <w:szCs w:val="20"/>
                <w:color w:val="auto"/>
              </w:rPr>
            </w:pPr>
            <w:r>
              <w:rPr>
                <w:rFonts w:ascii="Arial" w:cs="Arial" w:eastAsia="Arial" w:hAnsi="Arial"/>
                <w:sz w:val="10"/>
                <w:szCs w:val="10"/>
                <w:color w:val="auto"/>
              </w:rPr>
              <w:t>19,316</w:t>
            </w: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jc w:val="right"/>
              <w:spacing w:after="0" w:line="108" w:lineRule="exact"/>
              <w:rPr>
                <w:sz w:val="20"/>
                <w:szCs w:val="20"/>
                <w:color w:val="auto"/>
              </w:rPr>
            </w:pPr>
            <w:r>
              <w:rPr>
                <w:rFonts w:ascii="Arial" w:cs="Arial" w:eastAsia="Arial" w:hAnsi="Arial"/>
                <w:sz w:val="10"/>
                <w:szCs w:val="10"/>
                <w:color w:val="auto"/>
              </w:rPr>
              <w:t>687</w:t>
            </w: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gridSpan w:val="2"/>
          </w:tcPr>
          <w:p>
            <w:pPr>
              <w:jc w:val="right"/>
              <w:ind w:right="140"/>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jc w:val="right"/>
              <w:spacing w:after="0" w:line="108" w:lineRule="exact"/>
              <w:rPr>
                <w:sz w:val="20"/>
                <w:szCs w:val="20"/>
                <w:color w:val="auto"/>
              </w:rPr>
            </w:pPr>
            <w:r>
              <w:rPr>
                <w:rFonts w:ascii="Arial" w:cs="Arial" w:eastAsia="Arial" w:hAnsi="Arial"/>
                <w:sz w:val="10"/>
                <w:szCs w:val="10"/>
                <w:color w:val="auto"/>
              </w:rPr>
              <w:t>20,003</w:t>
            </w:r>
          </w:p>
        </w:tc>
        <w:tc>
          <w:tcPr>
            <w:tcW w:w="120" w:type="dxa"/>
            <w:vAlign w:val="bottom"/>
          </w:tcPr>
          <w:p>
            <w:pPr>
              <w:spacing w:after="0"/>
              <w:rPr>
                <w:sz w:val="9"/>
                <w:szCs w:val="9"/>
                <w:color w:val="auto"/>
              </w:rPr>
            </w:pPr>
          </w:p>
        </w:tc>
      </w:tr>
      <w:tr>
        <w:trPr>
          <w:trHeight w:val="108"/>
        </w:trPr>
        <w:tc>
          <w:tcPr>
            <w:tcW w:w="5300" w:type="dxa"/>
            <w:vAlign w:val="bottom"/>
            <w:gridSpan w:val="2"/>
            <w:shd w:val="clear" w:color="auto" w:fill="CFF0FC"/>
          </w:tcPr>
          <w:p>
            <w:pPr>
              <w:ind w:left="160"/>
              <w:spacing w:after="0" w:line="108" w:lineRule="exact"/>
              <w:rPr>
                <w:sz w:val="20"/>
                <w:szCs w:val="20"/>
                <w:color w:val="auto"/>
              </w:rPr>
            </w:pPr>
            <w:r>
              <w:rPr>
                <w:rFonts w:ascii="Arial" w:cs="Arial" w:eastAsia="Arial" w:hAnsi="Arial"/>
                <w:sz w:val="10"/>
                <w:szCs w:val="10"/>
                <w:color w:val="auto"/>
              </w:rPr>
              <w:t>Investment in subsidiary</w:t>
            </w:r>
          </w:p>
        </w:tc>
        <w:tc>
          <w:tcPr>
            <w:tcW w:w="100" w:type="dxa"/>
            <w:vAlign w:val="bottom"/>
            <w:shd w:val="clear" w:color="auto" w:fill="CFF0FC"/>
          </w:tcPr>
          <w:p>
            <w:pPr>
              <w:spacing w:after="0"/>
              <w:rPr>
                <w:sz w:val="9"/>
                <w:szCs w:val="9"/>
                <w:color w:val="auto"/>
              </w:rPr>
            </w:pPr>
          </w:p>
        </w:tc>
        <w:tc>
          <w:tcPr>
            <w:tcW w:w="940" w:type="dxa"/>
            <w:vAlign w:val="bottom"/>
            <w:shd w:val="clear" w:color="auto" w:fill="CFF0FC"/>
          </w:tcPr>
          <w:p>
            <w:pPr>
              <w:jc w:val="right"/>
              <w:spacing w:after="0" w:line="108" w:lineRule="exact"/>
              <w:rPr>
                <w:sz w:val="20"/>
                <w:szCs w:val="20"/>
                <w:color w:val="auto"/>
              </w:rPr>
            </w:pPr>
            <w:r>
              <w:rPr>
                <w:rFonts w:ascii="Arial" w:cs="Arial" w:eastAsia="Arial" w:hAnsi="Arial"/>
                <w:sz w:val="10"/>
                <w:szCs w:val="10"/>
                <w:color w:val="auto"/>
              </w:rPr>
              <w:t>170,088</w:t>
            </w:r>
          </w:p>
        </w:tc>
        <w:tc>
          <w:tcPr>
            <w:tcW w:w="22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880" w:type="dxa"/>
            <w:vAlign w:val="bottom"/>
            <w:shd w:val="clear" w:color="auto" w:fill="CFF0FC"/>
          </w:tcPr>
          <w:p>
            <w:pPr>
              <w:jc w:val="right"/>
              <w:spacing w:after="0" w:line="108" w:lineRule="exact"/>
              <w:rPr>
                <w:sz w:val="20"/>
                <w:szCs w:val="20"/>
                <w:color w:val="auto"/>
              </w:rPr>
            </w:pPr>
            <w:r>
              <w:rPr>
                <w:rFonts w:ascii="Arial" w:cs="Arial" w:eastAsia="Arial" w:hAnsi="Arial"/>
                <w:sz w:val="10"/>
                <w:szCs w:val="10"/>
                <w:color w:val="auto"/>
              </w:rPr>
              <w:t>54,254</w:t>
            </w:r>
          </w:p>
        </w:tc>
        <w:tc>
          <w:tcPr>
            <w:tcW w:w="24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880" w:type="dxa"/>
            <w:vAlign w:val="bottom"/>
            <w:shd w:val="clear" w:color="auto" w:fill="CFF0FC"/>
          </w:tcPr>
          <w:p>
            <w:pPr>
              <w:jc w:val="right"/>
              <w:spacing w:after="0" w:line="108" w:lineRule="exact"/>
              <w:rPr>
                <w:sz w:val="20"/>
                <w:szCs w:val="20"/>
                <w:color w:val="auto"/>
              </w:rPr>
            </w:pPr>
            <w:r>
              <w:rPr>
                <w:rFonts w:ascii="Arial" w:cs="Arial" w:eastAsia="Arial" w:hAnsi="Arial"/>
                <w:sz w:val="10"/>
                <w:szCs w:val="10"/>
                <w:color w:val="auto"/>
              </w:rPr>
              <w:t>—</w:t>
            </w:r>
          </w:p>
        </w:tc>
        <w:tc>
          <w:tcPr>
            <w:tcW w:w="22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1000" w:type="dxa"/>
            <w:vAlign w:val="bottom"/>
            <w:gridSpan w:val="2"/>
            <w:shd w:val="clear" w:color="auto" w:fill="CFF0FC"/>
          </w:tcPr>
          <w:p>
            <w:pPr>
              <w:jc w:val="right"/>
              <w:ind w:right="100"/>
              <w:spacing w:after="0" w:line="108" w:lineRule="exact"/>
              <w:rPr>
                <w:sz w:val="20"/>
                <w:szCs w:val="20"/>
                <w:color w:val="auto"/>
              </w:rPr>
            </w:pPr>
            <w:r>
              <w:rPr>
                <w:rFonts w:ascii="Arial" w:cs="Arial" w:eastAsia="Arial" w:hAnsi="Arial"/>
                <w:sz w:val="10"/>
                <w:szCs w:val="10"/>
                <w:color w:val="auto"/>
              </w:rPr>
              <w:t>(224,342)</w:t>
            </w:r>
          </w:p>
        </w:tc>
        <w:tc>
          <w:tcPr>
            <w:tcW w:w="10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1000" w:type="dxa"/>
            <w:vAlign w:val="bottom"/>
            <w:gridSpan w:val="2"/>
            <w:shd w:val="clear" w:color="auto" w:fill="CFF0FC"/>
          </w:tcPr>
          <w:p>
            <w:pPr>
              <w:jc w:val="right"/>
              <w:ind w:right="120"/>
              <w:spacing w:after="0" w:line="108" w:lineRule="exact"/>
              <w:rPr>
                <w:sz w:val="20"/>
                <w:szCs w:val="20"/>
                <w:color w:val="auto"/>
              </w:rPr>
            </w:pPr>
            <w:r>
              <w:rPr>
                <w:rFonts w:ascii="Arial" w:cs="Arial" w:eastAsia="Arial" w:hAnsi="Arial"/>
                <w:sz w:val="10"/>
                <w:szCs w:val="10"/>
                <w:color w:val="auto"/>
              </w:rPr>
              <w:t>—</w:t>
            </w:r>
          </w:p>
        </w:tc>
      </w:tr>
      <w:tr>
        <w:trPr>
          <w:trHeight w:val="108"/>
        </w:trPr>
        <w:tc>
          <w:tcPr>
            <w:tcW w:w="5300" w:type="dxa"/>
            <w:vAlign w:val="bottom"/>
            <w:gridSpan w:val="2"/>
          </w:tcPr>
          <w:p>
            <w:pPr>
              <w:ind w:left="160"/>
              <w:spacing w:after="0" w:line="108" w:lineRule="exact"/>
              <w:rPr>
                <w:sz w:val="20"/>
                <w:szCs w:val="20"/>
                <w:color w:val="auto"/>
              </w:rPr>
            </w:pPr>
            <w:r>
              <w:rPr>
                <w:rFonts w:ascii="Arial" w:cs="Arial" w:eastAsia="Arial" w:hAnsi="Arial"/>
                <w:sz w:val="10"/>
                <w:szCs w:val="10"/>
                <w:color w:val="auto"/>
              </w:rPr>
              <w:t>Prepaid expenses and other current assets</w:t>
            </w:r>
          </w:p>
        </w:tc>
        <w:tc>
          <w:tcPr>
            <w:tcW w:w="100" w:type="dxa"/>
            <w:vAlign w:val="bottom"/>
          </w:tcPr>
          <w:p>
            <w:pPr>
              <w:spacing w:after="0"/>
              <w:rPr>
                <w:sz w:val="9"/>
                <w:szCs w:val="9"/>
                <w:color w:val="auto"/>
              </w:rPr>
            </w:pPr>
          </w:p>
        </w:tc>
        <w:tc>
          <w:tcPr>
            <w:tcW w:w="1160" w:type="dxa"/>
            <w:vAlign w:val="bottom"/>
            <w:gridSpan w:val="2"/>
          </w:tcPr>
          <w:p>
            <w:pPr>
              <w:jc w:val="right"/>
              <w:ind w:right="240"/>
              <w:spacing w:after="0" w:line="108" w:lineRule="exact"/>
              <w:rPr>
                <w:sz w:val="20"/>
                <w:szCs w:val="20"/>
                <w:color w:val="auto"/>
              </w:rPr>
            </w:pPr>
            <w:r>
              <w:rPr>
                <w:rFonts w:ascii="Arial" w:cs="Arial" w:eastAsia="Arial" w:hAnsi="Arial"/>
                <w:sz w:val="10"/>
                <w:szCs w:val="10"/>
                <w:color w:val="auto"/>
              </w:rPr>
              <w:t>—</w:t>
            </w:r>
          </w:p>
        </w:tc>
        <w:tc>
          <w:tcPr>
            <w:tcW w:w="140" w:type="dxa"/>
            <w:vAlign w:val="bottom"/>
          </w:tcPr>
          <w:p>
            <w:pPr>
              <w:spacing w:after="0"/>
              <w:rPr>
                <w:sz w:val="9"/>
                <w:szCs w:val="9"/>
                <w:color w:val="auto"/>
              </w:rPr>
            </w:pPr>
          </w:p>
        </w:tc>
        <w:tc>
          <w:tcPr>
            <w:tcW w:w="880" w:type="dxa"/>
            <w:vAlign w:val="bottom"/>
          </w:tcPr>
          <w:p>
            <w:pPr>
              <w:jc w:val="right"/>
              <w:spacing w:after="0" w:line="108" w:lineRule="exact"/>
              <w:rPr>
                <w:sz w:val="20"/>
                <w:szCs w:val="20"/>
                <w:color w:val="auto"/>
              </w:rPr>
            </w:pPr>
            <w:r>
              <w:rPr>
                <w:rFonts w:ascii="Arial" w:cs="Arial" w:eastAsia="Arial" w:hAnsi="Arial"/>
                <w:sz w:val="10"/>
                <w:szCs w:val="10"/>
                <w:color w:val="auto"/>
              </w:rPr>
              <w:t>24,098</w:t>
            </w: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jc w:val="right"/>
              <w:spacing w:after="0" w:line="108" w:lineRule="exact"/>
              <w:rPr>
                <w:sz w:val="20"/>
                <w:szCs w:val="20"/>
                <w:color w:val="auto"/>
              </w:rPr>
            </w:pPr>
            <w:r>
              <w:rPr>
                <w:rFonts w:ascii="Arial" w:cs="Arial" w:eastAsia="Arial" w:hAnsi="Arial"/>
                <w:sz w:val="10"/>
                <w:szCs w:val="10"/>
                <w:color w:val="auto"/>
              </w:rPr>
              <w:t>2,393</w:t>
            </w: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gridSpan w:val="2"/>
          </w:tcPr>
          <w:p>
            <w:pPr>
              <w:jc w:val="right"/>
              <w:ind w:right="140"/>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jc w:val="right"/>
              <w:spacing w:after="0" w:line="108" w:lineRule="exact"/>
              <w:rPr>
                <w:sz w:val="20"/>
                <w:szCs w:val="20"/>
                <w:color w:val="auto"/>
              </w:rPr>
            </w:pPr>
            <w:r>
              <w:rPr>
                <w:rFonts w:ascii="Arial" w:cs="Arial" w:eastAsia="Arial" w:hAnsi="Arial"/>
                <w:sz w:val="10"/>
                <w:szCs w:val="10"/>
                <w:color w:val="auto"/>
              </w:rPr>
              <w:t>26,491</w:t>
            </w:r>
          </w:p>
        </w:tc>
        <w:tc>
          <w:tcPr>
            <w:tcW w:w="120" w:type="dxa"/>
            <w:vAlign w:val="bottom"/>
          </w:tcPr>
          <w:p>
            <w:pPr>
              <w:spacing w:after="0"/>
              <w:rPr>
                <w:sz w:val="9"/>
                <w:szCs w:val="9"/>
                <w:color w:val="auto"/>
              </w:rPr>
            </w:pPr>
          </w:p>
        </w:tc>
      </w:tr>
      <w:tr>
        <w:trPr>
          <w:trHeight w:val="97"/>
        </w:trPr>
        <w:tc>
          <w:tcPr>
            <w:tcW w:w="5300" w:type="dxa"/>
            <w:vAlign w:val="bottom"/>
            <w:tcBorders>
              <w:top w:val="single" w:sz="8" w:color="CFF0FC"/>
            </w:tcBorders>
            <w:gridSpan w:val="2"/>
            <w:shd w:val="clear" w:color="auto" w:fill="CFF0FC"/>
          </w:tcPr>
          <w:p>
            <w:pPr>
              <w:spacing w:after="0" w:line="97" w:lineRule="exact"/>
              <w:rPr>
                <w:sz w:val="20"/>
                <w:szCs w:val="20"/>
                <w:color w:val="auto"/>
              </w:rPr>
            </w:pPr>
            <w:r>
              <w:rPr>
                <w:rFonts w:ascii="Arial" w:cs="Arial" w:eastAsia="Arial" w:hAnsi="Arial"/>
                <w:sz w:val="10"/>
                <w:szCs w:val="10"/>
                <w:color w:val="auto"/>
              </w:rPr>
              <w:t>Total current assets</w:t>
            </w:r>
          </w:p>
        </w:tc>
        <w:tc>
          <w:tcPr>
            <w:tcW w:w="100" w:type="dxa"/>
            <w:vAlign w:val="bottom"/>
            <w:tcBorders>
              <w:top w:val="single" w:sz="8" w:color="auto"/>
            </w:tcBorders>
            <w:shd w:val="clear" w:color="auto" w:fill="CFF0FC"/>
          </w:tcPr>
          <w:p>
            <w:pPr>
              <w:spacing w:after="0"/>
              <w:rPr>
                <w:sz w:val="8"/>
                <w:szCs w:val="8"/>
                <w:color w:val="auto"/>
              </w:rPr>
            </w:pPr>
          </w:p>
        </w:tc>
        <w:tc>
          <w:tcPr>
            <w:tcW w:w="940" w:type="dxa"/>
            <w:vAlign w:val="bottom"/>
            <w:tcBorders>
              <w:top w:val="single" w:sz="8" w:color="auto"/>
            </w:tcBorders>
            <w:shd w:val="clear" w:color="auto" w:fill="CFF0FC"/>
          </w:tcPr>
          <w:p>
            <w:pPr>
              <w:jc w:val="right"/>
              <w:spacing w:after="0" w:line="97" w:lineRule="exact"/>
              <w:rPr>
                <w:sz w:val="20"/>
                <w:szCs w:val="20"/>
                <w:color w:val="auto"/>
              </w:rPr>
            </w:pPr>
            <w:r>
              <w:rPr>
                <w:rFonts w:ascii="Arial" w:cs="Arial" w:eastAsia="Arial" w:hAnsi="Arial"/>
                <w:sz w:val="10"/>
                <w:szCs w:val="10"/>
                <w:color w:val="auto"/>
              </w:rPr>
              <w:t>170,088</w:t>
            </w:r>
          </w:p>
        </w:tc>
        <w:tc>
          <w:tcPr>
            <w:tcW w:w="220" w:type="dxa"/>
            <w:vAlign w:val="bottom"/>
            <w:tcBorders>
              <w:top w:val="single" w:sz="8" w:color="CFF0FC"/>
            </w:tcBorders>
            <w:shd w:val="clear" w:color="auto" w:fill="CFF0FC"/>
          </w:tcPr>
          <w:p>
            <w:pPr>
              <w:spacing w:after="0"/>
              <w:rPr>
                <w:sz w:val="8"/>
                <w:szCs w:val="8"/>
                <w:color w:val="auto"/>
              </w:rPr>
            </w:pPr>
          </w:p>
        </w:tc>
        <w:tc>
          <w:tcPr>
            <w:tcW w:w="140" w:type="dxa"/>
            <w:vAlign w:val="bottom"/>
            <w:tcBorders>
              <w:top w:val="single" w:sz="8" w:color="auto"/>
            </w:tcBorders>
            <w:shd w:val="clear" w:color="auto" w:fill="CFF0FC"/>
          </w:tcPr>
          <w:p>
            <w:pPr>
              <w:spacing w:after="0"/>
              <w:rPr>
                <w:sz w:val="8"/>
                <w:szCs w:val="8"/>
                <w:color w:val="auto"/>
              </w:rPr>
            </w:pPr>
          </w:p>
        </w:tc>
        <w:tc>
          <w:tcPr>
            <w:tcW w:w="880" w:type="dxa"/>
            <w:vAlign w:val="bottom"/>
            <w:tcBorders>
              <w:top w:val="single" w:sz="8" w:color="auto"/>
            </w:tcBorders>
            <w:shd w:val="clear" w:color="auto" w:fill="CFF0FC"/>
          </w:tcPr>
          <w:p>
            <w:pPr>
              <w:jc w:val="right"/>
              <w:spacing w:after="0" w:line="97" w:lineRule="exact"/>
              <w:rPr>
                <w:sz w:val="20"/>
                <w:szCs w:val="20"/>
                <w:color w:val="auto"/>
              </w:rPr>
            </w:pPr>
            <w:r>
              <w:rPr>
                <w:rFonts w:ascii="Arial" w:cs="Arial" w:eastAsia="Arial" w:hAnsi="Arial"/>
                <w:sz w:val="10"/>
                <w:szCs w:val="10"/>
                <w:color w:val="auto"/>
              </w:rPr>
              <w:t>300,900</w:t>
            </w:r>
          </w:p>
        </w:tc>
        <w:tc>
          <w:tcPr>
            <w:tcW w:w="240" w:type="dxa"/>
            <w:vAlign w:val="bottom"/>
            <w:tcBorders>
              <w:top w:val="single" w:sz="8" w:color="CFF0FC"/>
            </w:tcBorders>
            <w:shd w:val="clear" w:color="auto" w:fill="CFF0FC"/>
          </w:tcPr>
          <w:p>
            <w:pPr>
              <w:spacing w:after="0"/>
              <w:rPr>
                <w:sz w:val="8"/>
                <w:szCs w:val="8"/>
                <w:color w:val="auto"/>
              </w:rPr>
            </w:pPr>
          </w:p>
        </w:tc>
        <w:tc>
          <w:tcPr>
            <w:tcW w:w="140" w:type="dxa"/>
            <w:vAlign w:val="bottom"/>
            <w:tcBorders>
              <w:top w:val="single" w:sz="8" w:color="auto"/>
            </w:tcBorders>
            <w:shd w:val="clear" w:color="auto" w:fill="CFF0FC"/>
          </w:tcPr>
          <w:p>
            <w:pPr>
              <w:spacing w:after="0"/>
              <w:rPr>
                <w:sz w:val="8"/>
                <w:szCs w:val="8"/>
                <w:color w:val="auto"/>
              </w:rPr>
            </w:pPr>
          </w:p>
        </w:tc>
        <w:tc>
          <w:tcPr>
            <w:tcW w:w="880" w:type="dxa"/>
            <w:vAlign w:val="bottom"/>
            <w:tcBorders>
              <w:top w:val="single" w:sz="8" w:color="auto"/>
            </w:tcBorders>
            <w:shd w:val="clear" w:color="auto" w:fill="CFF0FC"/>
          </w:tcPr>
          <w:p>
            <w:pPr>
              <w:jc w:val="right"/>
              <w:spacing w:after="0" w:line="97" w:lineRule="exact"/>
              <w:rPr>
                <w:sz w:val="20"/>
                <w:szCs w:val="20"/>
                <w:color w:val="auto"/>
              </w:rPr>
            </w:pPr>
            <w:r>
              <w:rPr>
                <w:rFonts w:ascii="Arial" w:cs="Arial" w:eastAsia="Arial" w:hAnsi="Arial"/>
                <w:sz w:val="10"/>
                <w:szCs w:val="10"/>
                <w:color w:val="auto"/>
              </w:rPr>
              <w:t>25,792</w:t>
            </w:r>
          </w:p>
        </w:tc>
        <w:tc>
          <w:tcPr>
            <w:tcW w:w="220" w:type="dxa"/>
            <w:vAlign w:val="bottom"/>
            <w:tcBorders>
              <w:top w:val="single" w:sz="8" w:color="CFF0FC"/>
            </w:tcBorders>
            <w:shd w:val="clear" w:color="auto" w:fill="CFF0FC"/>
          </w:tcPr>
          <w:p>
            <w:pPr>
              <w:spacing w:after="0"/>
              <w:rPr>
                <w:sz w:val="8"/>
                <w:szCs w:val="8"/>
                <w:color w:val="auto"/>
              </w:rPr>
            </w:pPr>
          </w:p>
        </w:tc>
        <w:tc>
          <w:tcPr>
            <w:tcW w:w="160" w:type="dxa"/>
            <w:vAlign w:val="bottom"/>
            <w:tcBorders>
              <w:top w:val="single" w:sz="8" w:color="auto"/>
            </w:tcBorders>
            <w:shd w:val="clear" w:color="auto" w:fill="CFF0FC"/>
          </w:tcPr>
          <w:p>
            <w:pPr>
              <w:spacing w:after="0"/>
              <w:rPr>
                <w:sz w:val="8"/>
                <w:szCs w:val="8"/>
                <w:color w:val="auto"/>
              </w:rPr>
            </w:pPr>
          </w:p>
        </w:tc>
        <w:tc>
          <w:tcPr>
            <w:tcW w:w="880" w:type="dxa"/>
            <w:vAlign w:val="bottom"/>
            <w:tcBorders>
              <w:top w:val="single" w:sz="8" w:color="auto"/>
            </w:tcBorders>
            <w:shd w:val="clear" w:color="auto" w:fill="CFF0FC"/>
          </w:tcPr>
          <w:p>
            <w:pPr>
              <w:jc w:val="right"/>
              <w:spacing w:after="0" w:line="97" w:lineRule="exact"/>
              <w:rPr>
                <w:sz w:val="20"/>
                <w:szCs w:val="20"/>
                <w:color w:val="auto"/>
              </w:rPr>
            </w:pPr>
            <w:r>
              <w:rPr>
                <w:rFonts w:ascii="Arial" w:cs="Arial" w:eastAsia="Arial" w:hAnsi="Arial"/>
                <w:sz w:val="10"/>
                <w:szCs w:val="10"/>
                <w:color w:val="auto"/>
              </w:rPr>
              <w:t>(224,342)</w:t>
            </w:r>
          </w:p>
        </w:tc>
        <w:tc>
          <w:tcPr>
            <w:tcW w:w="120" w:type="dxa"/>
            <w:vAlign w:val="bottom"/>
            <w:tcBorders>
              <w:top w:val="single" w:sz="8" w:color="CFF0FC"/>
            </w:tcBorders>
            <w:shd w:val="clear" w:color="auto" w:fill="CFF0FC"/>
          </w:tcPr>
          <w:p>
            <w:pPr>
              <w:spacing w:after="0"/>
              <w:rPr>
                <w:sz w:val="8"/>
                <w:szCs w:val="8"/>
                <w:color w:val="auto"/>
              </w:rPr>
            </w:pPr>
          </w:p>
        </w:tc>
        <w:tc>
          <w:tcPr>
            <w:tcW w:w="100" w:type="dxa"/>
            <w:vAlign w:val="bottom"/>
            <w:tcBorders>
              <w:top w:val="single" w:sz="8" w:color="CFF0FC"/>
            </w:tcBorders>
            <w:shd w:val="clear" w:color="auto" w:fill="CFF0FC"/>
          </w:tcPr>
          <w:p>
            <w:pPr>
              <w:spacing w:after="0"/>
              <w:rPr>
                <w:sz w:val="8"/>
                <w:szCs w:val="8"/>
                <w:color w:val="auto"/>
              </w:rPr>
            </w:pPr>
          </w:p>
        </w:tc>
        <w:tc>
          <w:tcPr>
            <w:tcW w:w="160" w:type="dxa"/>
            <w:vAlign w:val="bottom"/>
            <w:tcBorders>
              <w:top w:val="single" w:sz="8" w:color="auto"/>
            </w:tcBorders>
            <w:shd w:val="clear" w:color="auto" w:fill="CFF0FC"/>
          </w:tcPr>
          <w:p>
            <w:pPr>
              <w:spacing w:after="0"/>
              <w:rPr>
                <w:sz w:val="8"/>
                <w:szCs w:val="8"/>
                <w:color w:val="auto"/>
              </w:rPr>
            </w:pPr>
          </w:p>
        </w:tc>
        <w:tc>
          <w:tcPr>
            <w:tcW w:w="880" w:type="dxa"/>
            <w:vAlign w:val="bottom"/>
            <w:tcBorders>
              <w:top w:val="single" w:sz="8" w:color="auto"/>
            </w:tcBorders>
            <w:shd w:val="clear" w:color="auto" w:fill="CFF0FC"/>
          </w:tcPr>
          <w:p>
            <w:pPr>
              <w:jc w:val="right"/>
              <w:spacing w:after="0" w:line="97" w:lineRule="exact"/>
              <w:rPr>
                <w:sz w:val="20"/>
                <w:szCs w:val="20"/>
                <w:color w:val="auto"/>
              </w:rPr>
            </w:pPr>
            <w:r>
              <w:rPr>
                <w:rFonts w:ascii="Arial" w:cs="Arial" w:eastAsia="Arial" w:hAnsi="Arial"/>
                <w:sz w:val="10"/>
                <w:szCs w:val="10"/>
                <w:color w:val="auto"/>
              </w:rPr>
              <w:t>272,438</w:t>
            </w:r>
          </w:p>
        </w:tc>
        <w:tc>
          <w:tcPr>
            <w:tcW w:w="120" w:type="dxa"/>
            <w:vAlign w:val="bottom"/>
            <w:tcBorders>
              <w:top w:val="single" w:sz="8" w:color="CFF0FC"/>
            </w:tcBorders>
            <w:shd w:val="clear" w:color="auto" w:fill="CFF0FC"/>
          </w:tcPr>
          <w:p>
            <w:pPr>
              <w:spacing w:after="0"/>
              <w:rPr>
                <w:sz w:val="8"/>
                <w:szCs w:val="8"/>
                <w:color w:val="auto"/>
              </w:rPr>
            </w:pPr>
          </w:p>
        </w:tc>
      </w:tr>
      <w:tr>
        <w:trPr>
          <w:trHeight w:val="108"/>
        </w:trPr>
        <w:tc>
          <w:tcPr>
            <w:tcW w:w="5300" w:type="dxa"/>
            <w:vAlign w:val="bottom"/>
            <w:gridSpan w:val="2"/>
          </w:tcPr>
          <w:p>
            <w:pPr>
              <w:ind w:left="80"/>
              <w:spacing w:after="0" w:line="108" w:lineRule="exact"/>
              <w:rPr>
                <w:sz w:val="20"/>
                <w:szCs w:val="20"/>
                <w:color w:val="auto"/>
              </w:rPr>
            </w:pPr>
            <w:r>
              <w:rPr>
                <w:rFonts w:ascii="Arial" w:cs="Arial" w:eastAsia="Arial" w:hAnsi="Arial"/>
                <w:sz w:val="10"/>
                <w:szCs w:val="10"/>
                <w:color w:val="auto"/>
              </w:rPr>
              <w:t>Installation and service parts, net</w:t>
            </w:r>
          </w:p>
        </w:tc>
        <w:tc>
          <w:tcPr>
            <w:tcW w:w="100" w:type="dxa"/>
            <w:vAlign w:val="bottom"/>
          </w:tcPr>
          <w:p>
            <w:pPr>
              <w:spacing w:after="0"/>
              <w:rPr>
                <w:sz w:val="9"/>
                <w:szCs w:val="9"/>
                <w:color w:val="auto"/>
              </w:rPr>
            </w:pPr>
          </w:p>
        </w:tc>
        <w:tc>
          <w:tcPr>
            <w:tcW w:w="1160" w:type="dxa"/>
            <w:vAlign w:val="bottom"/>
            <w:gridSpan w:val="2"/>
          </w:tcPr>
          <w:p>
            <w:pPr>
              <w:jc w:val="right"/>
              <w:ind w:right="240"/>
              <w:spacing w:after="0" w:line="108" w:lineRule="exact"/>
              <w:rPr>
                <w:sz w:val="20"/>
                <w:szCs w:val="20"/>
                <w:color w:val="auto"/>
              </w:rPr>
            </w:pPr>
            <w:r>
              <w:rPr>
                <w:rFonts w:ascii="Arial" w:cs="Arial" w:eastAsia="Arial" w:hAnsi="Arial"/>
                <w:sz w:val="10"/>
                <w:szCs w:val="10"/>
                <w:color w:val="auto"/>
              </w:rPr>
              <w:t>—</w:t>
            </w:r>
          </w:p>
        </w:tc>
        <w:tc>
          <w:tcPr>
            <w:tcW w:w="140" w:type="dxa"/>
            <w:vAlign w:val="bottom"/>
          </w:tcPr>
          <w:p>
            <w:pPr>
              <w:spacing w:after="0"/>
              <w:rPr>
                <w:sz w:val="9"/>
                <w:szCs w:val="9"/>
                <w:color w:val="auto"/>
              </w:rPr>
            </w:pPr>
          </w:p>
        </w:tc>
        <w:tc>
          <w:tcPr>
            <w:tcW w:w="880" w:type="dxa"/>
            <w:vAlign w:val="bottom"/>
          </w:tcPr>
          <w:p>
            <w:pPr>
              <w:jc w:val="right"/>
              <w:spacing w:after="0" w:line="108" w:lineRule="exact"/>
              <w:rPr>
                <w:sz w:val="20"/>
                <w:szCs w:val="20"/>
                <w:color w:val="auto"/>
              </w:rPr>
            </w:pPr>
            <w:r>
              <w:rPr>
                <w:rFonts w:ascii="Arial" w:cs="Arial" w:eastAsia="Arial" w:hAnsi="Arial"/>
                <w:sz w:val="10"/>
                <w:szCs w:val="10"/>
                <w:color w:val="auto"/>
              </w:rPr>
              <w:t>8,841</w:t>
            </w: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jc w:val="right"/>
              <w:spacing w:after="0" w:line="108" w:lineRule="exact"/>
              <w:rPr>
                <w:sz w:val="20"/>
                <w:szCs w:val="20"/>
                <w:color w:val="auto"/>
              </w:rPr>
            </w:pPr>
            <w:r>
              <w:rPr>
                <w:rFonts w:ascii="Arial" w:cs="Arial" w:eastAsia="Arial" w:hAnsi="Arial"/>
                <w:sz w:val="10"/>
                <w:szCs w:val="10"/>
                <w:color w:val="auto"/>
              </w:rPr>
              <w:t>—</w:t>
            </w: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gridSpan w:val="2"/>
          </w:tcPr>
          <w:p>
            <w:pPr>
              <w:jc w:val="right"/>
              <w:ind w:right="140"/>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jc w:val="right"/>
              <w:spacing w:after="0" w:line="108" w:lineRule="exact"/>
              <w:rPr>
                <w:sz w:val="20"/>
                <w:szCs w:val="20"/>
                <w:color w:val="auto"/>
              </w:rPr>
            </w:pPr>
            <w:r>
              <w:rPr>
                <w:rFonts w:ascii="Arial" w:cs="Arial" w:eastAsia="Arial" w:hAnsi="Arial"/>
                <w:sz w:val="10"/>
                <w:szCs w:val="10"/>
                <w:color w:val="auto"/>
              </w:rPr>
              <w:t>8,841</w:t>
            </w:r>
          </w:p>
        </w:tc>
        <w:tc>
          <w:tcPr>
            <w:tcW w:w="120" w:type="dxa"/>
            <w:vAlign w:val="bottom"/>
          </w:tcPr>
          <w:p>
            <w:pPr>
              <w:spacing w:after="0"/>
              <w:rPr>
                <w:sz w:val="9"/>
                <w:szCs w:val="9"/>
                <w:color w:val="auto"/>
              </w:rPr>
            </w:pPr>
          </w:p>
        </w:tc>
      </w:tr>
      <w:tr>
        <w:trPr>
          <w:trHeight w:val="108"/>
        </w:trPr>
        <w:tc>
          <w:tcPr>
            <w:tcW w:w="5300" w:type="dxa"/>
            <w:vAlign w:val="bottom"/>
            <w:gridSpan w:val="2"/>
            <w:shd w:val="clear" w:color="auto" w:fill="CFF0FC"/>
          </w:tcPr>
          <w:p>
            <w:pPr>
              <w:ind w:left="80"/>
              <w:spacing w:after="0" w:line="108" w:lineRule="exact"/>
              <w:rPr>
                <w:sz w:val="20"/>
                <w:szCs w:val="20"/>
                <w:color w:val="auto"/>
              </w:rPr>
            </w:pPr>
            <w:r>
              <w:rPr>
                <w:rFonts w:ascii="Arial" w:cs="Arial" w:eastAsia="Arial" w:hAnsi="Arial"/>
                <w:sz w:val="10"/>
                <w:szCs w:val="10"/>
                <w:color w:val="auto"/>
              </w:rPr>
              <w:t>Property and equipment, net</w:t>
            </w:r>
          </w:p>
        </w:tc>
        <w:tc>
          <w:tcPr>
            <w:tcW w:w="100" w:type="dxa"/>
            <w:vAlign w:val="bottom"/>
            <w:shd w:val="clear" w:color="auto" w:fill="CFF0FC"/>
          </w:tcPr>
          <w:p>
            <w:pPr>
              <w:spacing w:after="0"/>
              <w:rPr>
                <w:sz w:val="9"/>
                <w:szCs w:val="9"/>
                <w:color w:val="auto"/>
              </w:rPr>
            </w:pPr>
          </w:p>
        </w:tc>
        <w:tc>
          <w:tcPr>
            <w:tcW w:w="1160" w:type="dxa"/>
            <w:vAlign w:val="bottom"/>
            <w:gridSpan w:val="2"/>
            <w:shd w:val="clear" w:color="auto" w:fill="CFF0FC"/>
          </w:tcPr>
          <w:p>
            <w:pPr>
              <w:jc w:val="right"/>
              <w:ind w:right="240"/>
              <w:spacing w:after="0" w:line="108" w:lineRule="exact"/>
              <w:rPr>
                <w:sz w:val="20"/>
                <w:szCs w:val="20"/>
                <w:color w:val="auto"/>
              </w:rPr>
            </w:pPr>
            <w:r>
              <w:rPr>
                <w:rFonts w:ascii="Arial" w:cs="Arial" w:eastAsia="Arial" w:hAnsi="Arial"/>
                <w:sz w:val="10"/>
                <w:szCs w:val="10"/>
                <w:color w:val="auto"/>
              </w:rPr>
              <w:t>—</w:t>
            </w:r>
          </w:p>
        </w:tc>
        <w:tc>
          <w:tcPr>
            <w:tcW w:w="140" w:type="dxa"/>
            <w:vAlign w:val="bottom"/>
            <w:shd w:val="clear" w:color="auto" w:fill="CFF0FC"/>
          </w:tcPr>
          <w:p>
            <w:pPr>
              <w:spacing w:after="0"/>
              <w:rPr>
                <w:sz w:val="9"/>
                <w:szCs w:val="9"/>
                <w:color w:val="auto"/>
              </w:rPr>
            </w:pPr>
          </w:p>
        </w:tc>
        <w:tc>
          <w:tcPr>
            <w:tcW w:w="880" w:type="dxa"/>
            <w:vAlign w:val="bottom"/>
            <w:shd w:val="clear" w:color="auto" w:fill="CFF0FC"/>
          </w:tcPr>
          <w:p>
            <w:pPr>
              <w:jc w:val="right"/>
              <w:spacing w:after="0" w:line="108" w:lineRule="exact"/>
              <w:rPr>
                <w:sz w:val="20"/>
                <w:szCs w:val="20"/>
                <w:color w:val="auto"/>
              </w:rPr>
            </w:pPr>
            <w:r>
              <w:rPr>
                <w:rFonts w:ascii="Arial" w:cs="Arial" w:eastAsia="Arial" w:hAnsi="Arial"/>
                <w:sz w:val="10"/>
                <w:szCs w:val="10"/>
                <w:color w:val="auto"/>
              </w:rPr>
              <w:t>69,878</w:t>
            </w:r>
          </w:p>
        </w:tc>
        <w:tc>
          <w:tcPr>
            <w:tcW w:w="24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880" w:type="dxa"/>
            <w:vAlign w:val="bottom"/>
            <w:shd w:val="clear" w:color="auto" w:fill="CFF0FC"/>
          </w:tcPr>
          <w:p>
            <w:pPr>
              <w:jc w:val="right"/>
              <w:spacing w:after="0" w:line="108" w:lineRule="exact"/>
              <w:rPr>
                <w:sz w:val="20"/>
                <w:szCs w:val="20"/>
                <w:color w:val="auto"/>
              </w:rPr>
            </w:pPr>
            <w:r>
              <w:rPr>
                <w:rFonts w:ascii="Arial" w:cs="Arial" w:eastAsia="Arial" w:hAnsi="Arial"/>
                <w:sz w:val="10"/>
                <w:szCs w:val="10"/>
                <w:color w:val="auto"/>
              </w:rPr>
              <w:t>2,388</w:t>
            </w:r>
          </w:p>
        </w:tc>
        <w:tc>
          <w:tcPr>
            <w:tcW w:w="22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1000" w:type="dxa"/>
            <w:vAlign w:val="bottom"/>
            <w:gridSpan w:val="2"/>
            <w:shd w:val="clear" w:color="auto" w:fill="CFF0FC"/>
          </w:tcPr>
          <w:p>
            <w:pPr>
              <w:jc w:val="right"/>
              <w:ind w:right="140"/>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880" w:type="dxa"/>
            <w:vAlign w:val="bottom"/>
            <w:shd w:val="clear" w:color="auto" w:fill="CFF0FC"/>
          </w:tcPr>
          <w:p>
            <w:pPr>
              <w:jc w:val="right"/>
              <w:spacing w:after="0" w:line="108" w:lineRule="exact"/>
              <w:rPr>
                <w:sz w:val="20"/>
                <w:szCs w:val="20"/>
                <w:color w:val="auto"/>
              </w:rPr>
            </w:pPr>
            <w:r>
              <w:rPr>
                <w:rFonts w:ascii="Arial" w:cs="Arial" w:eastAsia="Arial" w:hAnsi="Arial"/>
                <w:sz w:val="10"/>
                <w:szCs w:val="10"/>
                <w:color w:val="auto"/>
              </w:rPr>
              <w:t>72,266</w:t>
            </w:r>
          </w:p>
        </w:tc>
        <w:tc>
          <w:tcPr>
            <w:tcW w:w="120" w:type="dxa"/>
            <w:vAlign w:val="bottom"/>
            <w:shd w:val="clear" w:color="auto" w:fill="CFF0FC"/>
          </w:tcPr>
          <w:p>
            <w:pPr>
              <w:spacing w:after="0"/>
              <w:rPr>
                <w:sz w:val="9"/>
                <w:szCs w:val="9"/>
                <w:color w:val="auto"/>
              </w:rPr>
            </w:pPr>
          </w:p>
        </w:tc>
      </w:tr>
      <w:tr>
        <w:trPr>
          <w:trHeight w:val="108"/>
        </w:trPr>
        <w:tc>
          <w:tcPr>
            <w:tcW w:w="5300" w:type="dxa"/>
            <w:vAlign w:val="bottom"/>
            <w:gridSpan w:val="2"/>
          </w:tcPr>
          <w:p>
            <w:pPr>
              <w:ind w:left="80"/>
              <w:spacing w:after="0" w:line="108" w:lineRule="exact"/>
              <w:rPr>
                <w:sz w:val="20"/>
                <w:szCs w:val="20"/>
                <w:color w:val="auto"/>
              </w:rPr>
            </w:pPr>
            <w:r>
              <w:rPr>
                <w:rFonts w:ascii="Arial" w:cs="Arial" w:eastAsia="Arial" w:hAnsi="Arial"/>
                <w:sz w:val="10"/>
                <w:szCs w:val="10"/>
                <w:color w:val="auto"/>
              </w:rPr>
              <w:t>Operating lease assets</w:t>
            </w:r>
          </w:p>
        </w:tc>
        <w:tc>
          <w:tcPr>
            <w:tcW w:w="100" w:type="dxa"/>
            <w:vAlign w:val="bottom"/>
          </w:tcPr>
          <w:p>
            <w:pPr>
              <w:spacing w:after="0"/>
              <w:rPr>
                <w:sz w:val="9"/>
                <w:szCs w:val="9"/>
                <w:color w:val="auto"/>
              </w:rPr>
            </w:pPr>
          </w:p>
        </w:tc>
        <w:tc>
          <w:tcPr>
            <w:tcW w:w="1160" w:type="dxa"/>
            <w:vAlign w:val="bottom"/>
            <w:gridSpan w:val="2"/>
          </w:tcPr>
          <w:p>
            <w:pPr>
              <w:jc w:val="right"/>
              <w:ind w:right="240"/>
              <w:spacing w:after="0" w:line="108" w:lineRule="exact"/>
              <w:rPr>
                <w:sz w:val="20"/>
                <w:szCs w:val="20"/>
                <w:color w:val="auto"/>
              </w:rPr>
            </w:pPr>
            <w:r>
              <w:rPr>
                <w:rFonts w:ascii="Arial" w:cs="Arial" w:eastAsia="Arial" w:hAnsi="Arial"/>
                <w:sz w:val="10"/>
                <w:szCs w:val="10"/>
                <w:color w:val="auto"/>
              </w:rPr>
              <w:t>—</w:t>
            </w:r>
          </w:p>
        </w:tc>
        <w:tc>
          <w:tcPr>
            <w:tcW w:w="140" w:type="dxa"/>
            <w:vAlign w:val="bottom"/>
          </w:tcPr>
          <w:p>
            <w:pPr>
              <w:spacing w:after="0"/>
              <w:rPr>
                <w:sz w:val="9"/>
                <w:szCs w:val="9"/>
                <w:color w:val="auto"/>
              </w:rPr>
            </w:pPr>
          </w:p>
        </w:tc>
        <w:tc>
          <w:tcPr>
            <w:tcW w:w="880" w:type="dxa"/>
            <w:vAlign w:val="bottom"/>
          </w:tcPr>
          <w:p>
            <w:pPr>
              <w:jc w:val="right"/>
              <w:spacing w:after="0" w:line="108" w:lineRule="exact"/>
              <w:rPr>
                <w:sz w:val="20"/>
                <w:szCs w:val="20"/>
                <w:color w:val="auto"/>
              </w:rPr>
            </w:pPr>
            <w:r>
              <w:rPr>
                <w:rFonts w:ascii="Arial" w:cs="Arial" w:eastAsia="Arial" w:hAnsi="Arial"/>
                <w:sz w:val="10"/>
                <w:szCs w:val="10"/>
                <w:color w:val="auto"/>
              </w:rPr>
              <w:t>31,910</w:t>
            </w: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jc w:val="right"/>
              <w:spacing w:after="0" w:line="108" w:lineRule="exact"/>
              <w:rPr>
                <w:sz w:val="20"/>
                <w:szCs w:val="20"/>
                <w:color w:val="auto"/>
              </w:rPr>
            </w:pPr>
            <w:r>
              <w:rPr>
                <w:rFonts w:ascii="Arial" w:cs="Arial" w:eastAsia="Arial" w:hAnsi="Arial"/>
                <w:sz w:val="10"/>
                <w:szCs w:val="10"/>
                <w:color w:val="auto"/>
              </w:rPr>
              <w:t>267</w:t>
            </w: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gridSpan w:val="2"/>
          </w:tcPr>
          <w:p>
            <w:pPr>
              <w:jc w:val="right"/>
              <w:ind w:right="140"/>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jc w:val="right"/>
              <w:spacing w:after="0" w:line="108" w:lineRule="exact"/>
              <w:rPr>
                <w:sz w:val="20"/>
                <w:szCs w:val="20"/>
                <w:color w:val="auto"/>
              </w:rPr>
            </w:pPr>
            <w:r>
              <w:rPr>
                <w:rFonts w:ascii="Arial" w:cs="Arial" w:eastAsia="Arial" w:hAnsi="Arial"/>
                <w:sz w:val="10"/>
                <w:szCs w:val="10"/>
                <w:color w:val="auto"/>
              </w:rPr>
              <w:t>32,177</w:t>
            </w:r>
          </w:p>
        </w:tc>
        <w:tc>
          <w:tcPr>
            <w:tcW w:w="120" w:type="dxa"/>
            <w:vAlign w:val="bottom"/>
          </w:tcPr>
          <w:p>
            <w:pPr>
              <w:spacing w:after="0"/>
              <w:rPr>
                <w:sz w:val="9"/>
                <w:szCs w:val="9"/>
                <w:color w:val="auto"/>
              </w:rPr>
            </w:pPr>
          </w:p>
        </w:tc>
      </w:tr>
      <w:tr>
        <w:trPr>
          <w:trHeight w:val="108"/>
        </w:trPr>
        <w:tc>
          <w:tcPr>
            <w:tcW w:w="5300" w:type="dxa"/>
            <w:vAlign w:val="bottom"/>
            <w:gridSpan w:val="2"/>
            <w:shd w:val="clear" w:color="auto" w:fill="CFF0FC"/>
          </w:tcPr>
          <w:p>
            <w:pPr>
              <w:ind w:left="80"/>
              <w:spacing w:after="0" w:line="108" w:lineRule="exact"/>
              <w:rPr>
                <w:sz w:val="20"/>
                <w:szCs w:val="20"/>
                <w:color w:val="auto"/>
              </w:rPr>
            </w:pPr>
            <w:r>
              <w:rPr>
                <w:rFonts w:ascii="Arial" w:cs="Arial" w:eastAsia="Arial" w:hAnsi="Arial"/>
                <w:sz w:val="10"/>
                <w:szCs w:val="10"/>
                <w:color w:val="auto"/>
              </w:rPr>
              <w:t>Intangible assets, net</w:t>
            </w:r>
          </w:p>
        </w:tc>
        <w:tc>
          <w:tcPr>
            <w:tcW w:w="100" w:type="dxa"/>
            <w:vAlign w:val="bottom"/>
            <w:shd w:val="clear" w:color="auto" w:fill="CFF0FC"/>
          </w:tcPr>
          <w:p>
            <w:pPr>
              <w:spacing w:after="0"/>
              <w:rPr>
                <w:sz w:val="9"/>
                <w:szCs w:val="9"/>
                <w:color w:val="auto"/>
              </w:rPr>
            </w:pPr>
          </w:p>
        </w:tc>
        <w:tc>
          <w:tcPr>
            <w:tcW w:w="1160" w:type="dxa"/>
            <w:vAlign w:val="bottom"/>
            <w:gridSpan w:val="2"/>
            <w:shd w:val="clear" w:color="auto" w:fill="CFF0FC"/>
          </w:tcPr>
          <w:p>
            <w:pPr>
              <w:jc w:val="right"/>
              <w:ind w:right="240"/>
              <w:spacing w:after="0" w:line="108" w:lineRule="exact"/>
              <w:rPr>
                <w:sz w:val="20"/>
                <w:szCs w:val="20"/>
                <w:color w:val="auto"/>
              </w:rPr>
            </w:pPr>
            <w:r>
              <w:rPr>
                <w:rFonts w:ascii="Arial" w:cs="Arial" w:eastAsia="Arial" w:hAnsi="Arial"/>
                <w:sz w:val="10"/>
                <w:szCs w:val="10"/>
                <w:color w:val="auto"/>
              </w:rPr>
              <w:t>—</w:t>
            </w:r>
          </w:p>
        </w:tc>
        <w:tc>
          <w:tcPr>
            <w:tcW w:w="140" w:type="dxa"/>
            <w:vAlign w:val="bottom"/>
            <w:shd w:val="clear" w:color="auto" w:fill="CFF0FC"/>
          </w:tcPr>
          <w:p>
            <w:pPr>
              <w:spacing w:after="0"/>
              <w:rPr>
                <w:sz w:val="9"/>
                <w:szCs w:val="9"/>
                <w:color w:val="auto"/>
              </w:rPr>
            </w:pPr>
          </w:p>
        </w:tc>
        <w:tc>
          <w:tcPr>
            <w:tcW w:w="880" w:type="dxa"/>
            <w:vAlign w:val="bottom"/>
            <w:shd w:val="clear" w:color="auto" w:fill="CFF0FC"/>
          </w:tcPr>
          <w:p>
            <w:pPr>
              <w:jc w:val="right"/>
              <w:spacing w:after="0" w:line="108" w:lineRule="exact"/>
              <w:rPr>
                <w:sz w:val="20"/>
                <w:szCs w:val="20"/>
                <w:color w:val="auto"/>
              </w:rPr>
            </w:pPr>
            <w:r>
              <w:rPr>
                <w:rFonts w:ascii="Arial" w:cs="Arial" w:eastAsia="Arial" w:hAnsi="Arial"/>
                <w:sz w:val="10"/>
                <w:szCs w:val="10"/>
                <w:color w:val="auto"/>
              </w:rPr>
              <w:t>405,028</w:t>
            </w:r>
          </w:p>
        </w:tc>
        <w:tc>
          <w:tcPr>
            <w:tcW w:w="24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880" w:type="dxa"/>
            <w:vAlign w:val="bottom"/>
            <w:shd w:val="clear" w:color="auto" w:fill="CFF0FC"/>
          </w:tcPr>
          <w:p>
            <w:pPr>
              <w:jc w:val="right"/>
              <w:spacing w:after="0" w:line="108" w:lineRule="exact"/>
              <w:rPr>
                <w:sz w:val="20"/>
                <w:szCs w:val="20"/>
                <w:color w:val="auto"/>
              </w:rPr>
            </w:pPr>
            <w:r>
              <w:rPr>
                <w:rFonts w:ascii="Arial" w:cs="Arial" w:eastAsia="Arial" w:hAnsi="Arial"/>
                <w:sz w:val="10"/>
                <w:szCs w:val="10"/>
                <w:color w:val="auto"/>
              </w:rPr>
              <w:t>29,415</w:t>
            </w:r>
          </w:p>
        </w:tc>
        <w:tc>
          <w:tcPr>
            <w:tcW w:w="22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1000" w:type="dxa"/>
            <w:vAlign w:val="bottom"/>
            <w:gridSpan w:val="2"/>
            <w:shd w:val="clear" w:color="auto" w:fill="CFF0FC"/>
          </w:tcPr>
          <w:p>
            <w:pPr>
              <w:jc w:val="right"/>
              <w:ind w:right="140"/>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880" w:type="dxa"/>
            <w:vAlign w:val="bottom"/>
            <w:shd w:val="clear" w:color="auto" w:fill="CFF0FC"/>
          </w:tcPr>
          <w:p>
            <w:pPr>
              <w:jc w:val="right"/>
              <w:spacing w:after="0" w:line="108" w:lineRule="exact"/>
              <w:rPr>
                <w:sz w:val="20"/>
                <w:szCs w:val="20"/>
                <w:color w:val="auto"/>
              </w:rPr>
            </w:pPr>
            <w:r>
              <w:rPr>
                <w:rFonts w:ascii="Arial" w:cs="Arial" w:eastAsia="Arial" w:hAnsi="Arial"/>
                <w:sz w:val="10"/>
                <w:szCs w:val="10"/>
                <w:color w:val="auto"/>
              </w:rPr>
              <w:t>434,443</w:t>
            </w:r>
          </w:p>
        </w:tc>
        <w:tc>
          <w:tcPr>
            <w:tcW w:w="120" w:type="dxa"/>
            <w:vAlign w:val="bottom"/>
            <w:shd w:val="clear" w:color="auto" w:fill="CFF0FC"/>
          </w:tcPr>
          <w:p>
            <w:pPr>
              <w:spacing w:after="0"/>
              <w:rPr>
                <w:sz w:val="9"/>
                <w:szCs w:val="9"/>
                <w:color w:val="auto"/>
              </w:rPr>
            </w:pPr>
          </w:p>
        </w:tc>
      </w:tr>
      <w:tr>
        <w:trPr>
          <w:trHeight w:val="108"/>
        </w:trPr>
        <w:tc>
          <w:tcPr>
            <w:tcW w:w="5300" w:type="dxa"/>
            <w:vAlign w:val="bottom"/>
            <w:gridSpan w:val="2"/>
          </w:tcPr>
          <w:p>
            <w:pPr>
              <w:ind w:left="80"/>
              <w:spacing w:after="0" w:line="108" w:lineRule="exact"/>
              <w:rPr>
                <w:sz w:val="20"/>
                <w:szCs w:val="20"/>
                <w:color w:val="auto"/>
              </w:rPr>
            </w:pPr>
            <w:r>
              <w:rPr>
                <w:rFonts w:ascii="Arial" w:cs="Arial" w:eastAsia="Arial" w:hAnsi="Arial"/>
                <w:sz w:val="10"/>
                <w:szCs w:val="10"/>
                <w:color w:val="auto"/>
              </w:rPr>
              <w:t>Goodwill</w:t>
            </w:r>
          </w:p>
        </w:tc>
        <w:tc>
          <w:tcPr>
            <w:tcW w:w="100" w:type="dxa"/>
            <w:vAlign w:val="bottom"/>
          </w:tcPr>
          <w:p>
            <w:pPr>
              <w:spacing w:after="0"/>
              <w:rPr>
                <w:sz w:val="9"/>
                <w:szCs w:val="9"/>
                <w:color w:val="auto"/>
              </w:rPr>
            </w:pPr>
          </w:p>
        </w:tc>
        <w:tc>
          <w:tcPr>
            <w:tcW w:w="1160" w:type="dxa"/>
            <w:vAlign w:val="bottom"/>
            <w:gridSpan w:val="2"/>
          </w:tcPr>
          <w:p>
            <w:pPr>
              <w:jc w:val="right"/>
              <w:ind w:right="240"/>
              <w:spacing w:after="0" w:line="108" w:lineRule="exact"/>
              <w:rPr>
                <w:sz w:val="20"/>
                <w:szCs w:val="20"/>
                <w:color w:val="auto"/>
              </w:rPr>
            </w:pPr>
            <w:r>
              <w:rPr>
                <w:rFonts w:ascii="Arial" w:cs="Arial" w:eastAsia="Arial" w:hAnsi="Arial"/>
                <w:sz w:val="10"/>
                <w:szCs w:val="10"/>
                <w:color w:val="auto"/>
              </w:rPr>
              <w:t>—</w:t>
            </w:r>
          </w:p>
        </w:tc>
        <w:tc>
          <w:tcPr>
            <w:tcW w:w="140" w:type="dxa"/>
            <w:vAlign w:val="bottom"/>
          </w:tcPr>
          <w:p>
            <w:pPr>
              <w:spacing w:after="0"/>
              <w:rPr>
                <w:sz w:val="9"/>
                <w:szCs w:val="9"/>
                <w:color w:val="auto"/>
              </w:rPr>
            </w:pPr>
          </w:p>
        </w:tc>
        <w:tc>
          <w:tcPr>
            <w:tcW w:w="880" w:type="dxa"/>
            <w:vAlign w:val="bottom"/>
          </w:tcPr>
          <w:p>
            <w:pPr>
              <w:jc w:val="right"/>
              <w:spacing w:after="0" w:line="108" w:lineRule="exact"/>
              <w:rPr>
                <w:sz w:val="20"/>
                <w:szCs w:val="20"/>
                <w:color w:val="auto"/>
              </w:rPr>
            </w:pPr>
            <w:r>
              <w:rPr>
                <w:rFonts w:ascii="Arial" w:cs="Arial" w:eastAsia="Arial" w:hAnsi="Arial"/>
                <w:sz w:val="10"/>
                <w:szCs w:val="10"/>
                <w:color w:val="auto"/>
              </w:rPr>
              <w:t>524,766</w:t>
            </w: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jc w:val="right"/>
              <w:spacing w:after="0" w:line="108" w:lineRule="exact"/>
              <w:rPr>
                <w:sz w:val="20"/>
                <w:szCs w:val="20"/>
                <w:color w:val="auto"/>
              </w:rPr>
            </w:pPr>
            <w:r>
              <w:rPr>
                <w:rFonts w:ascii="Arial" w:cs="Arial" w:eastAsia="Arial" w:hAnsi="Arial"/>
                <w:sz w:val="10"/>
                <w:szCs w:val="10"/>
                <w:color w:val="auto"/>
              </w:rPr>
              <w:t>59,384</w:t>
            </w: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gridSpan w:val="2"/>
          </w:tcPr>
          <w:p>
            <w:pPr>
              <w:jc w:val="right"/>
              <w:ind w:right="140"/>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jc w:val="right"/>
              <w:spacing w:after="0" w:line="108" w:lineRule="exact"/>
              <w:rPr>
                <w:sz w:val="20"/>
                <w:szCs w:val="20"/>
                <w:color w:val="auto"/>
              </w:rPr>
            </w:pPr>
            <w:r>
              <w:rPr>
                <w:rFonts w:ascii="Arial" w:cs="Arial" w:eastAsia="Arial" w:hAnsi="Arial"/>
                <w:sz w:val="10"/>
                <w:szCs w:val="10"/>
                <w:color w:val="auto"/>
              </w:rPr>
              <w:t>584,150</w:t>
            </w:r>
          </w:p>
        </w:tc>
        <w:tc>
          <w:tcPr>
            <w:tcW w:w="120" w:type="dxa"/>
            <w:vAlign w:val="bottom"/>
          </w:tcPr>
          <w:p>
            <w:pPr>
              <w:spacing w:after="0"/>
              <w:rPr>
                <w:sz w:val="9"/>
                <w:szCs w:val="9"/>
                <w:color w:val="auto"/>
              </w:rPr>
            </w:pPr>
          </w:p>
        </w:tc>
      </w:tr>
      <w:tr>
        <w:trPr>
          <w:trHeight w:val="108"/>
        </w:trPr>
        <w:tc>
          <w:tcPr>
            <w:tcW w:w="5300" w:type="dxa"/>
            <w:vAlign w:val="bottom"/>
            <w:gridSpan w:val="2"/>
            <w:shd w:val="clear" w:color="auto" w:fill="CFF0FC"/>
          </w:tcPr>
          <w:p>
            <w:pPr>
              <w:ind w:left="80"/>
              <w:spacing w:after="0" w:line="108" w:lineRule="exact"/>
              <w:rPr>
                <w:sz w:val="20"/>
                <w:szCs w:val="20"/>
                <w:color w:val="auto"/>
              </w:rPr>
            </w:pPr>
            <w:r>
              <w:rPr>
                <w:rFonts w:ascii="Arial" w:cs="Arial" w:eastAsia="Arial" w:hAnsi="Arial"/>
                <w:sz w:val="10"/>
                <w:szCs w:val="10"/>
                <w:color w:val="auto"/>
              </w:rPr>
              <w:t>Due from affiliates</w:t>
            </w:r>
          </w:p>
        </w:tc>
        <w:tc>
          <w:tcPr>
            <w:tcW w:w="100" w:type="dxa"/>
            <w:vAlign w:val="bottom"/>
            <w:shd w:val="clear" w:color="auto" w:fill="CFF0FC"/>
          </w:tcPr>
          <w:p>
            <w:pPr>
              <w:spacing w:after="0"/>
              <w:rPr>
                <w:sz w:val="9"/>
                <w:szCs w:val="9"/>
                <w:color w:val="auto"/>
              </w:rPr>
            </w:pPr>
          </w:p>
        </w:tc>
        <w:tc>
          <w:tcPr>
            <w:tcW w:w="940" w:type="dxa"/>
            <w:vAlign w:val="bottom"/>
            <w:shd w:val="clear" w:color="auto" w:fill="CFF0FC"/>
          </w:tcPr>
          <w:p>
            <w:pPr>
              <w:jc w:val="right"/>
              <w:spacing w:after="0" w:line="108" w:lineRule="exact"/>
              <w:rPr>
                <w:sz w:val="20"/>
                <w:szCs w:val="20"/>
                <w:color w:val="auto"/>
              </w:rPr>
            </w:pPr>
            <w:r>
              <w:rPr>
                <w:rFonts w:ascii="Arial" w:cs="Arial" w:eastAsia="Arial" w:hAnsi="Arial"/>
                <w:sz w:val="10"/>
                <w:szCs w:val="10"/>
                <w:color w:val="auto"/>
              </w:rPr>
              <w:t>169,259</w:t>
            </w:r>
          </w:p>
        </w:tc>
        <w:tc>
          <w:tcPr>
            <w:tcW w:w="22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880" w:type="dxa"/>
            <w:vAlign w:val="bottom"/>
            <w:shd w:val="clear" w:color="auto" w:fill="CFF0FC"/>
          </w:tcPr>
          <w:p>
            <w:pPr>
              <w:jc w:val="right"/>
              <w:spacing w:after="0" w:line="108" w:lineRule="exact"/>
              <w:rPr>
                <w:sz w:val="20"/>
                <w:szCs w:val="20"/>
                <w:color w:val="auto"/>
              </w:rPr>
            </w:pPr>
            <w:r>
              <w:rPr>
                <w:rFonts w:ascii="Arial" w:cs="Arial" w:eastAsia="Arial" w:hAnsi="Arial"/>
                <w:sz w:val="10"/>
                <w:szCs w:val="10"/>
                <w:color w:val="auto"/>
              </w:rPr>
              <w:t>25,519</w:t>
            </w:r>
          </w:p>
        </w:tc>
        <w:tc>
          <w:tcPr>
            <w:tcW w:w="24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880" w:type="dxa"/>
            <w:vAlign w:val="bottom"/>
            <w:shd w:val="clear" w:color="auto" w:fill="CFF0FC"/>
          </w:tcPr>
          <w:p>
            <w:pPr>
              <w:jc w:val="right"/>
              <w:spacing w:after="0" w:line="108" w:lineRule="exact"/>
              <w:rPr>
                <w:sz w:val="20"/>
                <w:szCs w:val="20"/>
                <w:color w:val="auto"/>
              </w:rPr>
            </w:pPr>
            <w:r>
              <w:rPr>
                <w:rFonts w:ascii="Arial" w:cs="Arial" w:eastAsia="Arial" w:hAnsi="Arial"/>
                <w:sz w:val="10"/>
                <w:szCs w:val="10"/>
                <w:color w:val="auto"/>
              </w:rPr>
              <w:t>—</w:t>
            </w:r>
          </w:p>
        </w:tc>
        <w:tc>
          <w:tcPr>
            <w:tcW w:w="22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1000" w:type="dxa"/>
            <w:vAlign w:val="bottom"/>
            <w:gridSpan w:val="2"/>
            <w:shd w:val="clear" w:color="auto" w:fill="CFF0FC"/>
          </w:tcPr>
          <w:p>
            <w:pPr>
              <w:jc w:val="right"/>
              <w:ind w:right="100"/>
              <w:spacing w:after="0" w:line="108" w:lineRule="exact"/>
              <w:rPr>
                <w:sz w:val="20"/>
                <w:szCs w:val="20"/>
                <w:color w:val="auto"/>
              </w:rPr>
            </w:pPr>
            <w:r>
              <w:rPr>
                <w:rFonts w:ascii="Arial" w:cs="Arial" w:eastAsia="Arial" w:hAnsi="Arial"/>
                <w:sz w:val="10"/>
                <w:szCs w:val="10"/>
                <w:color w:val="auto"/>
              </w:rPr>
              <w:t>(194,778)</w:t>
            </w:r>
          </w:p>
        </w:tc>
        <w:tc>
          <w:tcPr>
            <w:tcW w:w="10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1000" w:type="dxa"/>
            <w:vAlign w:val="bottom"/>
            <w:gridSpan w:val="2"/>
            <w:shd w:val="clear" w:color="auto" w:fill="CFF0FC"/>
          </w:tcPr>
          <w:p>
            <w:pPr>
              <w:jc w:val="right"/>
              <w:ind w:right="120"/>
              <w:spacing w:after="0" w:line="108" w:lineRule="exact"/>
              <w:rPr>
                <w:sz w:val="20"/>
                <w:szCs w:val="20"/>
                <w:color w:val="auto"/>
              </w:rPr>
            </w:pPr>
            <w:r>
              <w:rPr>
                <w:rFonts w:ascii="Arial" w:cs="Arial" w:eastAsia="Arial" w:hAnsi="Arial"/>
                <w:sz w:val="10"/>
                <w:szCs w:val="10"/>
                <w:color w:val="auto"/>
              </w:rPr>
              <w:t>—</w:t>
            </w:r>
          </w:p>
        </w:tc>
      </w:tr>
      <w:tr>
        <w:trPr>
          <w:trHeight w:val="108"/>
        </w:trPr>
        <w:tc>
          <w:tcPr>
            <w:tcW w:w="5300" w:type="dxa"/>
            <w:vAlign w:val="bottom"/>
            <w:gridSpan w:val="2"/>
          </w:tcPr>
          <w:p>
            <w:pPr>
              <w:ind w:left="80"/>
              <w:spacing w:after="0" w:line="108" w:lineRule="exact"/>
              <w:rPr>
                <w:sz w:val="20"/>
                <w:szCs w:val="20"/>
                <w:color w:val="auto"/>
              </w:rPr>
            </w:pPr>
            <w:r>
              <w:rPr>
                <w:rFonts w:ascii="Arial" w:cs="Arial" w:eastAsia="Arial" w:hAnsi="Arial"/>
                <w:sz w:val="10"/>
                <w:szCs w:val="10"/>
                <w:color w:val="auto"/>
              </w:rPr>
              <w:t>Other non-current assets</w:t>
            </w:r>
          </w:p>
        </w:tc>
        <w:tc>
          <w:tcPr>
            <w:tcW w:w="100" w:type="dxa"/>
            <w:vAlign w:val="bottom"/>
          </w:tcPr>
          <w:p>
            <w:pPr>
              <w:spacing w:after="0"/>
              <w:rPr>
                <w:sz w:val="9"/>
                <w:szCs w:val="9"/>
                <w:color w:val="auto"/>
              </w:rPr>
            </w:pPr>
          </w:p>
        </w:tc>
        <w:tc>
          <w:tcPr>
            <w:tcW w:w="1160" w:type="dxa"/>
            <w:vAlign w:val="bottom"/>
            <w:gridSpan w:val="2"/>
          </w:tcPr>
          <w:p>
            <w:pPr>
              <w:jc w:val="right"/>
              <w:ind w:right="240"/>
              <w:spacing w:after="0" w:line="108" w:lineRule="exact"/>
              <w:rPr>
                <w:sz w:val="20"/>
                <w:szCs w:val="20"/>
                <w:color w:val="auto"/>
              </w:rPr>
            </w:pPr>
            <w:r>
              <w:rPr>
                <w:rFonts w:ascii="Arial" w:cs="Arial" w:eastAsia="Arial" w:hAnsi="Arial"/>
                <w:sz w:val="10"/>
                <w:szCs w:val="10"/>
                <w:color w:val="auto"/>
              </w:rPr>
              <w:t>—</w:t>
            </w:r>
          </w:p>
        </w:tc>
        <w:tc>
          <w:tcPr>
            <w:tcW w:w="140" w:type="dxa"/>
            <w:vAlign w:val="bottom"/>
          </w:tcPr>
          <w:p>
            <w:pPr>
              <w:spacing w:after="0"/>
              <w:rPr>
                <w:sz w:val="9"/>
                <w:szCs w:val="9"/>
                <w:color w:val="auto"/>
              </w:rPr>
            </w:pPr>
          </w:p>
        </w:tc>
        <w:tc>
          <w:tcPr>
            <w:tcW w:w="880" w:type="dxa"/>
            <w:vAlign w:val="bottom"/>
          </w:tcPr>
          <w:p>
            <w:pPr>
              <w:jc w:val="right"/>
              <w:spacing w:after="0" w:line="108" w:lineRule="exact"/>
              <w:rPr>
                <w:sz w:val="20"/>
                <w:szCs w:val="20"/>
                <w:color w:val="auto"/>
              </w:rPr>
            </w:pPr>
            <w:r>
              <w:rPr>
                <w:rFonts w:ascii="Arial" w:cs="Arial" w:eastAsia="Arial" w:hAnsi="Arial"/>
                <w:sz w:val="10"/>
                <w:szCs w:val="10"/>
                <w:color w:val="auto"/>
              </w:rPr>
              <w:t>3,096</w:t>
            </w: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jc w:val="right"/>
              <w:spacing w:after="0" w:line="108" w:lineRule="exact"/>
              <w:rPr>
                <w:sz w:val="20"/>
                <w:szCs w:val="20"/>
                <w:color w:val="auto"/>
              </w:rPr>
            </w:pPr>
            <w:r>
              <w:rPr>
                <w:rFonts w:ascii="Arial" w:cs="Arial" w:eastAsia="Arial" w:hAnsi="Arial"/>
                <w:sz w:val="10"/>
                <w:szCs w:val="10"/>
                <w:color w:val="auto"/>
              </w:rPr>
              <w:t>15</w:t>
            </w: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gridSpan w:val="2"/>
          </w:tcPr>
          <w:p>
            <w:pPr>
              <w:jc w:val="right"/>
              <w:ind w:right="140"/>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jc w:val="right"/>
              <w:spacing w:after="0" w:line="108" w:lineRule="exact"/>
              <w:rPr>
                <w:sz w:val="20"/>
                <w:szCs w:val="20"/>
                <w:color w:val="auto"/>
              </w:rPr>
            </w:pPr>
            <w:r>
              <w:rPr>
                <w:rFonts w:ascii="Arial" w:cs="Arial" w:eastAsia="Arial" w:hAnsi="Arial"/>
                <w:sz w:val="10"/>
                <w:szCs w:val="10"/>
                <w:color w:val="auto"/>
              </w:rPr>
              <w:t>3,111</w:t>
            </w:r>
          </w:p>
        </w:tc>
        <w:tc>
          <w:tcPr>
            <w:tcW w:w="120" w:type="dxa"/>
            <w:vAlign w:val="bottom"/>
          </w:tcPr>
          <w:p>
            <w:pPr>
              <w:spacing w:after="0"/>
              <w:rPr>
                <w:sz w:val="9"/>
                <w:szCs w:val="9"/>
                <w:color w:val="auto"/>
              </w:rPr>
            </w:pPr>
          </w:p>
        </w:tc>
      </w:tr>
      <w:tr>
        <w:trPr>
          <w:trHeight w:val="117"/>
        </w:trPr>
        <w:tc>
          <w:tcPr>
            <w:tcW w:w="5300" w:type="dxa"/>
            <w:vAlign w:val="bottom"/>
            <w:tcBorders>
              <w:top w:val="single" w:sz="8" w:color="CFF0FC"/>
              <w:bottom w:val="single" w:sz="8" w:color="CFF0FC"/>
            </w:tcBorders>
            <w:gridSpan w:val="2"/>
            <w:shd w:val="clear" w:color="auto" w:fill="CFF0FC"/>
          </w:tcPr>
          <w:p>
            <w:pPr>
              <w:spacing w:after="0" w:line="97" w:lineRule="exact"/>
              <w:rPr>
                <w:sz w:val="20"/>
                <w:szCs w:val="20"/>
                <w:color w:val="auto"/>
              </w:rPr>
            </w:pPr>
            <w:r>
              <w:rPr>
                <w:rFonts w:ascii="Arial" w:cs="Arial" w:eastAsia="Arial" w:hAnsi="Arial"/>
                <w:sz w:val="10"/>
                <w:szCs w:val="10"/>
                <w:color w:val="auto"/>
              </w:rPr>
              <w:t>Total assets</w:t>
            </w:r>
          </w:p>
        </w:tc>
        <w:tc>
          <w:tcPr>
            <w:tcW w:w="100" w:type="dxa"/>
            <w:vAlign w:val="bottom"/>
            <w:tcBorders>
              <w:top w:val="single" w:sz="8" w:color="auto"/>
              <w:bottom w:val="single" w:sz="8" w:color="auto"/>
            </w:tcBorders>
            <w:shd w:val="clear" w:color="auto" w:fill="CFF0FC"/>
          </w:tcPr>
          <w:p>
            <w:pPr>
              <w:jc w:val="right"/>
              <w:spacing w:after="0" w:line="97" w:lineRule="exact"/>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bottom w:val="single" w:sz="8" w:color="auto"/>
            </w:tcBorders>
            <w:shd w:val="clear" w:color="auto" w:fill="CFF0FC"/>
          </w:tcPr>
          <w:p>
            <w:pPr>
              <w:jc w:val="right"/>
              <w:spacing w:after="0" w:line="97" w:lineRule="exact"/>
              <w:rPr>
                <w:sz w:val="20"/>
                <w:szCs w:val="20"/>
                <w:color w:val="auto"/>
              </w:rPr>
            </w:pPr>
            <w:r>
              <w:rPr>
                <w:rFonts w:ascii="Arial" w:cs="Arial" w:eastAsia="Arial" w:hAnsi="Arial"/>
                <w:sz w:val="10"/>
                <w:szCs w:val="10"/>
                <w:color w:val="auto"/>
              </w:rPr>
              <w:t>339,347</w:t>
            </w:r>
          </w:p>
        </w:tc>
        <w:tc>
          <w:tcPr>
            <w:tcW w:w="220" w:type="dxa"/>
            <w:vAlign w:val="bottom"/>
            <w:tcBorders>
              <w:top w:val="single" w:sz="8" w:color="CFF0FC"/>
              <w:bottom w:val="single" w:sz="8" w:color="CFF0FC"/>
            </w:tcBorders>
            <w:shd w:val="clear" w:color="auto" w:fill="CFF0FC"/>
          </w:tcPr>
          <w:p>
            <w:pPr>
              <w:spacing w:after="0"/>
              <w:rPr>
                <w:sz w:val="10"/>
                <w:szCs w:val="10"/>
                <w:color w:val="auto"/>
              </w:rPr>
            </w:pPr>
          </w:p>
        </w:tc>
        <w:tc>
          <w:tcPr>
            <w:tcW w:w="140" w:type="dxa"/>
            <w:vAlign w:val="bottom"/>
            <w:tcBorders>
              <w:top w:val="single" w:sz="8" w:color="auto"/>
              <w:bottom w:val="single" w:sz="8" w:color="auto"/>
            </w:tcBorders>
            <w:shd w:val="clear" w:color="auto" w:fill="CFF0FC"/>
          </w:tcPr>
          <w:p>
            <w:pPr>
              <w:jc w:val="right"/>
              <w:ind w:right="76"/>
              <w:spacing w:after="0"/>
              <w:rPr>
                <w:sz w:val="20"/>
                <w:szCs w:val="20"/>
                <w:color w:val="auto"/>
              </w:rPr>
            </w:pPr>
            <w:r>
              <w:rPr>
                <w:rFonts w:ascii="Arial" w:cs="Arial" w:eastAsia="Arial" w:hAnsi="Arial"/>
                <w:sz w:val="5"/>
                <w:szCs w:val="5"/>
                <w:color w:val="auto"/>
                <w:w w:val="70"/>
              </w:rPr>
              <w:t>$</w:t>
            </w:r>
          </w:p>
        </w:tc>
        <w:tc>
          <w:tcPr>
            <w:tcW w:w="880" w:type="dxa"/>
            <w:vAlign w:val="bottom"/>
            <w:tcBorders>
              <w:top w:val="single" w:sz="8" w:color="auto"/>
              <w:bottom w:val="single" w:sz="8" w:color="auto"/>
            </w:tcBorders>
            <w:shd w:val="clear" w:color="auto" w:fill="CFF0FC"/>
          </w:tcPr>
          <w:p>
            <w:pPr>
              <w:jc w:val="right"/>
              <w:spacing w:after="0" w:line="97" w:lineRule="exact"/>
              <w:rPr>
                <w:sz w:val="20"/>
                <w:szCs w:val="20"/>
                <w:color w:val="auto"/>
              </w:rPr>
            </w:pPr>
            <w:r>
              <w:rPr>
                <w:rFonts w:ascii="Arial" w:cs="Arial" w:eastAsia="Arial" w:hAnsi="Arial"/>
                <w:sz w:val="10"/>
                <w:szCs w:val="10"/>
                <w:color w:val="auto"/>
              </w:rPr>
              <w:t>1,369,938</w:t>
            </w:r>
          </w:p>
        </w:tc>
        <w:tc>
          <w:tcPr>
            <w:tcW w:w="240" w:type="dxa"/>
            <w:vAlign w:val="bottom"/>
            <w:tcBorders>
              <w:top w:val="single" w:sz="8" w:color="CFF0FC"/>
              <w:bottom w:val="single" w:sz="8" w:color="CFF0FC"/>
            </w:tcBorders>
            <w:shd w:val="clear" w:color="auto" w:fill="CFF0FC"/>
          </w:tcPr>
          <w:p>
            <w:pPr>
              <w:spacing w:after="0"/>
              <w:rPr>
                <w:sz w:val="10"/>
                <w:szCs w:val="10"/>
                <w:color w:val="auto"/>
              </w:rPr>
            </w:pPr>
          </w:p>
        </w:tc>
        <w:tc>
          <w:tcPr>
            <w:tcW w:w="140" w:type="dxa"/>
            <w:vAlign w:val="bottom"/>
            <w:tcBorders>
              <w:top w:val="single" w:sz="8" w:color="auto"/>
              <w:bottom w:val="single" w:sz="8" w:color="auto"/>
            </w:tcBorders>
            <w:shd w:val="clear" w:color="auto" w:fill="CFF0FC"/>
          </w:tcPr>
          <w:p>
            <w:pPr>
              <w:jc w:val="right"/>
              <w:ind w:right="76"/>
              <w:spacing w:after="0"/>
              <w:rPr>
                <w:sz w:val="20"/>
                <w:szCs w:val="20"/>
                <w:color w:val="auto"/>
              </w:rPr>
            </w:pPr>
            <w:r>
              <w:rPr>
                <w:rFonts w:ascii="Arial" w:cs="Arial" w:eastAsia="Arial" w:hAnsi="Arial"/>
                <w:sz w:val="5"/>
                <w:szCs w:val="5"/>
                <w:color w:val="auto"/>
                <w:w w:val="70"/>
              </w:rPr>
              <w:t>$</w:t>
            </w:r>
          </w:p>
        </w:tc>
        <w:tc>
          <w:tcPr>
            <w:tcW w:w="880" w:type="dxa"/>
            <w:vAlign w:val="bottom"/>
            <w:tcBorders>
              <w:top w:val="single" w:sz="8" w:color="auto"/>
              <w:bottom w:val="single" w:sz="8" w:color="auto"/>
            </w:tcBorders>
            <w:shd w:val="clear" w:color="auto" w:fill="CFF0FC"/>
          </w:tcPr>
          <w:p>
            <w:pPr>
              <w:jc w:val="right"/>
              <w:spacing w:after="0" w:line="97" w:lineRule="exact"/>
              <w:rPr>
                <w:sz w:val="20"/>
                <w:szCs w:val="20"/>
                <w:color w:val="auto"/>
              </w:rPr>
            </w:pPr>
            <w:r>
              <w:rPr>
                <w:rFonts w:ascii="Arial" w:cs="Arial" w:eastAsia="Arial" w:hAnsi="Arial"/>
                <w:sz w:val="10"/>
                <w:szCs w:val="10"/>
                <w:color w:val="auto"/>
              </w:rPr>
              <w:t>117,261</w:t>
            </w:r>
          </w:p>
        </w:tc>
        <w:tc>
          <w:tcPr>
            <w:tcW w:w="220" w:type="dxa"/>
            <w:vAlign w:val="bottom"/>
            <w:tcBorders>
              <w:top w:val="single" w:sz="8" w:color="CFF0FC"/>
              <w:bottom w:val="single" w:sz="8" w:color="CFF0FC"/>
            </w:tcBorders>
            <w:shd w:val="clear" w:color="auto" w:fill="CFF0FC"/>
          </w:tcPr>
          <w:p>
            <w:pPr>
              <w:spacing w:after="0"/>
              <w:rPr>
                <w:sz w:val="10"/>
                <w:szCs w:val="10"/>
                <w:color w:val="auto"/>
              </w:rPr>
            </w:pPr>
          </w:p>
        </w:tc>
        <w:tc>
          <w:tcPr>
            <w:tcW w:w="160" w:type="dxa"/>
            <w:vAlign w:val="bottom"/>
            <w:tcBorders>
              <w:top w:val="single" w:sz="8" w:color="auto"/>
              <w:bottom w:val="single" w:sz="8" w:color="auto"/>
            </w:tcBorders>
            <w:shd w:val="clear" w:color="auto" w:fill="CFF0FC"/>
          </w:tcPr>
          <w:p>
            <w:pPr>
              <w:jc w:val="right"/>
              <w:ind w:right="52"/>
              <w:spacing w:after="0" w:line="97" w:lineRule="exact"/>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shd w:val="clear" w:color="auto" w:fill="CFF0FC"/>
          </w:tcPr>
          <w:p>
            <w:pPr>
              <w:jc w:val="right"/>
              <w:spacing w:after="0" w:line="97" w:lineRule="exact"/>
              <w:rPr>
                <w:sz w:val="20"/>
                <w:szCs w:val="20"/>
                <w:color w:val="auto"/>
              </w:rPr>
            </w:pPr>
            <w:r>
              <w:rPr>
                <w:rFonts w:ascii="Arial" w:cs="Arial" w:eastAsia="Arial" w:hAnsi="Arial"/>
                <w:sz w:val="10"/>
                <w:szCs w:val="10"/>
                <w:color w:val="auto"/>
              </w:rPr>
              <w:t>(419,120)</w:t>
            </w:r>
          </w:p>
        </w:tc>
        <w:tc>
          <w:tcPr>
            <w:tcW w:w="120" w:type="dxa"/>
            <w:vAlign w:val="bottom"/>
            <w:tcBorders>
              <w:top w:val="single" w:sz="8" w:color="CFF0FC"/>
              <w:bottom w:val="single" w:sz="8" w:color="CFF0FC"/>
            </w:tcBorders>
            <w:shd w:val="clear" w:color="auto" w:fill="CFF0FC"/>
          </w:tcPr>
          <w:p>
            <w:pPr>
              <w:spacing w:after="0"/>
              <w:rPr>
                <w:sz w:val="10"/>
                <w:szCs w:val="10"/>
                <w:color w:val="auto"/>
              </w:rPr>
            </w:pPr>
          </w:p>
        </w:tc>
        <w:tc>
          <w:tcPr>
            <w:tcW w:w="100" w:type="dxa"/>
            <w:vAlign w:val="bottom"/>
            <w:tcBorders>
              <w:top w:val="single" w:sz="8" w:color="CFF0FC"/>
              <w:bottom w:val="single" w:sz="8" w:color="CFF0FC"/>
            </w:tcBorders>
            <w:shd w:val="clear" w:color="auto" w:fill="CFF0FC"/>
          </w:tcPr>
          <w:p>
            <w:pPr>
              <w:spacing w:after="0"/>
              <w:rPr>
                <w:sz w:val="10"/>
                <w:szCs w:val="10"/>
                <w:color w:val="auto"/>
              </w:rPr>
            </w:pPr>
          </w:p>
        </w:tc>
        <w:tc>
          <w:tcPr>
            <w:tcW w:w="160" w:type="dxa"/>
            <w:vAlign w:val="bottom"/>
            <w:tcBorders>
              <w:top w:val="single" w:sz="8" w:color="auto"/>
              <w:bottom w:val="single" w:sz="8" w:color="auto"/>
            </w:tcBorders>
            <w:shd w:val="clear" w:color="auto" w:fill="CFF0FC"/>
          </w:tcPr>
          <w:p>
            <w:pPr>
              <w:jc w:val="right"/>
              <w:ind w:right="52"/>
              <w:spacing w:after="0" w:line="97" w:lineRule="exact"/>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shd w:val="clear" w:color="auto" w:fill="CFF0FC"/>
          </w:tcPr>
          <w:p>
            <w:pPr>
              <w:jc w:val="right"/>
              <w:spacing w:after="0" w:line="97" w:lineRule="exact"/>
              <w:rPr>
                <w:sz w:val="20"/>
                <w:szCs w:val="20"/>
                <w:color w:val="auto"/>
              </w:rPr>
            </w:pPr>
            <w:r>
              <w:rPr>
                <w:rFonts w:ascii="Arial" w:cs="Arial" w:eastAsia="Arial" w:hAnsi="Arial"/>
                <w:sz w:val="10"/>
                <w:szCs w:val="10"/>
                <w:color w:val="auto"/>
              </w:rPr>
              <w:t>1,407,426</w:t>
            </w:r>
          </w:p>
        </w:tc>
        <w:tc>
          <w:tcPr>
            <w:tcW w:w="120" w:type="dxa"/>
            <w:vAlign w:val="bottom"/>
            <w:tcBorders>
              <w:top w:val="single" w:sz="8" w:color="CFF0FC"/>
              <w:bottom w:val="single" w:sz="8" w:color="CFF0FC"/>
            </w:tcBorders>
            <w:shd w:val="clear" w:color="auto" w:fill="CFF0FC"/>
          </w:tcPr>
          <w:p>
            <w:pPr>
              <w:spacing w:after="0"/>
              <w:rPr>
                <w:sz w:val="10"/>
                <w:szCs w:val="10"/>
                <w:color w:val="auto"/>
              </w:rPr>
            </w:pPr>
          </w:p>
        </w:tc>
      </w:tr>
      <w:tr>
        <w:trPr>
          <w:trHeight w:val="95"/>
        </w:trPr>
        <w:tc>
          <w:tcPr>
            <w:tcW w:w="5300" w:type="dxa"/>
            <w:vAlign w:val="bottom"/>
            <w:gridSpan w:val="2"/>
          </w:tcPr>
          <w:p>
            <w:pPr>
              <w:spacing w:after="0" w:line="95" w:lineRule="exact"/>
              <w:rPr>
                <w:sz w:val="20"/>
                <w:szCs w:val="20"/>
                <w:color w:val="auto"/>
              </w:rPr>
            </w:pPr>
            <w:r>
              <w:rPr>
                <w:rFonts w:ascii="Arial" w:cs="Arial" w:eastAsia="Arial" w:hAnsi="Arial"/>
                <w:sz w:val="10"/>
                <w:szCs w:val="10"/>
                <w:b w:val="1"/>
                <w:bCs w:val="1"/>
                <w:color w:val="auto"/>
              </w:rPr>
              <w:t>Liabilities and Stockholders' Equity</w:t>
            </w:r>
          </w:p>
        </w:tc>
        <w:tc>
          <w:tcPr>
            <w:tcW w:w="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108"/>
        </w:trPr>
        <w:tc>
          <w:tcPr>
            <w:tcW w:w="5300" w:type="dxa"/>
            <w:vAlign w:val="bottom"/>
            <w:gridSpan w:val="2"/>
            <w:shd w:val="clear" w:color="auto" w:fill="CFF0FC"/>
          </w:tcPr>
          <w:p>
            <w:pPr>
              <w:ind w:left="80"/>
              <w:spacing w:after="0" w:line="108" w:lineRule="exact"/>
              <w:rPr>
                <w:sz w:val="20"/>
                <w:szCs w:val="20"/>
                <w:color w:val="auto"/>
              </w:rPr>
            </w:pPr>
            <w:r>
              <w:rPr>
                <w:rFonts w:ascii="Arial" w:cs="Arial" w:eastAsia="Arial" w:hAnsi="Arial"/>
                <w:sz w:val="10"/>
                <w:szCs w:val="10"/>
                <w:color w:val="auto"/>
              </w:rPr>
              <w:t>Current liabilities:</w:t>
            </w:r>
          </w:p>
        </w:tc>
        <w:tc>
          <w:tcPr>
            <w:tcW w:w="100" w:type="dxa"/>
            <w:vAlign w:val="bottom"/>
            <w:shd w:val="clear" w:color="auto" w:fill="CFF0FC"/>
          </w:tcPr>
          <w:p>
            <w:pPr>
              <w:spacing w:after="0"/>
              <w:rPr>
                <w:sz w:val="9"/>
                <w:szCs w:val="9"/>
                <w:color w:val="auto"/>
              </w:rPr>
            </w:pPr>
          </w:p>
        </w:tc>
        <w:tc>
          <w:tcPr>
            <w:tcW w:w="9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88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8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8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8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r>
      <w:tr>
        <w:trPr>
          <w:trHeight w:val="108"/>
        </w:trPr>
        <w:tc>
          <w:tcPr>
            <w:tcW w:w="5300" w:type="dxa"/>
            <w:vAlign w:val="bottom"/>
            <w:gridSpan w:val="2"/>
          </w:tcPr>
          <w:p>
            <w:pPr>
              <w:ind w:left="160"/>
              <w:spacing w:after="0" w:line="108" w:lineRule="exact"/>
              <w:rPr>
                <w:sz w:val="20"/>
                <w:szCs w:val="20"/>
                <w:color w:val="auto"/>
              </w:rPr>
            </w:pPr>
            <w:r>
              <w:rPr>
                <w:rFonts w:ascii="Arial" w:cs="Arial" w:eastAsia="Arial" w:hAnsi="Arial"/>
                <w:sz w:val="10"/>
                <w:szCs w:val="10"/>
                <w:color w:val="auto"/>
              </w:rPr>
              <w:t>Accounts payable</w:t>
            </w:r>
          </w:p>
        </w:tc>
        <w:tc>
          <w:tcPr>
            <w:tcW w:w="100" w:type="dxa"/>
            <w:vAlign w:val="bottom"/>
          </w:tcPr>
          <w:p>
            <w:pPr>
              <w:jc w:val="right"/>
              <w:spacing w:after="0" w:line="108" w:lineRule="exact"/>
              <w:rPr>
                <w:sz w:val="20"/>
                <w:szCs w:val="20"/>
                <w:color w:val="auto"/>
              </w:rPr>
            </w:pPr>
            <w:r>
              <w:rPr>
                <w:rFonts w:ascii="Arial" w:cs="Arial" w:eastAsia="Arial" w:hAnsi="Arial"/>
                <w:sz w:val="10"/>
                <w:szCs w:val="10"/>
                <w:color w:val="auto"/>
                <w:w w:val="71"/>
              </w:rPr>
              <w:t>$</w:t>
            </w:r>
          </w:p>
        </w:tc>
        <w:tc>
          <w:tcPr>
            <w:tcW w:w="1160" w:type="dxa"/>
            <w:vAlign w:val="bottom"/>
            <w:gridSpan w:val="2"/>
          </w:tcPr>
          <w:p>
            <w:pPr>
              <w:jc w:val="right"/>
              <w:ind w:right="240"/>
              <w:spacing w:after="0" w:line="108" w:lineRule="exact"/>
              <w:rPr>
                <w:sz w:val="20"/>
                <w:szCs w:val="20"/>
                <w:color w:val="auto"/>
              </w:rPr>
            </w:pPr>
            <w:r>
              <w:rPr>
                <w:rFonts w:ascii="Arial" w:cs="Arial" w:eastAsia="Arial" w:hAnsi="Arial"/>
                <w:sz w:val="10"/>
                <w:szCs w:val="10"/>
                <w:color w:val="auto"/>
              </w:rPr>
              <w:t>—</w:t>
            </w:r>
          </w:p>
        </w:tc>
        <w:tc>
          <w:tcPr>
            <w:tcW w:w="140" w:type="dxa"/>
            <w:vAlign w:val="bottom"/>
          </w:tcPr>
          <w:p>
            <w:pPr>
              <w:jc w:val="right"/>
              <w:ind w:right="76"/>
              <w:spacing w:after="0"/>
              <w:rPr>
                <w:sz w:val="20"/>
                <w:szCs w:val="20"/>
                <w:color w:val="auto"/>
              </w:rPr>
            </w:pPr>
            <w:r>
              <w:rPr>
                <w:rFonts w:ascii="Arial" w:cs="Arial" w:eastAsia="Arial" w:hAnsi="Arial"/>
                <w:sz w:val="5"/>
                <w:szCs w:val="5"/>
                <w:color w:val="auto"/>
                <w:w w:val="70"/>
              </w:rPr>
              <w:t>$</w:t>
            </w:r>
          </w:p>
        </w:tc>
        <w:tc>
          <w:tcPr>
            <w:tcW w:w="880" w:type="dxa"/>
            <w:vAlign w:val="bottom"/>
          </w:tcPr>
          <w:p>
            <w:pPr>
              <w:jc w:val="right"/>
              <w:spacing w:after="0" w:line="108" w:lineRule="exact"/>
              <w:rPr>
                <w:sz w:val="20"/>
                <w:szCs w:val="20"/>
                <w:color w:val="auto"/>
              </w:rPr>
            </w:pPr>
            <w:r>
              <w:rPr>
                <w:rFonts w:ascii="Arial" w:cs="Arial" w:eastAsia="Arial" w:hAnsi="Arial"/>
                <w:sz w:val="10"/>
                <w:szCs w:val="10"/>
                <w:color w:val="auto"/>
              </w:rPr>
              <w:t>36,314</w:t>
            </w:r>
          </w:p>
        </w:tc>
        <w:tc>
          <w:tcPr>
            <w:tcW w:w="240" w:type="dxa"/>
            <w:vAlign w:val="bottom"/>
          </w:tcPr>
          <w:p>
            <w:pPr>
              <w:spacing w:after="0"/>
              <w:rPr>
                <w:sz w:val="9"/>
                <w:szCs w:val="9"/>
                <w:color w:val="auto"/>
              </w:rPr>
            </w:pPr>
          </w:p>
        </w:tc>
        <w:tc>
          <w:tcPr>
            <w:tcW w:w="140" w:type="dxa"/>
            <w:vAlign w:val="bottom"/>
          </w:tcPr>
          <w:p>
            <w:pPr>
              <w:jc w:val="right"/>
              <w:ind w:right="76"/>
              <w:spacing w:after="0"/>
              <w:rPr>
                <w:sz w:val="20"/>
                <w:szCs w:val="20"/>
                <w:color w:val="auto"/>
              </w:rPr>
            </w:pPr>
            <w:r>
              <w:rPr>
                <w:rFonts w:ascii="Arial" w:cs="Arial" w:eastAsia="Arial" w:hAnsi="Arial"/>
                <w:sz w:val="5"/>
                <w:szCs w:val="5"/>
                <w:color w:val="auto"/>
                <w:w w:val="70"/>
              </w:rPr>
              <w:t>$</w:t>
            </w:r>
          </w:p>
        </w:tc>
        <w:tc>
          <w:tcPr>
            <w:tcW w:w="880" w:type="dxa"/>
            <w:vAlign w:val="bottom"/>
          </w:tcPr>
          <w:p>
            <w:pPr>
              <w:jc w:val="right"/>
              <w:spacing w:after="0" w:line="108" w:lineRule="exact"/>
              <w:rPr>
                <w:sz w:val="20"/>
                <w:szCs w:val="20"/>
                <w:color w:val="auto"/>
              </w:rPr>
            </w:pPr>
            <w:r>
              <w:rPr>
                <w:rFonts w:ascii="Arial" w:cs="Arial" w:eastAsia="Arial" w:hAnsi="Arial"/>
                <w:sz w:val="10"/>
                <w:szCs w:val="10"/>
                <w:color w:val="auto"/>
              </w:rPr>
              <w:t>14,511</w:t>
            </w:r>
          </w:p>
        </w:tc>
        <w:tc>
          <w:tcPr>
            <w:tcW w:w="380" w:type="dxa"/>
            <w:vAlign w:val="bottom"/>
            <w:gridSpan w:val="2"/>
          </w:tcPr>
          <w:p>
            <w:pPr>
              <w:jc w:val="right"/>
              <w:ind w:right="52"/>
              <w:spacing w:after="0" w:line="108" w:lineRule="exact"/>
              <w:rPr>
                <w:sz w:val="20"/>
                <w:szCs w:val="20"/>
                <w:color w:val="auto"/>
              </w:rPr>
            </w:pPr>
            <w:r>
              <w:rPr>
                <w:rFonts w:ascii="Arial" w:cs="Arial" w:eastAsia="Arial" w:hAnsi="Arial"/>
                <w:sz w:val="10"/>
                <w:szCs w:val="10"/>
                <w:color w:val="auto"/>
              </w:rPr>
              <w:t>$</w:t>
            </w:r>
          </w:p>
        </w:tc>
        <w:tc>
          <w:tcPr>
            <w:tcW w:w="1000" w:type="dxa"/>
            <w:vAlign w:val="bottom"/>
            <w:gridSpan w:val="2"/>
          </w:tcPr>
          <w:p>
            <w:pPr>
              <w:jc w:val="right"/>
              <w:ind w:right="140"/>
              <w:spacing w:after="0" w:line="108" w:lineRule="exact"/>
              <w:rPr>
                <w:sz w:val="20"/>
                <w:szCs w:val="20"/>
                <w:color w:val="auto"/>
              </w:rPr>
            </w:pPr>
            <w:r>
              <w:rPr>
                <w:rFonts w:ascii="Arial" w:cs="Arial" w:eastAsia="Arial" w:hAnsi="Arial"/>
                <w:sz w:val="10"/>
                <w:szCs w:val="10"/>
                <w:color w:val="auto"/>
              </w:rPr>
              <w:t>—</w:t>
            </w:r>
          </w:p>
        </w:tc>
        <w:tc>
          <w:tcPr>
            <w:tcW w:w="260" w:type="dxa"/>
            <w:vAlign w:val="bottom"/>
            <w:gridSpan w:val="2"/>
          </w:tcPr>
          <w:p>
            <w:pPr>
              <w:jc w:val="right"/>
              <w:ind w:right="52"/>
              <w:spacing w:after="0" w:line="108" w:lineRule="exact"/>
              <w:rPr>
                <w:sz w:val="20"/>
                <w:szCs w:val="20"/>
                <w:color w:val="auto"/>
              </w:rPr>
            </w:pPr>
            <w:r>
              <w:rPr>
                <w:rFonts w:ascii="Arial" w:cs="Arial" w:eastAsia="Arial" w:hAnsi="Arial"/>
                <w:sz w:val="10"/>
                <w:szCs w:val="10"/>
                <w:color w:val="auto"/>
              </w:rPr>
              <w:t>$</w:t>
            </w:r>
          </w:p>
        </w:tc>
        <w:tc>
          <w:tcPr>
            <w:tcW w:w="880" w:type="dxa"/>
            <w:vAlign w:val="bottom"/>
          </w:tcPr>
          <w:p>
            <w:pPr>
              <w:jc w:val="right"/>
              <w:spacing w:after="0" w:line="108" w:lineRule="exact"/>
              <w:rPr>
                <w:sz w:val="20"/>
                <w:szCs w:val="20"/>
                <w:color w:val="auto"/>
              </w:rPr>
            </w:pPr>
            <w:r>
              <w:rPr>
                <w:rFonts w:ascii="Arial" w:cs="Arial" w:eastAsia="Arial" w:hAnsi="Arial"/>
                <w:sz w:val="10"/>
                <w:szCs w:val="10"/>
                <w:color w:val="auto"/>
              </w:rPr>
              <w:t>50,825</w:t>
            </w:r>
          </w:p>
        </w:tc>
        <w:tc>
          <w:tcPr>
            <w:tcW w:w="120" w:type="dxa"/>
            <w:vAlign w:val="bottom"/>
          </w:tcPr>
          <w:p>
            <w:pPr>
              <w:spacing w:after="0"/>
              <w:rPr>
                <w:sz w:val="9"/>
                <w:szCs w:val="9"/>
                <w:color w:val="auto"/>
              </w:rPr>
            </w:pPr>
          </w:p>
        </w:tc>
      </w:tr>
      <w:tr>
        <w:trPr>
          <w:trHeight w:val="108"/>
        </w:trPr>
        <w:tc>
          <w:tcPr>
            <w:tcW w:w="5300" w:type="dxa"/>
            <w:vAlign w:val="bottom"/>
            <w:gridSpan w:val="2"/>
            <w:shd w:val="clear" w:color="auto" w:fill="CFF0FC"/>
          </w:tcPr>
          <w:p>
            <w:pPr>
              <w:ind w:left="160"/>
              <w:spacing w:after="0" w:line="108" w:lineRule="exact"/>
              <w:rPr>
                <w:sz w:val="20"/>
                <w:szCs w:val="20"/>
                <w:color w:val="auto"/>
              </w:rPr>
            </w:pPr>
            <w:r>
              <w:rPr>
                <w:rFonts w:ascii="Arial" w:cs="Arial" w:eastAsia="Arial" w:hAnsi="Arial"/>
                <w:sz w:val="10"/>
                <w:szCs w:val="10"/>
                <w:color w:val="auto"/>
              </w:rPr>
              <w:t>Accrued liabilities</w:t>
            </w:r>
          </w:p>
        </w:tc>
        <w:tc>
          <w:tcPr>
            <w:tcW w:w="100" w:type="dxa"/>
            <w:vAlign w:val="bottom"/>
            <w:shd w:val="clear" w:color="auto" w:fill="CFF0FC"/>
          </w:tcPr>
          <w:p>
            <w:pPr>
              <w:spacing w:after="0"/>
              <w:rPr>
                <w:sz w:val="9"/>
                <w:szCs w:val="9"/>
                <w:color w:val="auto"/>
              </w:rPr>
            </w:pPr>
          </w:p>
        </w:tc>
        <w:tc>
          <w:tcPr>
            <w:tcW w:w="1160" w:type="dxa"/>
            <w:vAlign w:val="bottom"/>
            <w:gridSpan w:val="2"/>
            <w:shd w:val="clear" w:color="auto" w:fill="CFF0FC"/>
          </w:tcPr>
          <w:p>
            <w:pPr>
              <w:jc w:val="right"/>
              <w:ind w:right="240"/>
              <w:spacing w:after="0" w:line="108" w:lineRule="exact"/>
              <w:rPr>
                <w:sz w:val="20"/>
                <w:szCs w:val="20"/>
                <w:color w:val="auto"/>
              </w:rPr>
            </w:pPr>
            <w:r>
              <w:rPr>
                <w:rFonts w:ascii="Arial" w:cs="Arial" w:eastAsia="Arial" w:hAnsi="Arial"/>
                <w:sz w:val="10"/>
                <w:szCs w:val="10"/>
                <w:color w:val="auto"/>
              </w:rPr>
              <w:t>—</w:t>
            </w:r>
          </w:p>
        </w:tc>
        <w:tc>
          <w:tcPr>
            <w:tcW w:w="140" w:type="dxa"/>
            <w:vAlign w:val="bottom"/>
            <w:shd w:val="clear" w:color="auto" w:fill="CFF0FC"/>
          </w:tcPr>
          <w:p>
            <w:pPr>
              <w:spacing w:after="0"/>
              <w:rPr>
                <w:sz w:val="9"/>
                <w:szCs w:val="9"/>
                <w:color w:val="auto"/>
              </w:rPr>
            </w:pPr>
          </w:p>
        </w:tc>
        <w:tc>
          <w:tcPr>
            <w:tcW w:w="880" w:type="dxa"/>
            <w:vAlign w:val="bottom"/>
            <w:shd w:val="clear" w:color="auto" w:fill="CFF0FC"/>
          </w:tcPr>
          <w:p>
            <w:pPr>
              <w:jc w:val="right"/>
              <w:spacing w:after="0" w:line="108" w:lineRule="exact"/>
              <w:rPr>
                <w:sz w:val="20"/>
                <w:szCs w:val="20"/>
                <w:color w:val="auto"/>
              </w:rPr>
            </w:pPr>
            <w:r>
              <w:rPr>
                <w:rFonts w:ascii="Arial" w:cs="Arial" w:eastAsia="Arial" w:hAnsi="Arial"/>
                <w:sz w:val="10"/>
                <w:szCs w:val="10"/>
                <w:color w:val="auto"/>
              </w:rPr>
              <w:t>22,151</w:t>
            </w:r>
          </w:p>
        </w:tc>
        <w:tc>
          <w:tcPr>
            <w:tcW w:w="24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880" w:type="dxa"/>
            <w:vAlign w:val="bottom"/>
            <w:shd w:val="clear" w:color="auto" w:fill="CFF0FC"/>
          </w:tcPr>
          <w:p>
            <w:pPr>
              <w:jc w:val="right"/>
              <w:spacing w:after="0" w:line="108" w:lineRule="exact"/>
              <w:rPr>
                <w:sz w:val="20"/>
                <w:szCs w:val="20"/>
                <w:color w:val="auto"/>
              </w:rPr>
            </w:pPr>
            <w:r>
              <w:rPr>
                <w:rFonts w:ascii="Arial" w:cs="Arial" w:eastAsia="Arial" w:hAnsi="Arial"/>
                <w:sz w:val="10"/>
                <w:szCs w:val="10"/>
                <w:color w:val="auto"/>
              </w:rPr>
              <w:t>3,126</w:t>
            </w:r>
          </w:p>
        </w:tc>
        <w:tc>
          <w:tcPr>
            <w:tcW w:w="22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1000" w:type="dxa"/>
            <w:vAlign w:val="bottom"/>
            <w:gridSpan w:val="2"/>
            <w:shd w:val="clear" w:color="auto" w:fill="CFF0FC"/>
          </w:tcPr>
          <w:p>
            <w:pPr>
              <w:jc w:val="right"/>
              <w:ind w:right="140"/>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880" w:type="dxa"/>
            <w:vAlign w:val="bottom"/>
            <w:shd w:val="clear" w:color="auto" w:fill="CFF0FC"/>
          </w:tcPr>
          <w:p>
            <w:pPr>
              <w:jc w:val="right"/>
              <w:spacing w:after="0" w:line="108" w:lineRule="exact"/>
              <w:rPr>
                <w:sz w:val="20"/>
                <w:szCs w:val="20"/>
                <w:color w:val="auto"/>
              </w:rPr>
            </w:pPr>
            <w:r>
              <w:rPr>
                <w:rFonts w:ascii="Arial" w:cs="Arial" w:eastAsia="Arial" w:hAnsi="Arial"/>
                <w:sz w:val="10"/>
                <w:szCs w:val="10"/>
                <w:color w:val="auto"/>
              </w:rPr>
              <w:t>25,277</w:t>
            </w:r>
          </w:p>
        </w:tc>
        <w:tc>
          <w:tcPr>
            <w:tcW w:w="120" w:type="dxa"/>
            <w:vAlign w:val="bottom"/>
            <w:shd w:val="clear" w:color="auto" w:fill="CFF0FC"/>
          </w:tcPr>
          <w:p>
            <w:pPr>
              <w:spacing w:after="0"/>
              <w:rPr>
                <w:sz w:val="9"/>
                <w:szCs w:val="9"/>
                <w:color w:val="auto"/>
              </w:rPr>
            </w:pPr>
          </w:p>
        </w:tc>
      </w:tr>
      <w:tr>
        <w:trPr>
          <w:trHeight w:val="108"/>
        </w:trPr>
        <w:tc>
          <w:tcPr>
            <w:tcW w:w="5300" w:type="dxa"/>
            <w:vAlign w:val="bottom"/>
            <w:gridSpan w:val="2"/>
          </w:tcPr>
          <w:p>
            <w:pPr>
              <w:ind w:left="160"/>
              <w:spacing w:after="0" w:line="108" w:lineRule="exact"/>
              <w:rPr>
                <w:sz w:val="20"/>
                <w:szCs w:val="20"/>
                <w:color w:val="auto"/>
              </w:rPr>
            </w:pPr>
            <w:r>
              <w:rPr>
                <w:rFonts w:ascii="Arial" w:cs="Arial" w:eastAsia="Arial" w:hAnsi="Arial"/>
                <w:sz w:val="10"/>
                <w:szCs w:val="10"/>
                <w:color w:val="auto"/>
              </w:rPr>
              <w:t>Current portion of long-term debt</w:t>
            </w:r>
          </w:p>
        </w:tc>
        <w:tc>
          <w:tcPr>
            <w:tcW w:w="100" w:type="dxa"/>
            <w:vAlign w:val="bottom"/>
          </w:tcPr>
          <w:p>
            <w:pPr>
              <w:spacing w:after="0"/>
              <w:rPr>
                <w:sz w:val="9"/>
                <w:szCs w:val="9"/>
                <w:color w:val="auto"/>
              </w:rPr>
            </w:pPr>
          </w:p>
        </w:tc>
        <w:tc>
          <w:tcPr>
            <w:tcW w:w="1160" w:type="dxa"/>
            <w:vAlign w:val="bottom"/>
            <w:gridSpan w:val="2"/>
          </w:tcPr>
          <w:p>
            <w:pPr>
              <w:jc w:val="right"/>
              <w:ind w:right="240"/>
              <w:spacing w:after="0" w:line="108" w:lineRule="exact"/>
              <w:rPr>
                <w:sz w:val="20"/>
                <w:szCs w:val="20"/>
                <w:color w:val="auto"/>
              </w:rPr>
            </w:pPr>
            <w:r>
              <w:rPr>
                <w:rFonts w:ascii="Arial" w:cs="Arial" w:eastAsia="Arial" w:hAnsi="Arial"/>
                <w:sz w:val="10"/>
                <w:szCs w:val="10"/>
                <w:color w:val="auto"/>
              </w:rPr>
              <w:t>—</w:t>
            </w:r>
          </w:p>
        </w:tc>
        <w:tc>
          <w:tcPr>
            <w:tcW w:w="140" w:type="dxa"/>
            <w:vAlign w:val="bottom"/>
          </w:tcPr>
          <w:p>
            <w:pPr>
              <w:spacing w:after="0"/>
              <w:rPr>
                <w:sz w:val="9"/>
                <w:szCs w:val="9"/>
                <w:color w:val="auto"/>
              </w:rPr>
            </w:pPr>
          </w:p>
        </w:tc>
        <w:tc>
          <w:tcPr>
            <w:tcW w:w="880" w:type="dxa"/>
            <w:vAlign w:val="bottom"/>
          </w:tcPr>
          <w:p>
            <w:pPr>
              <w:jc w:val="right"/>
              <w:spacing w:after="0" w:line="108" w:lineRule="exact"/>
              <w:rPr>
                <w:sz w:val="20"/>
                <w:szCs w:val="20"/>
                <w:color w:val="auto"/>
              </w:rPr>
            </w:pPr>
            <w:r>
              <w:rPr>
                <w:rFonts w:ascii="Arial" w:cs="Arial" w:eastAsia="Arial" w:hAnsi="Arial"/>
                <w:sz w:val="10"/>
                <w:szCs w:val="10"/>
                <w:color w:val="auto"/>
              </w:rPr>
              <w:t>28,779</w:t>
            </w: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jc w:val="right"/>
              <w:spacing w:after="0" w:line="108" w:lineRule="exact"/>
              <w:rPr>
                <w:sz w:val="20"/>
                <w:szCs w:val="20"/>
                <w:color w:val="auto"/>
              </w:rPr>
            </w:pPr>
            <w:r>
              <w:rPr>
                <w:rFonts w:ascii="Arial" w:cs="Arial" w:eastAsia="Arial" w:hAnsi="Arial"/>
                <w:sz w:val="10"/>
                <w:szCs w:val="10"/>
                <w:color w:val="auto"/>
              </w:rPr>
              <w:t>—</w:t>
            </w: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gridSpan w:val="2"/>
          </w:tcPr>
          <w:p>
            <w:pPr>
              <w:jc w:val="right"/>
              <w:ind w:right="140"/>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jc w:val="right"/>
              <w:spacing w:after="0" w:line="108" w:lineRule="exact"/>
              <w:rPr>
                <w:sz w:val="20"/>
                <w:szCs w:val="20"/>
                <w:color w:val="auto"/>
              </w:rPr>
            </w:pPr>
            <w:r>
              <w:rPr>
                <w:rFonts w:ascii="Arial" w:cs="Arial" w:eastAsia="Arial" w:hAnsi="Arial"/>
                <w:sz w:val="10"/>
                <w:szCs w:val="10"/>
                <w:color w:val="auto"/>
              </w:rPr>
              <w:t>28,779</w:t>
            </w:r>
          </w:p>
        </w:tc>
        <w:tc>
          <w:tcPr>
            <w:tcW w:w="120" w:type="dxa"/>
            <w:vAlign w:val="bottom"/>
          </w:tcPr>
          <w:p>
            <w:pPr>
              <w:spacing w:after="0"/>
              <w:rPr>
                <w:sz w:val="9"/>
                <w:szCs w:val="9"/>
                <w:color w:val="auto"/>
              </w:rPr>
            </w:pPr>
          </w:p>
        </w:tc>
      </w:tr>
      <w:tr>
        <w:trPr>
          <w:trHeight w:val="97"/>
        </w:trPr>
        <w:tc>
          <w:tcPr>
            <w:tcW w:w="5300" w:type="dxa"/>
            <w:vAlign w:val="bottom"/>
            <w:tcBorders>
              <w:top w:val="single" w:sz="8" w:color="CFF0FC"/>
            </w:tcBorders>
            <w:gridSpan w:val="2"/>
            <w:shd w:val="clear" w:color="auto" w:fill="CFF0FC"/>
          </w:tcPr>
          <w:p>
            <w:pPr>
              <w:spacing w:after="0" w:line="97" w:lineRule="exact"/>
              <w:rPr>
                <w:sz w:val="20"/>
                <w:szCs w:val="20"/>
                <w:color w:val="auto"/>
              </w:rPr>
            </w:pPr>
            <w:r>
              <w:rPr>
                <w:rFonts w:ascii="Arial" w:cs="Arial" w:eastAsia="Arial" w:hAnsi="Arial"/>
                <w:sz w:val="10"/>
                <w:szCs w:val="10"/>
                <w:color w:val="auto"/>
              </w:rPr>
              <w:t>Total current liabilities</w:t>
            </w:r>
          </w:p>
        </w:tc>
        <w:tc>
          <w:tcPr>
            <w:tcW w:w="100" w:type="dxa"/>
            <w:vAlign w:val="bottom"/>
            <w:tcBorders>
              <w:top w:val="single" w:sz="8" w:color="auto"/>
            </w:tcBorders>
            <w:shd w:val="clear" w:color="auto" w:fill="CFF0FC"/>
          </w:tcPr>
          <w:p>
            <w:pPr>
              <w:spacing w:after="0"/>
              <w:rPr>
                <w:sz w:val="8"/>
                <w:szCs w:val="8"/>
                <w:color w:val="auto"/>
              </w:rPr>
            </w:pPr>
          </w:p>
        </w:tc>
        <w:tc>
          <w:tcPr>
            <w:tcW w:w="940" w:type="dxa"/>
            <w:vAlign w:val="bottom"/>
            <w:tcBorders>
              <w:top w:val="single" w:sz="8" w:color="auto"/>
            </w:tcBorders>
            <w:shd w:val="clear" w:color="auto" w:fill="CFF0FC"/>
          </w:tcPr>
          <w:p>
            <w:pPr>
              <w:jc w:val="right"/>
              <w:spacing w:after="0" w:line="97" w:lineRule="exact"/>
              <w:rPr>
                <w:sz w:val="20"/>
                <w:szCs w:val="20"/>
                <w:color w:val="auto"/>
              </w:rPr>
            </w:pPr>
            <w:r>
              <w:rPr>
                <w:rFonts w:ascii="Arial" w:cs="Arial" w:eastAsia="Arial" w:hAnsi="Arial"/>
                <w:sz w:val="10"/>
                <w:szCs w:val="10"/>
                <w:color w:val="auto"/>
              </w:rPr>
              <w:t>—</w:t>
            </w:r>
          </w:p>
        </w:tc>
        <w:tc>
          <w:tcPr>
            <w:tcW w:w="220" w:type="dxa"/>
            <w:vAlign w:val="bottom"/>
            <w:tcBorders>
              <w:top w:val="single" w:sz="8" w:color="CFF0FC"/>
            </w:tcBorders>
            <w:shd w:val="clear" w:color="auto" w:fill="CFF0FC"/>
          </w:tcPr>
          <w:p>
            <w:pPr>
              <w:spacing w:after="0"/>
              <w:rPr>
                <w:sz w:val="8"/>
                <w:szCs w:val="8"/>
                <w:color w:val="auto"/>
              </w:rPr>
            </w:pPr>
          </w:p>
        </w:tc>
        <w:tc>
          <w:tcPr>
            <w:tcW w:w="140" w:type="dxa"/>
            <w:vAlign w:val="bottom"/>
            <w:tcBorders>
              <w:top w:val="single" w:sz="8" w:color="auto"/>
            </w:tcBorders>
            <w:shd w:val="clear" w:color="auto" w:fill="CFF0FC"/>
          </w:tcPr>
          <w:p>
            <w:pPr>
              <w:spacing w:after="0"/>
              <w:rPr>
                <w:sz w:val="8"/>
                <w:szCs w:val="8"/>
                <w:color w:val="auto"/>
              </w:rPr>
            </w:pPr>
          </w:p>
        </w:tc>
        <w:tc>
          <w:tcPr>
            <w:tcW w:w="880" w:type="dxa"/>
            <w:vAlign w:val="bottom"/>
            <w:tcBorders>
              <w:top w:val="single" w:sz="8" w:color="auto"/>
            </w:tcBorders>
            <w:shd w:val="clear" w:color="auto" w:fill="CFF0FC"/>
          </w:tcPr>
          <w:p>
            <w:pPr>
              <w:jc w:val="right"/>
              <w:spacing w:after="0" w:line="97" w:lineRule="exact"/>
              <w:rPr>
                <w:sz w:val="20"/>
                <w:szCs w:val="20"/>
                <w:color w:val="auto"/>
              </w:rPr>
            </w:pPr>
            <w:r>
              <w:rPr>
                <w:rFonts w:ascii="Arial" w:cs="Arial" w:eastAsia="Arial" w:hAnsi="Arial"/>
                <w:sz w:val="10"/>
                <w:szCs w:val="10"/>
                <w:color w:val="auto"/>
              </w:rPr>
              <w:t>87,244</w:t>
            </w:r>
          </w:p>
        </w:tc>
        <w:tc>
          <w:tcPr>
            <w:tcW w:w="240" w:type="dxa"/>
            <w:vAlign w:val="bottom"/>
            <w:tcBorders>
              <w:top w:val="single" w:sz="8" w:color="CFF0FC"/>
            </w:tcBorders>
            <w:shd w:val="clear" w:color="auto" w:fill="CFF0FC"/>
          </w:tcPr>
          <w:p>
            <w:pPr>
              <w:spacing w:after="0"/>
              <w:rPr>
                <w:sz w:val="8"/>
                <w:szCs w:val="8"/>
                <w:color w:val="auto"/>
              </w:rPr>
            </w:pPr>
          </w:p>
        </w:tc>
        <w:tc>
          <w:tcPr>
            <w:tcW w:w="140" w:type="dxa"/>
            <w:vAlign w:val="bottom"/>
            <w:tcBorders>
              <w:top w:val="single" w:sz="8" w:color="auto"/>
            </w:tcBorders>
            <w:shd w:val="clear" w:color="auto" w:fill="CFF0FC"/>
          </w:tcPr>
          <w:p>
            <w:pPr>
              <w:spacing w:after="0"/>
              <w:rPr>
                <w:sz w:val="8"/>
                <w:szCs w:val="8"/>
                <w:color w:val="auto"/>
              </w:rPr>
            </w:pPr>
          </w:p>
        </w:tc>
        <w:tc>
          <w:tcPr>
            <w:tcW w:w="880" w:type="dxa"/>
            <w:vAlign w:val="bottom"/>
            <w:tcBorders>
              <w:top w:val="single" w:sz="8" w:color="auto"/>
            </w:tcBorders>
            <w:shd w:val="clear" w:color="auto" w:fill="CFF0FC"/>
          </w:tcPr>
          <w:p>
            <w:pPr>
              <w:jc w:val="right"/>
              <w:spacing w:after="0" w:line="97" w:lineRule="exact"/>
              <w:rPr>
                <w:sz w:val="20"/>
                <w:szCs w:val="20"/>
                <w:color w:val="auto"/>
              </w:rPr>
            </w:pPr>
            <w:r>
              <w:rPr>
                <w:rFonts w:ascii="Arial" w:cs="Arial" w:eastAsia="Arial" w:hAnsi="Arial"/>
                <w:sz w:val="10"/>
                <w:szCs w:val="10"/>
                <w:color w:val="auto"/>
              </w:rPr>
              <w:t>17,637</w:t>
            </w:r>
          </w:p>
        </w:tc>
        <w:tc>
          <w:tcPr>
            <w:tcW w:w="220" w:type="dxa"/>
            <w:vAlign w:val="bottom"/>
            <w:tcBorders>
              <w:top w:val="single" w:sz="8" w:color="CFF0FC"/>
            </w:tcBorders>
            <w:shd w:val="clear" w:color="auto" w:fill="CFF0FC"/>
          </w:tcPr>
          <w:p>
            <w:pPr>
              <w:spacing w:after="0"/>
              <w:rPr>
                <w:sz w:val="8"/>
                <w:szCs w:val="8"/>
                <w:color w:val="auto"/>
              </w:rPr>
            </w:pPr>
          </w:p>
        </w:tc>
        <w:tc>
          <w:tcPr>
            <w:tcW w:w="160" w:type="dxa"/>
            <w:vAlign w:val="bottom"/>
            <w:tcBorders>
              <w:top w:val="single" w:sz="8" w:color="auto"/>
            </w:tcBorders>
            <w:shd w:val="clear" w:color="auto" w:fill="CFF0FC"/>
          </w:tcPr>
          <w:p>
            <w:pPr>
              <w:spacing w:after="0"/>
              <w:rPr>
                <w:sz w:val="8"/>
                <w:szCs w:val="8"/>
                <w:color w:val="auto"/>
              </w:rPr>
            </w:pPr>
          </w:p>
        </w:tc>
        <w:tc>
          <w:tcPr>
            <w:tcW w:w="880" w:type="dxa"/>
            <w:vAlign w:val="bottom"/>
            <w:tcBorders>
              <w:top w:val="single" w:sz="8" w:color="auto"/>
            </w:tcBorders>
            <w:shd w:val="clear" w:color="auto" w:fill="CFF0FC"/>
          </w:tcPr>
          <w:p>
            <w:pPr>
              <w:jc w:val="right"/>
              <w:spacing w:after="0" w:line="97" w:lineRule="exact"/>
              <w:rPr>
                <w:sz w:val="20"/>
                <w:szCs w:val="20"/>
                <w:color w:val="auto"/>
              </w:rPr>
            </w:pPr>
            <w:r>
              <w:rPr>
                <w:rFonts w:ascii="Arial" w:cs="Arial" w:eastAsia="Arial" w:hAnsi="Arial"/>
                <w:sz w:val="10"/>
                <w:szCs w:val="10"/>
                <w:color w:val="auto"/>
              </w:rPr>
              <w:t>—</w:t>
            </w:r>
          </w:p>
        </w:tc>
        <w:tc>
          <w:tcPr>
            <w:tcW w:w="120" w:type="dxa"/>
            <w:vAlign w:val="bottom"/>
            <w:tcBorders>
              <w:top w:val="single" w:sz="8" w:color="CFF0FC"/>
            </w:tcBorders>
            <w:shd w:val="clear" w:color="auto" w:fill="CFF0FC"/>
          </w:tcPr>
          <w:p>
            <w:pPr>
              <w:spacing w:after="0"/>
              <w:rPr>
                <w:sz w:val="8"/>
                <w:szCs w:val="8"/>
                <w:color w:val="auto"/>
              </w:rPr>
            </w:pPr>
          </w:p>
        </w:tc>
        <w:tc>
          <w:tcPr>
            <w:tcW w:w="100" w:type="dxa"/>
            <w:vAlign w:val="bottom"/>
            <w:tcBorders>
              <w:top w:val="single" w:sz="8" w:color="CFF0FC"/>
            </w:tcBorders>
            <w:shd w:val="clear" w:color="auto" w:fill="CFF0FC"/>
          </w:tcPr>
          <w:p>
            <w:pPr>
              <w:spacing w:after="0"/>
              <w:rPr>
                <w:sz w:val="8"/>
                <w:szCs w:val="8"/>
                <w:color w:val="auto"/>
              </w:rPr>
            </w:pPr>
          </w:p>
        </w:tc>
        <w:tc>
          <w:tcPr>
            <w:tcW w:w="160" w:type="dxa"/>
            <w:vAlign w:val="bottom"/>
            <w:tcBorders>
              <w:top w:val="single" w:sz="8" w:color="auto"/>
            </w:tcBorders>
            <w:shd w:val="clear" w:color="auto" w:fill="CFF0FC"/>
          </w:tcPr>
          <w:p>
            <w:pPr>
              <w:spacing w:after="0"/>
              <w:rPr>
                <w:sz w:val="8"/>
                <w:szCs w:val="8"/>
                <w:color w:val="auto"/>
              </w:rPr>
            </w:pPr>
          </w:p>
        </w:tc>
        <w:tc>
          <w:tcPr>
            <w:tcW w:w="880" w:type="dxa"/>
            <w:vAlign w:val="bottom"/>
            <w:tcBorders>
              <w:top w:val="single" w:sz="8" w:color="auto"/>
            </w:tcBorders>
            <w:shd w:val="clear" w:color="auto" w:fill="CFF0FC"/>
          </w:tcPr>
          <w:p>
            <w:pPr>
              <w:jc w:val="right"/>
              <w:spacing w:after="0" w:line="97" w:lineRule="exact"/>
              <w:rPr>
                <w:sz w:val="20"/>
                <w:szCs w:val="20"/>
                <w:color w:val="auto"/>
              </w:rPr>
            </w:pPr>
            <w:r>
              <w:rPr>
                <w:rFonts w:ascii="Arial" w:cs="Arial" w:eastAsia="Arial" w:hAnsi="Arial"/>
                <w:sz w:val="10"/>
                <w:szCs w:val="10"/>
                <w:color w:val="auto"/>
              </w:rPr>
              <w:t>104,881</w:t>
            </w:r>
          </w:p>
        </w:tc>
        <w:tc>
          <w:tcPr>
            <w:tcW w:w="120" w:type="dxa"/>
            <w:vAlign w:val="bottom"/>
            <w:tcBorders>
              <w:top w:val="single" w:sz="8" w:color="CFF0FC"/>
            </w:tcBorders>
            <w:shd w:val="clear" w:color="auto" w:fill="CFF0FC"/>
          </w:tcPr>
          <w:p>
            <w:pPr>
              <w:spacing w:after="0"/>
              <w:rPr>
                <w:sz w:val="8"/>
                <w:szCs w:val="8"/>
                <w:color w:val="auto"/>
              </w:rPr>
            </w:pPr>
          </w:p>
        </w:tc>
      </w:tr>
      <w:tr>
        <w:trPr>
          <w:trHeight w:val="108"/>
        </w:trPr>
        <w:tc>
          <w:tcPr>
            <w:tcW w:w="5300" w:type="dxa"/>
            <w:vAlign w:val="bottom"/>
            <w:gridSpan w:val="2"/>
          </w:tcPr>
          <w:p>
            <w:pPr>
              <w:ind w:left="80"/>
              <w:spacing w:after="0" w:line="108" w:lineRule="exact"/>
              <w:rPr>
                <w:sz w:val="20"/>
                <w:szCs w:val="20"/>
                <w:color w:val="auto"/>
              </w:rPr>
            </w:pPr>
            <w:r>
              <w:rPr>
                <w:rFonts w:ascii="Arial" w:cs="Arial" w:eastAsia="Arial" w:hAnsi="Arial"/>
                <w:sz w:val="10"/>
                <w:szCs w:val="10"/>
                <w:color w:val="auto"/>
              </w:rPr>
              <w:t>Long-term debt, net of current portion and deferred financing costs</w:t>
            </w:r>
          </w:p>
        </w:tc>
        <w:tc>
          <w:tcPr>
            <w:tcW w:w="100" w:type="dxa"/>
            <w:vAlign w:val="bottom"/>
          </w:tcPr>
          <w:p>
            <w:pPr>
              <w:spacing w:after="0"/>
              <w:rPr>
                <w:sz w:val="9"/>
                <w:szCs w:val="9"/>
                <w:color w:val="auto"/>
              </w:rPr>
            </w:pPr>
          </w:p>
        </w:tc>
        <w:tc>
          <w:tcPr>
            <w:tcW w:w="1160" w:type="dxa"/>
            <w:vAlign w:val="bottom"/>
            <w:gridSpan w:val="2"/>
          </w:tcPr>
          <w:p>
            <w:pPr>
              <w:jc w:val="right"/>
              <w:ind w:right="240"/>
              <w:spacing w:after="0" w:line="108" w:lineRule="exact"/>
              <w:rPr>
                <w:sz w:val="20"/>
                <w:szCs w:val="20"/>
                <w:color w:val="auto"/>
              </w:rPr>
            </w:pPr>
            <w:r>
              <w:rPr>
                <w:rFonts w:ascii="Arial" w:cs="Arial" w:eastAsia="Arial" w:hAnsi="Arial"/>
                <w:sz w:val="10"/>
                <w:szCs w:val="10"/>
                <w:color w:val="auto"/>
              </w:rPr>
              <w:t>—</w:t>
            </w:r>
          </w:p>
        </w:tc>
        <w:tc>
          <w:tcPr>
            <w:tcW w:w="140" w:type="dxa"/>
            <w:vAlign w:val="bottom"/>
          </w:tcPr>
          <w:p>
            <w:pPr>
              <w:spacing w:after="0"/>
              <w:rPr>
                <w:sz w:val="9"/>
                <w:szCs w:val="9"/>
                <w:color w:val="auto"/>
              </w:rPr>
            </w:pPr>
          </w:p>
        </w:tc>
        <w:tc>
          <w:tcPr>
            <w:tcW w:w="880" w:type="dxa"/>
            <w:vAlign w:val="bottom"/>
          </w:tcPr>
          <w:p>
            <w:pPr>
              <w:jc w:val="right"/>
              <w:spacing w:after="0" w:line="108" w:lineRule="exact"/>
              <w:rPr>
                <w:sz w:val="20"/>
                <w:szCs w:val="20"/>
                <w:color w:val="auto"/>
              </w:rPr>
            </w:pPr>
            <w:r>
              <w:rPr>
                <w:rFonts w:ascii="Arial" w:cs="Arial" w:eastAsia="Arial" w:hAnsi="Arial"/>
                <w:sz w:val="10"/>
                <w:szCs w:val="10"/>
                <w:color w:val="auto"/>
              </w:rPr>
              <w:t>837,686</w:t>
            </w: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jc w:val="right"/>
              <w:spacing w:after="0" w:line="108" w:lineRule="exact"/>
              <w:rPr>
                <w:sz w:val="20"/>
                <w:szCs w:val="20"/>
                <w:color w:val="auto"/>
              </w:rPr>
            </w:pPr>
            <w:r>
              <w:rPr>
                <w:rFonts w:ascii="Arial" w:cs="Arial" w:eastAsia="Arial" w:hAnsi="Arial"/>
                <w:sz w:val="10"/>
                <w:szCs w:val="10"/>
                <w:color w:val="auto"/>
              </w:rPr>
              <w:t>—</w:t>
            </w: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gridSpan w:val="2"/>
          </w:tcPr>
          <w:p>
            <w:pPr>
              <w:jc w:val="right"/>
              <w:ind w:right="140"/>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jc w:val="right"/>
              <w:spacing w:after="0" w:line="108" w:lineRule="exact"/>
              <w:rPr>
                <w:sz w:val="20"/>
                <w:szCs w:val="20"/>
                <w:color w:val="auto"/>
              </w:rPr>
            </w:pPr>
            <w:r>
              <w:rPr>
                <w:rFonts w:ascii="Arial" w:cs="Arial" w:eastAsia="Arial" w:hAnsi="Arial"/>
                <w:sz w:val="10"/>
                <w:szCs w:val="10"/>
                <w:color w:val="auto"/>
              </w:rPr>
              <w:t>837,686</w:t>
            </w:r>
          </w:p>
        </w:tc>
        <w:tc>
          <w:tcPr>
            <w:tcW w:w="120" w:type="dxa"/>
            <w:vAlign w:val="bottom"/>
          </w:tcPr>
          <w:p>
            <w:pPr>
              <w:spacing w:after="0"/>
              <w:rPr>
                <w:sz w:val="9"/>
                <w:szCs w:val="9"/>
                <w:color w:val="auto"/>
              </w:rPr>
            </w:pPr>
          </w:p>
        </w:tc>
      </w:tr>
      <w:tr>
        <w:trPr>
          <w:trHeight w:val="108"/>
        </w:trPr>
        <w:tc>
          <w:tcPr>
            <w:tcW w:w="5300" w:type="dxa"/>
            <w:vAlign w:val="bottom"/>
            <w:gridSpan w:val="2"/>
            <w:shd w:val="clear" w:color="auto" w:fill="CFF0FC"/>
          </w:tcPr>
          <w:p>
            <w:pPr>
              <w:ind w:left="80"/>
              <w:spacing w:after="0" w:line="108" w:lineRule="exact"/>
              <w:rPr>
                <w:sz w:val="20"/>
                <w:szCs w:val="20"/>
                <w:color w:val="auto"/>
              </w:rPr>
            </w:pPr>
            <w:r>
              <w:rPr>
                <w:rFonts w:ascii="Arial" w:cs="Arial" w:eastAsia="Arial" w:hAnsi="Arial"/>
                <w:sz w:val="10"/>
                <w:szCs w:val="10"/>
                <w:color w:val="auto"/>
              </w:rPr>
              <w:t>Operating lease liabilities, net of current portion</w:t>
            </w:r>
          </w:p>
        </w:tc>
        <w:tc>
          <w:tcPr>
            <w:tcW w:w="100" w:type="dxa"/>
            <w:vAlign w:val="bottom"/>
            <w:shd w:val="clear" w:color="auto" w:fill="CFF0FC"/>
          </w:tcPr>
          <w:p>
            <w:pPr>
              <w:spacing w:after="0"/>
              <w:rPr>
                <w:sz w:val="9"/>
                <w:szCs w:val="9"/>
                <w:color w:val="auto"/>
              </w:rPr>
            </w:pPr>
          </w:p>
        </w:tc>
        <w:tc>
          <w:tcPr>
            <w:tcW w:w="1160" w:type="dxa"/>
            <w:vAlign w:val="bottom"/>
            <w:gridSpan w:val="2"/>
            <w:shd w:val="clear" w:color="auto" w:fill="CFF0FC"/>
          </w:tcPr>
          <w:p>
            <w:pPr>
              <w:jc w:val="right"/>
              <w:ind w:right="240"/>
              <w:spacing w:after="0" w:line="108" w:lineRule="exact"/>
              <w:rPr>
                <w:sz w:val="20"/>
                <w:szCs w:val="20"/>
                <w:color w:val="auto"/>
              </w:rPr>
            </w:pPr>
            <w:r>
              <w:rPr>
                <w:rFonts w:ascii="Arial" w:cs="Arial" w:eastAsia="Arial" w:hAnsi="Arial"/>
                <w:sz w:val="10"/>
                <w:szCs w:val="10"/>
                <w:color w:val="auto"/>
              </w:rPr>
              <w:t>—</w:t>
            </w:r>
          </w:p>
        </w:tc>
        <w:tc>
          <w:tcPr>
            <w:tcW w:w="140" w:type="dxa"/>
            <w:vAlign w:val="bottom"/>
            <w:shd w:val="clear" w:color="auto" w:fill="CFF0FC"/>
          </w:tcPr>
          <w:p>
            <w:pPr>
              <w:spacing w:after="0"/>
              <w:rPr>
                <w:sz w:val="9"/>
                <w:szCs w:val="9"/>
                <w:color w:val="auto"/>
              </w:rPr>
            </w:pPr>
          </w:p>
        </w:tc>
        <w:tc>
          <w:tcPr>
            <w:tcW w:w="880" w:type="dxa"/>
            <w:vAlign w:val="bottom"/>
            <w:shd w:val="clear" w:color="auto" w:fill="CFF0FC"/>
          </w:tcPr>
          <w:p>
            <w:pPr>
              <w:jc w:val="right"/>
              <w:spacing w:after="0" w:line="108" w:lineRule="exact"/>
              <w:rPr>
                <w:sz w:val="20"/>
                <w:szCs w:val="20"/>
                <w:color w:val="auto"/>
              </w:rPr>
            </w:pPr>
            <w:r>
              <w:rPr>
                <w:rFonts w:ascii="Arial" w:cs="Arial" w:eastAsia="Arial" w:hAnsi="Arial"/>
                <w:sz w:val="10"/>
                <w:szCs w:val="10"/>
                <w:color w:val="auto"/>
              </w:rPr>
              <w:t>30,068</w:t>
            </w:r>
          </w:p>
        </w:tc>
        <w:tc>
          <w:tcPr>
            <w:tcW w:w="24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880" w:type="dxa"/>
            <w:vAlign w:val="bottom"/>
            <w:shd w:val="clear" w:color="auto" w:fill="CFF0FC"/>
          </w:tcPr>
          <w:p>
            <w:pPr>
              <w:jc w:val="right"/>
              <w:spacing w:after="0" w:line="108" w:lineRule="exact"/>
              <w:rPr>
                <w:sz w:val="20"/>
                <w:szCs w:val="20"/>
                <w:color w:val="auto"/>
              </w:rPr>
            </w:pPr>
            <w:r>
              <w:rPr>
                <w:rFonts w:ascii="Arial" w:cs="Arial" w:eastAsia="Arial" w:hAnsi="Arial"/>
                <w:sz w:val="10"/>
                <w:szCs w:val="10"/>
                <w:color w:val="auto"/>
              </w:rPr>
              <w:t>62</w:t>
            </w:r>
          </w:p>
        </w:tc>
        <w:tc>
          <w:tcPr>
            <w:tcW w:w="22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1000" w:type="dxa"/>
            <w:vAlign w:val="bottom"/>
            <w:gridSpan w:val="2"/>
            <w:shd w:val="clear" w:color="auto" w:fill="CFF0FC"/>
          </w:tcPr>
          <w:p>
            <w:pPr>
              <w:jc w:val="right"/>
              <w:ind w:right="140"/>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880" w:type="dxa"/>
            <w:vAlign w:val="bottom"/>
            <w:shd w:val="clear" w:color="auto" w:fill="CFF0FC"/>
          </w:tcPr>
          <w:p>
            <w:pPr>
              <w:jc w:val="right"/>
              <w:spacing w:after="0" w:line="108" w:lineRule="exact"/>
              <w:rPr>
                <w:sz w:val="20"/>
                <w:szCs w:val="20"/>
                <w:color w:val="auto"/>
              </w:rPr>
            </w:pPr>
            <w:r>
              <w:rPr>
                <w:rFonts w:ascii="Arial" w:cs="Arial" w:eastAsia="Arial" w:hAnsi="Arial"/>
                <w:sz w:val="10"/>
                <w:szCs w:val="10"/>
                <w:color w:val="auto"/>
              </w:rPr>
              <w:t>30,130</w:t>
            </w:r>
          </w:p>
        </w:tc>
        <w:tc>
          <w:tcPr>
            <w:tcW w:w="120" w:type="dxa"/>
            <w:vAlign w:val="bottom"/>
            <w:shd w:val="clear" w:color="auto" w:fill="CFF0FC"/>
          </w:tcPr>
          <w:p>
            <w:pPr>
              <w:spacing w:after="0"/>
              <w:rPr>
                <w:sz w:val="9"/>
                <w:szCs w:val="9"/>
                <w:color w:val="auto"/>
              </w:rPr>
            </w:pPr>
          </w:p>
        </w:tc>
      </w:tr>
      <w:tr>
        <w:trPr>
          <w:trHeight w:val="108"/>
        </w:trPr>
        <w:tc>
          <w:tcPr>
            <w:tcW w:w="5300" w:type="dxa"/>
            <w:vAlign w:val="bottom"/>
            <w:gridSpan w:val="2"/>
          </w:tcPr>
          <w:p>
            <w:pPr>
              <w:ind w:left="80"/>
              <w:spacing w:after="0" w:line="108" w:lineRule="exact"/>
              <w:rPr>
                <w:sz w:val="20"/>
                <w:szCs w:val="20"/>
                <w:color w:val="auto"/>
              </w:rPr>
            </w:pPr>
            <w:r>
              <w:rPr>
                <w:rFonts w:ascii="Arial" w:cs="Arial" w:eastAsia="Arial" w:hAnsi="Arial"/>
                <w:sz w:val="10"/>
                <w:szCs w:val="10"/>
                <w:color w:val="auto"/>
              </w:rPr>
              <w:t>Other long-term liabilities</w:t>
            </w:r>
          </w:p>
        </w:tc>
        <w:tc>
          <w:tcPr>
            <w:tcW w:w="100" w:type="dxa"/>
            <w:vAlign w:val="bottom"/>
          </w:tcPr>
          <w:p>
            <w:pPr>
              <w:spacing w:after="0"/>
              <w:rPr>
                <w:sz w:val="9"/>
                <w:szCs w:val="9"/>
                <w:color w:val="auto"/>
              </w:rPr>
            </w:pPr>
          </w:p>
        </w:tc>
        <w:tc>
          <w:tcPr>
            <w:tcW w:w="1160" w:type="dxa"/>
            <w:vAlign w:val="bottom"/>
            <w:gridSpan w:val="2"/>
          </w:tcPr>
          <w:p>
            <w:pPr>
              <w:jc w:val="right"/>
              <w:ind w:right="240"/>
              <w:spacing w:after="0" w:line="108" w:lineRule="exact"/>
              <w:rPr>
                <w:sz w:val="20"/>
                <w:szCs w:val="20"/>
                <w:color w:val="auto"/>
              </w:rPr>
            </w:pPr>
            <w:r>
              <w:rPr>
                <w:rFonts w:ascii="Arial" w:cs="Arial" w:eastAsia="Arial" w:hAnsi="Arial"/>
                <w:sz w:val="10"/>
                <w:szCs w:val="10"/>
                <w:color w:val="auto"/>
              </w:rPr>
              <w:t>—</w:t>
            </w:r>
          </w:p>
        </w:tc>
        <w:tc>
          <w:tcPr>
            <w:tcW w:w="140" w:type="dxa"/>
            <w:vAlign w:val="bottom"/>
          </w:tcPr>
          <w:p>
            <w:pPr>
              <w:spacing w:after="0"/>
              <w:rPr>
                <w:sz w:val="9"/>
                <w:szCs w:val="9"/>
                <w:color w:val="auto"/>
              </w:rPr>
            </w:pPr>
          </w:p>
        </w:tc>
        <w:tc>
          <w:tcPr>
            <w:tcW w:w="880" w:type="dxa"/>
            <w:vAlign w:val="bottom"/>
          </w:tcPr>
          <w:p>
            <w:pPr>
              <w:jc w:val="right"/>
              <w:spacing w:after="0" w:line="108" w:lineRule="exact"/>
              <w:rPr>
                <w:sz w:val="20"/>
                <w:szCs w:val="20"/>
                <w:color w:val="auto"/>
              </w:rPr>
            </w:pPr>
            <w:r>
              <w:rPr>
                <w:rFonts w:ascii="Arial" w:cs="Arial" w:eastAsia="Arial" w:hAnsi="Arial"/>
                <w:sz w:val="10"/>
                <w:szCs w:val="10"/>
                <w:color w:val="auto"/>
              </w:rPr>
              <w:t>2,183</w:t>
            </w: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jc w:val="right"/>
              <w:spacing w:after="0" w:line="108" w:lineRule="exact"/>
              <w:rPr>
                <w:sz w:val="20"/>
                <w:szCs w:val="20"/>
                <w:color w:val="auto"/>
              </w:rPr>
            </w:pPr>
            <w:r>
              <w:rPr>
                <w:rFonts w:ascii="Arial" w:cs="Arial" w:eastAsia="Arial" w:hAnsi="Arial"/>
                <w:sz w:val="10"/>
                <w:szCs w:val="10"/>
                <w:color w:val="auto"/>
              </w:rPr>
              <w:t>—</w:t>
            </w: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gridSpan w:val="2"/>
          </w:tcPr>
          <w:p>
            <w:pPr>
              <w:jc w:val="right"/>
              <w:ind w:right="140"/>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jc w:val="right"/>
              <w:spacing w:after="0" w:line="108" w:lineRule="exact"/>
              <w:rPr>
                <w:sz w:val="20"/>
                <w:szCs w:val="20"/>
                <w:color w:val="auto"/>
              </w:rPr>
            </w:pPr>
            <w:r>
              <w:rPr>
                <w:rFonts w:ascii="Arial" w:cs="Arial" w:eastAsia="Arial" w:hAnsi="Arial"/>
                <w:sz w:val="10"/>
                <w:szCs w:val="10"/>
                <w:color w:val="auto"/>
              </w:rPr>
              <w:t>2,183</w:t>
            </w:r>
          </w:p>
        </w:tc>
        <w:tc>
          <w:tcPr>
            <w:tcW w:w="120" w:type="dxa"/>
            <w:vAlign w:val="bottom"/>
          </w:tcPr>
          <w:p>
            <w:pPr>
              <w:spacing w:after="0"/>
              <w:rPr>
                <w:sz w:val="9"/>
                <w:szCs w:val="9"/>
                <w:color w:val="auto"/>
              </w:rPr>
            </w:pPr>
          </w:p>
        </w:tc>
      </w:tr>
      <w:tr>
        <w:trPr>
          <w:trHeight w:val="108"/>
        </w:trPr>
        <w:tc>
          <w:tcPr>
            <w:tcW w:w="5300" w:type="dxa"/>
            <w:vAlign w:val="bottom"/>
            <w:gridSpan w:val="2"/>
            <w:shd w:val="clear" w:color="auto" w:fill="CFF0FC"/>
          </w:tcPr>
          <w:p>
            <w:pPr>
              <w:ind w:left="80"/>
              <w:spacing w:after="0" w:line="108" w:lineRule="exact"/>
              <w:rPr>
                <w:sz w:val="20"/>
                <w:szCs w:val="20"/>
                <w:color w:val="auto"/>
              </w:rPr>
            </w:pPr>
            <w:r>
              <w:rPr>
                <w:rFonts w:ascii="Arial" w:cs="Arial" w:eastAsia="Arial" w:hAnsi="Arial"/>
                <w:sz w:val="10"/>
                <w:szCs w:val="10"/>
                <w:color w:val="auto"/>
              </w:rPr>
              <w:t>Payable to related party pursuant to tax receivable agreement</w:t>
            </w:r>
          </w:p>
        </w:tc>
        <w:tc>
          <w:tcPr>
            <w:tcW w:w="100" w:type="dxa"/>
            <w:vAlign w:val="bottom"/>
            <w:shd w:val="clear" w:color="auto" w:fill="CFF0FC"/>
          </w:tcPr>
          <w:p>
            <w:pPr>
              <w:spacing w:after="0"/>
              <w:rPr>
                <w:sz w:val="9"/>
                <w:szCs w:val="9"/>
                <w:color w:val="auto"/>
              </w:rPr>
            </w:pPr>
          </w:p>
        </w:tc>
        <w:tc>
          <w:tcPr>
            <w:tcW w:w="1160" w:type="dxa"/>
            <w:vAlign w:val="bottom"/>
            <w:gridSpan w:val="2"/>
            <w:shd w:val="clear" w:color="auto" w:fill="CFF0FC"/>
          </w:tcPr>
          <w:p>
            <w:pPr>
              <w:jc w:val="right"/>
              <w:ind w:right="240"/>
              <w:spacing w:after="0" w:line="108" w:lineRule="exact"/>
              <w:rPr>
                <w:sz w:val="20"/>
                <w:szCs w:val="20"/>
                <w:color w:val="auto"/>
              </w:rPr>
            </w:pPr>
            <w:r>
              <w:rPr>
                <w:rFonts w:ascii="Arial" w:cs="Arial" w:eastAsia="Arial" w:hAnsi="Arial"/>
                <w:sz w:val="10"/>
                <w:szCs w:val="10"/>
                <w:color w:val="auto"/>
              </w:rPr>
              <w:t>—</w:t>
            </w:r>
          </w:p>
        </w:tc>
        <w:tc>
          <w:tcPr>
            <w:tcW w:w="140" w:type="dxa"/>
            <w:vAlign w:val="bottom"/>
            <w:shd w:val="clear" w:color="auto" w:fill="CFF0FC"/>
          </w:tcPr>
          <w:p>
            <w:pPr>
              <w:spacing w:after="0"/>
              <w:rPr>
                <w:sz w:val="9"/>
                <w:szCs w:val="9"/>
                <w:color w:val="auto"/>
              </w:rPr>
            </w:pPr>
          </w:p>
        </w:tc>
        <w:tc>
          <w:tcPr>
            <w:tcW w:w="880" w:type="dxa"/>
            <w:vAlign w:val="bottom"/>
            <w:shd w:val="clear" w:color="auto" w:fill="CFF0FC"/>
          </w:tcPr>
          <w:p>
            <w:pPr>
              <w:jc w:val="right"/>
              <w:spacing w:after="0" w:line="108" w:lineRule="exact"/>
              <w:rPr>
                <w:sz w:val="20"/>
                <w:szCs w:val="20"/>
                <w:color w:val="auto"/>
              </w:rPr>
            </w:pPr>
            <w:r>
              <w:rPr>
                <w:rFonts w:ascii="Arial" w:cs="Arial" w:eastAsia="Arial" w:hAnsi="Arial"/>
                <w:sz w:val="10"/>
                <w:szCs w:val="10"/>
                <w:color w:val="auto"/>
              </w:rPr>
              <w:t>61,174</w:t>
            </w:r>
          </w:p>
        </w:tc>
        <w:tc>
          <w:tcPr>
            <w:tcW w:w="24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880" w:type="dxa"/>
            <w:vAlign w:val="bottom"/>
            <w:shd w:val="clear" w:color="auto" w:fill="CFF0FC"/>
          </w:tcPr>
          <w:p>
            <w:pPr>
              <w:jc w:val="right"/>
              <w:spacing w:after="0" w:line="108" w:lineRule="exact"/>
              <w:rPr>
                <w:sz w:val="20"/>
                <w:szCs w:val="20"/>
                <w:color w:val="auto"/>
              </w:rPr>
            </w:pPr>
            <w:r>
              <w:rPr>
                <w:rFonts w:ascii="Arial" w:cs="Arial" w:eastAsia="Arial" w:hAnsi="Arial"/>
                <w:sz w:val="10"/>
                <w:szCs w:val="10"/>
                <w:color w:val="auto"/>
              </w:rPr>
              <w:t>—</w:t>
            </w:r>
          </w:p>
        </w:tc>
        <w:tc>
          <w:tcPr>
            <w:tcW w:w="22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1000" w:type="dxa"/>
            <w:vAlign w:val="bottom"/>
            <w:gridSpan w:val="2"/>
            <w:shd w:val="clear" w:color="auto" w:fill="CFF0FC"/>
          </w:tcPr>
          <w:p>
            <w:pPr>
              <w:jc w:val="right"/>
              <w:ind w:right="140"/>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880" w:type="dxa"/>
            <w:vAlign w:val="bottom"/>
            <w:shd w:val="clear" w:color="auto" w:fill="CFF0FC"/>
          </w:tcPr>
          <w:p>
            <w:pPr>
              <w:jc w:val="right"/>
              <w:spacing w:after="0" w:line="108" w:lineRule="exact"/>
              <w:rPr>
                <w:sz w:val="20"/>
                <w:szCs w:val="20"/>
                <w:color w:val="auto"/>
              </w:rPr>
            </w:pPr>
            <w:r>
              <w:rPr>
                <w:rFonts w:ascii="Arial" w:cs="Arial" w:eastAsia="Arial" w:hAnsi="Arial"/>
                <w:sz w:val="10"/>
                <w:szCs w:val="10"/>
                <w:color w:val="auto"/>
              </w:rPr>
              <w:t>61,174</w:t>
            </w:r>
          </w:p>
        </w:tc>
        <w:tc>
          <w:tcPr>
            <w:tcW w:w="120" w:type="dxa"/>
            <w:vAlign w:val="bottom"/>
            <w:shd w:val="clear" w:color="auto" w:fill="CFF0FC"/>
          </w:tcPr>
          <w:p>
            <w:pPr>
              <w:spacing w:after="0"/>
              <w:rPr>
                <w:sz w:val="9"/>
                <w:szCs w:val="9"/>
                <w:color w:val="auto"/>
              </w:rPr>
            </w:pPr>
          </w:p>
        </w:tc>
      </w:tr>
      <w:tr>
        <w:trPr>
          <w:trHeight w:val="108"/>
        </w:trPr>
        <w:tc>
          <w:tcPr>
            <w:tcW w:w="5300" w:type="dxa"/>
            <w:vAlign w:val="bottom"/>
            <w:gridSpan w:val="2"/>
          </w:tcPr>
          <w:p>
            <w:pPr>
              <w:ind w:left="80"/>
              <w:spacing w:after="0" w:line="108" w:lineRule="exact"/>
              <w:rPr>
                <w:sz w:val="20"/>
                <w:szCs w:val="20"/>
                <w:color w:val="auto"/>
              </w:rPr>
            </w:pPr>
            <w:r>
              <w:rPr>
                <w:rFonts w:ascii="Arial" w:cs="Arial" w:eastAsia="Arial" w:hAnsi="Arial"/>
                <w:sz w:val="10"/>
                <w:szCs w:val="10"/>
                <w:color w:val="auto"/>
              </w:rPr>
              <w:t>Due to affiliates</w:t>
            </w:r>
          </w:p>
        </w:tc>
        <w:tc>
          <w:tcPr>
            <w:tcW w:w="100" w:type="dxa"/>
            <w:vAlign w:val="bottom"/>
          </w:tcPr>
          <w:p>
            <w:pPr>
              <w:spacing w:after="0"/>
              <w:rPr>
                <w:sz w:val="9"/>
                <w:szCs w:val="9"/>
                <w:color w:val="auto"/>
              </w:rPr>
            </w:pPr>
          </w:p>
        </w:tc>
        <w:tc>
          <w:tcPr>
            <w:tcW w:w="1160" w:type="dxa"/>
            <w:vAlign w:val="bottom"/>
            <w:gridSpan w:val="2"/>
          </w:tcPr>
          <w:p>
            <w:pPr>
              <w:jc w:val="right"/>
              <w:ind w:right="240"/>
              <w:spacing w:after="0" w:line="108" w:lineRule="exact"/>
              <w:rPr>
                <w:sz w:val="20"/>
                <w:szCs w:val="20"/>
                <w:color w:val="auto"/>
              </w:rPr>
            </w:pPr>
            <w:r>
              <w:rPr>
                <w:rFonts w:ascii="Arial" w:cs="Arial" w:eastAsia="Arial" w:hAnsi="Arial"/>
                <w:sz w:val="10"/>
                <w:szCs w:val="10"/>
                <w:color w:val="auto"/>
              </w:rPr>
              <w:t>—</w:t>
            </w:r>
          </w:p>
        </w:tc>
        <w:tc>
          <w:tcPr>
            <w:tcW w:w="140" w:type="dxa"/>
            <w:vAlign w:val="bottom"/>
          </w:tcPr>
          <w:p>
            <w:pPr>
              <w:spacing w:after="0"/>
              <w:rPr>
                <w:sz w:val="9"/>
                <w:szCs w:val="9"/>
                <w:color w:val="auto"/>
              </w:rPr>
            </w:pPr>
          </w:p>
        </w:tc>
        <w:tc>
          <w:tcPr>
            <w:tcW w:w="880" w:type="dxa"/>
            <w:vAlign w:val="bottom"/>
          </w:tcPr>
          <w:p>
            <w:pPr>
              <w:jc w:val="right"/>
              <w:spacing w:after="0" w:line="108" w:lineRule="exact"/>
              <w:rPr>
                <w:sz w:val="20"/>
                <w:szCs w:val="20"/>
                <w:color w:val="auto"/>
              </w:rPr>
            </w:pPr>
            <w:r>
              <w:rPr>
                <w:rFonts w:ascii="Arial" w:cs="Arial" w:eastAsia="Arial" w:hAnsi="Arial"/>
                <w:sz w:val="10"/>
                <w:szCs w:val="10"/>
                <w:color w:val="auto"/>
              </w:rPr>
              <w:t>155,289</w:t>
            </w: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jc w:val="right"/>
              <w:spacing w:after="0" w:line="108" w:lineRule="exact"/>
              <w:rPr>
                <w:sz w:val="20"/>
                <w:szCs w:val="20"/>
                <w:color w:val="auto"/>
              </w:rPr>
            </w:pPr>
            <w:r>
              <w:rPr>
                <w:rFonts w:ascii="Arial" w:cs="Arial" w:eastAsia="Arial" w:hAnsi="Arial"/>
                <w:sz w:val="10"/>
                <w:szCs w:val="10"/>
                <w:color w:val="auto"/>
              </w:rPr>
              <w:t>39,489</w:t>
            </w: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(194,778)</w:t>
            </w: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gridSpan w:val="2"/>
          </w:tcPr>
          <w:p>
            <w:pPr>
              <w:jc w:val="right"/>
              <w:ind w:right="120"/>
              <w:spacing w:after="0" w:line="108" w:lineRule="exact"/>
              <w:rPr>
                <w:sz w:val="20"/>
                <w:szCs w:val="20"/>
                <w:color w:val="auto"/>
              </w:rPr>
            </w:pPr>
            <w:r>
              <w:rPr>
                <w:rFonts w:ascii="Arial" w:cs="Arial" w:eastAsia="Arial" w:hAnsi="Arial"/>
                <w:sz w:val="10"/>
                <w:szCs w:val="10"/>
                <w:color w:val="auto"/>
              </w:rPr>
              <w:t>—</w:t>
            </w:r>
          </w:p>
        </w:tc>
      </w:tr>
      <w:tr>
        <w:trPr>
          <w:trHeight w:val="108"/>
        </w:trPr>
        <w:tc>
          <w:tcPr>
            <w:tcW w:w="5300" w:type="dxa"/>
            <w:vAlign w:val="bottom"/>
            <w:gridSpan w:val="2"/>
            <w:shd w:val="clear" w:color="auto" w:fill="CFF0FC"/>
          </w:tcPr>
          <w:p>
            <w:pPr>
              <w:ind w:left="80"/>
              <w:spacing w:after="0" w:line="108" w:lineRule="exact"/>
              <w:rPr>
                <w:sz w:val="20"/>
                <w:szCs w:val="20"/>
                <w:color w:val="auto"/>
              </w:rPr>
            </w:pPr>
            <w:r>
              <w:rPr>
                <w:rFonts w:ascii="Arial" w:cs="Arial" w:eastAsia="Arial" w:hAnsi="Arial"/>
                <w:sz w:val="10"/>
                <w:szCs w:val="10"/>
                <w:color w:val="auto"/>
              </w:rPr>
              <w:t>Asset retirement obligation</w:t>
            </w:r>
          </w:p>
        </w:tc>
        <w:tc>
          <w:tcPr>
            <w:tcW w:w="100" w:type="dxa"/>
            <w:vAlign w:val="bottom"/>
            <w:shd w:val="clear" w:color="auto" w:fill="CFF0FC"/>
          </w:tcPr>
          <w:p>
            <w:pPr>
              <w:spacing w:after="0"/>
              <w:rPr>
                <w:sz w:val="9"/>
                <w:szCs w:val="9"/>
                <w:color w:val="auto"/>
              </w:rPr>
            </w:pPr>
          </w:p>
        </w:tc>
        <w:tc>
          <w:tcPr>
            <w:tcW w:w="1160" w:type="dxa"/>
            <w:vAlign w:val="bottom"/>
            <w:gridSpan w:val="2"/>
            <w:shd w:val="clear" w:color="auto" w:fill="CFF0FC"/>
          </w:tcPr>
          <w:p>
            <w:pPr>
              <w:jc w:val="right"/>
              <w:ind w:right="240"/>
              <w:spacing w:after="0" w:line="108" w:lineRule="exact"/>
              <w:rPr>
                <w:sz w:val="20"/>
                <w:szCs w:val="20"/>
                <w:color w:val="auto"/>
              </w:rPr>
            </w:pPr>
            <w:r>
              <w:rPr>
                <w:rFonts w:ascii="Arial" w:cs="Arial" w:eastAsia="Arial" w:hAnsi="Arial"/>
                <w:sz w:val="10"/>
                <w:szCs w:val="10"/>
                <w:color w:val="auto"/>
              </w:rPr>
              <w:t>—</w:t>
            </w:r>
          </w:p>
        </w:tc>
        <w:tc>
          <w:tcPr>
            <w:tcW w:w="140" w:type="dxa"/>
            <w:vAlign w:val="bottom"/>
            <w:shd w:val="clear" w:color="auto" w:fill="CFF0FC"/>
          </w:tcPr>
          <w:p>
            <w:pPr>
              <w:spacing w:after="0"/>
              <w:rPr>
                <w:sz w:val="9"/>
                <w:szCs w:val="9"/>
                <w:color w:val="auto"/>
              </w:rPr>
            </w:pPr>
          </w:p>
        </w:tc>
        <w:tc>
          <w:tcPr>
            <w:tcW w:w="880" w:type="dxa"/>
            <w:vAlign w:val="bottom"/>
            <w:shd w:val="clear" w:color="auto" w:fill="CFF0FC"/>
          </w:tcPr>
          <w:p>
            <w:pPr>
              <w:jc w:val="right"/>
              <w:spacing w:after="0" w:line="108" w:lineRule="exact"/>
              <w:rPr>
                <w:sz w:val="20"/>
                <w:szCs w:val="20"/>
                <w:color w:val="auto"/>
              </w:rPr>
            </w:pPr>
            <w:r>
              <w:rPr>
                <w:rFonts w:ascii="Arial" w:cs="Arial" w:eastAsia="Arial" w:hAnsi="Arial"/>
                <w:sz w:val="10"/>
                <w:szCs w:val="10"/>
                <w:color w:val="auto"/>
              </w:rPr>
              <w:t>6,309</w:t>
            </w:r>
          </w:p>
        </w:tc>
        <w:tc>
          <w:tcPr>
            <w:tcW w:w="24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880" w:type="dxa"/>
            <w:vAlign w:val="bottom"/>
            <w:shd w:val="clear" w:color="auto" w:fill="CFF0FC"/>
          </w:tcPr>
          <w:p>
            <w:pPr>
              <w:jc w:val="right"/>
              <w:spacing w:after="0" w:line="108" w:lineRule="exact"/>
              <w:rPr>
                <w:sz w:val="20"/>
                <w:szCs w:val="20"/>
                <w:color w:val="auto"/>
              </w:rPr>
            </w:pPr>
            <w:r>
              <w:rPr>
                <w:rFonts w:ascii="Arial" w:cs="Arial" w:eastAsia="Arial" w:hAnsi="Arial"/>
                <w:sz w:val="10"/>
                <w:szCs w:val="10"/>
                <w:color w:val="auto"/>
              </w:rPr>
              <w:t>—</w:t>
            </w:r>
          </w:p>
        </w:tc>
        <w:tc>
          <w:tcPr>
            <w:tcW w:w="22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1000" w:type="dxa"/>
            <w:vAlign w:val="bottom"/>
            <w:gridSpan w:val="2"/>
            <w:shd w:val="clear" w:color="auto" w:fill="CFF0FC"/>
          </w:tcPr>
          <w:p>
            <w:pPr>
              <w:jc w:val="right"/>
              <w:ind w:right="140"/>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880" w:type="dxa"/>
            <w:vAlign w:val="bottom"/>
            <w:shd w:val="clear" w:color="auto" w:fill="CFF0FC"/>
          </w:tcPr>
          <w:p>
            <w:pPr>
              <w:jc w:val="right"/>
              <w:spacing w:after="0" w:line="108" w:lineRule="exact"/>
              <w:rPr>
                <w:sz w:val="20"/>
                <w:szCs w:val="20"/>
                <w:color w:val="auto"/>
              </w:rPr>
            </w:pPr>
            <w:r>
              <w:rPr>
                <w:rFonts w:ascii="Arial" w:cs="Arial" w:eastAsia="Arial" w:hAnsi="Arial"/>
                <w:sz w:val="10"/>
                <w:szCs w:val="10"/>
                <w:color w:val="auto"/>
              </w:rPr>
              <w:t>6,309</w:t>
            </w:r>
          </w:p>
        </w:tc>
        <w:tc>
          <w:tcPr>
            <w:tcW w:w="120" w:type="dxa"/>
            <w:vAlign w:val="bottom"/>
            <w:shd w:val="clear" w:color="auto" w:fill="CFF0FC"/>
          </w:tcPr>
          <w:p>
            <w:pPr>
              <w:spacing w:after="0"/>
              <w:rPr>
                <w:sz w:val="9"/>
                <w:szCs w:val="9"/>
                <w:color w:val="auto"/>
              </w:rPr>
            </w:pPr>
          </w:p>
        </w:tc>
      </w:tr>
      <w:tr>
        <w:trPr>
          <w:trHeight w:val="108"/>
        </w:trPr>
        <w:tc>
          <w:tcPr>
            <w:tcW w:w="5300" w:type="dxa"/>
            <w:vAlign w:val="bottom"/>
            <w:gridSpan w:val="2"/>
          </w:tcPr>
          <w:p>
            <w:pPr>
              <w:ind w:left="80"/>
              <w:spacing w:after="0" w:line="108" w:lineRule="exact"/>
              <w:rPr>
                <w:sz w:val="20"/>
                <w:szCs w:val="20"/>
                <w:color w:val="auto"/>
              </w:rPr>
            </w:pPr>
            <w:r>
              <w:rPr>
                <w:rFonts w:ascii="Arial" w:cs="Arial" w:eastAsia="Arial" w:hAnsi="Arial"/>
                <w:sz w:val="10"/>
                <w:szCs w:val="10"/>
                <w:color w:val="auto"/>
              </w:rPr>
              <w:t>Deferred tax liabilities</w:t>
            </w:r>
          </w:p>
        </w:tc>
        <w:tc>
          <w:tcPr>
            <w:tcW w:w="100" w:type="dxa"/>
            <w:vAlign w:val="bottom"/>
          </w:tcPr>
          <w:p>
            <w:pPr>
              <w:spacing w:after="0"/>
              <w:rPr>
                <w:sz w:val="9"/>
                <w:szCs w:val="9"/>
                <w:color w:val="auto"/>
              </w:rPr>
            </w:pPr>
          </w:p>
        </w:tc>
        <w:tc>
          <w:tcPr>
            <w:tcW w:w="1160" w:type="dxa"/>
            <w:vAlign w:val="bottom"/>
            <w:gridSpan w:val="2"/>
          </w:tcPr>
          <w:p>
            <w:pPr>
              <w:jc w:val="right"/>
              <w:ind w:right="240"/>
              <w:spacing w:after="0" w:line="108" w:lineRule="exact"/>
              <w:rPr>
                <w:sz w:val="20"/>
                <w:szCs w:val="20"/>
                <w:color w:val="auto"/>
              </w:rPr>
            </w:pPr>
            <w:r>
              <w:rPr>
                <w:rFonts w:ascii="Arial" w:cs="Arial" w:eastAsia="Arial" w:hAnsi="Arial"/>
                <w:sz w:val="10"/>
                <w:szCs w:val="10"/>
                <w:color w:val="auto"/>
              </w:rPr>
              <w:t>—</w:t>
            </w:r>
          </w:p>
        </w:tc>
        <w:tc>
          <w:tcPr>
            <w:tcW w:w="140" w:type="dxa"/>
            <w:vAlign w:val="bottom"/>
          </w:tcPr>
          <w:p>
            <w:pPr>
              <w:spacing w:after="0"/>
              <w:rPr>
                <w:sz w:val="9"/>
                <w:szCs w:val="9"/>
                <w:color w:val="auto"/>
              </w:rPr>
            </w:pPr>
          </w:p>
        </w:tc>
        <w:tc>
          <w:tcPr>
            <w:tcW w:w="880" w:type="dxa"/>
            <w:vAlign w:val="bottom"/>
          </w:tcPr>
          <w:p>
            <w:pPr>
              <w:jc w:val="right"/>
              <w:spacing w:after="0" w:line="108" w:lineRule="exact"/>
              <w:rPr>
                <w:sz w:val="20"/>
                <w:szCs w:val="20"/>
                <w:color w:val="auto"/>
              </w:rPr>
            </w:pPr>
            <w:r>
              <w:rPr>
                <w:rFonts w:ascii="Arial" w:cs="Arial" w:eastAsia="Arial" w:hAnsi="Arial"/>
                <w:sz w:val="10"/>
                <w:szCs w:val="10"/>
                <w:color w:val="auto"/>
              </w:rPr>
              <w:t>19,897</w:t>
            </w: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jc w:val="right"/>
              <w:spacing w:after="0" w:line="108" w:lineRule="exact"/>
              <w:rPr>
                <w:sz w:val="20"/>
                <w:szCs w:val="20"/>
                <w:color w:val="auto"/>
              </w:rPr>
            </w:pPr>
            <w:r>
              <w:rPr>
                <w:rFonts w:ascii="Arial" w:cs="Arial" w:eastAsia="Arial" w:hAnsi="Arial"/>
                <w:sz w:val="10"/>
                <w:szCs w:val="10"/>
                <w:color w:val="auto"/>
              </w:rPr>
              <w:t>5,819</w:t>
            </w: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gridSpan w:val="2"/>
          </w:tcPr>
          <w:p>
            <w:pPr>
              <w:jc w:val="right"/>
              <w:ind w:right="140"/>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jc w:val="right"/>
              <w:spacing w:after="0" w:line="108" w:lineRule="exact"/>
              <w:rPr>
                <w:sz w:val="20"/>
                <w:szCs w:val="20"/>
                <w:color w:val="auto"/>
              </w:rPr>
            </w:pPr>
            <w:r>
              <w:rPr>
                <w:rFonts w:ascii="Arial" w:cs="Arial" w:eastAsia="Arial" w:hAnsi="Arial"/>
                <w:sz w:val="10"/>
                <w:szCs w:val="10"/>
                <w:color w:val="auto"/>
              </w:rPr>
              <w:t>25,716</w:t>
            </w:r>
          </w:p>
        </w:tc>
        <w:tc>
          <w:tcPr>
            <w:tcW w:w="120" w:type="dxa"/>
            <w:vAlign w:val="bottom"/>
          </w:tcPr>
          <w:p>
            <w:pPr>
              <w:spacing w:after="0"/>
              <w:rPr>
                <w:sz w:val="9"/>
                <w:szCs w:val="9"/>
                <w:color w:val="auto"/>
              </w:rPr>
            </w:pPr>
          </w:p>
        </w:tc>
      </w:tr>
      <w:tr>
        <w:trPr>
          <w:trHeight w:val="97"/>
        </w:trPr>
        <w:tc>
          <w:tcPr>
            <w:tcW w:w="5300" w:type="dxa"/>
            <w:vAlign w:val="bottom"/>
            <w:tcBorders>
              <w:top w:val="single" w:sz="8" w:color="CFF0FC"/>
            </w:tcBorders>
            <w:gridSpan w:val="2"/>
            <w:shd w:val="clear" w:color="auto" w:fill="CFF0FC"/>
          </w:tcPr>
          <w:p>
            <w:pPr>
              <w:spacing w:after="0" w:line="97" w:lineRule="exact"/>
              <w:rPr>
                <w:sz w:val="20"/>
                <w:szCs w:val="20"/>
                <w:color w:val="auto"/>
              </w:rPr>
            </w:pPr>
            <w:r>
              <w:rPr>
                <w:rFonts w:ascii="Arial" w:cs="Arial" w:eastAsia="Arial" w:hAnsi="Arial"/>
                <w:sz w:val="10"/>
                <w:szCs w:val="10"/>
                <w:color w:val="auto"/>
              </w:rPr>
              <w:t>Total liabilities</w:t>
            </w:r>
          </w:p>
        </w:tc>
        <w:tc>
          <w:tcPr>
            <w:tcW w:w="100" w:type="dxa"/>
            <w:vAlign w:val="bottom"/>
            <w:tcBorders>
              <w:top w:val="single" w:sz="8" w:color="auto"/>
              <w:bottom w:val="single" w:sz="8" w:color="auto"/>
            </w:tcBorders>
            <w:shd w:val="clear" w:color="auto" w:fill="CFF0FC"/>
          </w:tcPr>
          <w:p>
            <w:pPr>
              <w:spacing w:after="0"/>
              <w:rPr>
                <w:sz w:val="8"/>
                <w:szCs w:val="8"/>
                <w:color w:val="auto"/>
              </w:rPr>
            </w:pPr>
          </w:p>
        </w:tc>
        <w:tc>
          <w:tcPr>
            <w:tcW w:w="940" w:type="dxa"/>
            <w:vAlign w:val="bottom"/>
            <w:tcBorders>
              <w:top w:val="single" w:sz="8" w:color="auto"/>
              <w:bottom w:val="single" w:sz="8" w:color="auto"/>
            </w:tcBorders>
            <w:shd w:val="clear" w:color="auto" w:fill="CFF0FC"/>
          </w:tcPr>
          <w:p>
            <w:pPr>
              <w:jc w:val="right"/>
              <w:spacing w:after="0" w:line="97" w:lineRule="exact"/>
              <w:rPr>
                <w:sz w:val="20"/>
                <w:szCs w:val="20"/>
                <w:color w:val="auto"/>
              </w:rPr>
            </w:pPr>
            <w:r>
              <w:rPr>
                <w:rFonts w:ascii="Arial" w:cs="Arial" w:eastAsia="Arial" w:hAnsi="Arial"/>
                <w:sz w:val="10"/>
                <w:szCs w:val="10"/>
                <w:color w:val="auto"/>
              </w:rPr>
              <w:t>—</w:t>
            </w:r>
          </w:p>
        </w:tc>
        <w:tc>
          <w:tcPr>
            <w:tcW w:w="220" w:type="dxa"/>
            <w:vAlign w:val="bottom"/>
            <w:tcBorders>
              <w:top w:val="single" w:sz="8" w:color="CFF0FC"/>
            </w:tcBorders>
            <w:shd w:val="clear" w:color="auto" w:fill="CFF0FC"/>
          </w:tcPr>
          <w:p>
            <w:pPr>
              <w:spacing w:after="0"/>
              <w:rPr>
                <w:sz w:val="8"/>
                <w:szCs w:val="8"/>
                <w:color w:val="auto"/>
              </w:rPr>
            </w:pPr>
          </w:p>
        </w:tc>
        <w:tc>
          <w:tcPr>
            <w:tcW w:w="140" w:type="dxa"/>
            <w:vAlign w:val="bottom"/>
            <w:tcBorders>
              <w:top w:val="single" w:sz="8" w:color="auto"/>
              <w:bottom w:val="single" w:sz="8" w:color="auto"/>
            </w:tcBorders>
            <w:shd w:val="clear" w:color="auto" w:fill="CFF0FC"/>
          </w:tcPr>
          <w:p>
            <w:pPr>
              <w:spacing w:after="0"/>
              <w:rPr>
                <w:sz w:val="8"/>
                <w:szCs w:val="8"/>
                <w:color w:val="auto"/>
              </w:rPr>
            </w:pPr>
          </w:p>
        </w:tc>
        <w:tc>
          <w:tcPr>
            <w:tcW w:w="880" w:type="dxa"/>
            <w:vAlign w:val="bottom"/>
            <w:tcBorders>
              <w:top w:val="single" w:sz="8" w:color="auto"/>
              <w:bottom w:val="single" w:sz="8" w:color="auto"/>
            </w:tcBorders>
            <w:shd w:val="clear" w:color="auto" w:fill="CFF0FC"/>
          </w:tcPr>
          <w:p>
            <w:pPr>
              <w:jc w:val="right"/>
              <w:spacing w:after="0" w:line="97" w:lineRule="exact"/>
              <w:rPr>
                <w:sz w:val="20"/>
                <w:szCs w:val="20"/>
                <w:color w:val="auto"/>
              </w:rPr>
            </w:pPr>
            <w:r>
              <w:rPr>
                <w:rFonts w:ascii="Arial" w:cs="Arial" w:eastAsia="Arial" w:hAnsi="Arial"/>
                <w:sz w:val="10"/>
                <w:szCs w:val="10"/>
                <w:color w:val="auto"/>
              </w:rPr>
              <w:t>1,199,850</w:t>
            </w:r>
          </w:p>
        </w:tc>
        <w:tc>
          <w:tcPr>
            <w:tcW w:w="240" w:type="dxa"/>
            <w:vAlign w:val="bottom"/>
            <w:tcBorders>
              <w:top w:val="single" w:sz="8" w:color="CFF0FC"/>
            </w:tcBorders>
            <w:shd w:val="clear" w:color="auto" w:fill="CFF0FC"/>
          </w:tcPr>
          <w:p>
            <w:pPr>
              <w:spacing w:after="0"/>
              <w:rPr>
                <w:sz w:val="8"/>
                <w:szCs w:val="8"/>
                <w:color w:val="auto"/>
              </w:rPr>
            </w:pPr>
          </w:p>
        </w:tc>
        <w:tc>
          <w:tcPr>
            <w:tcW w:w="140" w:type="dxa"/>
            <w:vAlign w:val="bottom"/>
            <w:tcBorders>
              <w:top w:val="single" w:sz="8" w:color="auto"/>
              <w:bottom w:val="single" w:sz="8" w:color="auto"/>
            </w:tcBorders>
            <w:shd w:val="clear" w:color="auto" w:fill="CFF0FC"/>
          </w:tcPr>
          <w:p>
            <w:pPr>
              <w:spacing w:after="0"/>
              <w:rPr>
                <w:sz w:val="8"/>
                <w:szCs w:val="8"/>
                <w:color w:val="auto"/>
              </w:rPr>
            </w:pPr>
          </w:p>
        </w:tc>
        <w:tc>
          <w:tcPr>
            <w:tcW w:w="880" w:type="dxa"/>
            <w:vAlign w:val="bottom"/>
            <w:tcBorders>
              <w:top w:val="single" w:sz="8" w:color="auto"/>
              <w:bottom w:val="single" w:sz="8" w:color="auto"/>
            </w:tcBorders>
            <w:shd w:val="clear" w:color="auto" w:fill="CFF0FC"/>
          </w:tcPr>
          <w:p>
            <w:pPr>
              <w:jc w:val="right"/>
              <w:spacing w:after="0" w:line="97" w:lineRule="exact"/>
              <w:rPr>
                <w:sz w:val="20"/>
                <w:szCs w:val="20"/>
                <w:color w:val="auto"/>
              </w:rPr>
            </w:pPr>
            <w:r>
              <w:rPr>
                <w:rFonts w:ascii="Arial" w:cs="Arial" w:eastAsia="Arial" w:hAnsi="Arial"/>
                <w:sz w:val="10"/>
                <w:szCs w:val="10"/>
                <w:color w:val="auto"/>
              </w:rPr>
              <w:t>63,007</w:t>
            </w:r>
          </w:p>
        </w:tc>
        <w:tc>
          <w:tcPr>
            <w:tcW w:w="220" w:type="dxa"/>
            <w:vAlign w:val="bottom"/>
            <w:tcBorders>
              <w:top w:val="single" w:sz="8" w:color="CFF0FC"/>
            </w:tcBorders>
            <w:shd w:val="clear" w:color="auto" w:fill="CFF0FC"/>
          </w:tcPr>
          <w:p>
            <w:pPr>
              <w:spacing w:after="0"/>
              <w:rPr>
                <w:sz w:val="8"/>
                <w:szCs w:val="8"/>
                <w:color w:val="auto"/>
              </w:rPr>
            </w:pPr>
          </w:p>
        </w:tc>
        <w:tc>
          <w:tcPr>
            <w:tcW w:w="160" w:type="dxa"/>
            <w:vAlign w:val="bottom"/>
            <w:tcBorders>
              <w:top w:val="single" w:sz="8" w:color="auto"/>
              <w:bottom w:val="single" w:sz="8" w:color="auto"/>
            </w:tcBorders>
            <w:shd w:val="clear" w:color="auto" w:fill="CFF0FC"/>
          </w:tcPr>
          <w:p>
            <w:pPr>
              <w:spacing w:after="0"/>
              <w:rPr>
                <w:sz w:val="8"/>
                <w:szCs w:val="8"/>
                <w:color w:val="auto"/>
              </w:rPr>
            </w:pPr>
          </w:p>
        </w:tc>
        <w:tc>
          <w:tcPr>
            <w:tcW w:w="880" w:type="dxa"/>
            <w:vAlign w:val="bottom"/>
            <w:tcBorders>
              <w:top w:val="single" w:sz="8" w:color="auto"/>
              <w:bottom w:val="single" w:sz="8" w:color="auto"/>
            </w:tcBorders>
            <w:shd w:val="clear" w:color="auto" w:fill="CFF0FC"/>
          </w:tcPr>
          <w:p>
            <w:pPr>
              <w:jc w:val="right"/>
              <w:spacing w:after="0" w:line="97" w:lineRule="exact"/>
              <w:rPr>
                <w:sz w:val="20"/>
                <w:szCs w:val="20"/>
                <w:color w:val="auto"/>
              </w:rPr>
            </w:pPr>
            <w:r>
              <w:rPr>
                <w:rFonts w:ascii="Arial" w:cs="Arial" w:eastAsia="Arial" w:hAnsi="Arial"/>
                <w:sz w:val="10"/>
                <w:szCs w:val="10"/>
                <w:color w:val="auto"/>
              </w:rPr>
              <w:t>(194,778)</w:t>
            </w:r>
          </w:p>
        </w:tc>
        <w:tc>
          <w:tcPr>
            <w:tcW w:w="120" w:type="dxa"/>
            <w:vAlign w:val="bottom"/>
            <w:tcBorders>
              <w:top w:val="single" w:sz="8" w:color="CFF0FC"/>
            </w:tcBorders>
            <w:shd w:val="clear" w:color="auto" w:fill="CFF0FC"/>
          </w:tcPr>
          <w:p>
            <w:pPr>
              <w:spacing w:after="0"/>
              <w:rPr>
                <w:sz w:val="8"/>
                <w:szCs w:val="8"/>
                <w:color w:val="auto"/>
              </w:rPr>
            </w:pPr>
          </w:p>
        </w:tc>
        <w:tc>
          <w:tcPr>
            <w:tcW w:w="100" w:type="dxa"/>
            <w:vAlign w:val="bottom"/>
            <w:tcBorders>
              <w:top w:val="single" w:sz="8" w:color="CFF0FC"/>
            </w:tcBorders>
            <w:shd w:val="clear" w:color="auto" w:fill="CFF0FC"/>
          </w:tcPr>
          <w:p>
            <w:pPr>
              <w:spacing w:after="0"/>
              <w:rPr>
                <w:sz w:val="8"/>
                <w:szCs w:val="8"/>
                <w:color w:val="auto"/>
              </w:rPr>
            </w:pPr>
          </w:p>
        </w:tc>
        <w:tc>
          <w:tcPr>
            <w:tcW w:w="160" w:type="dxa"/>
            <w:vAlign w:val="bottom"/>
            <w:tcBorders>
              <w:top w:val="single" w:sz="8" w:color="auto"/>
              <w:bottom w:val="single" w:sz="8" w:color="auto"/>
            </w:tcBorders>
            <w:shd w:val="clear" w:color="auto" w:fill="CFF0FC"/>
          </w:tcPr>
          <w:p>
            <w:pPr>
              <w:spacing w:after="0"/>
              <w:rPr>
                <w:sz w:val="8"/>
                <w:szCs w:val="8"/>
                <w:color w:val="auto"/>
              </w:rPr>
            </w:pPr>
          </w:p>
        </w:tc>
        <w:tc>
          <w:tcPr>
            <w:tcW w:w="880" w:type="dxa"/>
            <w:vAlign w:val="bottom"/>
            <w:tcBorders>
              <w:top w:val="single" w:sz="8" w:color="auto"/>
              <w:bottom w:val="single" w:sz="8" w:color="auto"/>
            </w:tcBorders>
            <w:shd w:val="clear" w:color="auto" w:fill="CFF0FC"/>
          </w:tcPr>
          <w:p>
            <w:pPr>
              <w:jc w:val="right"/>
              <w:spacing w:after="0" w:line="97" w:lineRule="exact"/>
              <w:rPr>
                <w:sz w:val="20"/>
                <w:szCs w:val="20"/>
                <w:color w:val="auto"/>
              </w:rPr>
            </w:pPr>
            <w:r>
              <w:rPr>
                <w:rFonts w:ascii="Arial" w:cs="Arial" w:eastAsia="Arial" w:hAnsi="Arial"/>
                <w:sz w:val="10"/>
                <w:szCs w:val="10"/>
                <w:color w:val="auto"/>
              </w:rPr>
              <w:t>1,068,079</w:t>
            </w:r>
          </w:p>
        </w:tc>
        <w:tc>
          <w:tcPr>
            <w:tcW w:w="120" w:type="dxa"/>
            <w:vAlign w:val="bottom"/>
            <w:tcBorders>
              <w:top w:val="single" w:sz="8" w:color="CFF0FC"/>
            </w:tcBorders>
            <w:shd w:val="clear" w:color="auto" w:fill="CFF0FC"/>
          </w:tcPr>
          <w:p>
            <w:pPr>
              <w:spacing w:after="0"/>
              <w:rPr>
                <w:sz w:val="8"/>
                <w:szCs w:val="8"/>
                <w:color w:val="auto"/>
              </w:rPr>
            </w:pPr>
          </w:p>
        </w:tc>
      </w:tr>
      <w:tr>
        <w:trPr>
          <w:trHeight w:val="97"/>
        </w:trPr>
        <w:tc>
          <w:tcPr>
            <w:tcW w:w="5300" w:type="dxa"/>
            <w:vAlign w:val="bottom"/>
            <w:tcBorders>
              <w:bottom w:val="single" w:sz="8" w:color="CFF0FC"/>
            </w:tcBorders>
            <w:gridSpan w:val="2"/>
          </w:tcPr>
          <w:p>
            <w:pPr>
              <w:spacing w:after="0" w:line="97" w:lineRule="exact"/>
              <w:rPr>
                <w:sz w:val="20"/>
                <w:szCs w:val="20"/>
                <w:color w:val="auto"/>
              </w:rPr>
            </w:pPr>
            <w:r>
              <w:rPr>
                <w:rFonts w:ascii="Arial" w:cs="Arial" w:eastAsia="Arial" w:hAnsi="Arial"/>
                <w:sz w:val="10"/>
                <w:szCs w:val="10"/>
                <w:color w:val="auto"/>
              </w:rPr>
              <w:t>Total stockholders' equity</w:t>
            </w:r>
          </w:p>
        </w:tc>
        <w:tc>
          <w:tcPr>
            <w:tcW w:w="10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jc w:val="right"/>
              <w:spacing w:after="0" w:line="97" w:lineRule="exact"/>
              <w:rPr>
                <w:sz w:val="20"/>
                <w:szCs w:val="20"/>
                <w:color w:val="auto"/>
              </w:rPr>
            </w:pPr>
            <w:r>
              <w:rPr>
                <w:rFonts w:ascii="Arial" w:cs="Arial" w:eastAsia="Arial" w:hAnsi="Arial"/>
                <w:sz w:val="10"/>
                <w:szCs w:val="10"/>
                <w:color w:val="auto"/>
              </w:rPr>
              <w:t>339,347</w:t>
            </w:r>
          </w:p>
        </w:tc>
        <w:tc>
          <w:tcPr>
            <w:tcW w:w="220" w:type="dxa"/>
            <w:vAlign w:val="bottom"/>
            <w:tcBorders>
              <w:bottom w:val="single" w:sz="8" w:color="CFF0FC"/>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jc w:val="right"/>
              <w:spacing w:after="0" w:line="97" w:lineRule="exact"/>
              <w:rPr>
                <w:sz w:val="20"/>
                <w:szCs w:val="20"/>
                <w:color w:val="auto"/>
              </w:rPr>
            </w:pPr>
            <w:r>
              <w:rPr>
                <w:rFonts w:ascii="Arial" w:cs="Arial" w:eastAsia="Arial" w:hAnsi="Arial"/>
                <w:sz w:val="10"/>
                <w:szCs w:val="10"/>
                <w:color w:val="auto"/>
              </w:rPr>
              <w:t>170,088</w:t>
            </w:r>
          </w:p>
        </w:tc>
        <w:tc>
          <w:tcPr>
            <w:tcW w:w="240" w:type="dxa"/>
            <w:vAlign w:val="bottom"/>
            <w:tcBorders>
              <w:bottom w:val="single" w:sz="8" w:color="CFF0FC"/>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jc w:val="right"/>
              <w:spacing w:after="0" w:line="97" w:lineRule="exact"/>
              <w:rPr>
                <w:sz w:val="20"/>
                <w:szCs w:val="20"/>
                <w:color w:val="auto"/>
              </w:rPr>
            </w:pPr>
            <w:r>
              <w:rPr>
                <w:rFonts w:ascii="Arial" w:cs="Arial" w:eastAsia="Arial" w:hAnsi="Arial"/>
                <w:sz w:val="10"/>
                <w:szCs w:val="10"/>
                <w:color w:val="auto"/>
              </w:rPr>
              <w:t>54,254</w:t>
            </w:r>
          </w:p>
        </w:tc>
        <w:tc>
          <w:tcPr>
            <w:tcW w:w="220" w:type="dxa"/>
            <w:vAlign w:val="bottom"/>
            <w:tcBorders>
              <w:bottom w:val="single" w:sz="8" w:color="CFF0FC"/>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jc w:val="right"/>
              <w:spacing w:after="0" w:line="97" w:lineRule="exact"/>
              <w:rPr>
                <w:sz w:val="20"/>
                <w:szCs w:val="20"/>
                <w:color w:val="auto"/>
              </w:rPr>
            </w:pPr>
            <w:r>
              <w:rPr>
                <w:rFonts w:ascii="Arial" w:cs="Arial" w:eastAsia="Arial" w:hAnsi="Arial"/>
                <w:sz w:val="10"/>
                <w:szCs w:val="10"/>
                <w:color w:val="auto"/>
              </w:rPr>
              <w:t>(224,342)</w:t>
            </w:r>
          </w:p>
        </w:tc>
        <w:tc>
          <w:tcPr>
            <w:tcW w:w="120" w:type="dxa"/>
            <w:vAlign w:val="bottom"/>
            <w:tcBorders>
              <w:bottom w:val="single" w:sz="8" w:color="CFF0FC"/>
            </w:tcBorders>
          </w:tcPr>
          <w:p>
            <w:pPr>
              <w:spacing w:after="0"/>
              <w:rPr>
                <w:sz w:val="8"/>
                <w:szCs w:val="8"/>
                <w:color w:val="auto"/>
              </w:rPr>
            </w:pPr>
          </w:p>
        </w:tc>
        <w:tc>
          <w:tcPr>
            <w:tcW w:w="100" w:type="dxa"/>
            <w:vAlign w:val="bottom"/>
            <w:tcBorders>
              <w:bottom w:val="single" w:sz="8" w:color="CFF0FC"/>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jc w:val="right"/>
              <w:spacing w:after="0" w:line="97" w:lineRule="exact"/>
              <w:rPr>
                <w:sz w:val="20"/>
                <w:szCs w:val="20"/>
                <w:color w:val="auto"/>
              </w:rPr>
            </w:pPr>
            <w:r>
              <w:rPr>
                <w:rFonts w:ascii="Arial" w:cs="Arial" w:eastAsia="Arial" w:hAnsi="Arial"/>
                <w:sz w:val="10"/>
                <w:szCs w:val="10"/>
                <w:color w:val="auto"/>
              </w:rPr>
              <w:t>339,347</w:t>
            </w:r>
          </w:p>
        </w:tc>
        <w:tc>
          <w:tcPr>
            <w:tcW w:w="120" w:type="dxa"/>
            <w:vAlign w:val="bottom"/>
            <w:tcBorders>
              <w:bottom w:val="single" w:sz="8" w:color="CFF0FC"/>
            </w:tcBorders>
          </w:tcPr>
          <w:p>
            <w:pPr>
              <w:spacing w:after="0"/>
              <w:rPr>
                <w:sz w:val="8"/>
                <w:szCs w:val="8"/>
                <w:color w:val="auto"/>
              </w:rPr>
            </w:pPr>
          </w:p>
        </w:tc>
      </w:tr>
      <w:tr>
        <w:trPr>
          <w:trHeight w:val="104"/>
        </w:trPr>
        <w:tc>
          <w:tcPr>
            <w:tcW w:w="5300" w:type="dxa"/>
            <w:vAlign w:val="bottom"/>
            <w:tcBorders>
              <w:bottom w:val="single" w:sz="8" w:color="CFF0FC"/>
            </w:tcBorders>
            <w:gridSpan w:val="2"/>
            <w:shd w:val="clear" w:color="auto" w:fill="CFF0FC"/>
          </w:tcPr>
          <w:p>
            <w:pPr>
              <w:spacing w:after="0" w:line="97" w:lineRule="exact"/>
              <w:rPr>
                <w:sz w:val="20"/>
                <w:szCs w:val="20"/>
                <w:color w:val="auto"/>
              </w:rPr>
            </w:pPr>
            <w:r>
              <w:rPr>
                <w:rFonts w:ascii="Arial" w:cs="Arial" w:eastAsia="Arial" w:hAnsi="Arial"/>
                <w:sz w:val="10"/>
                <w:szCs w:val="10"/>
                <w:color w:val="auto"/>
              </w:rPr>
              <w:t>Total liabilities and stockholders' equity</w:t>
            </w:r>
          </w:p>
        </w:tc>
        <w:tc>
          <w:tcPr>
            <w:tcW w:w="100" w:type="dxa"/>
            <w:vAlign w:val="bottom"/>
            <w:tcBorders>
              <w:bottom w:val="single" w:sz="8" w:color="auto"/>
            </w:tcBorders>
            <w:shd w:val="clear" w:color="auto" w:fill="CFF0FC"/>
          </w:tcPr>
          <w:p>
            <w:pPr>
              <w:jc w:val="right"/>
              <w:spacing w:after="0" w:line="97" w:lineRule="exact"/>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auto"/>
            </w:tcBorders>
            <w:shd w:val="clear" w:color="auto" w:fill="CFF0FC"/>
          </w:tcPr>
          <w:p>
            <w:pPr>
              <w:jc w:val="right"/>
              <w:spacing w:after="0" w:line="97" w:lineRule="exact"/>
              <w:rPr>
                <w:sz w:val="20"/>
                <w:szCs w:val="20"/>
                <w:color w:val="auto"/>
              </w:rPr>
            </w:pPr>
            <w:r>
              <w:rPr>
                <w:rFonts w:ascii="Arial" w:cs="Arial" w:eastAsia="Arial" w:hAnsi="Arial"/>
                <w:sz w:val="10"/>
                <w:szCs w:val="10"/>
                <w:color w:val="auto"/>
              </w:rPr>
              <w:t>339,347</w:t>
            </w:r>
          </w:p>
        </w:tc>
        <w:tc>
          <w:tcPr>
            <w:tcW w:w="220" w:type="dxa"/>
            <w:vAlign w:val="bottom"/>
            <w:tcBorders>
              <w:bottom w:val="single" w:sz="8" w:color="CFF0FC"/>
            </w:tcBorders>
            <w:shd w:val="clear" w:color="auto" w:fill="CFF0FC"/>
          </w:tcPr>
          <w:p>
            <w:pPr>
              <w:spacing w:after="0"/>
              <w:rPr>
                <w:sz w:val="9"/>
                <w:szCs w:val="9"/>
                <w:color w:val="auto"/>
              </w:rPr>
            </w:pPr>
          </w:p>
        </w:tc>
        <w:tc>
          <w:tcPr>
            <w:tcW w:w="140" w:type="dxa"/>
            <w:vAlign w:val="bottom"/>
            <w:tcBorders>
              <w:bottom w:val="single" w:sz="8" w:color="auto"/>
            </w:tcBorders>
            <w:shd w:val="clear" w:color="auto" w:fill="CFF0FC"/>
          </w:tcPr>
          <w:p>
            <w:pPr>
              <w:jc w:val="right"/>
              <w:ind w:right="76"/>
              <w:spacing w:after="0"/>
              <w:rPr>
                <w:sz w:val="20"/>
                <w:szCs w:val="20"/>
                <w:color w:val="auto"/>
              </w:rPr>
            </w:pPr>
            <w:r>
              <w:rPr>
                <w:rFonts w:ascii="Arial" w:cs="Arial" w:eastAsia="Arial" w:hAnsi="Arial"/>
                <w:sz w:val="5"/>
                <w:szCs w:val="5"/>
                <w:color w:val="auto"/>
                <w:w w:val="70"/>
              </w:rPr>
              <w:t>$</w:t>
            </w:r>
          </w:p>
        </w:tc>
        <w:tc>
          <w:tcPr>
            <w:tcW w:w="880" w:type="dxa"/>
            <w:vAlign w:val="bottom"/>
            <w:tcBorders>
              <w:bottom w:val="single" w:sz="8" w:color="auto"/>
            </w:tcBorders>
            <w:shd w:val="clear" w:color="auto" w:fill="CFF0FC"/>
          </w:tcPr>
          <w:p>
            <w:pPr>
              <w:jc w:val="right"/>
              <w:spacing w:after="0" w:line="97" w:lineRule="exact"/>
              <w:rPr>
                <w:sz w:val="20"/>
                <w:szCs w:val="20"/>
                <w:color w:val="auto"/>
              </w:rPr>
            </w:pPr>
            <w:r>
              <w:rPr>
                <w:rFonts w:ascii="Arial" w:cs="Arial" w:eastAsia="Arial" w:hAnsi="Arial"/>
                <w:sz w:val="10"/>
                <w:szCs w:val="10"/>
                <w:color w:val="auto"/>
              </w:rPr>
              <w:t>1,369,938</w:t>
            </w:r>
          </w:p>
        </w:tc>
        <w:tc>
          <w:tcPr>
            <w:tcW w:w="240" w:type="dxa"/>
            <w:vAlign w:val="bottom"/>
            <w:tcBorders>
              <w:bottom w:val="single" w:sz="8" w:color="CFF0FC"/>
            </w:tcBorders>
            <w:shd w:val="clear" w:color="auto" w:fill="CFF0FC"/>
          </w:tcPr>
          <w:p>
            <w:pPr>
              <w:spacing w:after="0"/>
              <w:rPr>
                <w:sz w:val="9"/>
                <w:szCs w:val="9"/>
                <w:color w:val="auto"/>
              </w:rPr>
            </w:pPr>
          </w:p>
        </w:tc>
        <w:tc>
          <w:tcPr>
            <w:tcW w:w="140" w:type="dxa"/>
            <w:vAlign w:val="bottom"/>
            <w:tcBorders>
              <w:bottom w:val="single" w:sz="8" w:color="auto"/>
            </w:tcBorders>
            <w:shd w:val="clear" w:color="auto" w:fill="CFF0FC"/>
          </w:tcPr>
          <w:p>
            <w:pPr>
              <w:jc w:val="right"/>
              <w:ind w:right="76"/>
              <w:spacing w:after="0"/>
              <w:rPr>
                <w:sz w:val="20"/>
                <w:szCs w:val="20"/>
                <w:color w:val="auto"/>
              </w:rPr>
            </w:pPr>
            <w:r>
              <w:rPr>
                <w:rFonts w:ascii="Arial" w:cs="Arial" w:eastAsia="Arial" w:hAnsi="Arial"/>
                <w:sz w:val="5"/>
                <w:szCs w:val="5"/>
                <w:color w:val="auto"/>
                <w:w w:val="70"/>
              </w:rPr>
              <w:t>$</w:t>
            </w:r>
          </w:p>
        </w:tc>
        <w:tc>
          <w:tcPr>
            <w:tcW w:w="880" w:type="dxa"/>
            <w:vAlign w:val="bottom"/>
            <w:tcBorders>
              <w:bottom w:val="single" w:sz="8" w:color="auto"/>
            </w:tcBorders>
            <w:shd w:val="clear" w:color="auto" w:fill="CFF0FC"/>
          </w:tcPr>
          <w:p>
            <w:pPr>
              <w:jc w:val="right"/>
              <w:spacing w:after="0" w:line="97" w:lineRule="exact"/>
              <w:rPr>
                <w:sz w:val="20"/>
                <w:szCs w:val="20"/>
                <w:color w:val="auto"/>
              </w:rPr>
            </w:pPr>
            <w:r>
              <w:rPr>
                <w:rFonts w:ascii="Arial" w:cs="Arial" w:eastAsia="Arial" w:hAnsi="Arial"/>
                <w:sz w:val="10"/>
                <w:szCs w:val="10"/>
                <w:color w:val="auto"/>
              </w:rPr>
              <w:t>117,261</w:t>
            </w:r>
          </w:p>
        </w:tc>
        <w:tc>
          <w:tcPr>
            <w:tcW w:w="220" w:type="dxa"/>
            <w:vAlign w:val="bottom"/>
            <w:tcBorders>
              <w:bottom w:val="single" w:sz="8" w:color="CFF0FC"/>
            </w:tcBorders>
            <w:shd w:val="clear" w:color="auto" w:fill="CFF0FC"/>
          </w:tcPr>
          <w:p>
            <w:pPr>
              <w:spacing w:after="0"/>
              <w:rPr>
                <w:sz w:val="9"/>
                <w:szCs w:val="9"/>
                <w:color w:val="auto"/>
              </w:rPr>
            </w:pPr>
          </w:p>
        </w:tc>
        <w:tc>
          <w:tcPr>
            <w:tcW w:w="160" w:type="dxa"/>
            <w:vAlign w:val="bottom"/>
            <w:tcBorders>
              <w:bottom w:val="single" w:sz="8" w:color="auto"/>
            </w:tcBorders>
            <w:shd w:val="clear" w:color="auto" w:fill="CFF0FC"/>
          </w:tcPr>
          <w:p>
            <w:pPr>
              <w:jc w:val="right"/>
              <w:ind w:right="52"/>
              <w:spacing w:after="0" w:line="97" w:lineRule="exact"/>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shd w:val="clear" w:color="auto" w:fill="CFF0FC"/>
          </w:tcPr>
          <w:p>
            <w:pPr>
              <w:jc w:val="right"/>
              <w:spacing w:after="0" w:line="97" w:lineRule="exact"/>
              <w:rPr>
                <w:sz w:val="20"/>
                <w:szCs w:val="20"/>
                <w:color w:val="auto"/>
              </w:rPr>
            </w:pPr>
            <w:r>
              <w:rPr>
                <w:rFonts w:ascii="Arial" w:cs="Arial" w:eastAsia="Arial" w:hAnsi="Arial"/>
                <w:sz w:val="10"/>
                <w:szCs w:val="10"/>
                <w:color w:val="auto"/>
              </w:rPr>
              <w:t>(419,120)</w:t>
            </w:r>
          </w:p>
        </w:tc>
        <w:tc>
          <w:tcPr>
            <w:tcW w:w="120" w:type="dxa"/>
            <w:vAlign w:val="bottom"/>
            <w:tcBorders>
              <w:bottom w:val="single" w:sz="8" w:color="CFF0FC"/>
            </w:tcBorders>
            <w:shd w:val="clear" w:color="auto" w:fill="CFF0FC"/>
          </w:tcPr>
          <w:p>
            <w:pPr>
              <w:spacing w:after="0"/>
              <w:rPr>
                <w:sz w:val="9"/>
                <w:szCs w:val="9"/>
                <w:color w:val="auto"/>
              </w:rPr>
            </w:pPr>
          </w:p>
        </w:tc>
        <w:tc>
          <w:tcPr>
            <w:tcW w:w="100" w:type="dxa"/>
            <w:vAlign w:val="bottom"/>
            <w:tcBorders>
              <w:bottom w:val="single" w:sz="8" w:color="CFF0FC"/>
            </w:tcBorders>
            <w:shd w:val="clear" w:color="auto" w:fill="CFF0FC"/>
          </w:tcPr>
          <w:p>
            <w:pPr>
              <w:spacing w:after="0"/>
              <w:rPr>
                <w:sz w:val="9"/>
                <w:szCs w:val="9"/>
                <w:color w:val="auto"/>
              </w:rPr>
            </w:pPr>
          </w:p>
        </w:tc>
        <w:tc>
          <w:tcPr>
            <w:tcW w:w="160" w:type="dxa"/>
            <w:vAlign w:val="bottom"/>
            <w:tcBorders>
              <w:bottom w:val="single" w:sz="8" w:color="auto"/>
            </w:tcBorders>
            <w:shd w:val="clear" w:color="auto" w:fill="CFF0FC"/>
          </w:tcPr>
          <w:p>
            <w:pPr>
              <w:jc w:val="right"/>
              <w:ind w:right="52"/>
              <w:spacing w:after="0" w:line="97" w:lineRule="exact"/>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shd w:val="clear" w:color="auto" w:fill="CFF0FC"/>
          </w:tcPr>
          <w:p>
            <w:pPr>
              <w:jc w:val="right"/>
              <w:spacing w:after="0" w:line="97" w:lineRule="exact"/>
              <w:rPr>
                <w:sz w:val="20"/>
                <w:szCs w:val="20"/>
                <w:color w:val="auto"/>
              </w:rPr>
            </w:pPr>
            <w:r>
              <w:rPr>
                <w:rFonts w:ascii="Arial" w:cs="Arial" w:eastAsia="Arial" w:hAnsi="Arial"/>
                <w:sz w:val="10"/>
                <w:szCs w:val="10"/>
                <w:color w:val="auto"/>
              </w:rPr>
              <w:t>1,407,426</w:t>
            </w:r>
          </w:p>
        </w:tc>
        <w:tc>
          <w:tcPr>
            <w:tcW w:w="120" w:type="dxa"/>
            <w:vAlign w:val="bottom"/>
            <w:tcBorders>
              <w:bottom w:val="single" w:sz="8" w:color="CFF0FC"/>
            </w:tcBorders>
            <w:shd w:val="clear" w:color="auto" w:fill="CFF0FC"/>
          </w:tcPr>
          <w:p>
            <w:pPr>
              <w:spacing w:after="0"/>
              <w:rPr>
                <w:sz w:val="9"/>
                <w:szCs w:val="9"/>
                <w:color w:val="auto"/>
              </w:rPr>
            </w:pPr>
          </w:p>
        </w:tc>
      </w:tr>
    </w:tbl>
    <w:p>
      <w:pPr>
        <w:spacing w:after="0" w:line="297"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17740" cy="3683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ectPr>
          <w:pgSz w:w="11900" w:h="16838" w:orient="portrait"/>
          <w:cols w:equalWidth="0" w:num="1">
            <w:col w:w="11480"/>
          </w:cols>
          <w:pgMar w:left="220" w:top="271" w:right="199" w:bottom="1440" w:gutter="0" w:footer="0" w:header="0"/>
        </w:sectPr>
      </w:pPr>
    </w:p>
    <w:bookmarkStart w:id="105" w:name="page106"/>
    <w:bookmarkEnd w:id="105"/>
    <w:p>
      <w:pPr>
        <w:jc w:val="center"/>
        <w:ind w:right="20"/>
        <w:spacing w:after="0"/>
        <w:rPr>
          <w:sz w:val="20"/>
          <w:szCs w:val="20"/>
          <w:color w:val="auto"/>
        </w:rPr>
      </w:pPr>
      <w:r>
        <w:rPr>
          <w:rFonts w:ascii="Arial" w:cs="Arial" w:eastAsia="Arial" w:hAnsi="Arial"/>
          <w:sz w:val="12"/>
          <w:szCs w:val="12"/>
          <w:b w:val="1"/>
          <w:bCs w:val="1"/>
          <w:color w:val="auto"/>
        </w:rPr>
        <w:t>Verra Mobility Corporation and Subsidiaries</w:t>
      </w:r>
    </w:p>
    <w:p>
      <w:pPr>
        <w:spacing w:after="0" w:line="19"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Consolidated Statements of Operations and Comprehensive Income</w:t>
      </w:r>
    </w:p>
    <w:p>
      <w:pPr>
        <w:spacing w:after="0" w:line="6"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Year Ended December 31, 2019</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40" w:type="dxa"/>
            <w:vAlign w:val="bottom"/>
          </w:tcPr>
          <w:p>
            <w:pPr>
              <w:spacing w:after="0"/>
              <w:rPr>
                <w:sz w:val="10"/>
                <w:szCs w:val="10"/>
                <w:color w:val="auto"/>
              </w:rPr>
            </w:pPr>
          </w:p>
        </w:tc>
        <w:tc>
          <w:tcPr>
            <w:tcW w:w="4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rPr>
              <w:t>VM</w:t>
            </w: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99"/>
        </w:trPr>
        <w:tc>
          <w:tcPr>
            <w:tcW w:w="640" w:type="dxa"/>
            <w:vAlign w:val="bottom"/>
          </w:tcPr>
          <w:p>
            <w:pPr>
              <w:spacing w:after="0"/>
              <w:rPr>
                <w:sz w:val="8"/>
                <w:szCs w:val="8"/>
                <w:color w:val="auto"/>
              </w:rPr>
            </w:pPr>
          </w:p>
        </w:tc>
        <w:tc>
          <w:tcPr>
            <w:tcW w:w="4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20" w:type="dxa"/>
            <w:vAlign w:val="bottom"/>
            <w:gridSpan w:val="2"/>
          </w:tcPr>
          <w:p>
            <w:pPr>
              <w:jc w:val="center"/>
              <w:ind w:right="380"/>
              <w:spacing w:after="0" w:line="99" w:lineRule="exact"/>
              <w:rPr>
                <w:sz w:val="20"/>
                <w:szCs w:val="20"/>
                <w:color w:val="auto"/>
              </w:rPr>
            </w:pPr>
            <w:r>
              <w:rPr>
                <w:rFonts w:ascii="Arial" w:cs="Arial" w:eastAsia="Arial" w:hAnsi="Arial"/>
                <w:sz w:val="10"/>
                <w:szCs w:val="10"/>
                <w:b w:val="1"/>
                <w:bCs w:val="1"/>
                <w:color w:val="auto"/>
                <w:w w:val="85"/>
              </w:rPr>
              <w:t>Consolidated</w:t>
            </w:r>
          </w:p>
        </w:tc>
        <w:tc>
          <w:tcPr>
            <w:tcW w:w="1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99"/>
        </w:trPr>
        <w:tc>
          <w:tcPr>
            <w:tcW w:w="640" w:type="dxa"/>
            <w:vAlign w:val="bottom"/>
          </w:tcPr>
          <w:p>
            <w:pPr>
              <w:spacing w:after="0"/>
              <w:rPr>
                <w:sz w:val="8"/>
                <w:szCs w:val="8"/>
                <w:color w:val="auto"/>
              </w:rPr>
            </w:pPr>
          </w:p>
        </w:tc>
        <w:tc>
          <w:tcPr>
            <w:tcW w:w="4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60" w:type="dxa"/>
            <w:vAlign w:val="bottom"/>
            <w:gridSpan w:val="2"/>
          </w:tcPr>
          <w:p>
            <w:pPr>
              <w:jc w:val="center"/>
              <w:ind w:right="340"/>
              <w:spacing w:after="0" w:line="99" w:lineRule="exact"/>
              <w:rPr>
                <w:sz w:val="20"/>
                <w:szCs w:val="20"/>
                <w:color w:val="auto"/>
              </w:rPr>
            </w:pPr>
            <w:r>
              <w:rPr>
                <w:rFonts w:ascii="Arial" w:cs="Arial" w:eastAsia="Arial" w:hAnsi="Arial"/>
                <w:sz w:val="10"/>
                <w:szCs w:val="10"/>
                <w:b w:val="1"/>
                <w:bCs w:val="1"/>
                <w:color w:val="auto"/>
                <w:w w:val="93"/>
              </w:rPr>
              <w:t>Verra Mobility</w:t>
            </w:r>
          </w:p>
        </w:tc>
        <w:tc>
          <w:tcPr>
            <w:tcW w:w="140" w:type="dxa"/>
            <w:vAlign w:val="bottom"/>
          </w:tcPr>
          <w:p>
            <w:pPr>
              <w:spacing w:after="0"/>
              <w:rPr>
                <w:sz w:val="8"/>
                <w:szCs w:val="8"/>
                <w:color w:val="auto"/>
              </w:rPr>
            </w:pPr>
          </w:p>
        </w:tc>
        <w:tc>
          <w:tcPr>
            <w:tcW w:w="1120" w:type="dxa"/>
            <w:vAlign w:val="bottom"/>
            <w:gridSpan w:val="2"/>
          </w:tcPr>
          <w:p>
            <w:pPr>
              <w:jc w:val="center"/>
              <w:ind w:right="400"/>
              <w:spacing w:after="0" w:line="99" w:lineRule="exact"/>
              <w:rPr>
                <w:sz w:val="20"/>
                <w:szCs w:val="20"/>
                <w:color w:val="auto"/>
              </w:rPr>
            </w:pPr>
            <w:r>
              <w:rPr>
                <w:rFonts w:ascii="Arial" w:cs="Arial" w:eastAsia="Arial" w:hAnsi="Arial"/>
                <w:sz w:val="10"/>
                <w:szCs w:val="10"/>
                <w:b w:val="1"/>
                <w:bCs w:val="1"/>
                <w:color w:val="auto"/>
                <w:w w:val="92"/>
              </w:rPr>
              <w:t>Inc.</w:t>
            </w:r>
          </w:p>
        </w:tc>
        <w:tc>
          <w:tcPr>
            <w:tcW w:w="140" w:type="dxa"/>
            <w:vAlign w:val="bottom"/>
          </w:tcPr>
          <w:p>
            <w:pPr>
              <w:spacing w:after="0"/>
              <w:rPr>
                <w:sz w:val="8"/>
                <w:szCs w:val="8"/>
                <w:color w:val="auto"/>
              </w:rPr>
            </w:pPr>
          </w:p>
        </w:tc>
        <w:tc>
          <w:tcPr>
            <w:tcW w:w="1000" w:type="dxa"/>
            <w:vAlign w:val="bottom"/>
            <w:gridSpan w:val="2"/>
          </w:tcPr>
          <w:p>
            <w:pPr>
              <w:jc w:val="center"/>
              <w:ind w:right="280"/>
              <w:spacing w:after="0" w:line="99" w:lineRule="exact"/>
              <w:rPr>
                <w:sz w:val="20"/>
                <w:szCs w:val="20"/>
                <w:color w:val="auto"/>
              </w:rPr>
            </w:pPr>
            <w:r>
              <w:rPr>
                <w:rFonts w:ascii="Arial" w:cs="Arial" w:eastAsia="Arial" w:hAnsi="Arial"/>
                <w:sz w:val="10"/>
                <w:szCs w:val="10"/>
                <w:b w:val="1"/>
                <w:bCs w:val="1"/>
                <w:color w:val="auto"/>
                <w:w w:val="87"/>
              </w:rPr>
              <w:t>Non-</w:t>
            </w: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99"/>
        </w:trPr>
        <w:tc>
          <w:tcPr>
            <w:tcW w:w="640" w:type="dxa"/>
            <w:vAlign w:val="bottom"/>
          </w:tcPr>
          <w:p>
            <w:pPr>
              <w:spacing w:after="0"/>
              <w:rPr>
                <w:sz w:val="8"/>
                <w:szCs w:val="8"/>
                <w:color w:val="auto"/>
              </w:rPr>
            </w:pPr>
          </w:p>
        </w:tc>
        <w:tc>
          <w:tcPr>
            <w:tcW w:w="4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60" w:type="dxa"/>
            <w:vAlign w:val="bottom"/>
            <w:gridSpan w:val="2"/>
          </w:tcPr>
          <w:p>
            <w:pPr>
              <w:jc w:val="center"/>
              <w:ind w:right="320"/>
              <w:spacing w:after="0" w:line="99" w:lineRule="exact"/>
              <w:rPr>
                <w:sz w:val="20"/>
                <w:szCs w:val="20"/>
                <w:color w:val="auto"/>
              </w:rPr>
            </w:pPr>
            <w:r>
              <w:rPr>
                <w:rFonts w:ascii="Arial" w:cs="Arial" w:eastAsia="Arial" w:hAnsi="Arial"/>
                <w:sz w:val="10"/>
                <w:szCs w:val="10"/>
                <w:b w:val="1"/>
                <w:bCs w:val="1"/>
                <w:color w:val="auto"/>
                <w:w w:val="90"/>
              </w:rPr>
              <w:t>Corporation</w:t>
            </w:r>
          </w:p>
        </w:tc>
        <w:tc>
          <w:tcPr>
            <w:tcW w:w="140" w:type="dxa"/>
            <w:vAlign w:val="bottom"/>
          </w:tcPr>
          <w:p>
            <w:pPr>
              <w:spacing w:after="0"/>
              <w:rPr>
                <w:sz w:val="8"/>
                <w:szCs w:val="8"/>
                <w:color w:val="auto"/>
              </w:rPr>
            </w:pPr>
          </w:p>
        </w:tc>
        <w:tc>
          <w:tcPr>
            <w:tcW w:w="1120" w:type="dxa"/>
            <w:vAlign w:val="bottom"/>
            <w:gridSpan w:val="2"/>
          </w:tcPr>
          <w:p>
            <w:pPr>
              <w:jc w:val="center"/>
              <w:ind w:right="400"/>
              <w:spacing w:after="0" w:line="99" w:lineRule="exact"/>
              <w:rPr>
                <w:sz w:val="20"/>
                <w:szCs w:val="20"/>
                <w:color w:val="auto"/>
              </w:rPr>
            </w:pPr>
            <w:r>
              <w:rPr>
                <w:rFonts w:ascii="Arial" w:cs="Arial" w:eastAsia="Arial" w:hAnsi="Arial"/>
                <w:sz w:val="10"/>
                <w:szCs w:val="10"/>
                <w:b w:val="1"/>
                <w:bCs w:val="1"/>
                <w:color w:val="auto"/>
                <w:w w:val="92"/>
              </w:rPr>
              <w:t>(Guarantor</w:t>
            </w:r>
          </w:p>
        </w:tc>
        <w:tc>
          <w:tcPr>
            <w:tcW w:w="140" w:type="dxa"/>
            <w:vAlign w:val="bottom"/>
          </w:tcPr>
          <w:p>
            <w:pPr>
              <w:spacing w:after="0"/>
              <w:rPr>
                <w:sz w:val="8"/>
                <w:szCs w:val="8"/>
                <w:color w:val="auto"/>
              </w:rPr>
            </w:pPr>
          </w:p>
        </w:tc>
        <w:tc>
          <w:tcPr>
            <w:tcW w:w="1000" w:type="dxa"/>
            <w:vAlign w:val="bottom"/>
            <w:gridSpan w:val="2"/>
          </w:tcPr>
          <w:p>
            <w:pPr>
              <w:jc w:val="center"/>
              <w:ind w:right="280"/>
              <w:spacing w:after="0" w:line="99" w:lineRule="exact"/>
              <w:rPr>
                <w:sz w:val="20"/>
                <w:szCs w:val="20"/>
                <w:color w:val="auto"/>
              </w:rPr>
            </w:pPr>
            <w:r>
              <w:rPr>
                <w:rFonts w:ascii="Arial" w:cs="Arial" w:eastAsia="Arial" w:hAnsi="Arial"/>
                <w:sz w:val="10"/>
                <w:szCs w:val="10"/>
                <w:b w:val="1"/>
                <w:bCs w:val="1"/>
                <w:color w:val="auto"/>
                <w:w w:val="85"/>
              </w:rPr>
              <w:t>guarantor</w:t>
            </w: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125"/>
        </w:trPr>
        <w:tc>
          <w:tcPr>
            <w:tcW w:w="5300" w:type="dxa"/>
            <w:vAlign w:val="bottom"/>
            <w:gridSpan w:val="2"/>
          </w:tcPr>
          <w:p>
            <w:pPr>
              <w:spacing w:after="0" w:line="105" w:lineRule="exact"/>
              <w:rPr>
                <w:sz w:val="20"/>
                <w:szCs w:val="20"/>
                <w:color w:val="auto"/>
              </w:rPr>
            </w:pPr>
            <w:r>
              <w:rPr>
                <w:rFonts w:ascii="Arial" w:cs="Arial" w:eastAsia="Arial" w:hAnsi="Arial"/>
                <w:sz w:val="10"/>
                <w:szCs w:val="10"/>
                <w:b w:val="1"/>
                <w:bCs w:val="1"/>
                <w:u w:val="single" w:color="auto"/>
                <w:color w:val="auto"/>
              </w:rPr>
              <w:t>(</w:t>
            </w:r>
            <w:r>
              <w:rPr>
                <w:rFonts w:ascii="Arial" w:cs="Arial" w:eastAsia="Arial" w:hAnsi="Arial"/>
                <w:sz w:val="10"/>
                <w:szCs w:val="10"/>
                <w:b w:val="1"/>
                <w:bCs w:val="1"/>
                <w:color w:val="auto"/>
              </w:rPr>
              <w:t>$ in thousands)</w:t>
            </w:r>
          </w:p>
        </w:tc>
        <w:tc>
          <w:tcPr>
            <w:tcW w:w="100" w:type="dxa"/>
            <w:vAlign w:val="bottom"/>
          </w:tcPr>
          <w:p>
            <w:pPr>
              <w:spacing w:after="0"/>
              <w:rPr>
                <w:sz w:val="10"/>
                <w:szCs w:val="10"/>
                <w:color w:val="auto"/>
              </w:rPr>
            </w:pPr>
          </w:p>
        </w:tc>
        <w:tc>
          <w:tcPr>
            <w:tcW w:w="1160" w:type="dxa"/>
            <w:vAlign w:val="bottom"/>
            <w:gridSpan w:val="2"/>
          </w:tcPr>
          <w:p>
            <w:pPr>
              <w:jc w:val="center"/>
              <w:ind w:right="320"/>
              <w:spacing w:after="0" w:line="105" w:lineRule="exact"/>
              <w:rPr>
                <w:sz w:val="20"/>
                <w:szCs w:val="20"/>
                <w:color w:val="auto"/>
              </w:rPr>
            </w:pPr>
            <w:r>
              <w:rPr>
                <w:rFonts w:ascii="Arial" w:cs="Arial" w:eastAsia="Arial" w:hAnsi="Arial"/>
                <w:sz w:val="10"/>
                <w:szCs w:val="10"/>
                <w:b w:val="1"/>
                <w:bCs w:val="1"/>
                <w:color w:val="auto"/>
                <w:w w:val="89"/>
              </w:rPr>
              <w:t>(Ultimate Parent)</w:t>
            </w:r>
          </w:p>
        </w:tc>
        <w:tc>
          <w:tcPr>
            <w:tcW w:w="140" w:type="dxa"/>
            <w:vAlign w:val="bottom"/>
          </w:tcPr>
          <w:p>
            <w:pPr>
              <w:spacing w:after="0"/>
              <w:rPr>
                <w:sz w:val="10"/>
                <w:szCs w:val="10"/>
                <w:color w:val="auto"/>
              </w:rPr>
            </w:pPr>
          </w:p>
        </w:tc>
        <w:tc>
          <w:tcPr>
            <w:tcW w:w="1120" w:type="dxa"/>
            <w:vAlign w:val="bottom"/>
            <w:gridSpan w:val="2"/>
          </w:tcPr>
          <w:p>
            <w:pPr>
              <w:jc w:val="center"/>
              <w:ind w:right="400"/>
              <w:spacing w:after="0" w:line="105" w:lineRule="exact"/>
              <w:rPr>
                <w:sz w:val="20"/>
                <w:szCs w:val="20"/>
                <w:color w:val="auto"/>
              </w:rPr>
            </w:pPr>
            <w:r>
              <w:rPr>
                <w:rFonts w:ascii="Arial" w:cs="Arial" w:eastAsia="Arial" w:hAnsi="Arial"/>
                <w:sz w:val="10"/>
                <w:szCs w:val="10"/>
                <w:b w:val="1"/>
                <w:bCs w:val="1"/>
                <w:color w:val="auto"/>
                <w:w w:val="88"/>
              </w:rPr>
              <w:t>Subsidiary)</w:t>
            </w:r>
          </w:p>
        </w:tc>
        <w:tc>
          <w:tcPr>
            <w:tcW w:w="140" w:type="dxa"/>
            <w:vAlign w:val="bottom"/>
          </w:tcPr>
          <w:p>
            <w:pPr>
              <w:spacing w:after="0"/>
              <w:rPr>
                <w:sz w:val="10"/>
                <w:szCs w:val="10"/>
                <w:color w:val="auto"/>
              </w:rPr>
            </w:pPr>
          </w:p>
        </w:tc>
        <w:tc>
          <w:tcPr>
            <w:tcW w:w="1000" w:type="dxa"/>
            <w:vAlign w:val="bottom"/>
            <w:gridSpan w:val="2"/>
          </w:tcPr>
          <w:p>
            <w:pPr>
              <w:jc w:val="center"/>
              <w:ind w:right="300"/>
              <w:spacing w:after="0" w:line="105" w:lineRule="exact"/>
              <w:rPr>
                <w:sz w:val="20"/>
                <w:szCs w:val="20"/>
                <w:color w:val="auto"/>
              </w:rPr>
            </w:pPr>
            <w:r>
              <w:rPr>
                <w:rFonts w:ascii="Arial" w:cs="Arial" w:eastAsia="Arial" w:hAnsi="Arial"/>
                <w:sz w:val="10"/>
                <w:szCs w:val="10"/>
                <w:b w:val="1"/>
                <w:bCs w:val="1"/>
                <w:color w:val="auto"/>
                <w:w w:val="83"/>
              </w:rPr>
              <w:t>Subsidiaries</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gridSpan w:val="2"/>
          </w:tcPr>
          <w:p>
            <w:pPr>
              <w:ind w:left="100"/>
              <w:spacing w:after="0" w:line="105" w:lineRule="exact"/>
              <w:rPr>
                <w:sz w:val="20"/>
                <w:szCs w:val="20"/>
                <w:color w:val="auto"/>
              </w:rPr>
            </w:pPr>
            <w:r>
              <w:rPr>
                <w:rFonts w:ascii="Arial" w:cs="Arial" w:eastAsia="Arial" w:hAnsi="Arial"/>
                <w:sz w:val="10"/>
                <w:szCs w:val="10"/>
                <w:b w:val="1"/>
                <w:bCs w:val="1"/>
                <w:color w:val="auto"/>
              </w:rPr>
              <w:t>Eliminations</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gridSpan w:val="2"/>
          </w:tcPr>
          <w:p>
            <w:pPr>
              <w:jc w:val="right"/>
              <w:ind w:right="360"/>
              <w:spacing w:after="0" w:line="105" w:lineRule="exact"/>
              <w:rPr>
                <w:sz w:val="20"/>
                <w:szCs w:val="20"/>
                <w:color w:val="auto"/>
              </w:rPr>
            </w:pPr>
            <w:r>
              <w:rPr>
                <w:rFonts w:ascii="Arial" w:cs="Arial" w:eastAsia="Arial" w:hAnsi="Arial"/>
                <w:sz w:val="10"/>
                <w:szCs w:val="10"/>
                <w:b w:val="1"/>
                <w:bCs w:val="1"/>
                <w:color w:val="auto"/>
                <w:w w:val="97"/>
              </w:rPr>
              <w:t>Consolidated</w:t>
            </w:r>
          </w:p>
        </w:tc>
      </w:tr>
      <w:tr>
        <w:trPr>
          <w:trHeight w:val="86"/>
        </w:trPr>
        <w:tc>
          <w:tcPr>
            <w:tcW w:w="640" w:type="dxa"/>
            <w:vAlign w:val="bottom"/>
            <w:tcBorders>
              <w:top w:val="single" w:sz="8" w:color="auto"/>
            </w:tcBorders>
            <w:shd w:val="clear" w:color="auto" w:fill="CFF0FC"/>
          </w:tcPr>
          <w:p>
            <w:pPr>
              <w:spacing w:after="0" w:line="86" w:lineRule="exact"/>
              <w:rPr>
                <w:sz w:val="20"/>
                <w:szCs w:val="20"/>
                <w:color w:val="auto"/>
              </w:rPr>
            </w:pPr>
            <w:r>
              <w:rPr>
                <w:rFonts w:ascii="Arial" w:cs="Arial" w:eastAsia="Arial" w:hAnsi="Arial"/>
                <w:sz w:val="8"/>
                <w:szCs w:val="8"/>
                <w:color w:val="auto"/>
              </w:rPr>
              <w:t>Service revenue</w:t>
            </w:r>
          </w:p>
        </w:tc>
        <w:tc>
          <w:tcPr>
            <w:tcW w:w="4660" w:type="dxa"/>
            <w:vAlign w:val="bottom"/>
            <w:tcBorders>
              <w:top w:val="single" w:sz="8" w:color="CFF0FC"/>
            </w:tcBorders>
            <w:shd w:val="clear" w:color="auto" w:fill="CFF0FC"/>
          </w:tcPr>
          <w:p>
            <w:pPr>
              <w:spacing w:after="0"/>
              <w:rPr>
                <w:sz w:val="7"/>
                <w:szCs w:val="7"/>
                <w:color w:val="auto"/>
              </w:rPr>
            </w:pPr>
          </w:p>
        </w:tc>
        <w:tc>
          <w:tcPr>
            <w:tcW w:w="100" w:type="dxa"/>
            <w:vAlign w:val="bottom"/>
            <w:tcBorders>
              <w:top w:val="single" w:sz="8" w:color="auto"/>
            </w:tcBorders>
            <w:shd w:val="clear" w:color="auto" w:fill="CFF0FC"/>
          </w:tcPr>
          <w:p>
            <w:pPr>
              <w:jc w:val="right"/>
              <w:spacing w:after="0" w:line="86" w:lineRule="exact"/>
              <w:rPr>
                <w:sz w:val="20"/>
                <w:szCs w:val="20"/>
                <w:color w:val="auto"/>
              </w:rPr>
            </w:pPr>
            <w:r>
              <w:rPr>
                <w:rFonts w:ascii="Arial" w:cs="Arial" w:eastAsia="Arial" w:hAnsi="Arial"/>
                <w:sz w:val="8"/>
                <w:szCs w:val="8"/>
                <w:color w:val="auto"/>
                <w:w w:val="88"/>
              </w:rPr>
              <w:t>$</w:t>
            </w:r>
          </w:p>
        </w:tc>
        <w:tc>
          <w:tcPr>
            <w:tcW w:w="940" w:type="dxa"/>
            <w:vAlign w:val="bottom"/>
            <w:tcBorders>
              <w:top w:val="single" w:sz="8" w:color="auto"/>
            </w:tcBorders>
            <w:shd w:val="clear" w:color="auto" w:fill="CFF0FC"/>
          </w:tcPr>
          <w:p>
            <w:pPr>
              <w:jc w:val="right"/>
              <w:spacing w:after="0" w:line="86" w:lineRule="exact"/>
              <w:rPr>
                <w:sz w:val="20"/>
                <w:szCs w:val="20"/>
                <w:color w:val="auto"/>
              </w:rPr>
            </w:pPr>
            <w:r>
              <w:rPr>
                <w:rFonts w:ascii="Arial" w:cs="Arial" w:eastAsia="Arial" w:hAnsi="Arial"/>
                <w:sz w:val="8"/>
                <w:szCs w:val="8"/>
                <w:color w:val="auto"/>
              </w:rPr>
              <w:t>—</w:t>
            </w:r>
          </w:p>
        </w:tc>
        <w:tc>
          <w:tcPr>
            <w:tcW w:w="220" w:type="dxa"/>
            <w:vAlign w:val="bottom"/>
            <w:tcBorders>
              <w:top w:val="single" w:sz="8" w:color="CFF0FC"/>
            </w:tcBorders>
            <w:shd w:val="clear" w:color="auto" w:fill="CFF0FC"/>
          </w:tcPr>
          <w:p>
            <w:pPr>
              <w:spacing w:after="0"/>
              <w:rPr>
                <w:sz w:val="7"/>
                <w:szCs w:val="7"/>
                <w:color w:val="auto"/>
              </w:rPr>
            </w:pPr>
          </w:p>
        </w:tc>
        <w:tc>
          <w:tcPr>
            <w:tcW w:w="140" w:type="dxa"/>
            <w:vAlign w:val="bottom"/>
            <w:tcBorders>
              <w:top w:val="single" w:sz="8" w:color="auto"/>
            </w:tcBorders>
            <w:shd w:val="clear" w:color="auto" w:fill="CFF0FC"/>
          </w:tcPr>
          <w:p>
            <w:pPr>
              <w:jc w:val="right"/>
              <w:ind w:right="76"/>
              <w:spacing w:after="0"/>
              <w:rPr>
                <w:sz w:val="20"/>
                <w:szCs w:val="20"/>
                <w:color w:val="auto"/>
              </w:rPr>
            </w:pPr>
            <w:r>
              <w:rPr>
                <w:rFonts w:ascii="Arial" w:cs="Arial" w:eastAsia="Arial" w:hAnsi="Arial"/>
                <w:sz w:val="5"/>
                <w:szCs w:val="5"/>
                <w:color w:val="auto"/>
                <w:w w:val="70"/>
              </w:rPr>
              <w:t>$</w:t>
            </w:r>
          </w:p>
        </w:tc>
        <w:tc>
          <w:tcPr>
            <w:tcW w:w="880" w:type="dxa"/>
            <w:vAlign w:val="bottom"/>
            <w:tcBorders>
              <w:top w:val="single" w:sz="8" w:color="auto"/>
            </w:tcBorders>
            <w:shd w:val="clear" w:color="auto" w:fill="CFF0FC"/>
          </w:tcPr>
          <w:p>
            <w:pPr>
              <w:jc w:val="right"/>
              <w:spacing w:after="0" w:line="86" w:lineRule="exact"/>
              <w:rPr>
                <w:sz w:val="20"/>
                <w:szCs w:val="20"/>
                <w:color w:val="auto"/>
              </w:rPr>
            </w:pPr>
            <w:r>
              <w:rPr>
                <w:rFonts w:ascii="Arial" w:cs="Arial" w:eastAsia="Arial" w:hAnsi="Arial"/>
                <w:sz w:val="8"/>
                <w:szCs w:val="8"/>
                <w:color w:val="auto"/>
              </w:rPr>
              <w:t>402,245</w:t>
            </w:r>
          </w:p>
        </w:tc>
        <w:tc>
          <w:tcPr>
            <w:tcW w:w="240" w:type="dxa"/>
            <w:vAlign w:val="bottom"/>
            <w:tcBorders>
              <w:top w:val="single" w:sz="8" w:color="CFF0FC"/>
            </w:tcBorders>
            <w:shd w:val="clear" w:color="auto" w:fill="CFF0FC"/>
          </w:tcPr>
          <w:p>
            <w:pPr>
              <w:spacing w:after="0"/>
              <w:rPr>
                <w:sz w:val="7"/>
                <w:szCs w:val="7"/>
                <w:color w:val="auto"/>
              </w:rPr>
            </w:pPr>
          </w:p>
        </w:tc>
        <w:tc>
          <w:tcPr>
            <w:tcW w:w="140" w:type="dxa"/>
            <w:vAlign w:val="bottom"/>
            <w:tcBorders>
              <w:top w:val="single" w:sz="8" w:color="auto"/>
            </w:tcBorders>
            <w:shd w:val="clear" w:color="auto" w:fill="CFF0FC"/>
          </w:tcPr>
          <w:p>
            <w:pPr>
              <w:jc w:val="right"/>
              <w:ind w:right="76"/>
              <w:spacing w:after="0"/>
              <w:rPr>
                <w:sz w:val="20"/>
                <w:szCs w:val="20"/>
                <w:color w:val="auto"/>
              </w:rPr>
            </w:pPr>
            <w:r>
              <w:rPr>
                <w:rFonts w:ascii="Arial" w:cs="Arial" w:eastAsia="Arial" w:hAnsi="Arial"/>
                <w:sz w:val="5"/>
                <w:szCs w:val="5"/>
                <w:color w:val="auto"/>
                <w:w w:val="70"/>
              </w:rPr>
              <w:t>$</w:t>
            </w:r>
          </w:p>
        </w:tc>
        <w:tc>
          <w:tcPr>
            <w:tcW w:w="880" w:type="dxa"/>
            <w:vAlign w:val="bottom"/>
            <w:tcBorders>
              <w:top w:val="single" w:sz="8" w:color="auto"/>
            </w:tcBorders>
            <w:shd w:val="clear" w:color="auto" w:fill="CFF0FC"/>
          </w:tcPr>
          <w:p>
            <w:pPr>
              <w:jc w:val="right"/>
              <w:spacing w:after="0" w:line="86" w:lineRule="exact"/>
              <w:rPr>
                <w:sz w:val="20"/>
                <w:szCs w:val="20"/>
                <w:color w:val="auto"/>
              </w:rPr>
            </w:pPr>
            <w:r>
              <w:rPr>
                <w:rFonts w:ascii="Arial" w:cs="Arial" w:eastAsia="Arial" w:hAnsi="Arial"/>
                <w:sz w:val="8"/>
                <w:szCs w:val="8"/>
                <w:color w:val="auto"/>
              </w:rPr>
              <w:t>14,478</w:t>
            </w:r>
          </w:p>
        </w:tc>
        <w:tc>
          <w:tcPr>
            <w:tcW w:w="120" w:type="dxa"/>
            <w:vAlign w:val="bottom"/>
            <w:tcBorders>
              <w:top w:val="single" w:sz="8" w:color="CFF0FC"/>
            </w:tcBorders>
            <w:shd w:val="clear" w:color="auto" w:fill="CFF0FC"/>
          </w:tcPr>
          <w:p>
            <w:pPr>
              <w:spacing w:after="0"/>
              <w:rPr>
                <w:sz w:val="7"/>
                <w:szCs w:val="7"/>
                <w:color w:val="auto"/>
              </w:rPr>
            </w:pPr>
          </w:p>
        </w:tc>
        <w:tc>
          <w:tcPr>
            <w:tcW w:w="100" w:type="dxa"/>
            <w:vAlign w:val="bottom"/>
            <w:tcBorders>
              <w:top w:val="single" w:sz="8" w:color="CFF0FC"/>
            </w:tcBorders>
            <w:shd w:val="clear" w:color="auto" w:fill="CFF0FC"/>
          </w:tcPr>
          <w:p>
            <w:pPr>
              <w:spacing w:after="0"/>
              <w:rPr>
                <w:sz w:val="7"/>
                <w:szCs w:val="7"/>
                <w:color w:val="auto"/>
              </w:rPr>
            </w:pPr>
          </w:p>
        </w:tc>
        <w:tc>
          <w:tcPr>
            <w:tcW w:w="160" w:type="dxa"/>
            <w:vAlign w:val="bottom"/>
            <w:tcBorders>
              <w:top w:val="single" w:sz="8" w:color="auto"/>
            </w:tcBorders>
            <w:shd w:val="clear" w:color="auto" w:fill="CFF0FC"/>
          </w:tcPr>
          <w:p>
            <w:pPr>
              <w:jc w:val="right"/>
              <w:ind w:right="54"/>
              <w:spacing w:after="0" w:line="86" w:lineRule="exact"/>
              <w:rPr>
                <w:sz w:val="20"/>
                <w:szCs w:val="20"/>
                <w:color w:val="auto"/>
              </w:rPr>
            </w:pPr>
            <w:r>
              <w:rPr>
                <w:rFonts w:ascii="Arial" w:cs="Arial" w:eastAsia="Arial" w:hAnsi="Arial"/>
                <w:sz w:val="8"/>
                <w:szCs w:val="8"/>
                <w:color w:val="auto"/>
                <w:w w:val="88"/>
              </w:rPr>
              <w:t>$</w:t>
            </w:r>
          </w:p>
        </w:tc>
        <w:tc>
          <w:tcPr>
            <w:tcW w:w="880" w:type="dxa"/>
            <w:vAlign w:val="bottom"/>
            <w:tcBorders>
              <w:top w:val="single" w:sz="8" w:color="auto"/>
            </w:tcBorders>
            <w:shd w:val="clear" w:color="auto" w:fill="CFF0FC"/>
          </w:tcPr>
          <w:p>
            <w:pPr>
              <w:jc w:val="right"/>
              <w:spacing w:after="0" w:line="86" w:lineRule="exact"/>
              <w:rPr>
                <w:sz w:val="20"/>
                <w:szCs w:val="20"/>
                <w:color w:val="auto"/>
              </w:rPr>
            </w:pPr>
            <w:r>
              <w:rPr>
                <w:rFonts w:ascii="Arial" w:cs="Arial" w:eastAsia="Arial" w:hAnsi="Arial"/>
                <w:sz w:val="8"/>
                <w:szCs w:val="8"/>
                <w:color w:val="auto"/>
              </w:rPr>
              <w:t>—</w:t>
            </w:r>
          </w:p>
        </w:tc>
        <w:tc>
          <w:tcPr>
            <w:tcW w:w="120" w:type="dxa"/>
            <w:vAlign w:val="bottom"/>
            <w:tcBorders>
              <w:top w:val="single" w:sz="8" w:color="CFF0FC"/>
            </w:tcBorders>
            <w:shd w:val="clear" w:color="auto" w:fill="CFF0FC"/>
          </w:tcPr>
          <w:p>
            <w:pPr>
              <w:spacing w:after="0"/>
              <w:rPr>
                <w:sz w:val="7"/>
                <w:szCs w:val="7"/>
                <w:color w:val="auto"/>
              </w:rPr>
            </w:pPr>
          </w:p>
        </w:tc>
        <w:tc>
          <w:tcPr>
            <w:tcW w:w="100" w:type="dxa"/>
            <w:vAlign w:val="bottom"/>
            <w:tcBorders>
              <w:top w:val="single" w:sz="8" w:color="CFF0FC"/>
            </w:tcBorders>
            <w:shd w:val="clear" w:color="auto" w:fill="CFF0FC"/>
          </w:tcPr>
          <w:p>
            <w:pPr>
              <w:spacing w:after="0"/>
              <w:rPr>
                <w:sz w:val="7"/>
                <w:szCs w:val="7"/>
                <w:color w:val="auto"/>
              </w:rPr>
            </w:pPr>
          </w:p>
        </w:tc>
        <w:tc>
          <w:tcPr>
            <w:tcW w:w="160" w:type="dxa"/>
            <w:vAlign w:val="bottom"/>
            <w:tcBorders>
              <w:top w:val="single" w:sz="8" w:color="auto"/>
            </w:tcBorders>
            <w:shd w:val="clear" w:color="auto" w:fill="CFF0FC"/>
          </w:tcPr>
          <w:p>
            <w:pPr>
              <w:jc w:val="right"/>
              <w:ind w:right="54"/>
              <w:spacing w:after="0" w:line="86" w:lineRule="exact"/>
              <w:rPr>
                <w:sz w:val="20"/>
                <w:szCs w:val="20"/>
                <w:color w:val="auto"/>
              </w:rPr>
            </w:pPr>
            <w:r>
              <w:rPr>
                <w:rFonts w:ascii="Arial" w:cs="Arial" w:eastAsia="Arial" w:hAnsi="Arial"/>
                <w:sz w:val="8"/>
                <w:szCs w:val="8"/>
                <w:color w:val="auto"/>
                <w:w w:val="88"/>
              </w:rPr>
              <w:t>$</w:t>
            </w:r>
          </w:p>
        </w:tc>
        <w:tc>
          <w:tcPr>
            <w:tcW w:w="880" w:type="dxa"/>
            <w:vAlign w:val="bottom"/>
            <w:tcBorders>
              <w:top w:val="single" w:sz="8" w:color="auto"/>
            </w:tcBorders>
            <w:shd w:val="clear" w:color="auto" w:fill="CFF0FC"/>
          </w:tcPr>
          <w:p>
            <w:pPr>
              <w:jc w:val="right"/>
              <w:spacing w:after="0" w:line="86" w:lineRule="exact"/>
              <w:rPr>
                <w:sz w:val="20"/>
                <w:szCs w:val="20"/>
                <w:color w:val="auto"/>
              </w:rPr>
            </w:pPr>
            <w:r>
              <w:rPr>
                <w:rFonts w:ascii="Arial" w:cs="Arial" w:eastAsia="Arial" w:hAnsi="Arial"/>
                <w:sz w:val="8"/>
                <w:szCs w:val="8"/>
                <w:color w:val="auto"/>
              </w:rPr>
              <w:t>416,723</w:t>
            </w:r>
          </w:p>
        </w:tc>
        <w:tc>
          <w:tcPr>
            <w:tcW w:w="120" w:type="dxa"/>
            <w:vAlign w:val="bottom"/>
            <w:tcBorders>
              <w:top w:val="single" w:sz="8" w:color="CFF0FC"/>
            </w:tcBorders>
            <w:shd w:val="clear" w:color="auto" w:fill="CFF0FC"/>
          </w:tcPr>
          <w:p>
            <w:pPr>
              <w:spacing w:after="0"/>
              <w:rPr>
                <w:sz w:val="7"/>
                <w:szCs w:val="7"/>
                <w:color w:val="auto"/>
              </w:rPr>
            </w:pPr>
          </w:p>
        </w:tc>
      </w:tr>
      <w:tr>
        <w:trPr>
          <w:trHeight w:val="108"/>
        </w:trPr>
        <w:tc>
          <w:tcPr>
            <w:tcW w:w="5300" w:type="dxa"/>
            <w:vAlign w:val="bottom"/>
            <w:gridSpan w:val="2"/>
          </w:tcPr>
          <w:p>
            <w:pPr>
              <w:spacing w:after="0" w:line="108" w:lineRule="exact"/>
              <w:rPr>
                <w:sz w:val="20"/>
                <w:szCs w:val="20"/>
                <w:color w:val="auto"/>
              </w:rPr>
            </w:pPr>
            <w:r>
              <w:rPr>
                <w:rFonts w:ascii="Arial" w:cs="Arial" w:eastAsia="Arial" w:hAnsi="Arial"/>
                <w:sz w:val="10"/>
                <w:szCs w:val="10"/>
                <w:color w:val="auto"/>
              </w:rPr>
              <w:t>Product sales</w:t>
            </w:r>
          </w:p>
        </w:tc>
        <w:tc>
          <w:tcPr>
            <w:tcW w:w="100" w:type="dxa"/>
            <w:vAlign w:val="bottom"/>
          </w:tcPr>
          <w:p>
            <w:pPr>
              <w:spacing w:after="0"/>
              <w:rPr>
                <w:sz w:val="9"/>
                <w:szCs w:val="9"/>
                <w:color w:val="auto"/>
              </w:rPr>
            </w:pPr>
          </w:p>
        </w:tc>
        <w:tc>
          <w:tcPr>
            <w:tcW w:w="1160" w:type="dxa"/>
            <w:vAlign w:val="bottom"/>
            <w:gridSpan w:val="2"/>
          </w:tcPr>
          <w:p>
            <w:pPr>
              <w:jc w:val="right"/>
              <w:ind w:right="240"/>
              <w:spacing w:after="0" w:line="108" w:lineRule="exact"/>
              <w:rPr>
                <w:sz w:val="20"/>
                <w:szCs w:val="20"/>
                <w:color w:val="auto"/>
              </w:rPr>
            </w:pPr>
            <w:r>
              <w:rPr>
                <w:rFonts w:ascii="Arial" w:cs="Arial" w:eastAsia="Arial" w:hAnsi="Arial"/>
                <w:sz w:val="10"/>
                <w:szCs w:val="10"/>
                <w:color w:val="auto"/>
              </w:rPr>
              <w:t>—</w:t>
            </w:r>
          </w:p>
        </w:tc>
        <w:tc>
          <w:tcPr>
            <w:tcW w:w="140" w:type="dxa"/>
            <w:vAlign w:val="bottom"/>
          </w:tcPr>
          <w:p>
            <w:pPr>
              <w:spacing w:after="0"/>
              <w:rPr>
                <w:sz w:val="9"/>
                <w:szCs w:val="9"/>
                <w:color w:val="auto"/>
              </w:rPr>
            </w:pPr>
          </w:p>
        </w:tc>
        <w:tc>
          <w:tcPr>
            <w:tcW w:w="880" w:type="dxa"/>
            <w:vAlign w:val="bottom"/>
          </w:tcPr>
          <w:p>
            <w:pPr>
              <w:jc w:val="right"/>
              <w:spacing w:after="0" w:line="108" w:lineRule="exact"/>
              <w:rPr>
                <w:sz w:val="20"/>
                <w:szCs w:val="20"/>
                <w:color w:val="auto"/>
              </w:rPr>
            </w:pPr>
            <w:r>
              <w:rPr>
                <w:rFonts w:ascii="Arial" w:cs="Arial" w:eastAsia="Arial" w:hAnsi="Arial"/>
                <w:sz w:val="10"/>
                <w:szCs w:val="10"/>
                <w:color w:val="auto"/>
              </w:rPr>
              <w:t>32,014</w:t>
            </w: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0" w:type="dxa"/>
            <w:vAlign w:val="bottom"/>
            <w:gridSpan w:val="2"/>
          </w:tcPr>
          <w:p>
            <w:pPr>
              <w:jc w:val="right"/>
              <w:ind w:right="140"/>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gridSpan w:val="2"/>
          </w:tcPr>
          <w:p>
            <w:pPr>
              <w:jc w:val="right"/>
              <w:ind w:right="140"/>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jc w:val="right"/>
              <w:spacing w:after="0" w:line="108" w:lineRule="exact"/>
              <w:rPr>
                <w:sz w:val="20"/>
                <w:szCs w:val="20"/>
                <w:color w:val="auto"/>
              </w:rPr>
            </w:pPr>
            <w:r>
              <w:rPr>
                <w:rFonts w:ascii="Arial" w:cs="Arial" w:eastAsia="Arial" w:hAnsi="Arial"/>
                <w:sz w:val="10"/>
                <w:szCs w:val="10"/>
                <w:color w:val="auto"/>
              </w:rPr>
              <w:t>32,014</w:t>
            </w:r>
          </w:p>
        </w:tc>
        <w:tc>
          <w:tcPr>
            <w:tcW w:w="120" w:type="dxa"/>
            <w:vAlign w:val="bottom"/>
          </w:tcPr>
          <w:p>
            <w:pPr>
              <w:spacing w:after="0"/>
              <w:rPr>
                <w:sz w:val="9"/>
                <w:szCs w:val="9"/>
                <w:color w:val="auto"/>
              </w:rPr>
            </w:pPr>
          </w:p>
        </w:tc>
      </w:tr>
      <w:tr>
        <w:trPr>
          <w:trHeight w:val="97"/>
        </w:trPr>
        <w:tc>
          <w:tcPr>
            <w:tcW w:w="5300" w:type="dxa"/>
            <w:vAlign w:val="bottom"/>
            <w:tcBorders>
              <w:top w:val="single" w:sz="8" w:color="CFF0FC"/>
            </w:tcBorders>
            <w:gridSpan w:val="2"/>
            <w:shd w:val="clear" w:color="auto" w:fill="CFF0FC"/>
          </w:tcPr>
          <w:p>
            <w:pPr>
              <w:ind w:left="80"/>
              <w:spacing w:after="0" w:line="97" w:lineRule="exact"/>
              <w:rPr>
                <w:sz w:val="20"/>
                <w:szCs w:val="20"/>
                <w:color w:val="auto"/>
              </w:rPr>
            </w:pPr>
            <w:r>
              <w:rPr>
                <w:rFonts w:ascii="Arial" w:cs="Arial" w:eastAsia="Arial" w:hAnsi="Arial"/>
                <w:sz w:val="10"/>
                <w:szCs w:val="10"/>
                <w:b w:val="1"/>
                <w:bCs w:val="1"/>
                <w:color w:val="auto"/>
              </w:rPr>
              <w:t>Total revenue</w:t>
            </w:r>
          </w:p>
        </w:tc>
        <w:tc>
          <w:tcPr>
            <w:tcW w:w="100" w:type="dxa"/>
            <w:vAlign w:val="bottom"/>
            <w:tcBorders>
              <w:top w:val="single" w:sz="8" w:color="auto"/>
            </w:tcBorders>
            <w:shd w:val="clear" w:color="auto" w:fill="CFF0FC"/>
          </w:tcPr>
          <w:p>
            <w:pPr>
              <w:spacing w:after="0"/>
              <w:rPr>
                <w:sz w:val="8"/>
                <w:szCs w:val="8"/>
                <w:color w:val="auto"/>
              </w:rPr>
            </w:pPr>
          </w:p>
        </w:tc>
        <w:tc>
          <w:tcPr>
            <w:tcW w:w="940" w:type="dxa"/>
            <w:vAlign w:val="bottom"/>
            <w:tcBorders>
              <w:top w:val="single" w:sz="8" w:color="auto"/>
            </w:tcBorders>
            <w:shd w:val="clear" w:color="auto" w:fill="CFF0FC"/>
          </w:tcPr>
          <w:p>
            <w:pPr>
              <w:jc w:val="right"/>
              <w:spacing w:after="0" w:line="97" w:lineRule="exact"/>
              <w:rPr>
                <w:sz w:val="20"/>
                <w:szCs w:val="20"/>
                <w:color w:val="auto"/>
              </w:rPr>
            </w:pPr>
            <w:r>
              <w:rPr>
                <w:rFonts w:ascii="Arial" w:cs="Arial" w:eastAsia="Arial" w:hAnsi="Arial"/>
                <w:sz w:val="10"/>
                <w:szCs w:val="10"/>
                <w:color w:val="auto"/>
              </w:rPr>
              <w:t>—</w:t>
            </w:r>
          </w:p>
        </w:tc>
        <w:tc>
          <w:tcPr>
            <w:tcW w:w="220" w:type="dxa"/>
            <w:vAlign w:val="bottom"/>
            <w:tcBorders>
              <w:top w:val="single" w:sz="8" w:color="CFF0FC"/>
            </w:tcBorders>
            <w:shd w:val="clear" w:color="auto" w:fill="CFF0FC"/>
          </w:tcPr>
          <w:p>
            <w:pPr>
              <w:spacing w:after="0"/>
              <w:rPr>
                <w:sz w:val="8"/>
                <w:szCs w:val="8"/>
                <w:color w:val="auto"/>
              </w:rPr>
            </w:pPr>
          </w:p>
        </w:tc>
        <w:tc>
          <w:tcPr>
            <w:tcW w:w="140" w:type="dxa"/>
            <w:vAlign w:val="bottom"/>
            <w:tcBorders>
              <w:top w:val="single" w:sz="8" w:color="auto"/>
            </w:tcBorders>
            <w:shd w:val="clear" w:color="auto" w:fill="CFF0FC"/>
          </w:tcPr>
          <w:p>
            <w:pPr>
              <w:spacing w:after="0"/>
              <w:rPr>
                <w:sz w:val="8"/>
                <w:szCs w:val="8"/>
                <w:color w:val="auto"/>
              </w:rPr>
            </w:pPr>
          </w:p>
        </w:tc>
        <w:tc>
          <w:tcPr>
            <w:tcW w:w="880" w:type="dxa"/>
            <w:vAlign w:val="bottom"/>
            <w:tcBorders>
              <w:top w:val="single" w:sz="8" w:color="auto"/>
            </w:tcBorders>
            <w:shd w:val="clear" w:color="auto" w:fill="CFF0FC"/>
          </w:tcPr>
          <w:p>
            <w:pPr>
              <w:jc w:val="right"/>
              <w:spacing w:after="0" w:line="97" w:lineRule="exact"/>
              <w:rPr>
                <w:sz w:val="20"/>
                <w:szCs w:val="20"/>
                <w:color w:val="auto"/>
              </w:rPr>
            </w:pPr>
            <w:r>
              <w:rPr>
                <w:rFonts w:ascii="Arial" w:cs="Arial" w:eastAsia="Arial" w:hAnsi="Arial"/>
                <w:sz w:val="10"/>
                <w:szCs w:val="10"/>
                <w:color w:val="auto"/>
              </w:rPr>
              <w:t>434,259</w:t>
            </w:r>
          </w:p>
        </w:tc>
        <w:tc>
          <w:tcPr>
            <w:tcW w:w="240" w:type="dxa"/>
            <w:vAlign w:val="bottom"/>
            <w:tcBorders>
              <w:top w:val="single" w:sz="8" w:color="CFF0FC"/>
            </w:tcBorders>
            <w:shd w:val="clear" w:color="auto" w:fill="CFF0FC"/>
          </w:tcPr>
          <w:p>
            <w:pPr>
              <w:spacing w:after="0"/>
              <w:rPr>
                <w:sz w:val="8"/>
                <w:szCs w:val="8"/>
                <w:color w:val="auto"/>
              </w:rPr>
            </w:pPr>
          </w:p>
        </w:tc>
        <w:tc>
          <w:tcPr>
            <w:tcW w:w="140" w:type="dxa"/>
            <w:vAlign w:val="bottom"/>
            <w:tcBorders>
              <w:top w:val="single" w:sz="8" w:color="auto"/>
            </w:tcBorders>
            <w:shd w:val="clear" w:color="auto" w:fill="CFF0FC"/>
          </w:tcPr>
          <w:p>
            <w:pPr>
              <w:spacing w:after="0"/>
              <w:rPr>
                <w:sz w:val="8"/>
                <w:szCs w:val="8"/>
                <w:color w:val="auto"/>
              </w:rPr>
            </w:pPr>
          </w:p>
        </w:tc>
        <w:tc>
          <w:tcPr>
            <w:tcW w:w="880" w:type="dxa"/>
            <w:vAlign w:val="bottom"/>
            <w:tcBorders>
              <w:top w:val="single" w:sz="8" w:color="auto"/>
            </w:tcBorders>
            <w:shd w:val="clear" w:color="auto" w:fill="CFF0FC"/>
          </w:tcPr>
          <w:p>
            <w:pPr>
              <w:jc w:val="right"/>
              <w:spacing w:after="0" w:line="97" w:lineRule="exact"/>
              <w:rPr>
                <w:sz w:val="20"/>
                <w:szCs w:val="20"/>
                <w:color w:val="auto"/>
              </w:rPr>
            </w:pPr>
            <w:r>
              <w:rPr>
                <w:rFonts w:ascii="Arial" w:cs="Arial" w:eastAsia="Arial" w:hAnsi="Arial"/>
                <w:sz w:val="10"/>
                <w:szCs w:val="10"/>
                <w:color w:val="auto"/>
              </w:rPr>
              <w:t>14,478</w:t>
            </w:r>
          </w:p>
        </w:tc>
        <w:tc>
          <w:tcPr>
            <w:tcW w:w="120" w:type="dxa"/>
            <w:vAlign w:val="bottom"/>
            <w:tcBorders>
              <w:top w:val="single" w:sz="8" w:color="CFF0FC"/>
            </w:tcBorders>
            <w:shd w:val="clear" w:color="auto" w:fill="CFF0FC"/>
          </w:tcPr>
          <w:p>
            <w:pPr>
              <w:spacing w:after="0"/>
              <w:rPr>
                <w:sz w:val="8"/>
                <w:szCs w:val="8"/>
                <w:color w:val="auto"/>
              </w:rPr>
            </w:pPr>
          </w:p>
        </w:tc>
        <w:tc>
          <w:tcPr>
            <w:tcW w:w="100" w:type="dxa"/>
            <w:vAlign w:val="bottom"/>
            <w:tcBorders>
              <w:top w:val="single" w:sz="8" w:color="CFF0FC"/>
            </w:tcBorders>
            <w:shd w:val="clear" w:color="auto" w:fill="CFF0FC"/>
          </w:tcPr>
          <w:p>
            <w:pPr>
              <w:spacing w:after="0"/>
              <w:rPr>
                <w:sz w:val="8"/>
                <w:szCs w:val="8"/>
                <w:color w:val="auto"/>
              </w:rPr>
            </w:pPr>
          </w:p>
        </w:tc>
        <w:tc>
          <w:tcPr>
            <w:tcW w:w="160" w:type="dxa"/>
            <w:vAlign w:val="bottom"/>
            <w:tcBorders>
              <w:top w:val="single" w:sz="8" w:color="auto"/>
            </w:tcBorders>
            <w:shd w:val="clear" w:color="auto" w:fill="CFF0FC"/>
          </w:tcPr>
          <w:p>
            <w:pPr>
              <w:spacing w:after="0"/>
              <w:rPr>
                <w:sz w:val="8"/>
                <w:szCs w:val="8"/>
                <w:color w:val="auto"/>
              </w:rPr>
            </w:pPr>
          </w:p>
        </w:tc>
        <w:tc>
          <w:tcPr>
            <w:tcW w:w="880" w:type="dxa"/>
            <w:vAlign w:val="bottom"/>
            <w:tcBorders>
              <w:top w:val="single" w:sz="8" w:color="auto"/>
            </w:tcBorders>
            <w:shd w:val="clear" w:color="auto" w:fill="CFF0FC"/>
          </w:tcPr>
          <w:p>
            <w:pPr>
              <w:jc w:val="right"/>
              <w:spacing w:after="0" w:line="97" w:lineRule="exact"/>
              <w:rPr>
                <w:sz w:val="20"/>
                <w:szCs w:val="20"/>
                <w:color w:val="auto"/>
              </w:rPr>
            </w:pPr>
            <w:r>
              <w:rPr>
                <w:rFonts w:ascii="Arial" w:cs="Arial" w:eastAsia="Arial" w:hAnsi="Arial"/>
                <w:sz w:val="10"/>
                <w:szCs w:val="10"/>
                <w:color w:val="auto"/>
              </w:rPr>
              <w:t>—</w:t>
            </w:r>
          </w:p>
        </w:tc>
        <w:tc>
          <w:tcPr>
            <w:tcW w:w="120" w:type="dxa"/>
            <w:vAlign w:val="bottom"/>
            <w:tcBorders>
              <w:top w:val="single" w:sz="8" w:color="CFF0FC"/>
            </w:tcBorders>
            <w:shd w:val="clear" w:color="auto" w:fill="CFF0FC"/>
          </w:tcPr>
          <w:p>
            <w:pPr>
              <w:spacing w:after="0"/>
              <w:rPr>
                <w:sz w:val="8"/>
                <w:szCs w:val="8"/>
                <w:color w:val="auto"/>
              </w:rPr>
            </w:pPr>
          </w:p>
        </w:tc>
        <w:tc>
          <w:tcPr>
            <w:tcW w:w="100" w:type="dxa"/>
            <w:vAlign w:val="bottom"/>
            <w:tcBorders>
              <w:top w:val="single" w:sz="8" w:color="CFF0FC"/>
            </w:tcBorders>
            <w:shd w:val="clear" w:color="auto" w:fill="CFF0FC"/>
          </w:tcPr>
          <w:p>
            <w:pPr>
              <w:spacing w:after="0"/>
              <w:rPr>
                <w:sz w:val="8"/>
                <w:szCs w:val="8"/>
                <w:color w:val="auto"/>
              </w:rPr>
            </w:pPr>
          </w:p>
        </w:tc>
        <w:tc>
          <w:tcPr>
            <w:tcW w:w="160" w:type="dxa"/>
            <w:vAlign w:val="bottom"/>
            <w:tcBorders>
              <w:top w:val="single" w:sz="8" w:color="auto"/>
            </w:tcBorders>
            <w:shd w:val="clear" w:color="auto" w:fill="CFF0FC"/>
          </w:tcPr>
          <w:p>
            <w:pPr>
              <w:spacing w:after="0"/>
              <w:rPr>
                <w:sz w:val="8"/>
                <w:szCs w:val="8"/>
                <w:color w:val="auto"/>
              </w:rPr>
            </w:pPr>
          </w:p>
        </w:tc>
        <w:tc>
          <w:tcPr>
            <w:tcW w:w="880" w:type="dxa"/>
            <w:vAlign w:val="bottom"/>
            <w:tcBorders>
              <w:top w:val="single" w:sz="8" w:color="auto"/>
            </w:tcBorders>
            <w:shd w:val="clear" w:color="auto" w:fill="CFF0FC"/>
          </w:tcPr>
          <w:p>
            <w:pPr>
              <w:jc w:val="right"/>
              <w:spacing w:after="0" w:line="97" w:lineRule="exact"/>
              <w:rPr>
                <w:sz w:val="20"/>
                <w:szCs w:val="20"/>
                <w:color w:val="auto"/>
              </w:rPr>
            </w:pPr>
            <w:r>
              <w:rPr>
                <w:rFonts w:ascii="Arial" w:cs="Arial" w:eastAsia="Arial" w:hAnsi="Arial"/>
                <w:sz w:val="10"/>
                <w:szCs w:val="10"/>
                <w:color w:val="auto"/>
              </w:rPr>
              <w:t>448,737</w:t>
            </w:r>
          </w:p>
        </w:tc>
        <w:tc>
          <w:tcPr>
            <w:tcW w:w="120" w:type="dxa"/>
            <w:vAlign w:val="bottom"/>
            <w:tcBorders>
              <w:top w:val="single" w:sz="8" w:color="CFF0FC"/>
            </w:tcBorders>
            <w:shd w:val="clear" w:color="auto" w:fill="CFF0FC"/>
          </w:tcPr>
          <w:p>
            <w:pPr>
              <w:spacing w:after="0"/>
              <w:rPr>
                <w:sz w:val="8"/>
                <w:szCs w:val="8"/>
                <w:color w:val="auto"/>
              </w:rPr>
            </w:pPr>
          </w:p>
        </w:tc>
      </w:tr>
      <w:tr>
        <w:trPr>
          <w:trHeight w:val="108"/>
        </w:trPr>
        <w:tc>
          <w:tcPr>
            <w:tcW w:w="5300" w:type="dxa"/>
            <w:vAlign w:val="bottom"/>
            <w:gridSpan w:val="2"/>
          </w:tcPr>
          <w:p>
            <w:pPr>
              <w:spacing w:after="0" w:line="108" w:lineRule="exact"/>
              <w:rPr>
                <w:sz w:val="20"/>
                <w:szCs w:val="20"/>
                <w:color w:val="auto"/>
              </w:rPr>
            </w:pPr>
            <w:r>
              <w:rPr>
                <w:rFonts w:ascii="Arial" w:cs="Arial" w:eastAsia="Arial" w:hAnsi="Arial"/>
                <w:sz w:val="10"/>
                <w:szCs w:val="10"/>
                <w:color w:val="auto"/>
              </w:rPr>
              <w:t>Cost of service revenue</w:t>
            </w:r>
          </w:p>
        </w:tc>
        <w:tc>
          <w:tcPr>
            <w:tcW w:w="100" w:type="dxa"/>
            <w:vAlign w:val="bottom"/>
          </w:tcPr>
          <w:p>
            <w:pPr>
              <w:spacing w:after="0"/>
              <w:rPr>
                <w:sz w:val="9"/>
                <w:szCs w:val="9"/>
                <w:color w:val="auto"/>
              </w:rPr>
            </w:pPr>
          </w:p>
        </w:tc>
        <w:tc>
          <w:tcPr>
            <w:tcW w:w="1160" w:type="dxa"/>
            <w:vAlign w:val="bottom"/>
            <w:gridSpan w:val="2"/>
          </w:tcPr>
          <w:p>
            <w:pPr>
              <w:jc w:val="right"/>
              <w:ind w:right="240"/>
              <w:spacing w:after="0" w:line="108" w:lineRule="exact"/>
              <w:rPr>
                <w:sz w:val="20"/>
                <w:szCs w:val="20"/>
                <w:color w:val="auto"/>
              </w:rPr>
            </w:pPr>
            <w:r>
              <w:rPr>
                <w:rFonts w:ascii="Arial" w:cs="Arial" w:eastAsia="Arial" w:hAnsi="Arial"/>
                <w:sz w:val="10"/>
                <w:szCs w:val="10"/>
                <w:color w:val="auto"/>
              </w:rPr>
              <w:t>—</w:t>
            </w:r>
          </w:p>
        </w:tc>
        <w:tc>
          <w:tcPr>
            <w:tcW w:w="140" w:type="dxa"/>
            <w:vAlign w:val="bottom"/>
          </w:tcPr>
          <w:p>
            <w:pPr>
              <w:spacing w:after="0"/>
              <w:rPr>
                <w:sz w:val="9"/>
                <w:szCs w:val="9"/>
                <w:color w:val="auto"/>
              </w:rPr>
            </w:pPr>
          </w:p>
        </w:tc>
        <w:tc>
          <w:tcPr>
            <w:tcW w:w="880" w:type="dxa"/>
            <w:vAlign w:val="bottom"/>
          </w:tcPr>
          <w:p>
            <w:pPr>
              <w:jc w:val="right"/>
              <w:spacing w:after="0" w:line="108" w:lineRule="exact"/>
              <w:rPr>
                <w:sz w:val="20"/>
                <w:szCs w:val="20"/>
                <w:color w:val="auto"/>
              </w:rPr>
            </w:pPr>
            <w:r>
              <w:rPr>
                <w:rFonts w:ascii="Arial" w:cs="Arial" w:eastAsia="Arial" w:hAnsi="Arial"/>
                <w:sz w:val="10"/>
                <w:szCs w:val="10"/>
                <w:color w:val="auto"/>
              </w:rPr>
              <w:t>2,921</w:t>
            </w: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jc w:val="right"/>
              <w:spacing w:after="0" w:line="108" w:lineRule="exact"/>
              <w:rPr>
                <w:sz w:val="20"/>
                <w:szCs w:val="20"/>
                <w:color w:val="auto"/>
              </w:rPr>
            </w:pPr>
            <w:r>
              <w:rPr>
                <w:rFonts w:ascii="Arial" w:cs="Arial" w:eastAsia="Arial" w:hAnsi="Arial"/>
                <w:sz w:val="10"/>
                <w:szCs w:val="10"/>
                <w:color w:val="auto"/>
              </w:rPr>
              <w:t>2,640</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gridSpan w:val="2"/>
          </w:tcPr>
          <w:p>
            <w:pPr>
              <w:jc w:val="right"/>
              <w:ind w:right="140"/>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jc w:val="right"/>
              <w:spacing w:after="0" w:line="108" w:lineRule="exact"/>
              <w:rPr>
                <w:sz w:val="20"/>
                <w:szCs w:val="20"/>
                <w:color w:val="auto"/>
              </w:rPr>
            </w:pPr>
            <w:r>
              <w:rPr>
                <w:rFonts w:ascii="Arial" w:cs="Arial" w:eastAsia="Arial" w:hAnsi="Arial"/>
                <w:sz w:val="10"/>
                <w:szCs w:val="10"/>
                <w:color w:val="auto"/>
              </w:rPr>
              <w:t>5,561</w:t>
            </w:r>
          </w:p>
        </w:tc>
        <w:tc>
          <w:tcPr>
            <w:tcW w:w="120" w:type="dxa"/>
            <w:vAlign w:val="bottom"/>
          </w:tcPr>
          <w:p>
            <w:pPr>
              <w:spacing w:after="0"/>
              <w:rPr>
                <w:sz w:val="9"/>
                <w:szCs w:val="9"/>
                <w:color w:val="auto"/>
              </w:rPr>
            </w:pPr>
          </w:p>
        </w:tc>
      </w:tr>
      <w:tr>
        <w:trPr>
          <w:trHeight w:val="108"/>
        </w:trPr>
        <w:tc>
          <w:tcPr>
            <w:tcW w:w="5300" w:type="dxa"/>
            <w:vAlign w:val="bottom"/>
            <w:gridSpan w:val="2"/>
            <w:shd w:val="clear" w:color="auto" w:fill="CFF0FC"/>
          </w:tcPr>
          <w:p>
            <w:pPr>
              <w:spacing w:after="0" w:line="108" w:lineRule="exact"/>
              <w:rPr>
                <w:sz w:val="20"/>
                <w:szCs w:val="20"/>
                <w:color w:val="auto"/>
              </w:rPr>
            </w:pPr>
            <w:r>
              <w:rPr>
                <w:rFonts w:ascii="Arial" w:cs="Arial" w:eastAsia="Arial" w:hAnsi="Arial"/>
                <w:sz w:val="10"/>
                <w:szCs w:val="10"/>
                <w:color w:val="auto"/>
              </w:rPr>
              <w:t>Cost of product sales</w:t>
            </w:r>
          </w:p>
        </w:tc>
        <w:tc>
          <w:tcPr>
            <w:tcW w:w="100" w:type="dxa"/>
            <w:vAlign w:val="bottom"/>
            <w:shd w:val="clear" w:color="auto" w:fill="CFF0FC"/>
          </w:tcPr>
          <w:p>
            <w:pPr>
              <w:spacing w:after="0"/>
              <w:rPr>
                <w:sz w:val="9"/>
                <w:szCs w:val="9"/>
                <w:color w:val="auto"/>
              </w:rPr>
            </w:pPr>
          </w:p>
        </w:tc>
        <w:tc>
          <w:tcPr>
            <w:tcW w:w="1160" w:type="dxa"/>
            <w:vAlign w:val="bottom"/>
            <w:gridSpan w:val="2"/>
            <w:shd w:val="clear" w:color="auto" w:fill="CFF0FC"/>
          </w:tcPr>
          <w:p>
            <w:pPr>
              <w:jc w:val="right"/>
              <w:ind w:right="240"/>
              <w:spacing w:after="0" w:line="108" w:lineRule="exact"/>
              <w:rPr>
                <w:sz w:val="20"/>
                <w:szCs w:val="20"/>
                <w:color w:val="auto"/>
              </w:rPr>
            </w:pPr>
            <w:r>
              <w:rPr>
                <w:rFonts w:ascii="Arial" w:cs="Arial" w:eastAsia="Arial" w:hAnsi="Arial"/>
                <w:sz w:val="10"/>
                <w:szCs w:val="10"/>
                <w:color w:val="auto"/>
              </w:rPr>
              <w:t>—</w:t>
            </w:r>
          </w:p>
        </w:tc>
        <w:tc>
          <w:tcPr>
            <w:tcW w:w="140" w:type="dxa"/>
            <w:vAlign w:val="bottom"/>
            <w:shd w:val="clear" w:color="auto" w:fill="CFF0FC"/>
          </w:tcPr>
          <w:p>
            <w:pPr>
              <w:spacing w:after="0"/>
              <w:rPr>
                <w:sz w:val="9"/>
                <w:szCs w:val="9"/>
                <w:color w:val="auto"/>
              </w:rPr>
            </w:pPr>
          </w:p>
        </w:tc>
        <w:tc>
          <w:tcPr>
            <w:tcW w:w="880" w:type="dxa"/>
            <w:vAlign w:val="bottom"/>
            <w:shd w:val="clear" w:color="auto" w:fill="CFF0FC"/>
          </w:tcPr>
          <w:p>
            <w:pPr>
              <w:jc w:val="right"/>
              <w:spacing w:after="0" w:line="108" w:lineRule="exact"/>
              <w:rPr>
                <w:sz w:val="20"/>
                <w:szCs w:val="20"/>
                <w:color w:val="auto"/>
              </w:rPr>
            </w:pPr>
            <w:r>
              <w:rPr>
                <w:rFonts w:ascii="Arial" w:cs="Arial" w:eastAsia="Arial" w:hAnsi="Arial"/>
                <w:sz w:val="10"/>
                <w:szCs w:val="10"/>
                <w:color w:val="auto"/>
              </w:rPr>
              <w:t>13,919</w:t>
            </w:r>
          </w:p>
        </w:tc>
        <w:tc>
          <w:tcPr>
            <w:tcW w:w="24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1000" w:type="dxa"/>
            <w:vAlign w:val="bottom"/>
            <w:gridSpan w:val="2"/>
            <w:shd w:val="clear" w:color="auto" w:fill="CFF0FC"/>
          </w:tcPr>
          <w:p>
            <w:pPr>
              <w:jc w:val="right"/>
              <w:ind w:right="140"/>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1000" w:type="dxa"/>
            <w:vAlign w:val="bottom"/>
            <w:gridSpan w:val="2"/>
            <w:shd w:val="clear" w:color="auto" w:fill="CFF0FC"/>
          </w:tcPr>
          <w:p>
            <w:pPr>
              <w:jc w:val="right"/>
              <w:ind w:right="140"/>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880" w:type="dxa"/>
            <w:vAlign w:val="bottom"/>
            <w:shd w:val="clear" w:color="auto" w:fill="CFF0FC"/>
          </w:tcPr>
          <w:p>
            <w:pPr>
              <w:jc w:val="right"/>
              <w:spacing w:after="0" w:line="108" w:lineRule="exact"/>
              <w:rPr>
                <w:sz w:val="20"/>
                <w:szCs w:val="20"/>
                <w:color w:val="auto"/>
              </w:rPr>
            </w:pPr>
            <w:r>
              <w:rPr>
                <w:rFonts w:ascii="Arial" w:cs="Arial" w:eastAsia="Arial" w:hAnsi="Arial"/>
                <w:sz w:val="10"/>
                <w:szCs w:val="10"/>
                <w:color w:val="auto"/>
              </w:rPr>
              <w:t>13,919</w:t>
            </w:r>
          </w:p>
        </w:tc>
        <w:tc>
          <w:tcPr>
            <w:tcW w:w="120" w:type="dxa"/>
            <w:vAlign w:val="bottom"/>
            <w:shd w:val="clear" w:color="auto" w:fill="CFF0FC"/>
          </w:tcPr>
          <w:p>
            <w:pPr>
              <w:spacing w:after="0"/>
              <w:rPr>
                <w:sz w:val="9"/>
                <w:szCs w:val="9"/>
                <w:color w:val="auto"/>
              </w:rPr>
            </w:pPr>
          </w:p>
        </w:tc>
      </w:tr>
      <w:tr>
        <w:trPr>
          <w:trHeight w:val="108"/>
        </w:trPr>
        <w:tc>
          <w:tcPr>
            <w:tcW w:w="5300" w:type="dxa"/>
            <w:vAlign w:val="bottom"/>
            <w:gridSpan w:val="2"/>
          </w:tcPr>
          <w:p>
            <w:pPr>
              <w:spacing w:after="0" w:line="108" w:lineRule="exact"/>
              <w:rPr>
                <w:sz w:val="20"/>
                <w:szCs w:val="20"/>
                <w:color w:val="auto"/>
              </w:rPr>
            </w:pPr>
            <w:r>
              <w:rPr>
                <w:rFonts w:ascii="Arial" w:cs="Arial" w:eastAsia="Arial" w:hAnsi="Arial"/>
                <w:sz w:val="10"/>
                <w:szCs w:val="10"/>
                <w:color w:val="auto"/>
              </w:rPr>
              <w:t>Operating expenses</w:t>
            </w:r>
          </w:p>
        </w:tc>
        <w:tc>
          <w:tcPr>
            <w:tcW w:w="100" w:type="dxa"/>
            <w:vAlign w:val="bottom"/>
          </w:tcPr>
          <w:p>
            <w:pPr>
              <w:spacing w:after="0"/>
              <w:rPr>
                <w:sz w:val="9"/>
                <w:szCs w:val="9"/>
                <w:color w:val="auto"/>
              </w:rPr>
            </w:pPr>
          </w:p>
        </w:tc>
        <w:tc>
          <w:tcPr>
            <w:tcW w:w="1160" w:type="dxa"/>
            <w:vAlign w:val="bottom"/>
            <w:gridSpan w:val="2"/>
          </w:tcPr>
          <w:p>
            <w:pPr>
              <w:jc w:val="right"/>
              <w:ind w:right="240"/>
              <w:spacing w:after="0" w:line="108" w:lineRule="exact"/>
              <w:rPr>
                <w:sz w:val="20"/>
                <w:szCs w:val="20"/>
                <w:color w:val="auto"/>
              </w:rPr>
            </w:pPr>
            <w:r>
              <w:rPr>
                <w:rFonts w:ascii="Arial" w:cs="Arial" w:eastAsia="Arial" w:hAnsi="Arial"/>
                <w:sz w:val="10"/>
                <w:szCs w:val="10"/>
                <w:color w:val="auto"/>
              </w:rPr>
              <w:t>—</w:t>
            </w:r>
          </w:p>
        </w:tc>
        <w:tc>
          <w:tcPr>
            <w:tcW w:w="140" w:type="dxa"/>
            <w:vAlign w:val="bottom"/>
          </w:tcPr>
          <w:p>
            <w:pPr>
              <w:spacing w:after="0"/>
              <w:rPr>
                <w:sz w:val="9"/>
                <w:szCs w:val="9"/>
                <w:color w:val="auto"/>
              </w:rPr>
            </w:pPr>
          </w:p>
        </w:tc>
        <w:tc>
          <w:tcPr>
            <w:tcW w:w="880" w:type="dxa"/>
            <w:vAlign w:val="bottom"/>
          </w:tcPr>
          <w:p>
            <w:pPr>
              <w:jc w:val="right"/>
              <w:spacing w:after="0" w:line="108" w:lineRule="exact"/>
              <w:rPr>
                <w:sz w:val="20"/>
                <w:szCs w:val="20"/>
                <w:color w:val="auto"/>
              </w:rPr>
            </w:pPr>
            <w:r>
              <w:rPr>
                <w:rFonts w:ascii="Arial" w:cs="Arial" w:eastAsia="Arial" w:hAnsi="Arial"/>
                <w:sz w:val="10"/>
                <w:szCs w:val="10"/>
                <w:color w:val="auto"/>
              </w:rPr>
              <w:t>119,796</w:t>
            </w: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jc w:val="right"/>
              <w:spacing w:after="0" w:line="108" w:lineRule="exact"/>
              <w:rPr>
                <w:sz w:val="20"/>
                <w:szCs w:val="20"/>
                <w:color w:val="auto"/>
              </w:rPr>
            </w:pPr>
            <w:r>
              <w:rPr>
                <w:rFonts w:ascii="Arial" w:cs="Arial" w:eastAsia="Arial" w:hAnsi="Arial"/>
                <w:sz w:val="10"/>
                <w:szCs w:val="10"/>
                <w:color w:val="auto"/>
              </w:rPr>
              <w:t>5,844</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gridSpan w:val="2"/>
          </w:tcPr>
          <w:p>
            <w:pPr>
              <w:jc w:val="right"/>
              <w:ind w:right="140"/>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jc w:val="right"/>
              <w:spacing w:after="0" w:line="108" w:lineRule="exact"/>
              <w:rPr>
                <w:sz w:val="20"/>
                <w:szCs w:val="20"/>
                <w:color w:val="auto"/>
              </w:rPr>
            </w:pPr>
            <w:r>
              <w:rPr>
                <w:rFonts w:ascii="Arial" w:cs="Arial" w:eastAsia="Arial" w:hAnsi="Arial"/>
                <w:sz w:val="10"/>
                <w:szCs w:val="10"/>
                <w:color w:val="auto"/>
              </w:rPr>
              <w:t>125,640</w:t>
            </w:r>
          </w:p>
        </w:tc>
        <w:tc>
          <w:tcPr>
            <w:tcW w:w="120" w:type="dxa"/>
            <w:vAlign w:val="bottom"/>
          </w:tcPr>
          <w:p>
            <w:pPr>
              <w:spacing w:after="0"/>
              <w:rPr>
                <w:sz w:val="9"/>
                <w:szCs w:val="9"/>
                <w:color w:val="auto"/>
              </w:rPr>
            </w:pPr>
          </w:p>
        </w:tc>
      </w:tr>
      <w:tr>
        <w:trPr>
          <w:trHeight w:val="108"/>
        </w:trPr>
        <w:tc>
          <w:tcPr>
            <w:tcW w:w="5300" w:type="dxa"/>
            <w:vAlign w:val="bottom"/>
            <w:gridSpan w:val="2"/>
            <w:shd w:val="clear" w:color="auto" w:fill="CFF0FC"/>
          </w:tcPr>
          <w:p>
            <w:pPr>
              <w:spacing w:after="0" w:line="108" w:lineRule="exact"/>
              <w:rPr>
                <w:sz w:val="20"/>
                <w:szCs w:val="20"/>
                <w:color w:val="auto"/>
              </w:rPr>
            </w:pPr>
            <w:r>
              <w:rPr>
                <w:rFonts w:ascii="Arial" w:cs="Arial" w:eastAsia="Arial" w:hAnsi="Arial"/>
                <w:sz w:val="10"/>
                <w:szCs w:val="10"/>
                <w:color w:val="auto"/>
              </w:rPr>
              <w:t>Selling, general and administrative expenses</w:t>
            </w:r>
          </w:p>
        </w:tc>
        <w:tc>
          <w:tcPr>
            <w:tcW w:w="100" w:type="dxa"/>
            <w:vAlign w:val="bottom"/>
            <w:shd w:val="clear" w:color="auto" w:fill="CFF0FC"/>
          </w:tcPr>
          <w:p>
            <w:pPr>
              <w:spacing w:after="0"/>
              <w:rPr>
                <w:sz w:val="9"/>
                <w:szCs w:val="9"/>
                <w:color w:val="auto"/>
              </w:rPr>
            </w:pPr>
          </w:p>
        </w:tc>
        <w:tc>
          <w:tcPr>
            <w:tcW w:w="1160" w:type="dxa"/>
            <w:vAlign w:val="bottom"/>
            <w:gridSpan w:val="2"/>
            <w:shd w:val="clear" w:color="auto" w:fill="CFF0FC"/>
          </w:tcPr>
          <w:p>
            <w:pPr>
              <w:jc w:val="right"/>
              <w:ind w:right="240"/>
              <w:spacing w:after="0" w:line="108" w:lineRule="exact"/>
              <w:rPr>
                <w:sz w:val="20"/>
                <w:szCs w:val="20"/>
                <w:color w:val="auto"/>
              </w:rPr>
            </w:pPr>
            <w:r>
              <w:rPr>
                <w:rFonts w:ascii="Arial" w:cs="Arial" w:eastAsia="Arial" w:hAnsi="Arial"/>
                <w:sz w:val="10"/>
                <w:szCs w:val="10"/>
                <w:color w:val="auto"/>
              </w:rPr>
              <w:t>—</w:t>
            </w:r>
          </w:p>
        </w:tc>
        <w:tc>
          <w:tcPr>
            <w:tcW w:w="140" w:type="dxa"/>
            <w:vAlign w:val="bottom"/>
            <w:shd w:val="clear" w:color="auto" w:fill="CFF0FC"/>
          </w:tcPr>
          <w:p>
            <w:pPr>
              <w:spacing w:after="0"/>
              <w:rPr>
                <w:sz w:val="9"/>
                <w:szCs w:val="9"/>
                <w:color w:val="auto"/>
              </w:rPr>
            </w:pPr>
          </w:p>
        </w:tc>
        <w:tc>
          <w:tcPr>
            <w:tcW w:w="880" w:type="dxa"/>
            <w:vAlign w:val="bottom"/>
            <w:shd w:val="clear" w:color="auto" w:fill="CFF0FC"/>
          </w:tcPr>
          <w:p>
            <w:pPr>
              <w:jc w:val="right"/>
              <w:spacing w:after="0" w:line="108" w:lineRule="exact"/>
              <w:rPr>
                <w:sz w:val="20"/>
                <w:szCs w:val="20"/>
                <w:color w:val="auto"/>
              </w:rPr>
            </w:pPr>
            <w:r>
              <w:rPr>
                <w:rFonts w:ascii="Arial" w:cs="Arial" w:eastAsia="Arial" w:hAnsi="Arial"/>
                <w:sz w:val="10"/>
                <w:szCs w:val="10"/>
                <w:color w:val="auto"/>
              </w:rPr>
              <w:t>78,276</w:t>
            </w:r>
          </w:p>
        </w:tc>
        <w:tc>
          <w:tcPr>
            <w:tcW w:w="24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880" w:type="dxa"/>
            <w:vAlign w:val="bottom"/>
            <w:shd w:val="clear" w:color="auto" w:fill="CFF0FC"/>
          </w:tcPr>
          <w:p>
            <w:pPr>
              <w:jc w:val="right"/>
              <w:spacing w:after="0" w:line="108" w:lineRule="exact"/>
              <w:rPr>
                <w:sz w:val="20"/>
                <w:szCs w:val="20"/>
                <w:color w:val="auto"/>
              </w:rPr>
            </w:pPr>
            <w:r>
              <w:rPr>
                <w:rFonts w:ascii="Arial" w:cs="Arial" w:eastAsia="Arial" w:hAnsi="Arial"/>
                <w:sz w:val="10"/>
                <w:szCs w:val="10"/>
                <w:color w:val="auto"/>
              </w:rPr>
              <w:t>7,217</w:t>
            </w: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1000" w:type="dxa"/>
            <w:vAlign w:val="bottom"/>
            <w:gridSpan w:val="2"/>
            <w:shd w:val="clear" w:color="auto" w:fill="CFF0FC"/>
          </w:tcPr>
          <w:p>
            <w:pPr>
              <w:jc w:val="right"/>
              <w:ind w:right="140"/>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880" w:type="dxa"/>
            <w:vAlign w:val="bottom"/>
            <w:shd w:val="clear" w:color="auto" w:fill="CFF0FC"/>
          </w:tcPr>
          <w:p>
            <w:pPr>
              <w:jc w:val="right"/>
              <w:spacing w:after="0" w:line="108" w:lineRule="exact"/>
              <w:rPr>
                <w:sz w:val="20"/>
                <w:szCs w:val="20"/>
                <w:color w:val="auto"/>
              </w:rPr>
            </w:pPr>
            <w:r>
              <w:rPr>
                <w:rFonts w:ascii="Arial" w:cs="Arial" w:eastAsia="Arial" w:hAnsi="Arial"/>
                <w:sz w:val="10"/>
                <w:szCs w:val="10"/>
                <w:color w:val="auto"/>
              </w:rPr>
              <w:t>85,493</w:t>
            </w:r>
          </w:p>
        </w:tc>
        <w:tc>
          <w:tcPr>
            <w:tcW w:w="120" w:type="dxa"/>
            <w:vAlign w:val="bottom"/>
            <w:shd w:val="clear" w:color="auto" w:fill="CFF0FC"/>
          </w:tcPr>
          <w:p>
            <w:pPr>
              <w:spacing w:after="0"/>
              <w:rPr>
                <w:sz w:val="9"/>
                <w:szCs w:val="9"/>
                <w:color w:val="auto"/>
              </w:rPr>
            </w:pPr>
          </w:p>
        </w:tc>
      </w:tr>
      <w:tr>
        <w:trPr>
          <w:trHeight w:val="108"/>
        </w:trPr>
        <w:tc>
          <w:tcPr>
            <w:tcW w:w="5300" w:type="dxa"/>
            <w:vAlign w:val="bottom"/>
            <w:gridSpan w:val="2"/>
          </w:tcPr>
          <w:p>
            <w:pPr>
              <w:spacing w:after="0" w:line="108" w:lineRule="exact"/>
              <w:rPr>
                <w:sz w:val="20"/>
                <w:szCs w:val="20"/>
                <w:color w:val="auto"/>
              </w:rPr>
            </w:pPr>
            <w:r>
              <w:rPr>
                <w:rFonts w:ascii="Arial" w:cs="Arial" w:eastAsia="Arial" w:hAnsi="Arial"/>
                <w:sz w:val="10"/>
                <w:szCs w:val="10"/>
                <w:color w:val="auto"/>
              </w:rPr>
              <w:t>Depreciation, amortization and (gain) loss on disposal of assets, net</w:t>
            </w:r>
          </w:p>
        </w:tc>
        <w:tc>
          <w:tcPr>
            <w:tcW w:w="100" w:type="dxa"/>
            <w:vAlign w:val="bottom"/>
          </w:tcPr>
          <w:p>
            <w:pPr>
              <w:spacing w:after="0"/>
              <w:rPr>
                <w:sz w:val="9"/>
                <w:szCs w:val="9"/>
                <w:color w:val="auto"/>
              </w:rPr>
            </w:pPr>
          </w:p>
        </w:tc>
        <w:tc>
          <w:tcPr>
            <w:tcW w:w="1160" w:type="dxa"/>
            <w:vAlign w:val="bottom"/>
            <w:gridSpan w:val="2"/>
          </w:tcPr>
          <w:p>
            <w:pPr>
              <w:jc w:val="right"/>
              <w:ind w:right="240"/>
              <w:spacing w:after="0" w:line="108" w:lineRule="exact"/>
              <w:rPr>
                <w:sz w:val="20"/>
                <w:szCs w:val="20"/>
                <w:color w:val="auto"/>
              </w:rPr>
            </w:pPr>
            <w:r>
              <w:rPr>
                <w:rFonts w:ascii="Arial" w:cs="Arial" w:eastAsia="Arial" w:hAnsi="Arial"/>
                <w:sz w:val="10"/>
                <w:szCs w:val="10"/>
                <w:color w:val="auto"/>
              </w:rPr>
              <w:t>—</w:t>
            </w:r>
          </w:p>
        </w:tc>
        <w:tc>
          <w:tcPr>
            <w:tcW w:w="140" w:type="dxa"/>
            <w:vAlign w:val="bottom"/>
          </w:tcPr>
          <w:p>
            <w:pPr>
              <w:spacing w:after="0"/>
              <w:rPr>
                <w:sz w:val="9"/>
                <w:szCs w:val="9"/>
                <w:color w:val="auto"/>
              </w:rPr>
            </w:pPr>
          </w:p>
        </w:tc>
        <w:tc>
          <w:tcPr>
            <w:tcW w:w="880" w:type="dxa"/>
            <w:vAlign w:val="bottom"/>
          </w:tcPr>
          <w:p>
            <w:pPr>
              <w:jc w:val="right"/>
              <w:spacing w:after="0" w:line="108" w:lineRule="exact"/>
              <w:rPr>
                <w:sz w:val="20"/>
                <w:szCs w:val="20"/>
                <w:color w:val="auto"/>
              </w:rPr>
            </w:pPr>
            <w:r>
              <w:rPr>
                <w:rFonts w:ascii="Arial" w:cs="Arial" w:eastAsia="Arial" w:hAnsi="Arial"/>
                <w:sz w:val="10"/>
                <w:szCs w:val="10"/>
                <w:color w:val="auto"/>
              </w:rPr>
              <w:t>112,297</w:t>
            </w: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jc w:val="right"/>
              <w:spacing w:after="0" w:line="108" w:lineRule="exact"/>
              <w:rPr>
                <w:sz w:val="20"/>
                <w:szCs w:val="20"/>
                <w:color w:val="auto"/>
              </w:rPr>
            </w:pPr>
            <w:r>
              <w:rPr>
                <w:rFonts w:ascii="Arial" w:cs="Arial" w:eastAsia="Arial" w:hAnsi="Arial"/>
                <w:sz w:val="10"/>
                <w:szCs w:val="10"/>
                <w:color w:val="auto"/>
              </w:rPr>
              <w:t>3,474</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gridSpan w:val="2"/>
          </w:tcPr>
          <w:p>
            <w:pPr>
              <w:jc w:val="right"/>
              <w:ind w:right="140"/>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jc w:val="right"/>
              <w:spacing w:after="0" w:line="108" w:lineRule="exact"/>
              <w:rPr>
                <w:sz w:val="20"/>
                <w:szCs w:val="20"/>
                <w:color w:val="auto"/>
              </w:rPr>
            </w:pPr>
            <w:r>
              <w:rPr>
                <w:rFonts w:ascii="Arial" w:cs="Arial" w:eastAsia="Arial" w:hAnsi="Arial"/>
                <w:sz w:val="10"/>
                <w:szCs w:val="10"/>
                <w:color w:val="auto"/>
              </w:rPr>
              <w:t>115,771</w:t>
            </w:r>
          </w:p>
        </w:tc>
        <w:tc>
          <w:tcPr>
            <w:tcW w:w="120" w:type="dxa"/>
            <w:vAlign w:val="bottom"/>
          </w:tcPr>
          <w:p>
            <w:pPr>
              <w:spacing w:after="0"/>
              <w:rPr>
                <w:sz w:val="9"/>
                <w:szCs w:val="9"/>
                <w:color w:val="auto"/>
              </w:rPr>
            </w:pPr>
          </w:p>
        </w:tc>
      </w:tr>
      <w:tr>
        <w:trPr>
          <w:trHeight w:val="108"/>
        </w:trPr>
        <w:tc>
          <w:tcPr>
            <w:tcW w:w="5300" w:type="dxa"/>
            <w:vAlign w:val="bottom"/>
            <w:gridSpan w:val="2"/>
            <w:shd w:val="clear" w:color="auto" w:fill="CFF0FC"/>
          </w:tcPr>
          <w:p>
            <w:pPr>
              <w:spacing w:after="0" w:line="108" w:lineRule="exact"/>
              <w:rPr>
                <w:sz w:val="20"/>
                <w:szCs w:val="20"/>
                <w:color w:val="auto"/>
              </w:rPr>
            </w:pPr>
            <w:r>
              <w:rPr>
                <w:rFonts w:ascii="Arial" w:cs="Arial" w:eastAsia="Arial" w:hAnsi="Arial"/>
                <w:sz w:val="10"/>
                <w:szCs w:val="10"/>
                <w:color w:val="auto"/>
              </w:rPr>
              <w:t>Impairment of property and equipment</w:t>
            </w:r>
          </w:p>
        </w:tc>
        <w:tc>
          <w:tcPr>
            <w:tcW w:w="100" w:type="dxa"/>
            <w:vAlign w:val="bottom"/>
            <w:shd w:val="clear" w:color="auto" w:fill="CFF0FC"/>
          </w:tcPr>
          <w:p>
            <w:pPr>
              <w:spacing w:after="0"/>
              <w:rPr>
                <w:sz w:val="9"/>
                <w:szCs w:val="9"/>
                <w:color w:val="auto"/>
              </w:rPr>
            </w:pPr>
          </w:p>
        </w:tc>
        <w:tc>
          <w:tcPr>
            <w:tcW w:w="1160" w:type="dxa"/>
            <w:vAlign w:val="bottom"/>
            <w:gridSpan w:val="2"/>
            <w:shd w:val="clear" w:color="auto" w:fill="CFF0FC"/>
          </w:tcPr>
          <w:p>
            <w:pPr>
              <w:jc w:val="right"/>
              <w:ind w:right="240"/>
              <w:spacing w:after="0" w:line="108" w:lineRule="exact"/>
              <w:rPr>
                <w:sz w:val="20"/>
                <w:szCs w:val="20"/>
                <w:color w:val="auto"/>
              </w:rPr>
            </w:pPr>
            <w:r>
              <w:rPr>
                <w:rFonts w:ascii="Arial" w:cs="Arial" w:eastAsia="Arial" w:hAnsi="Arial"/>
                <w:sz w:val="10"/>
                <w:szCs w:val="10"/>
                <w:color w:val="auto"/>
              </w:rPr>
              <w:t>—</w:t>
            </w:r>
          </w:p>
        </w:tc>
        <w:tc>
          <w:tcPr>
            <w:tcW w:w="140" w:type="dxa"/>
            <w:vAlign w:val="bottom"/>
            <w:shd w:val="clear" w:color="auto" w:fill="CFF0FC"/>
          </w:tcPr>
          <w:p>
            <w:pPr>
              <w:spacing w:after="0"/>
              <w:rPr>
                <w:sz w:val="9"/>
                <w:szCs w:val="9"/>
                <w:color w:val="auto"/>
              </w:rPr>
            </w:pPr>
          </w:p>
        </w:tc>
        <w:tc>
          <w:tcPr>
            <w:tcW w:w="880" w:type="dxa"/>
            <w:vAlign w:val="bottom"/>
            <w:shd w:val="clear" w:color="auto" w:fill="CFF0FC"/>
          </w:tcPr>
          <w:p>
            <w:pPr>
              <w:jc w:val="right"/>
              <w:spacing w:after="0" w:line="108" w:lineRule="exact"/>
              <w:rPr>
                <w:sz w:val="20"/>
                <w:szCs w:val="20"/>
                <w:color w:val="auto"/>
              </w:rPr>
            </w:pPr>
            <w:r>
              <w:rPr>
                <w:rFonts w:ascii="Arial" w:cs="Arial" w:eastAsia="Arial" w:hAnsi="Arial"/>
                <w:sz w:val="10"/>
                <w:szCs w:val="10"/>
                <w:color w:val="auto"/>
              </w:rPr>
              <w:t>5,898</w:t>
            </w:r>
          </w:p>
        </w:tc>
        <w:tc>
          <w:tcPr>
            <w:tcW w:w="24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1000" w:type="dxa"/>
            <w:vAlign w:val="bottom"/>
            <w:gridSpan w:val="2"/>
            <w:shd w:val="clear" w:color="auto" w:fill="CFF0FC"/>
          </w:tcPr>
          <w:p>
            <w:pPr>
              <w:jc w:val="right"/>
              <w:ind w:right="140"/>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1000" w:type="dxa"/>
            <w:vAlign w:val="bottom"/>
            <w:gridSpan w:val="2"/>
            <w:shd w:val="clear" w:color="auto" w:fill="CFF0FC"/>
          </w:tcPr>
          <w:p>
            <w:pPr>
              <w:jc w:val="right"/>
              <w:ind w:right="140"/>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880" w:type="dxa"/>
            <w:vAlign w:val="bottom"/>
            <w:shd w:val="clear" w:color="auto" w:fill="CFF0FC"/>
          </w:tcPr>
          <w:p>
            <w:pPr>
              <w:jc w:val="right"/>
              <w:spacing w:after="0" w:line="108" w:lineRule="exact"/>
              <w:rPr>
                <w:sz w:val="20"/>
                <w:szCs w:val="20"/>
                <w:color w:val="auto"/>
              </w:rPr>
            </w:pPr>
            <w:r>
              <w:rPr>
                <w:rFonts w:ascii="Arial" w:cs="Arial" w:eastAsia="Arial" w:hAnsi="Arial"/>
                <w:sz w:val="10"/>
                <w:szCs w:val="10"/>
                <w:color w:val="auto"/>
              </w:rPr>
              <w:t>5,898</w:t>
            </w:r>
          </w:p>
        </w:tc>
        <w:tc>
          <w:tcPr>
            <w:tcW w:w="120" w:type="dxa"/>
            <w:vAlign w:val="bottom"/>
            <w:shd w:val="clear" w:color="auto" w:fill="CFF0FC"/>
          </w:tcPr>
          <w:p>
            <w:pPr>
              <w:spacing w:after="0"/>
              <w:rPr>
                <w:sz w:val="9"/>
                <w:szCs w:val="9"/>
                <w:color w:val="auto"/>
              </w:rPr>
            </w:pPr>
          </w:p>
        </w:tc>
      </w:tr>
      <w:tr>
        <w:trPr>
          <w:trHeight w:val="97"/>
        </w:trPr>
        <w:tc>
          <w:tcPr>
            <w:tcW w:w="5300" w:type="dxa"/>
            <w:vAlign w:val="bottom"/>
            <w:tcBorders>
              <w:bottom w:val="single" w:sz="8" w:color="CFF0FC"/>
            </w:tcBorders>
            <w:gridSpan w:val="2"/>
          </w:tcPr>
          <w:p>
            <w:pPr>
              <w:ind w:left="80"/>
              <w:spacing w:after="0" w:line="97" w:lineRule="exact"/>
              <w:rPr>
                <w:sz w:val="20"/>
                <w:szCs w:val="20"/>
                <w:color w:val="auto"/>
              </w:rPr>
            </w:pPr>
            <w:r>
              <w:rPr>
                <w:rFonts w:ascii="Arial" w:cs="Arial" w:eastAsia="Arial" w:hAnsi="Arial"/>
                <w:sz w:val="10"/>
                <w:szCs w:val="10"/>
                <w:color w:val="auto"/>
              </w:rPr>
              <w:t>Total costs and expenses</w:t>
            </w:r>
          </w:p>
        </w:tc>
        <w:tc>
          <w:tcPr>
            <w:tcW w:w="100" w:type="dxa"/>
            <w:vAlign w:val="bottom"/>
            <w:tcBorders>
              <w:top w:val="single" w:sz="8" w:color="auto"/>
              <w:bottom w:val="single" w:sz="8" w:color="auto"/>
            </w:tcBorders>
          </w:tcPr>
          <w:p>
            <w:pPr>
              <w:spacing w:after="0"/>
              <w:rPr>
                <w:sz w:val="8"/>
                <w:szCs w:val="8"/>
                <w:color w:val="auto"/>
              </w:rPr>
            </w:pPr>
          </w:p>
        </w:tc>
        <w:tc>
          <w:tcPr>
            <w:tcW w:w="940" w:type="dxa"/>
            <w:vAlign w:val="bottom"/>
            <w:tcBorders>
              <w:top w:val="single" w:sz="8" w:color="auto"/>
              <w:bottom w:val="single" w:sz="8" w:color="auto"/>
            </w:tcBorders>
          </w:tcPr>
          <w:p>
            <w:pPr>
              <w:jc w:val="right"/>
              <w:spacing w:after="0" w:line="97" w:lineRule="exact"/>
              <w:rPr>
                <w:sz w:val="20"/>
                <w:szCs w:val="20"/>
                <w:color w:val="auto"/>
              </w:rPr>
            </w:pPr>
            <w:r>
              <w:rPr>
                <w:rFonts w:ascii="Arial" w:cs="Arial" w:eastAsia="Arial" w:hAnsi="Arial"/>
                <w:sz w:val="10"/>
                <w:szCs w:val="10"/>
                <w:color w:val="auto"/>
              </w:rPr>
              <w:t>—</w:t>
            </w:r>
          </w:p>
        </w:tc>
        <w:tc>
          <w:tcPr>
            <w:tcW w:w="220" w:type="dxa"/>
            <w:vAlign w:val="bottom"/>
            <w:tcBorders>
              <w:bottom w:val="single" w:sz="8" w:color="CFF0FC"/>
            </w:tcBorders>
          </w:tcPr>
          <w:p>
            <w:pPr>
              <w:spacing w:after="0"/>
              <w:rPr>
                <w:sz w:val="8"/>
                <w:szCs w:val="8"/>
                <w:color w:val="auto"/>
              </w:rPr>
            </w:pPr>
          </w:p>
        </w:tc>
        <w:tc>
          <w:tcPr>
            <w:tcW w:w="140" w:type="dxa"/>
            <w:vAlign w:val="bottom"/>
            <w:tcBorders>
              <w:top w:val="single" w:sz="8" w:color="auto"/>
              <w:bottom w:val="single" w:sz="8" w:color="auto"/>
            </w:tcBorders>
          </w:tcPr>
          <w:p>
            <w:pPr>
              <w:spacing w:after="0"/>
              <w:rPr>
                <w:sz w:val="8"/>
                <w:szCs w:val="8"/>
                <w:color w:val="auto"/>
              </w:rPr>
            </w:pPr>
          </w:p>
        </w:tc>
        <w:tc>
          <w:tcPr>
            <w:tcW w:w="880" w:type="dxa"/>
            <w:vAlign w:val="bottom"/>
            <w:tcBorders>
              <w:top w:val="single" w:sz="8" w:color="auto"/>
              <w:bottom w:val="single" w:sz="8" w:color="auto"/>
            </w:tcBorders>
          </w:tcPr>
          <w:p>
            <w:pPr>
              <w:jc w:val="right"/>
              <w:spacing w:after="0" w:line="97" w:lineRule="exact"/>
              <w:rPr>
                <w:sz w:val="20"/>
                <w:szCs w:val="20"/>
                <w:color w:val="auto"/>
              </w:rPr>
            </w:pPr>
            <w:r>
              <w:rPr>
                <w:rFonts w:ascii="Arial" w:cs="Arial" w:eastAsia="Arial" w:hAnsi="Arial"/>
                <w:sz w:val="10"/>
                <w:szCs w:val="10"/>
                <w:color w:val="auto"/>
              </w:rPr>
              <w:t>333,107</w:t>
            </w:r>
          </w:p>
        </w:tc>
        <w:tc>
          <w:tcPr>
            <w:tcW w:w="240" w:type="dxa"/>
            <w:vAlign w:val="bottom"/>
            <w:tcBorders>
              <w:bottom w:val="single" w:sz="8" w:color="CFF0FC"/>
            </w:tcBorders>
          </w:tcPr>
          <w:p>
            <w:pPr>
              <w:spacing w:after="0"/>
              <w:rPr>
                <w:sz w:val="8"/>
                <w:szCs w:val="8"/>
                <w:color w:val="auto"/>
              </w:rPr>
            </w:pPr>
          </w:p>
        </w:tc>
        <w:tc>
          <w:tcPr>
            <w:tcW w:w="140" w:type="dxa"/>
            <w:vAlign w:val="bottom"/>
            <w:tcBorders>
              <w:top w:val="single" w:sz="8" w:color="auto"/>
              <w:bottom w:val="single" w:sz="8" w:color="auto"/>
            </w:tcBorders>
          </w:tcPr>
          <w:p>
            <w:pPr>
              <w:spacing w:after="0"/>
              <w:rPr>
                <w:sz w:val="8"/>
                <w:szCs w:val="8"/>
                <w:color w:val="auto"/>
              </w:rPr>
            </w:pPr>
          </w:p>
        </w:tc>
        <w:tc>
          <w:tcPr>
            <w:tcW w:w="880" w:type="dxa"/>
            <w:vAlign w:val="bottom"/>
            <w:tcBorders>
              <w:top w:val="single" w:sz="8" w:color="auto"/>
              <w:bottom w:val="single" w:sz="8" w:color="auto"/>
            </w:tcBorders>
          </w:tcPr>
          <w:p>
            <w:pPr>
              <w:jc w:val="right"/>
              <w:spacing w:after="0" w:line="97" w:lineRule="exact"/>
              <w:rPr>
                <w:sz w:val="20"/>
                <w:szCs w:val="20"/>
                <w:color w:val="auto"/>
              </w:rPr>
            </w:pPr>
            <w:r>
              <w:rPr>
                <w:rFonts w:ascii="Arial" w:cs="Arial" w:eastAsia="Arial" w:hAnsi="Arial"/>
                <w:sz w:val="10"/>
                <w:szCs w:val="10"/>
                <w:color w:val="auto"/>
              </w:rPr>
              <w:t>19,175</w:t>
            </w:r>
          </w:p>
        </w:tc>
        <w:tc>
          <w:tcPr>
            <w:tcW w:w="120" w:type="dxa"/>
            <w:vAlign w:val="bottom"/>
            <w:tcBorders>
              <w:bottom w:val="single" w:sz="8" w:color="CFF0FC"/>
            </w:tcBorders>
          </w:tcPr>
          <w:p>
            <w:pPr>
              <w:spacing w:after="0"/>
              <w:rPr>
                <w:sz w:val="8"/>
                <w:szCs w:val="8"/>
                <w:color w:val="auto"/>
              </w:rPr>
            </w:pPr>
          </w:p>
        </w:tc>
        <w:tc>
          <w:tcPr>
            <w:tcW w:w="100" w:type="dxa"/>
            <w:vAlign w:val="bottom"/>
            <w:tcBorders>
              <w:bottom w:val="single" w:sz="8" w:color="CFF0FC"/>
            </w:tcBorders>
          </w:tcPr>
          <w:p>
            <w:pPr>
              <w:spacing w:after="0"/>
              <w:rPr>
                <w:sz w:val="8"/>
                <w:szCs w:val="8"/>
                <w:color w:val="auto"/>
              </w:rPr>
            </w:pPr>
          </w:p>
        </w:tc>
        <w:tc>
          <w:tcPr>
            <w:tcW w:w="160" w:type="dxa"/>
            <w:vAlign w:val="bottom"/>
            <w:tcBorders>
              <w:top w:val="single" w:sz="8" w:color="auto"/>
              <w:bottom w:val="single" w:sz="8" w:color="auto"/>
            </w:tcBorders>
          </w:tcPr>
          <w:p>
            <w:pPr>
              <w:spacing w:after="0"/>
              <w:rPr>
                <w:sz w:val="8"/>
                <w:szCs w:val="8"/>
                <w:color w:val="auto"/>
              </w:rPr>
            </w:pPr>
          </w:p>
        </w:tc>
        <w:tc>
          <w:tcPr>
            <w:tcW w:w="880" w:type="dxa"/>
            <w:vAlign w:val="bottom"/>
            <w:tcBorders>
              <w:top w:val="single" w:sz="8" w:color="auto"/>
              <w:bottom w:val="single" w:sz="8" w:color="auto"/>
            </w:tcBorders>
          </w:tcPr>
          <w:p>
            <w:pPr>
              <w:jc w:val="right"/>
              <w:spacing w:after="0" w:line="97" w:lineRule="exact"/>
              <w:rPr>
                <w:sz w:val="20"/>
                <w:szCs w:val="20"/>
                <w:color w:val="auto"/>
              </w:rPr>
            </w:pPr>
            <w:r>
              <w:rPr>
                <w:rFonts w:ascii="Arial" w:cs="Arial" w:eastAsia="Arial" w:hAnsi="Arial"/>
                <w:sz w:val="10"/>
                <w:szCs w:val="10"/>
                <w:color w:val="auto"/>
              </w:rPr>
              <w:t>—</w:t>
            </w:r>
          </w:p>
        </w:tc>
        <w:tc>
          <w:tcPr>
            <w:tcW w:w="120" w:type="dxa"/>
            <w:vAlign w:val="bottom"/>
            <w:tcBorders>
              <w:bottom w:val="single" w:sz="8" w:color="CFF0FC"/>
            </w:tcBorders>
          </w:tcPr>
          <w:p>
            <w:pPr>
              <w:spacing w:after="0"/>
              <w:rPr>
                <w:sz w:val="8"/>
                <w:szCs w:val="8"/>
                <w:color w:val="auto"/>
              </w:rPr>
            </w:pPr>
          </w:p>
        </w:tc>
        <w:tc>
          <w:tcPr>
            <w:tcW w:w="100" w:type="dxa"/>
            <w:vAlign w:val="bottom"/>
            <w:tcBorders>
              <w:bottom w:val="single" w:sz="8" w:color="CFF0FC"/>
            </w:tcBorders>
          </w:tcPr>
          <w:p>
            <w:pPr>
              <w:spacing w:after="0"/>
              <w:rPr>
                <w:sz w:val="8"/>
                <w:szCs w:val="8"/>
                <w:color w:val="auto"/>
              </w:rPr>
            </w:pPr>
          </w:p>
        </w:tc>
        <w:tc>
          <w:tcPr>
            <w:tcW w:w="160" w:type="dxa"/>
            <w:vAlign w:val="bottom"/>
            <w:tcBorders>
              <w:top w:val="single" w:sz="8" w:color="auto"/>
              <w:bottom w:val="single" w:sz="8" w:color="auto"/>
            </w:tcBorders>
          </w:tcPr>
          <w:p>
            <w:pPr>
              <w:spacing w:after="0"/>
              <w:rPr>
                <w:sz w:val="8"/>
                <w:szCs w:val="8"/>
                <w:color w:val="auto"/>
              </w:rPr>
            </w:pPr>
          </w:p>
        </w:tc>
        <w:tc>
          <w:tcPr>
            <w:tcW w:w="880" w:type="dxa"/>
            <w:vAlign w:val="bottom"/>
            <w:tcBorders>
              <w:top w:val="single" w:sz="8" w:color="auto"/>
              <w:bottom w:val="single" w:sz="8" w:color="auto"/>
            </w:tcBorders>
          </w:tcPr>
          <w:p>
            <w:pPr>
              <w:jc w:val="right"/>
              <w:spacing w:after="0" w:line="97" w:lineRule="exact"/>
              <w:rPr>
                <w:sz w:val="20"/>
                <w:szCs w:val="20"/>
                <w:color w:val="auto"/>
              </w:rPr>
            </w:pPr>
            <w:r>
              <w:rPr>
                <w:rFonts w:ascii="Arial" w:cs="Arial" w:eastAsia="Arial" w:hAnsi="Arial"/>
                <w:sz w:val="10"/>
                <w:szCs w:val="10"/>
                <w:color w:val="auto"/>
              </w:rPr>
              <w:t>352,282</w:t>
            </w:r>
          </w:p>
        </w:tc>
        <w:tc>
          <w:tcPr>
            <w:tcW w:w="120" w:type="dxa"/>
            <w:vAlign w:val="bottom"/>
            <w:tcBorders>
              <w:bottom w:val="single" w:sz="8" w:color="CFF0FC"/>
            </w:tcBorders>
          </w:tcPr>
          <w:p>
            <w:pPr>
              <w:spacing w:after="0"/>
              <w:rPr>
                <w:sz w:val="8"/>
                <w:szCs w:val="8"/>
                <w:color w:val="auto"/>
              </w:rPr>
            </w:pPr>
          </w:p>
        </w:tc>
      </w:tr>
      <w:tr>
        <w:trPr>
          <w:trHeight w:val="97"/>
        </w:trPr>
        <w:tc>
          <w:tcPr>
            <w:tcW w:w="5300" w:type="dxa"/>
            <w:vAlign w:val="bottom"/>
            <w:gridSpan w:val="2"/>
            <w:shd w:val="clear" w:color="auto" w:fill="CFF0FC"/>
          </w:tcPr>
          <w:p>
            <w:pPr>
              <w:ind w:left="80"/>
              <w:spacing w:after="0" w:line="97" w:lineRule="exact"/>
              <w:rPr>
                <w:sz w:val="20"/>
                <w:szCs w:val="20"/>
                <w:color w:val="auto"/>
              </w:rPr>
            </w:pPr>
            <w:r>
              <w:rPr>
                <w:rFonts w:ascii="Arial" w:cs="Arial" w:eastAsia="Arial" w:hAnsi="Arial"/>
                <w:sz w:val="10"/>
                <w:szCs w:val="10"/>
                <w:b w:val="1"/>
                <w:bCs w:val="1"/>
                <w:color w:val="auto"/>
              </w:rPr>
              <w:t>Income (loss) from operations</w:t>
            </w:r>
          </w:p>
        </w:tc>
        <w:tc>
          <w:tcPr>
            <w:tcW w:w="100" w:type="dxa"/>
            <w:vAlign w:val="bottom"/>
            <w:shd w:val="clear" w:color="auto" w:fill="CFF0FC"/>
          </w:tcPr>
          <w:p>
            <w:pPr>
              <w:spacing w:after="0"/>
              <w:rPr>
                <w:sz w:val="8"/>
                <w:szCs w:val="8"/>
                <w:color w:val="auto"/>
              </w:rPr>
            </w:pPr>
          </w:p>
        </w:tc>
        <w:tc>
          <w:tcPr>
            <w:tcW w:w="940" w:type="dxa"/>
            <w:vAlign w:val="bottom"/>
            <w:shd w:val="clear" w:color="auto" w:fill="CFF0FC"/>
          </w:tcPr>
          <w:p>
            <w:pPr>
              <w:jc w:val="right"/>
              <w:spacing w:after="0" w:line="97" w:lineRule="exact"/>
              <w:rPr>
                <w:sz w:val="20"/>
                <w:szCs w:val="20"/>
                <w:color w:val="auto"/>
              </w:rPr>
            </w:pPr>
            <w:r>
              <w:rPr>
                <w:rFonts w:ascii="Arial" w:cs="Arial" w:eastAsia="Arial" w:hAnsi="Arial"/>
                <w:sz w:val="10"/>
                <w:szCs w:val="10"/>
                <w:color w:val="auto"/>
              </w:rPr>
              <w:t>—</w:t>
            </w:r>
          </w:p>
        </w:tc>
        <w:tc>
          <w:tcPr>
            <w:tcW w:w="22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880" w:type="dxa"/>
            <w:vAlign w:val="bottom"/>
            <w:shd w:val="clear" w:color="auto" w:fill="CFF0FC"/>
          </w:tcPr>
          <w:p>
            <w:pPr>
              <w:jc w:val="right"/>
              <w:spacing w:after="0" w:line="97" w:lineRule="exact"/>
              <w:rPr>
                <w:sz w:val="20"/>
                <w:szCs w:val="20"/>
                <w:color w:val="auto"/>
              </w:rPr>
            </w:pPr>
            <w:r>
              <w:rPr>
                <w:rFonts w:ascii="Arial" w:cs="Arial" w:eastAsia="Arial" w:hAnsi="Arial"/>
                <w:sz w:val="10"/>
                <w:szCs w:val="10"/>
                <w:color w:val="auto"/>
              </w:rPr>
              <w:t>101,152</w:t>
            </w:r>
          </w:p>
        </w:tc>
        <w:tc>
          <w:tcPr>
            <w:tcW w:w="24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880" w:type="dxa"/>
            <w:vAlign w:val="bottom"/>
            <w:shd w:val="clear" w:color="auto" w:fill="CFF0FC"/>
          </w:tcPr>
          <w:p>
            <w:pPr>
              <w:jc w:val="right"/>
              <w:spacing w:after="0" w:line="97" w:lineRule="exact"/>
              <w:rPr>
                <w:sz w:val="20"/>
                <w:szCs w:val="20"/>
                <w:color w:val="auto"/>
              </w:rPr>
            </w:pPr>
            <w:r>
              <w:rPr>
                <w:rFonts w:ascii="Arial" w:cs="Arial" w:eastAsia="Arial" w:hAnsi="Arial"/>
                <w:sz w:val="10"/>
                <w:szCs w:val="10"/>
                <w:color w:val="auto"/>
              </w:rPr>
              <w:t>(4,697)</w:t>
            </w:r>
          </w:p>
        </w:tc>
        <w:tc>
          <w:tcPr>
            <w:tcW w:w="1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60" w:type="dxa"/>
            <w:vAlign w:val="bottom"/>
            <w:shd w:val="clear" w:color="auto" w:fill="CFF0FC"/>
          </w:tcPr>
          <w:p>
            <w:pPr>
              <w:spacing w:after="0"/>
              <w:rPr>
                <w:sz w:val="8"/>
                <w:szCs w:val="8"/>
                <w:color w:val="auto"/>
              </w:rPr>
            </w:pPr>
          </w:p>
        </w:tc>
        <w:tc>
          <w:tcPr>
            <w:tcW w:w="880" w:type="dxa"/>
            <w:vAlign w:val="bottom"/>
            <w:shd w:val="clear" w:color="auto" w:fill="CFF0FC"/>
          </w:tcPr>
          <w:p>
            <w:pPr>
              <w:jc w:val="right"/>
              <w:spacing w:after="0" w:line="97" w:lineRule="exact"/>
              <w:rPr>
                <w:sz w:val="20"/>
                <w:szCs w:val="20"/>
                <w:color w:val="auto"/>
              </w:rPr>
            </w:pPr>
            <w:r>
              <w:rPr>
                <w:rFonts w:ascii="Arial" w:cs="Arial" w:eastAsia="Arial" w:hAnsi="Arial"/>
                <w:sz w:val="10"/>
                <w:szCs w:val="10"/>
                <w:color w:val="auto"/>
              </w:rPr>
              <w:t>—</w:t>
            </w:r>
          </w:p>
        </w:tc>
        <w:tc>
          <w:tcPr>
            <w:tcW w:w="1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60" w:type="dxa"/>
            <w:vAlign w:val="bottom"/>
            <w:shd w:val="clear" w:color="auto" w:fill="CFF0FC"/>
          </w:tcPr>
          <w:p>
            <w:pPr>
              <w:spacing w:after="0"/>
              <w:rPr>
                <w:sz w:val="8"/>
                <w:szCs w:val="8"/>
                <w:color w:val="auto"/>
              </w:rPr>
            </w:pPr>
          </w:p>
        </w:tc>
        <w:tc>
          <w:tcPr>
            <w:tcW w:w="880" w:type="dxa"/>
            <w:vAlign w:val="bottom"/>
            <w:shd w:val="clear" w:color="auto" w:fill="CFF0FC"/>
          </w:tcPr>
          <w:p>
            <w:pPr>
              <w:jc w:val="right"/>
              <w:spacing w:after="0" w:line="97" w:lineRule="exact"/>
              <w:rPr>
                <w:sz w:val="20"/>
                <w:szCs w:val="20"/>
                <w:color w:val="auto"/>
              </w:rPr>
            </w:pPr>
            <w:r>
              <w:rPr>
                <w:rFonts w:ascii="Arial" w:cs="Arial" w:eastAsia="Arial" w:hAnsi="Arial"/>
                <w:sz w:val="10"/>
                <w:szCs w:val="10"/>
                <w:color w:val="auto"/>
              </w:rPr>
              <w:t>96,455</w:t>
            </w:r>
          </w:p>
        </w:tc>
        <w:tc>
          <w:tcPr>
            <w:tcW w:w="120" w:type="dxa"/>
            <w:vAlign w:val="bottom"/>
            <w:shd w:val="clear" w:color="auto" w:fill="CFF0FC"/>
          </w:tcPr>
          <w:p>
            <w:pPr>
              <w:spacing w:after="0"/>
              <w:rPr>
                <w:sz w:val="8"/>
                <w:szCs w:val="8"/>
                <w:color w:val="auto"/>
              </w:rPr>
            </w:pPr>
          </w:p>
        </w:tc>
      </w:tr>
      <w:tr>
        <w:trPr>
          <w:trHeight w:val="108"/>
        </w:trPr>
        <w:tc>
          <w:tcPr>
            <w:tcW w:w="5300" w:type="dxa"/>
            <w:vAlign w:val="bottom"/>
            <w:gridSpan w:val="2"/>
          </w:tcPr>
          <w:p>
            <w:pPr>
              <w:spacing w:after="0" w:line="108" w:lineRule="exact"/>
              <w:rPr>
                <w:sz w:val="20"/>
                <w:szCs w:val="20"/>
                <w:color w:val="auto"/>
              </w:rPr>
            </w:pPr>
            <w:r>
              <w:rPr>
                <w:rFonts w:ascii="Arial" w:cs="Arial" w:eastAsia="Arial" w:hAnsi="Arial"/>
                <w:sz w:val="10"/>
                <w:szCs w:val="10"/>
                <w:color w:val="auto"/>
              </w:rPr>
              <w:t>(Income) loss from equity investment</w:t>
            </w:r>
          </w:p>
        </w:tc>
        <w:tc>
          <w:tcPr>
            <w:tcW w:w="100" w:type="dxa"/>
            <w:vAlign w:val="bottom"/>
          </w:tcPr>
          <w:p>
            <w:pPr>
              <w:spacing w:after="0"/>
              <w:rPr>
                <w:sz w:val="9"/>
                <w:szCs w:val="9"/>
                <w:color w:val="auto"/>
              </w:rPr>
            </w:pPr>
          </w:p>
        </w:tc>
        <w:tc>
          <w:tcPr>
            <w:tcW w:w="116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(33,343)</w:t>
            </w:r>
          </w:p>
        </w:tc>
        <w:tc>
          <w:tcPr>
            <w:tcW w:w="140" w:type="dxa"/>
            <w:vAlign w:val="bottom"/>
          </w:tcPr>
          <w:p>
            <w:pPr>
              <w:spacing w:after="0"/>
              <w:rPr>
                <w:sz w:val="9"/>
                <w:szCs w:val="9"/>
                <w:color w:val="auto"/>
              </w:rPr>
            </w:pPr>
          </w:p>
        </w:tc>
        <w:tc>
          <w:tcPr>
            <w:tcW w:w="880" w:type="dxa"/>
            <w:vAlign w:val="bottom"/>
          </w:tcPr>
          <w:p>
            <w:pPr>
              <w:jc w:val="right"/>
              <w:spacing w:after="0" w:line="108" w:lineRule="exact"/>
              <w:rPr>
                <w:sz w:val="20"/>
                <w:szCs w:val="20"/>
                <w:color w:val="auto"/>
              </w:rPr>
            </w:pPr>
            <w:r>
              <w:rPr>
                <w:rFonts w:ascii="Arial" w:cs="Arial" w:eastAsia="Arial" w:hAnsi="Arial"/>
                <w:sz w:val="10"/>
                <w:szCs w:val="10"/>
                <w:color w:val="auto"/>
              </w:rPr>
              <w:t>4,641</w:t>
            </w: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0" w:type="dxa"/>
            <w:vAlign w:val="bottom"/>
            <w:gridSpan w:val="2"/>
          </w:tcPr>
          <w:p>
            <w:pPr>
              <w:jc w:val="right"/>
              <w:ind w:right="140"/>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jc w:val="right"/>
              <w:spacing w:after="0" w:line="108" w:lineRule="exact"/>
              <w:rPr>
                <w:sz w:val="20"/>
                <w:szCs w:val="20"/>
                <w:color w:val="auto"/>
              </w:rPr>
            </w:pPr>
            <w:r>
              <w:rPr>
                <w:rFonts w:ascii="Arial" w:cs="Arial" w:eastAsia="Arial" w:hAnsi="Arial"/>
                <w:sz w:val="10"/>
                <w:szCs w:val="10"/>
                <w:color w:val="auto"/>
              </w:rPr>
              <w:t>28,702</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gridSpan w:val="2"/>
          </w:tcPr>
          <w:p>
            <w:pPr>
              <w:jc w:val="right"/>
              <w:ind w:right="120"/>
              <w:spacing w:after="0" w:line="108" w:lineRule="exact"/>
              <w:rPr>
                <w:sz w:val="20"/>
                <w:szCs w:val="20"/>
                <w:color w:val="auto"/>
              </w:rPr>
            </w:pPr>
            <w:r>
              <w:rPr>
                <w:rFonts w:ascii="Arial" w:cs="Arial" w:eastAsia="Arial" w:hAnsi="Arial"/>
                <w:sz w:val="10"/>
                <w:szCs w:val="10"/>
                <w:color w:val="auto"/>
              </w:rPr>
              <w:t>—</w:t>
            </w:r>
          </w:p>
        </w:tc>
      </w:tr>
      <w:tr>
        <w:trPr>
          <w:trHeight w:val="108"/>
        </w:trPr>
        <w:tc>
          <w:tcPr>
            <w:tcW w:w="5300" w:type="dxa"/>
            <w:vAlign w:val="bottom"/>
            <w:gridSpan w:val="2"/>
            <w:shd w:val="clear" w:color="auto" w:fill="CFF0FC"/>
          </w:tcPr>
          <w:p>
            <w:pPr>
              <w:spacing w:after="0" w:line="108" w:lineRule="exact"/>
              <w:rPr>
                <w:sz w:val="20"/>
                <w:szCs w:val="20"/>
                <w:color w:val="auto"/>
              </w:rPr>
            </w:pPr>
            <w:r>
              <w:rPr>
                <w:rFonts w:ascii="Arial" w:cs="Arial" w:eastAsia="Arial" w:hAnsi="Arial"/>
                <w:sz w:val="10"/>
                <w:szCs w:val="10"/>
                <w:color w:val="auto"/>
              </w:rPr>
              <w:t>Interest expense, net</w:t>
            </w:r>
          </w:p>
        </w:tc>
        <w:tc>
          <w:tcPr>
            <w:tcW w:w="100" w:type="dxa"/>
            <w:vAlign w:val="bottom"/>
            <w:shd w:val="clear" w:color="auto" w:fill="CFF0FC"/>
          </w:tcPr>
          <w:p>
            <w:pPr>
              <w:spacing w:after="0"/>
              <w:rPr>
                <w:sz w:val="9"/>
                <w:szCs w:val="9"/>
                <w:color w:val="auto"/>
              </w:rPr>
            </w:pPr>
          </w:p>
        </w:tc>
        <w:tc>
          <w:tcPr>
            <w:tcW w:w="1160" w:type="dxa"/>
            <w:vAlign w:val="bottom"/>
            <w:gridSpan w:val="2"/>
            <w:shd w:val="clear" w:color="auto" w:fill="CFF0FC"/>
          </w:tcPr>
          <w:p>
            <w:pPr>
              <w:jc w:val="right"/>
              <w:ind w:right="240"/>
              <w:spacing w:after="0" w:line="108" w:lineRule="exact"/>
              <w:rPr>
                <w:sz w:val="20"/>
                <w:szCs w:val="20"/>
                <w:color w:val="auto"/>
              </w:rPr>
            </w:pPr>
            <w:r>
              <w:rPr>
                <w:rFonts w:ascii="Arial" w:cs="Arial" w:eastAsia="Arial" w:hAnsi="Arial"/>
                <w:sz w:val="10"/>
                <w:szCs w:val="10"/>
                <w:color w:val="auto"/>
              </w:rPr>
              <w:t>—</w:t>
            </w:r>
          </w:p>
        </w:tc>
        <w:tc>
          <w:tcPr>
            <w:tcW w:w="140" w:type="dxa"/>
            <w:vAlign w:val="bottom"/>
            <w:shd w:val="clear" w:color="auto" w:fill="CFF0FC"/>
          </w:tcPr>
          <w:p>
            <w:pPr>
              <w:spacing w:after="0"/>
              <w:rPr>
                <w:sz w:val="9"/>
                <w:szCs w:val="9"/>
                <w:color w:val="auto"/>
              </w:rPr>
            </w:pPr>
          </w:p>
        </w:tc>
        <w:tc>
          <w:tcPr>
            <w:tcW w:w="880" w:type="dxa"/>
            <w:vAlign w:val="bottom"/>
            <w:shd w:val="clear" w:color="auto" w:fill="CFF0FC"/>
          </w:tcPr>
          <w:p>
            <w:pPr>
              <w:jc w:val="right"/>
              <w:spacing w:after="0" w:line="108" w:lineRule="exact"/>
              <w:rPr>
                <w:sz w:val="20"/>
                <w:szCs w:val="20"/>
                <w:color w:val="auto"/>
              </w:rPr>
            </w:pPr>
            <w:r>
              <w:rPr>
                <w:rFonts w:ascii="Arial" w:cs="Arial" w:eastAsia="Arial" w:hAnsi="Arial"/>
                <w:sz w:val="10"/>
                <w:szCs w:val="10"/>
                <w:color w:val="auto"/>
              </w:rPr>
              <w:t>60,773</w:t>
            </w:r>
          </w:p>
        </w:tc>
        <w:tc>
          <w:tcPr>
            <w:tcW w:w="24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1000" w:type="dxa"/>
            <w:vAlign w:val="bottom"/>
            <w:gridSpan w:val="2"/>
            <w:shd w:val="clear" w:color="auto" w:fill="CFF0FC"/>
          </w:tcPr>
          <w:p>
            <w:pPr>
              <w:jc w:val="right"/>
              <w:ind w:right="100"/>
              <w:spacing w:after="0" w:line="108" w:lineRule="exact"/>
              <w:rPr>
                <w:sz w:val="20"/>
                <w:szCs w:val="20"/>
                <w:color w:val="auto"/>
              </w:rPr>
            </w:pPr>
            <w:r>
              <w:rPr>
                <w:rFonts w:ascii="Arial" w:cs="Arial" w:eastAsia="Arial" w:hAnsi="Arial"/>
                <w:sz w:val="10"/>
                <w:szCs w:val="10"/>
                <w:color w:val="auto"/>
              </w:rPr>
              <w:t>(44)</w:t>
            </w:r>
          </w:p>
        </w:tc>
        <w:tc>
          <w:tcPr>
            <w:tcW w:w="10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1000" w:type="dxa"/>
            <w:vAlign w:val="bottom"/>
            <w:gridSpan w:val="2"/>
            <w:shd w:val="clear" w:color="auto" w:fill="CFF0FC"/>
          </w:tcPr>
          <w:p>
            <w:pPr>
              <w:jc w:val="right"/>
              <w:ind w:right="140"/>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880" w:type="dxa"/>
            <w:vAlign w:val="bottom"/>
            <w:shd w:val="clear" w:color="auto" w:fill="CFF0FC"/>
          </w:tcPr>
          <w:p>
            <w:pPr>
              <w:jc w:val="right"/>
              <w:spacing w:after="0" w:line="108" w:lineRule="exact"/>
              <w:rPr>
                <w:sz w:val="20"/>
                <w:szCs w:val="20"/>
                <w:color w:val="auto"/>
              </w:rPr>
            </w:pPr>
            <w:r>
              <w:rPr>
                <w:rFonts w:ascii="Arial" w:cs="Arial" w:eastAsia="Arial" w:hAnsi="Arial"/>
                <w:sz w:val="10"/>
                <w:szCs w:val="10"/>
                <w:color w:val="auto"/>
              </w:rPr>
              <w:t>60,729</w:t>
            </w:r>
          </w:p>
        </w:tc>
        <w:tc>
          <w:tcPr>
            <w:tcW w:w="120" w:type="dxa"/>
            <w:vAlign w:val="bottom"/>
            <w:shd w:val="clear" w:color="auto" w:fill="CFF0FC"/>
          </w:tcPr>
          <w:p>
            <w:pPr>
              <w:spacing w:after="0"/>
              <w:rPr>
                <w:sz w:val="9"/>
                <w:szCs w:val="9"/>
                <w:color w:val="auto"/>
              </w:rPr>
            </w:pPr>
          </w:p>
        </w:tc>
      </w:tr>
      <w:tr>
        <w:trPr>
          <w:trHeight w:val="108"/>
        </w:trPr>
        <w:tc>
          <w:tcPr>
            <w:tcW w:w="5300" w:type="dxa"/>
            <w:vAlign w:val="bottom"/>
            <w:gridSpan w:val="2"/>
          </w:tcPr>
          <w:p>
            <w:pPr>
              <w:spacing w:after="0" w:line="108" w:lineRule="exact"/>
              <w:rPr>
                <w:sz w:val="20"/>
                <w:szCs w:val="20"/>
                <w:color w:val="auto"/>
              </w:rPr>
            </w:pPr>
            <w:r>
              <w:rPr>
                <w:rFonts w:ascii="Arial" w:cs="Arial" w:eastAsia="Arial" w:hAnsi="Arial"/>
                <w:sz w:val="10"/>
                <w:szCs w:val="10"/>
                <w:color w:val="auto"/>
              </w:rPr>
              <w:t>Other income, net</w:t>
            </w:r>
          </w:p>
        </w:tc>
        <w:tc>
          <w:tcPr>
            <w:tcW w:w="100" w:type="dxa"/>
            <w:vAlign w:val="bottom"/>
          </w:tcPr>
          <w:p>
            <w:pPr>
              <w:spacing w:after="0"/>
              <w:rPr>
                <w:sz w:val="9"/>
                <w:szCs w:val="9"/>
                <w:color w:val="auto"/>
              </w:rPr>
            </w:pPr>
          </w:p>
        </w:tc>
        <w:tc>
          <w:tcPr>
            <w:tcW w:w="1160" w:type="dxa"/>
            <w:vAlign w:val="bottom"/>
            <w:gridSpan w:val="2"/>
          </w:tcPr>
          <w:p>
            <w:pPr>
              <w:jc w:val="right"/>
              <w:ind w:right="240"/>
              <w:spacing w:after="0" w:line="108" w:lineRule="exact"/>
              <w:rPr>
                <w:sz w:val="20"/>
                <w:szCs w:val="20"/>
                <w:color w:val="auto"/>
              </w:rPr>
            </w:pPr>
            <w:r>
              <w:rPr>
                <w:rFonts w:ascii="Arial" w:cs="Arial" w:eastAsia="Arial" w:hAnsi="Arial"/>
                <w:sz w:val="10"/>
                <w:szCs w:val="10"/>
                <w:color w:val="auto"/>
              </w:rPr>
              <w:t>—</w:t>
            </w:r>
          </w:p>
        </w:tc>
        <w:tc>
          <w:tcPr>
            <w:tcW w:w="140" w:type="dxa"/>
            <w:vAlign w:val="bottom"/>
          </w:tcPr>
          <w:p>
            <w:pPr>
              <w:spacing w:after="0"/>
              <w:rPr>
                <w:sz w:val="9"/>
                <w:szCs w:val="9"/>
                <w:color w:val="auto"/>
              </w:rPr>
            </w:pPr>
          </w:p>
        </w:tc>
        <w:tc>
          <w:tcPr>
            <w:tcW w:w="11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(11,188)</w:t>
            </w:r>
          </w:p>
        </w:tc>
        <w:tc>
          <w:tcPr>
            <w:tcW w:w="140" w:type="dxa"/>
            <w:vAlign w:val="bottom"/>
          </w:tcPr>
          <w:p>
            <w:pPr>
              <w:spacing w:after="0"/>
              <w:rPr>
                <w:sz w:val="9"/>
                <w:szCs w:val="9"/>
                <w:color w:val="auto"/>
              </w:rPr>
            </w:pPr>
          </w:p>
        </w:tc>
        <w:tc>
          <w:tcPr>
            <w:tcW w:w="100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(10)</w:t>
            </w: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gridSpan w:val="2"/>
          </w:tcPr>
          <w:p>
            <w:pPr>
              <w:jc w:val="right"/>
              <w:ind w:right="140"/>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gridSpan w:val="2"/>
          </w:tcPr>
          <w:p>
            <w:pPr>
              <w:jc w:val="right"/>
              <w:ind w:right="80"/>
              <w:spacing w:after="0" w:line="108" w:lineRule="exact"/>
              <w:rPr>
                <w:sz w:val="20"/>
                <w:szCs w:val="20"/>
                <w:color w:val="auto"/>
              </w:rPr>
            </w:pPr>
            <w:r>
              <w:rPr>
                <w:rFonts w:ascii="Arial" w:cs="Arial" w:eastAsia="Arial" w:hAnsi="Arial"/>
                <w:sz w:val="10"/>
                <w:szCs w:val="10"/>
                <w:color w:val="auto"/>
              </w:rPr>
              <w:t>(11,198)</w:t>
            </w:r>
          </w:p>
        </w:tc>
      </w:tr>
      <w:tr>
        <w:trPr>
          <w:trHeight w:val="97"/>
        </w:trPr>
        <w:tc>
          <w:tcPr>
            <w:tcW w:w="5300" w:type="dxa"/>
            <w:vAlign w:val="bottom"/>
            <w:tcBorders>
              <w:top w:val="single" w:sz="8" w:color="CFF0FC"/>
            </w:tcBorders>
            <w:gridSpan w:val="2"/>
            <w:shd w:val="clear" w:color="auto" w:fill="CFF0FC"/>
          </w:tcPr>
          <w:p>
            <w:pPr>
              <w:ind w:left="80"/>
              <w:spacing w:after="0" w:line="97" w:lineRule="exact"/>
              <w:rPr>
                <w:sz w:val="20"/>
                <w:szCs w:val="20"/>
                <w:color w:val="auto"/>
              </w:rPr>
            </w:pPr>
            <w:r>
              <w:rPr>
                <w:rFonts w:ascii="Arial" w:cs="Arial" w:eastAsia="Arial" w:hAnsi="Arial"/>
                <w:sz w:val="10"/>
                <w:szCs w:val="10"/>
                <w:color w:val="auto"/>
              </w:rPr>
              <w:t>Total other (income) expenses</w:t>
            </w:r>
          </w:p>
        </w:tc>
        <w:tc>
          <w:tcPr>
            <w:tcW w:w="100" w:type="dxa"/>
            <w:vAlign w:val="bottom"/>
            <w:tcBorders>
              <w:top w:val="single" w:sz="8" w:color="auto"/>
              <w:bottom w:val="single" w:sz="8" w:color="auto"/>
            </w:tcBorders>
            <w:shd w:val="clear" w:color="auto" w:fill="CFF0FC"/>
          </w:tcPr>
          <w:p>
            <w:pPr>
              <w:spacing w:after="0"/>
              <w:rPr>
                <w:sz w:val="8"/>
                <w:szCs w:val="8"/>
                <w:color w:val="auto"/>
              </w:rPr>
            </w:pPr>
          </w:p>
        </w:tc>
        <w:tc>
          <w:tcPr>
            <w:tcW w:w="940" w:type="dxa"/>
            <w:vAlign w:val="bottom"/>
            <w:tcBorders>
              <w:top w:val="single" w:sz="8" w:color="auto"/>
              <w:bottom w:val="single" w:sz="8" w:color="auto"/>
            </w:tcBorders>
            <w:shd w:val="clear" w:color="auto" w:fill="CFF0FC"/>
          </w:tcPr>
          <w:p>
            <w:pPr>
              <w:jc w:val="right"/>
              <w:spacing w:after="0" w:line="97" w:lineRule="exact"/>
              <w:rPr>
                <w:sz w:val="20"/>
                <w:szCs w:val="20"/>
                <w:color w:val="auto"/>
              </w:rPr>
            </w:pPr>
            <w:r>
              <w:rPr>
                <w:rFonts w:ascii="Arial" w:cs="Arial" w:eastAsia="Arial" w:hAnsi="Arial"/>
                <w:sz w:val="10"/>
                <w:szCs w:val="10"/>
                <w:color w:val="auto"/>
              </w:rPr>
              <w:t>(33,343)</w:t>
            </w:r>
          </w:p>
        </w:tc>
        <w:tc>
          <w:tcPr>
            <w:tcW w:w="220" w:type="dxa"/>
            <w:vAlign w:val="bottom"/>
            <w:tcBorders>
              <w:top w:val="single" w:sz="8" w:color="CFF0FC"/>
            </w:tcBorders>
            <w:shd w:val="clear" w:color="auto" w:fill="CFF0FC"/>
          </w:tcPr>
          <w:p>
            <w:pPr>
              <w:spacing w:after="0"/>
              <w:rPr>
                <w:sz w:val="8"/>
                <w:szCs w:val="8"/>
                <w:color w:val="auto"/>
              </w:rPr>
            </w:pPr>
          </w:p>
        </w:tc>
        <w:tc>
          <w:tcPr>
            <w:tcW w:w="140" w:type="dxa"/>
            <w:vAlign w:val="bottom"/>
            <w:tcBorders>
              <w:top w:val="single" w:sz="8" w:color="auto"/>
              <w:bottom w:val="single" w:sz="8" w:color="auto"/>
            </w:tcBorders>
            <w:shd w:val="clear" w:color="auto" w:fill="CFF0FC"/>
          </w:tcPr>
          <w:p>
            <w:pPr>
              <w:spacing w:after="0"/>
              <w:rPr>
                <w:sz w:val="8"/>
                <w:szCs w:val="8"/>
                <w:color w:val="auto"/>
              </w:rPr>
            </w:pPr>
          </w:p>
        </w:tc>
        <w:tc>
          <w:tcPr>
            <w:tcW w:w="880" w:type="dxa"/>
            <w:vAlign w:val="bottom"/>
            <w:tcBorders>
              <w:top w:val="single" w:sz="8" w:color="auto"/>
              <w:bottom w:val="single" w:sz="8" w:color="auto"/>
            </w:tcBorders>
            <w:shd w:val="clear" w:color="auto" w:fill="CFF0FC"/>
          </w:tcPr>
          <w:p>
            <w:pPr>
              <w:jc w:val="right"/>
              <w:spacing w:after="0" w:line="97" w:lineRule="exact"/>
              <w:rPr>
                <w:sz w:val="20"/>
                <w:szCs w:val="20"/>
                <w:color w:val="auto"/>
              </w:rPr>
            </w:pPr>
            <w:r>
              <w:rPr>
                <w:rFonts w:ascii="Arial" w:cs="Arial" w:eastAsia="Arial" w:hAnsi="Arial"/>
                <w:sz w:val="10"/>
                <w:szCs w:val="10"/>
                <w:color w:val="auto"/>
              </w:rPr>
              <w:t>54,226</w:t>
            </w:r>
          </w:p>
        </w:tc>
        <w:tc>
          <w:tcPr>
            <w:tcW w:w="240" w:type="dxa"/>
            <w:vAlign w:val="bottom"/>
            <w:tcBorders>
              <w:top w:val="single" w:sz="8" w:color="CFF0FC"/>
            </w:tcBorders>
            <w:shd w:val="clear" w:color="auto" w:fill="CFF0FC"/>
          </w:tcPr>
          <w:p>
            <w:pPr>
              <w:spacing w:after="0"/>
              <w:rPr>
                <w:sz w:val="8"/>
                <w:szCs w:val="8"/>
                <w:color w:val="auto"/>
              </w:rPr>
            </w:pPr>
          </w:p>
        </w:tc>
        <w:tc>
          <w:tcPr>
            <w:tcW w:w="140" w:type="dxa"/>
            <w:vAlign w:val="bottom"/>
            <w:tcBorders>
              <w:top w:val="single" w:sz="8" w:color="auto"/>
              <w:bottom w:val="single" w:sz="8" w:color="auto"/>
            </w:tcBorders>
            <w:shd w:val="clear" w:color="auto" w:fill="CFF0FC"/>
          </w:tcPr>
          <w:p>
            <w:pPr>
              <w:spacing w:after="0"/>
              <w:rPr>
                <w:sz w:val="8"/>
                <w:szCs w:val="8"/>
                <w:color w:val="auto"/>
              </w:rPr>
            </w:pPr>
          </w:p>
        </w:tc>
        <w:tc>
          <w:tcPr>
            <w:tcW w:w="880" w:type="dxa"/>
            <w:vAlign w:val="bottom"/>
            <w:tcBorders>
              <w:top w:val="single" w:sz="8" w:color="auto"/>
              <w:bottom w:val="single" w:sz="8" w:color="auto"/>
            </w:tcBorders>
            <w:shd w:val="clear" w:color="auto" w:fill="CFF0FC"/>
          </w:tcPr>
          <w:p>
            <w:pPr>
              <w:jc w:val="right"/>
              <w:spacing w:after="0" w:line="97" w:lineRule="exact"/>
              <w:rPr>
                <w:sz w:val="20"/>
                <w:szCs w:val="20"/>
                <w:color w:val="auto"/>
              </w:rPr>
            </w:pPr>
            <w:r>
              <w:rPr>
                <w:rFonts w:ascii="Arial" w:cs="Arial" w:eastAsia="Arial" w:hAnsi="Arial"/>
                <w:sz w:val="10"/>
                <w:szCs w:val="10"/>
                <w:color w:val="auto"/>
              </w:rPr>
              <w:t>(54)</w:t>
            </w:r>
          </w:p>
        </w:tc>
        <w:tc>
          <w:tcPr>
            <w:tcW w:w="120" w:type="dxa"/>
            <w:vAlign w:val="bottom"/>
            <w:tcBorders>
              <w:top w:val="single" w:sz="8" w:color="CFF0FC"/>
            </w:tcBorders>
            <w:shd w:val="clear" w:color="auto" w:fill="CFF0FC"/>
          </w:tcPr>
          <w:p>
            <w:pPr>
              <w:spacing w:after="0"/>
              <w:rPr>
                <w:sz w:val="8"/>
                <w:szCs w:val="8"/>
                <w:color w:val="auto"/>
              </w:rPr>
            </w:pPr>
          </w:p>
        </w:tc>
        <w:tc>
          <w:tcPr>
            <w:tcW w:w="100" w:type="dxa"/>
            <w:vAlign w:val="bottom"/>
            <w:tcBorders>
              <w:top w:val="single" w:sz="8" w:color="CFF0FC"/>
            </w:tcBorders>
            <w:shd w:val="clear" w:color="auto" w:fill="CFF0FC"/>
          </w:tcPr>
          <w:p>
            <w:pPr>
              <w:spacing w:after="0"/>
              <w:rPr>
                <w:sz w:val="8"/>
                <w:szCs w:val="8"/>
                <w:color w:val="auto"/>
              </w:rPr>
            </w:pPr>
          </w:p>
        </w:tc>
        <w:tc>
          <w:tcPr>
            <w:tcW w:w="160" w:type="dxa"/>
            <w:vAlign w:val="bottom"/>
            <w:tcBorders>
              <w:top w:val="single" w:sz="8" w:color="auto"/>
              <w:bottom w:val="single" w:sz="8" w:color="auto"/>
            </w:tcBorders>
            <w:shd w:val="clear" w:color="auto" w:fill="CFF0FC"/>
          </w:tcPr>
          <w:p>
            <w:pPr>
              <w:spacing w:after="0"/>
              <w:rPr>
                <w:sz w:val="8"/>
                <w:szCs w:val="8"/>
                <w:color w:val="auto"/>
              </w:rPr>
            </w:pPr>
          </w:p>
        </w:tc>
        <w:tc>
          <w:tcPr>
            <w:tcW w:w="880" w:type="dxa"/>
            <w:vAlign w:val="bottom"/>
            <w:tcBorders>
              <w:top w:val="single" w:sz="8" w:color="auto"/>
              <w:bottom w:val="single" w:sz="8" w:color="auto"/>
            </w:tcBorders>
            <w:shd w:val="clear" w:color="auto" w:fill="CFF0FC"/>
          </w:tcPr>
          <w:p>
            <w:pPr>
              <w:jc w:val="right"/>
              <w:spacing w:after="0" w:line="97" w:lineRule="exact"/>
              <w:rPr>
                <w:sz w:val="20"/>
                <w:szCs w:val="20"/>
                <w:color w:val="auto"/>
              </w:rPr>
            </w:pPr>
            <w:r>
              <w:rPr>
                <w:rFonts w:ascii="Arial" w:cs="Arial" w:eastAsia="Arial" w:hAnsi="Arial"/>
                <w:sz w:val="10"/>
                <w:szCs w:val="10"/>
                <w:color w:val="auto"/>
              </w:rPr>
              <w:t>28,702</w:t>
            </w:r>
          </w:p>
        </w:tc>
        <w:tc>
          <w:tcPr>
            <w:tcW w:w="120" w:type="dxa"/>
            <w:vAlign w:val="bottom"/>
            <w:tcBorders>
              <w:top w:val="single" w:sz="8" w:color="CFF0FC"/>
            </w:tcBorders>
            <w:shd w:val="clear" w:color="auto" w:fill="CFF0FC"/>
          </w:tcPr>
          <w:p>
            <w:pPr>
              <w:spacing w:after="0"/>
              <w:rPr>
                <w:sz w:val="8"/>
                <w:szCs w:val="8"/>
                <w:color w:val="auto"/>
              </w:rPr>
            </w:pPr>
          </w:p>
        </w:tc>
        <w:tc>
          <w:tcPr>
            <w:tcW w:w="100" w:type="dxa"/>
            <w:vAlign w:val="bottom"/>
            <w:tcBorders>
              <w:top w:val="single" w:sz="8" w:color="CFF0FC"/>
            </w:tcBorders>
            <w:shd w:val="clear" w:color="auto" w:fill="CFF0FC"/>
          </w:tcPr>
          <w:p>
            <w:pPr>
              <w:spacing w:after="0"/>
              <w:rPr>
                <w:sz w:val="8"/>
                <w:szCs w:val="8"/>
                <w:color w:val="auto"/>
              </w:rPr>
            </w:pPr>
          </w:p>
        </w:tc>
        <w:tc>
          <w:tcPr>
            <w:tcW w:w="160" w:type="dxa"/>
            <w:vAlign w:val="bottom"/>
            <w:tcBorders>
              <w:top w:val="single" w:sz="8" w:color="auto"/>
              <w:bottom w:val="single" w:sz="8" w:color="auto"/>
            </w:tcBorders>
            <w:shd w:val="clear" w:color="auto" w:fill="CFF0FC"/>
          </w:tcPr>
          <w:p>
            <w:pPr>
              <w:spacing w:after="0"/>
              <w:rPr>
                <w:sz w:val="8"/>
                <w:szCs w:val="8"/>
                <w:color w:val="auto"/>
              </w:rPr>
            </w:pPr>
          </w:p>
        </w:tc>
        <w:tc>
          <w:tcPr>
            <w:tcW w:w="880" w:type="dxa"/>
            <w:vAlign w:val="bottom"/>
            <w:tcBorders>
              <w:top w:val="single" w:sz="8" w:color="auto"/>
              <w:bottom w:val="single" w:sz="8" w:color="auto"/>
            </w:tcBorders>
            <w:shd w:val="clear" w:color="auto" w:fill="CFF0FC"/>
          </w:tcPr>
          <w:p>
            <w:pPr>
              <w:jc w:val="right"/>
              <w:spacing w:after="0" w:line="97" w:lineRule="exact"/>
              <w:rPr>
                <w:sz w:val="20"/>
                <w:szCs w:val="20"/>
                <w:color w:val="auto"/>
              </w:rPr>
            </w:pPr>
            <w:r>
              <w:rPr>
                <w:rFonts w:ascii="Arial" w:cs="Arial" w:eastAsia="Arial" w:hAnsi="Arial"/>
                <w:sz w:val="10"/>
                <w:szCs w:val="10"/>
                <w:color w:val="auto"/>
              </w:rPr>
              <w:t>49,531</w:t>
            </w:r>
          </w:p>
        </w:tc>
        <w:tc>
          <w:tcPr>
            <w:tcW w:w="120" w:type="dxa"/>
            <w:vAlign w:val="bottom"/>
            <w:tcBorders>
              <w:top w:val="single" w:sz="8" w:color="CFF0FC"/>
            </w:tcBorders>
            <w:shd w:val="clear" w:color="auto" w:fill="CFF0FC"/>
          </w:tcPr>
          <w:p>
            <w:pPr>
              <w:spacing w:after="0"/>
              <w:rPr>
                <w:sz w:val="8"/>
                <w:szCs w:val="8"/>
                <w:color w:val="auto"/>
              </w:rPr>
            </w:pPr>
          </w:p>
        </w:tc>
      </w:tr>
      <w:tr>
        <w:trPr>
          <w:trHeight w:val="97"/>
        </w:trPr>
        <w:tc>
          <w:tcPr>
            <w:tcW w:w="5300" w:type="dxa"/>
            <w:vAlign w:val="bottom"/>
            <w:gridSpan w:val="2"/>
          </w:tcPr>
          <w:p>
            <w:pPr>
              <w:spacing w:after="0" w:line="97" w:lineRule="exact"/>
              <w:rPr>
                <w:sz w:val="20"/>
                <w:szCs w:val="20"/>
                <w:color w:val="auto"/>
              </w:rPr>
            </w:pPr>
            <w:r>
              <w:rPr>
                <w:rFonts w:ascii="Arial" w:cs="Arial" w:eastAsia="Arial" w:hAnsi="Arial"/>
                <w:sz w:val="10"/>
                <w:szCs w:val="10"/>
                <w:color w:val="auto"/>
              </w:rPr>
              <w:t>Income before income tax provision (benefit)</w:t>
            </w:r>
          </w:p>
        </w:tc>
        <w:tc>
          <w:tcPr>
            <w:tcW w:w="100" w:type="dxa"/>
            <w:vAlign w:val="bottom"/>
          </w:tcPr>
          <w:p>
            <w:pPr>
              <w:spacing w:after="0"/>
              <w:rPr>
                <w:sz w:val="8"/>
                <w:szCs w:val="8"/>
                <w:color w:val="auto"/>
              </w:rPr>
            </w:pPr>
          </w:p>
        </w:tc>
        <w:tc>
          <w:tcPr>
            <w:tcW w:w="940" w:type="dxa"/>
            <w:vAlign w:val="bottom"/>
          </w:tcPr>
          <w:p>
            <w:pPr>
              <w:jc w:val="right"/>
              <w:spacing w:after="0" w:line="97" w:lineRule="exact"/>
              <w:rPr>
                <w:sz w:val="20"/>
                <w:szCs w:val="20"/>
                <w:color w:val="auto"/>
              </w:rPr>
            </w:pPr>
            <w:r>
              <w:rPr>
                <w:rFonts w:ascii="Arial" w:cs="Arial" w:eastAsia="Arial" w:hAnsi="Arial"/>
                <w:sz w:val="10"/>
                <w:szCs w:val="10"/>
                <w:color w:val="auto"/>
              </w:rPr>
              <w:t>33,343</w:t>
            </w: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Pr>
          <w:p>
            <w:pPr>
              <w:jc w:val="right"/>
              <w:spacing w:after="0" w:line="97" w:lineRule="exact"/>
              <w:rPr>
                <w:sz w:val="20"/>
                <w:szCs w:val="20"/>
                <w:color w:val="auto"/>
              </w:rPr>
            </w:pPr>
            <w:r>
              <w:rPr>
                <w:rFonts w:ascii="Arial" w:cs="Arial" w:eastAsia="Arial" w:hAnsi="Arial"/>
                <w:sz w:val="10"/>
                <w:szCs w:val="10"/>
                <w:color w:val="auto"/>
              </w:rPr>
              <w:t>46,926</w:t>
            </w: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Pr>
          <w:p>
            <w:pPr>
              <w:jc w:val="right"/>
              <w:spacing w:after="0" w:line="97" w:lineRule="exact"/>
              <w:rPr>
                <w:sz w:val="20"/>
                <w:szCs w:val="20"/>
                <w:color w:val="auto"/>
              </w:rPr>
            </w:pPr>
            <w:r>
              <w:rPr>
                <w:rFonts w:ascii="Arial" w:cs="Arial" w:eastAsia="Arial" w:hAnsi="Arial"/>
                <w:sz w:val="10"/>
                <w:szCs w:val="10"/>
                <w:color w:val="auto"/>
              </w:rPr>
              <w:t>(4,643)</w:t>
            </w: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tcPr>
          <w:p>
            <w:pPr>
              <w:jc w:val="right"/>
              <w:spacing w:after="0" w:line="97" w:lineRule="exact"/>
              <w:rPr>
                <w:sz w:val="20"/>
                <w:szCs w:val="20"/>
                <w:color w:val="auto"/>
              </w:rPr>
            </w:pPr>
            <w:r>
              <w:rPr>
                <w:rFonts w:ascii="Arial" w:cs="Arial" w:eastAsia="Arial" w:hAnsi="Arial"/>
                <w:sz w:val="10"/>
                <w:szCs w:val="10"/>
                <w:color w:val="auto"/>
              </w:rPr>
              <w:t>(28,702)</w:t>
            </w: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tcPr>
          <w:p>
            <w:pPr>
              <w:jc w:val="right"/>
              <w:spacing w:after="0" w:line="97" w:lineRule="exact"/>
              <w:rPr>
                <w:sz w:val="20"/>
                <w:szCs w:val="20"/>
                <w:color w:val="auto"/>
              </w:rPr>
            </w:pPr>
            <w:r>
              <w:rPr>
                <w:rFonts w:ascii="Arial" w:cs="Arial" w:eastAsia="Arial" w:hAnsi="Arial"/>
                <w:sz w:val="10"/>
                <w:szCs w:val="10"/>
                <w:color w:val="auto"/>
              </w:rPr>
              <w:t>46,924</w:t>
            </w:r>
          </w:p>
        </w:tc>
        <w:tc>
          <w:tcPr>
            <w:tcW w:w="120" w:type="dxa"/>
            <w:vAlign w:val="bottom"/>
          </w:tcPr>
          <w:p>
            <w:pPr>
              <w:spacing w:after="0"/>
              <w:rPr>
                <w:sz w:val="8"/>
                <w:szCs w:val="8"/>
                <w:color w:val="auto"/>
              </w:rPr>
            </w:pPr>
          </w:p>
        </w:tc>
      </w:tr>
      <w:tr>
        <w:trPr>
          <w:trHeight w:val="108"/>
        </w:trPr>
        <w:tc>
          <w:tcPr>
            <w:tcW w:w="5300" w:type="dxa"/>
            <w:vAlign w:val="bottom"/>
            <w:gridSpan w:val="2"/>
            <w:shd w:val="clear" w:color="auto" w:fill="CFF0FC"/>
          </w:tcPr>
          <w:p>
            <w:pPr>
              <w:spacing w:after="0" w:line="108" w:lineRule="exact"/>
              <w:rPr>
                <w:sz w:val="20"/>
                <w:szCs w:val="20"/>
                <w:color w:val="auto"/>
              </w:rPr>
            </w:pPr>
            <w:r>
              <w:rPr>
                <w:rFonts w:ascii="Arial" w:cs="Arial" w:eastAsia="Arial" w:hAnsi="Arial"/>
                <w:sz w:val="10"/>
                <w:szCs w:val="10"/>
                <w:color w:val="auto"/>
              </w:rPr>
              <w:t>Income tax provision (benefit)</w:t>
            </w:r>
          </w:p>
        </w:tc>
        <w:tc>
          <w:tcPr>
            <w:tcW w:w="100" w:type="dxa"/>
            <w:vAlign w:val="bottom"/>
            <w:shd w:val="clear" w:color="auto" w:fill="CFF0FC"/>
          </w:tcPr>
          <w:p>
            <w:pPr>
              <w:spacing w:after="0"/>
              <w:rPr>
                <w:sz w:val="9"/>
                <w:szCs w:val="9"/>
                <w:color w:val="auto"/>
              </w:rPr>
            </w:pPr>
          </w:p>
        </w:tc>
        <w:tc>
          <w:tcPr>
            <w:tcW w:w="1160" w:type="dxa"/>
            <w:vAlign w:val="bottom"/>
            <w:gridSpan w:val="2"/>
            <w:shd w:val="clear" w:color="auto" w:fill="CFF0FC"/>
          </w:tcPr>
          <w:p>
            <w:pPr>
              <w:jc w:val="right"/>
              <w:ind w:right="240"/>
              <w:spacing w:after="0" w:line="108" w:lineRule="exact"/>
              <w:rPr>
                <w:sz w:val="20"/>
                <w:szCs w:val="20"/>
                <w:color w:val="auto"/>
              </w:rPr>
            </w:pPr>
            <w:r>
              <w:rPr>
                <w:rFonts w:ascii="Arial" w:cs="Arial" w:eastAsia="Arial" w:hAnsi="Arial"/>
                <w:sz w:val="10"/>
                <w:szCs w:val="10"/>
                <w:color w:val="auto"/>
              </w:rPr>
              <w:t>—</w:t>
            </w:r>
          </w:p>
        </w:tc>
        <w:tc>
          <w:tcPr>
            <w:tcW w:w="140" w:type="dxa"/>
            <w:vAlign w:val="bottom"/>
            <w:shd w:val="clear" w:color="auto" w:fill="CFF0FC"/>
          </w:tcPr>
          <w:p>
            <w:pPr>
              <w:spacing w:after="0"/>
              <w:rPr>
                <w:sz w:val="9"/>
                <w:szCs w:val="9"/>
                <w:color w:val="auto"/>
              </w:rPr>
            </w:pPr>
          </w:p>
        </w:tc>
        <w:tc>
          <w:tcPr>
            <w:tcW w:w="880" w:type="dxa"/>
            <w:vAlign w:val="bottom"/>
            <w:shd w:val="clear" w:color="auto" w:fill="CFF0FC"/>
          </w:tcPr>
          <w:p>
            <w:pPr>
              <w:jc w:val="right"/>
              <w:spacing w:after="0" w:line="108" w:lineRule="exact"/>
              <w:rPr>
                <w:sz w:val="20"/>
                <w:szCs w:val="20"/>
                <w:color w:val="auto"/>
              </w:rPr>
            </w:pPr>
            <w:r>
              <w:rPr>
                <w:rFonts w:ascii="Arial" w:cs="Arial" w:eastAsia="Arial" w:hAnsi="Arial"/>
                <w:sz w:val="10"/>
                <w:szCs w:val="10"/>
                <w:color w:val="auto"/>
              </w:rPr>
              <w:t>13,583</w:t>
            </w:r>
          </w:p>
        </w:tc>
        <w:tc>
          <w:tcPr>
            <w:tcW w:w="24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1000" w:type="dxa"/>
            <w:vAlign w:val="bottom"/>
            <w:gridSpan w:val="2"/>
            <w:shd w:val="clear" w:color="auto" w:fill="CFF0FC"/>
          </w:tcPr>
          <w:p>
            <w:pPr>
              <w:jc w:val="right"/>
              <w:ind w:right="100"/>
              <w:spacing w:after="0" w:line="108" w:lineRule="exact"/>
              <w:rPr>
                <w:sz w:val="20"/>
                <w:szCs w:val="20"/>
                <w:color w:val="auto"/>
              </w:rPr>
            </w:pPr>
            <w:r>
              <w:rPr>
                <w:rFonts w:ascii="Arial" w:cs="Arial" w:eastAsia="Arial" w:hAnsi="Arial"/>
                <w:sz w:val="10"/>
                <w:szCs w:val="10"/>
                <w:color w:val="auto"/>
              </w:rPr>
              <w:t>(2)</w:t>
            </w:r>
          </w:p>
        </w:tc>
        <w:tc>
          <w:tcPr>
            <w:tcW w:w="10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1000" w:type="dxa"/>
            <w:vAlign w:val="bottom"/>
            <w:gridSpan w:val="2"/>
            <w:shd w:val="clear" w:color="auto" w:fill="CFF0FC"/>
          </w:tcPr>
          <w:p>
            <w:pPr>
              <w:jc w:val="right"/>
              <w:ind w:right="140"/>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880" w:type="dxa"/>
            <w:vAlign w:val="bottom"/>
            <w:shd w:val="clear" w:color="auto" w:fill="CFF0FC"/>
          </w:tcPr>
          <w:p>
            <w:pPr>
              <w:jc w:val="right"/>
              <w:spacing w:after="0" w:line="108" w:lineRule="exact"/>
              <w:rPr>
                <w:sz w:val="20"/>
                <w:szCs w:val="20"/>
                <w:color w:val="auto"/>
              </w:rPr>
            </w:pPr>
            <w:r>
              <w:rPr>
                <w:rFonts w:ascii="Arial" w:cs="Arial" w:eastAsia="Arial" w:hAnsi="Arial"/>
                <w:sz w:val="10"/>
                <w:szCs w:val="10"/>
                <w:color w:val="auto"/>
              </w:rPr>
              <w:t>13,581</w:t>
            </w:r>
          </w:p>
        </w:tc>
        <w:tc>
          <w:tcPr>
            <w:tcW w:w="120" w:type="dxa"/>
            <w:vAlign w:val="bottom"/>
            <w:shd w:val="clear" w:color="auto" w:fill="CFF0FC"/>
          </w:tcPr>
          <w:p>
            <w:pPr>
              <w:spacing w:after="0"/>
              <w:rPr>
                <w:sz w:val="9"/>
                <w:szCs w:val="9"/>
                <w:color w:val="auto"/>
              </w:rPr>
            </w:pPr>
          </w:p>
        </w:tc>
      </w:tr>
      <w:tr>
        <w:trPr>
          <w:trHeight w:val="104"/>
        </w:trPr>
        <w:tc>
          <w:tcPr>
            <w:tcW w:w="5300" w:type="dxa"/>
            <w:vAlign w:val="bottom"/>
            <w:tcBorders>
              <w:bottom w:val="single" w:sz="8" w:color="CFF0FC"/>
            </w:tcBorders>
            <w:gridSpan w:val="2"/>
          </w:tcPr>
          <w:p>
            <w:pPr>
              <w:ind w:left="80"/>
              <w:spacing w:after="0" w:line="97" w:lineRule="exact"/>
              <w:rPr>
                <w:sz w:val="20"/>
                <w:szCs w:val="20"/>
                <w:color w:val="auto"/>
              </w:rPr>
            </w:pPr>
            <w:r>
              <w:rPr>
                <w:rFonts w:ascii="Arial" w:cs="Arial" w:eastAsia="Arial" w:hAnsi="Arial"/>
                <w:sz w:val="10"/>
                <w:szCs w:val="10"/>
                <w:b w:val="1"/>
                <w:bCs w:val="1"/>
                <w:color w:val="auto"/>
              </w:rPr>
              <w:t>Net income (loss)</w:t>
            </w:r>
          </w:p>
        </w:tc>
        <w:tc>
          <w:tcPr>
            <w:tcW w:w="100" w:type="dxa"/>
            <w:vAlign w:val="bottom"/>
            <w:tcBorders>
              <w:top w:val="single" w:sz="8" w:color="auto"/>
              <w:bottom w:val="single" w:sz="8" w:color="auto"/>
            </w:tcBorders>
          </w:tcPr>
          <w:p>
            <w:pPr>
              <w:jc w:val="right"/>
              <w:spacing w:after="0" w:line="97" w:lineRule="exact"/>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bottom w:val="single" w:sz="8" w:color="auto"/>
            </w:tcBorders>
          </w:tcPr>
          <w:p>
            <w:pPr>
              <w:jc w:val="right"/>
              <w:spacing w:after="0" w:line="97" w:lineRule="exact"/>
              <w:rPr>
                <w:sz w:val="20"/>
                <w:szCs w:val="20"/>
                <w:color w:val="auto"/>
              </w:rPr>
            </w:pPr>
            <w:r>
              <w:rPr>
                <w:rFonts w:ascii="Arial" w:cs="Arial" w:eastAsia="Arial" w:hAnsi="Arial"/>
                <w:sz w:val="10"/>
                <w:szCs w:val="10"/>
                <w:color w:val="auto"/>
              </w:rPr>
              <w:t>33,343</w:t>
            </w:r>
          </w:p>
        </w:tc>
        <w:tc>
          <w:tcPr>
            <w:tcW w:w="220" w:type="dxa"/>
            <w:vAlign w:val="bottom"/>
            <w:tcBorders>
              <w:bottom w:val="single" w:sz="8" w:color="CFF0FC"/>
            </w:tcBorders>
          </w:tcPr>
          <w:p>
            <w:pPr>
              <w:spacing w:after="0"/>
              <w:rPr>
                <w:sz w:val="9"/>
                <w:szCs w:val="9"/>
                <w:color w:val="auto"/>
              </w:rPr>
            </w:pPr>
          </w:p>
        </w:tc>
        <w:tc>
          <w:tcPr>
            <w:tcW w:w="140" w:type="dxa"/>
            <w:vAlign w:val="bottom"/>
            <w:tcBorders>
              <w:top w:val="single" w:sz="8" w:color="auto"/>
              <w:bottom w:val="single" w:sz="8" w:color="auto"/>
            </w:tcBorders>
          </w:tcPr>
          <w:p>
            <w:pPr>
              <w:jc w:val="right"/>
              <w:ind w:right="76"/>
              <w:spacing w:after="0"/>
              <w:rPr>
                <w:sz w:val="20"/>
                <w:szCs w:val="20"/>
                <w:color w:val="auto"/>
              </w:rPr>
            </w:pPr>
            <w:r>
              <w:rPr>
                <w:rFonts w:ascii="Arial" w:cs="Arial" w:eastAsia="Arial" w:hAnsi="Arial"/>
                <w:sz w:val="5"/>
                <w:szCs w:val="5"/>
                <w:color w:val="auto"/>
                <w:w w:val="70"/>
              </w:rPr>
              <w:t>$</w:t>
            </w:r>
          </w:p>
        </w:tc>
        <w:tc>
          <w:tcPr>
            <w:tcW w:w="880" w:type="dxa"/>
            <w:vAlign w:val="bottom"/>
            <w:tcBorders>
              <w:top w:val="single" w:sz="8" w:color="auto"/>
              <w:bottom w:val="single" w:sz="8" w:color="auto"/>
            </w:tcBorders>
          </w:tcPr>
          <w:p>
            <w:pPr>
              <w:jc w:val="right"/>
              <w:spacing w:after="0" w:line="97" w:lineRule="exact"/>
              <w:rPr>
                <w:sz w:val="20"/>
                <w:szCs w:val="20"/>
                <w:color w:val="auto"/>
              </w:rPr>
            </w:pPr>
            <w:r>
              <w:rPr>
                <w:rFonts w:ascii="Arial" w:cs="Arial" w:eastAsia="Arial" w:hAnsi="Arial"/>
                <w:sz w:val="10"/>
                <w:szCs w:val="10"/>
                <w:color w:val="auto"/>
              </w:rPr>
              <w:t>33,343</w:t>
            </w:r>
          </w:p>
        </w:tc>
        <w:tc>
          <w:tcPr>
            <w:tcW w:w="240" w:type="dxa"/>
            <w:vAlign w:val="bottom"/>
            <w:tcBorders>
              <w:bottom w:val="single" w:sz="8" w:color="CFF0FC"/>
            </w:tcBorders>
          </w:tcPr>
          <w:p>
            <w:pPr>
              <w:spacing w:after="0"/>
              <w:rPr>
                <w:sz w:val="9"/>
                <w:szCs w:val="9"/>
                <w:color w:val="auto"/>
              </w:rPr>
            </w:pPr>
          </w:p>
        </w:tc>
        <w:tc>
          <w:tcPr>
            <w:tcW w:w="140" w:type="dxa"/>
            <w:vAlign w:val="bottom"/>
            <w:tcBorders>
              <w:top w:val="single" w:sz="8" w:color="auto"/>
              <w:bottom w:val="single" w:sz="8" w:color="auto"/>
            </w:tcBorders>
          </w:tcPr>
          <w:p>
            <w:pPr>
              <w:jc w:val="right"/>
              <w:ind w:right="76"/>
              <w:spacing w:after="0"/>
              <w:rPr>
                <w:sz w:val="20"/>
                <w:szCs w:val="20"/>
                <w:color w:val="auto"/>
              </w:rPr>
            </w:pPr>
            <w:r>
              <w:rPr>
                <w:rFonts w:ascii="Arial" w:cs="Arial" w:eastAsia="Arial" w:hAnsi="Arial"/>
                <w:sz w:val="5"/>
                <w:szCs w:val="5"/>
                <w:color w:val="auto"/>
                <w:w w:val="70"/>
              </w:rPr>
              <w:t>$</w:t>
            </w:r>
          </w:p>
        </w:tc>
        <w:tc>
          <w:tcPr>
            <w:tcW w:w="880" w:type="dxa"/>
            <w:vAlign w:val="bottom"/>
            <w:tcBorders>
              <w:top w:val="single" w:sz="8" w:color="auto"/>
              <w:bottom w:val="single" w:sz="8" w:color="auto"/>
            </w:tcBorders>
          </w:tcPr>
          <w:p>
            <w:pPr>
              <w:jc w:val="right"/>
              <w:spacing w:after="0" w:line="97" w:lineRule="exact"/>
              <w:rPr>
                <w:sz w:val="20"/>
                <w:szCs w:val="20"/>
                <w:color w:val="auto"/>
              </w:rPr>
            </w:pPr>
            <w:r>
              <w:rPr>
                <w:rFonts w:ascii="Arial" w:cs="Arial" w:eastAsia="Arial" w:hAnsi="Arial"/>
                <w:sz w:val="10"/>
                <w:szCs w:val="10"/>
                <w:color w:val="auto"/>
              </w:rPr>
              <w:t>(4,641)</w:t>
            </w:r>
          </w:p>
        </w:tc>
        <w:tc>
          <w:tcPr>
            <w:tcW w:w="120" w:type="dxa"/>
            <w:vAlign w:val="bottom"/>
            <w:tcBorders>
              <w:bottom w:val="single" w:sz="8" w:color="CFF0FC"/>
            </w:tcBorders>
          </w:tcPr>
          <w:p>
            <w:pPr>
              <w:spacing w:after="0"/>
              <w:rPr>
                <w:sz w:val="9"/>
                <w:szCs w:val="9"/>
                <w:color w:val="auto"/>
              </w:rPr>
            </w:pPr>
          </w:p>
        </w:tc>
        <w:tc>
          <w:tcPr>
            <w:tcW w:w="100" w:type="dxa"/>
            <w:vAlign w:val="bottom"/>
            <w:tcBorders>
              <w:bottom w:val="single" w:sz="8" w:color="CFF0FC"/>
            </w:tcBorders>
          </w:tcPr>
          <w:p>
            <w:pPr>
              <w:spacing w:after="0"/>
              <w:rPr>
                <w:sz w:val="9"/>
                <w:szCs w:val="9"/>
                <w:color w:val="auto"/>
              </w:rPr>
            </w:pPr>
          </w:p>
        </w:tc>
        <w:tc>
          <w:tcPr>
            <w:tcW w:w="160" w:type="dxa"/>
            <w:vAlign w:val="bottom"/>
            <w:tcBorders>
              <w:top w:val="single" w:sz="8" w:color="auto"/>
              <w:bottom w:val="single" w:sz="8" w:color="auto"/>
            </w:tcBorders>
          </w:tcPr>
          <w:p>
            <w:pPr>
              <w:jc w:val="right"/>
              <w:ind w:right="54"/>
              <w:spacing w:after="0" w:line="97" w:lineRule="exact"/>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tcPr>
          <w:p>
            <w:pPr>
              <w:jc w:val="right"/>
              <w:spacing w:after="0" w:line="97" w:lineRule="exact"/>
              <w:rPr>
                <w:sz w:val="20"/>
                <w:szCs w:val="20"/>
                <w:color w:val="auto"/>
              </w:rPr>
            </w:pPr>
            <w:r>
              <w:rPr>
                <w:rFonts w:ascii="Arial" w:cs="Arial" w:eastAsia="Arial" w:hAnsi="Arial"/>
                <w:sz w:val="10"/>
                <w:szCs w:val="10"/>
                <w:color w:val="auto"/>
              </w:rPr>
              <w:t>(28,702)</w:t>
            </w:r>
          </w:p>
        </w:tc>
        <w:tc>
          <w:tcPr>
            <w:tcW w:w="120" w:type="dxa"/>
            <w:vAlign w:val="bottom"/>
            <w:tcBorders>
              <w:bottom w:val="single" w:sz="8" w:color="CFF0FC"/>
            </w:tcBorders>
          </w:tcPr>
          <w:p>
            <w:pPr>
              <w:spacing w:after="0"/>
              <w:rPr>
                <w:sz w:val="9"/>
                <w:szCs w:val="9"/>
                <w:color w:val="auto"/>
              </w:rPr>
            </w:pPr>
          </w:p>
        </w:tc>
        <w:tc>
          <w:tcPr>
            <w:tcW w:w="100" w:type="dxa"/>
            <w:vAlign w:val="bottom"/>
            <w:tcBorders>
              <w:bottom w:val="single" w:sz="8" w:color="CFF0FC"/>
            </w:tcBorders>
          </w:tcPr>
          <w:p>
            <w:pPr>
              <w:spacing w:after="0"/>
              <w:rPr>
                <w:sz w:val="9"/>
                <w:szCs w:val="9"/>
                <w:color w:val="auto"/>
              </w:rPr>
            </w:pPr>
          </w:p>
        </w:tc>
        <w:tc>
          <w:tcPr>
            <w:tcW w:w="160" w:type="dxa"/>
            <w:vAlign w:val="bottom"/>
            <w:tcBorders>
              <w:top w:val="single" w:sz="8" w:color="auto"/>
              <w:bottom w:val="single" w:sz="8" w:color="auto"/>
            </w:tcBorders>
          </w:tcPr>
          <w:p>
            <w:pPr>
              <w:jc w:val="right"/>
              <w:ind w:right="54"/>
              <w:spacing w:after="0" w:line="97" w:lineRule="exact"/>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tcPr>
          <w:p>
            <w:pPr>
              <w:jc w:val="right"/>
              <w:spacing w:after="0" w:line="97" w:lineRule="exact"/>
              <w:rPr>
                <w:sz w:val="20"/>
                <w:szCs w:val="20"/>
                <w:color w:val="auto"/>
              </w:rPr>
            </w:pPr>
            <w:r>
              <w:rPr>
                <w:rFonts w:ascii="Arial" w:cs="Arial" w:eastAsia="Arial" w:hAnsi="Arial"/>
                <w:sz w:val="10"/>
                <w:szCs w:val="10"/>
                <w:color w:val="auto"/>
              </w:rPr>
              <w:t>33,343</w:t>
            </w:r>
          </w:p>
        </w:tc>
        <w:tc>
          <w:tcPr>
            <w:tcW w:w="120" w:type="dxa"/>
            <w:vAlign w:val="bottom"/>
            <w:tcBorders>
              <w:bottom w:val="single" w:sz="8" w:color="CFF0FC"/>
            </w:tcBorders>
          </w:tcPr>
          <w:p>
            <w:pPr>
              <w:spacing w:after="0"/>
              <w:rPr>
                <w:sz w:val="9"/>
                <w:szCs w:val="9"/>
                <w:color w:val="auto"/>
              </w:rPr>
            </w:pPr>
          </w:p>
        </w:tc>
      </w:tr>
      <w:tr>
        <w:trPr>
          <w:trHeight w:val="108"/>
        </w:trPr>
        <w:tc>
          <w:tcPr>
            <w:tcW w:w="5300" w:type="dxa"/>
            <w:vAlign w:val="bottom"/>
            <w:gridSpan w:val="2"/>
            <w:shd w:val="clear" w:color="auto" w:fill="CFF0FC"/>
          </w:tcPr>
          <w:p>
            <w:pPr>
              <w:spacing w:after="0" w:line="108" w:lineRule="exact"/>
              <w:rPr>
                <w:sz w:val="20"/>
                <w:szCs w:val="20"/>
                <w:color w:val="auto"/>
              </w:rPr>
            </w:pPr>
            <w:r>
              <w:rPr>
                <w:rFonts w:ascii="Arial" w:cs="Arial" w:eastAsia="Arial" w:hAnsi="Arial"/>
                <w:sz w:val="10"/>
                <w:szCs w:val="10"/>
                <w:b w:val="1"/>
                <w:bCs w:val="1"/>
                <w:color w:val="auto"/>
              </w:rPr>
              <w:t>Other comprehensive income (loss):</w:t>
            </w:r>
          </w:p>
        </w:tc>
        <w:tc>
          <w:tcPr>
            <w:tcW w:w="100" w:type="dxa"/>
            <w:vAlign w:val="bottom"/>
            <w:shd w:val="clear" w:color="auto" w:fill="CFF0FC"/>
          </w:tcPr>
          <w:p>
            <w:pPr>
              <w:spacing w:after="0"/>
              <w:rPr>
                <w:sz w:val="9"/>
                <w:szCs w:val="9"/>
                <w:color w:val="auto"/>
              </w:rPr>
            </w:pPr>
          </w:p>
        </w:tc>
        <w:tc>
          <w:tcPr>
            <w:tcW w:w="9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88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8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8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8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r>
      <w:tr>
        <w:trPr>
          <w:trHeight w:val="108"/>
        </w:trPr>
        <w:tc>
          <w:tcPr>
            <w:tcW w:w="5300" w:type="dxa"/>
            <w:vAlign w:val="bottom"/>
            <w:gridSpan w:val="2"/>
          </w:tcPr>
          <w:p>
            <w:pPr>
              <w:spacing w:after="0" w:line="108" w:lineRule="exact"/>
              <w:rPr>
                <w:sz w:val="20"/>
                <w:szCs w:val="20"/>
                <w:color w:val="auto"/>
              </w:rPr>
            </w:pPr>
            <w:r>
              <w:rPr>
                <w:rFonts w:ascii="Arial" w:cs="Arial" w:eastAsia="Arial" w:hAnsi="Arial"/>
                <w:sz w:val="10"/>
                <w:szCs w:val="10"/>
                <w:color w:val="auto"/>
              </w:rPr>
              <w:t>Change in foreign currency translation adjustment</w:t>
            </w:r>
          </w:p>
        </w:tc>
        <w:tc>
          <w:tcPr>
            <w:tcW w:w="100" w:type="dxa"/>
            <w:vAlign w:val="bottom"/>
          </w:tcPr>
          <w:p>
            <w:pPr>
              <w:spacing w:after="0"/>
              <w:rPr>
                <w:sz w:val="9"/>
                <w:szCs w:val="9"/>
                <w:color w:val="auto"/>
              </w:rPr>
            </w:pPr>
          </w:p>
        </w:tc>
        <w:tc>
          <w:tcPr>
            <w:tcW w:w="1160" w:type="dxa"/>
            <w:vAlign w:val="bottom"/>
            <w:gridSpan w:val="2"/>
          </w:tcPr>
          <w:p>
            <w:pPr>
              <w:jc w:val="right"/>
              <w:ind w:right="240"/>
              <w:spacing w:after="0" w:line="108" w:lineRule="exact"/>
              <w:rPr>
                <w:sz w:val="20"/>
                <w:szCs w:val="20"/>
                <w:color w:val="auto"/>
              </w:rPr>
            </w:pPr>
            <w:r>
              <w:rPr>
                <w:rFonts w:ascii="Arial" w:cs="Arial" w:eastAsia="Arial" w:hAnsi="Arial"/>
                <w:sz w:val="10"/>
                <w:szCs w:val="10"/>
                <w:color w:val="auto"/>
              </w:rPr>
              <w:t>—</w:t>
            </w:r>
          </w:p>
        </w:tc>
        <w:tc>
          <w:tcPr>
            <w:tcW w:w="140" w:type="dxa"/>
            <w:vAlign w:val="bottom"/>
          </w:tcPr>
          <w:p>
            <w:pPr>
              <w:spacing w:after="0"/>
              <w:rPr>
                <w:sz w:val="9"/>
                <w:szCs w:val="9"/>
                <w:color w:val="auto"/>
              </w:rPr>
            </w:pPr>
          </w:p>
        </w:tc>
        <w:tc>
          <w:tcPr>
            <w:tcW w:w="880" w:type="dxa"/>
            <w:vAlign w:val="bottom"/>
          </w:tcPr>
          <w:p>
            <w:pPr>
              <w:jc w:val="right"/>
              <w:spacing w:after="0" w:line="108" w:lineRule="exact"/>
              <w:rPr>
                <w:sz w:val="20"/>
                <w:szCs w:val="20"/>
                <w:color w:val="auto"/>
              </w:rPr>
            </w:pPr>
            <w:r>
              <w:rPr>
                <w:rFonts w:ascii="Arial" w:cs="Arial" w:eastAsia="Arial" w:hAnsi="Arial"/>
                <w:sz w:val="10"/>
                <w:szCs w:val="10"/>
                <w:color w:val="auto"/>
              </w:rPr>
              <w:t>3,244</w:t>
            </w: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0" w:type="dxa"/>
            <w:vAlign w:val="bottom"/>
            <w:gridSpan w:val="2"/>
          </w:tcPr>
          <w:p>
            <w:pPr>
              <w:jc w:val="right"/>
              <w:ind w:right="140"/>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gridSpan w:val="2"/>
          </w:tcPr>
          <w:p>
            <w:pPr>
              <w:jc w:val="right"/>
              <w:ind w:right="140"/>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jc w:val="right"/>
              <w:spacing w:after="0" w:line="108" w:lineRule="exact"/>
              <w:rPr>
                <w:sz w:val="20"/>
                <w:szCs w:val="20"/>
                <w:color w:val="auto"/>
              </w:rPr>
            </w:pPr>
            <w:r>
              <w:rPr>
                <w:rFonts w:ascii="Arial" w:cs="Arial" w:eastAsia="Arial" w:hAnsi="Arial"/>
                <w:sz w:val="10"/>
                <w:szCs w:val="10"/>
                <w:color w:val="auto"/>
              </w:rPr>
              <w:t>3,244</w:t>
            </w:r>
          </w:p>
        </w:tc>
        <w:tc>
          <w:tcPr>
            <w:tcW w:w="120" w:type="dxa"/>
            <w:vAlign w:val="bottom"/>
          </w:tcPr>
          <w:p>
            <w:pPr>
              <w:spacing w:after="0"/>
              <w:rPr>
                <w:sz w:val="9"/>
                <w:szCs w:val="9"/>
                <w:color w:val="auto"/>
              </w:rPr>
            </w:pPr>
          </w:p>
        </w:tc>
      </w:tr>
      <w:tr>
        <w:trPr>
          <w:trHeight w:val="104"/>
        </w:trPr>
        <w:tc>
          <w:tcPr>
            <w:tcW w:w="5300" w:type="dxa"/>
            <w:vAlign w:val="bottom"/>
            <w:tcBorders>
              <w:top w:val="single" w:sz="8" w:color="CFF0FC"/>
              <w:bottom w:val="single" w:sz="8" w:color="CFF0FC"/>
            </w:tcBorders>
            <w:gridSpan w:val="2"/>
            <w:shd w:val="clear" w:color="auto" w:fill="CFF0FC"/>
          </w:tcPr>
          <w:p>
            <w:pPr>
              <w:ind w:left="80"/>
              <w:spacing w:after="0" w:line="97" w:lineRule="exact"/>
              <w:rPr>
                <w:sz w:val="20"/>
                <w:szCs w:val="20"/>
                <w:color w:val="auto"/>
              </w:rPr>
            </w:pPr>
            <w:r>
              <w:rPr>
                <w:rFonts w:ascii="Arial" w:cs="Arial" w:eastAsia="Arial" w:hAnsi="Arial"/>
                <w:sz w:val="10"/>
                <w:szCs w:val="10"/>
                <w:color w:val="auto"/>
              </w:rPr>
              <w:t>Total comprehensive income (loss)</w:t>
            </w:r>
          </w:p>
        </w:tc>
        <w:tc>
          <w:tcPr>
            <w:tcW w:w="100" w:type="dxa"/>
            <w:vAlign w:val="bottom"/>
            <w:tcBorders>
              <w:top w:val="single" w:sz="8" w:color="auto"/>
              <w:bottom w:val="single" w:sz="8" w:color="auto"/>
            </w:tcBorders>
            <w:shd w:val="clear" w:color="auto" w:fill="CFF0FC"/>
          </w:tcPr>
          <w:p>
            <w:pPr>
              <w:jc w:val="right"/>
              <w:spacing w:after="0" w:line="97" w:lineRule="exact"/>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bottom w:val="single" w:sz="8" w:color="auto"/>
            </w:tcBorders>
            <w:shd w:val="clear" w:color="auto" w:fill="CFF0FC"/>
          </w:tcPr>
          <w:p>
            <w:pPr>
              <w:jc w:val="right"/>
              <w:spacing w:after="0" w:line="97" w:lineRule="exact"/>
              <w:rPr>
                <w:sz w:val="20"/>
                <w:szCs w:val="20"/>
                <w:color w:val="auto"/>
              </w:rPr>
            </w:pPr>
            <w:r>
              <w:rPr>
                <w:rFonts w:ascii="Arial" w:cs="Arial" w:eastAsia="Arial" w:hAnsi="Arial"/>
                <w:sz w:val="10"/>
                <w:szCs w:val="10"/>
                <w:color w:val="auto"/>
              </w:rPr>
              <w:t>33,343</w:t>
            </w:r>
          </w:p>
        </w:tc>
        <w:tc>
          <w:tcPr>
            <w:tcW w:w="220" w:type="dxa"/>
            <w:vAlign w:val="bottom"/>
            <w:tcBorders>
              <w:top w:val="single" w:sz="8" w:color="CFF0FC"/>
              <w:bottom w:val="single" w:sz="8" w:color="CFF0FC"/>
            </w:tcBorders>
            <w:shd w:val="clear" w:color="auto" w:fill="CFF0FC"/>
          </w:tcPr>
          <w:p>
            <w:pPr>
              <w:spacing w:after="0"/>
              <w:rPr>
                <w:sz w:val="9"/>
                <w:szCs w:val="9"/>
                <w:color w:val="auto"/>
              </w:rPr>
            </w:pPr>
          </w:p>
        </w:tc>
        <w:tc>
          <w:tcPr>
            <w:tcW w:w="140" w:type="dxa"/>
            <w:vAlign w:val="bottom"/>
            <w:tcBorders>
              <w:top w:val="single" w:sz="8" w:color="auto"/>
              <w:bottom w:val="single" w:sz="8" w:color="auto"/>
            </w:tcBorders>
            <w:shd w:val="clear" w:color="auto" w:fill="CFF0FC"/>
          </w:tcPr>
          <w:p>
            <w:pPr>
              <w:jc w:val="right"/>
              <w:ind w:right="76"/>
              <w:spacing w:after="0"/>
              <w:rPr>
                <w:sz w:val="20"/>
                <w:szCs w:val="20"/>
                <w:color w:val="auto"/>
              </w:rPr>
            </w:pPr>
            <w:r>
              <w:rPr>
                <w:rFonts w:ascii="Arial" w:cs="Arial" w:eastAsia="Arial" w:hAnsi="Arial"/>
                <w:sz w:val="5"/>
                <w:szCs w:val="5"/>
                <w:color w:val="auto"/>
                <w:w w:val="70"/>
              </w:rPr>
              <w:t>$</w:t>
            </w:r>
          </w:p>
        </w:tc>
        <w:tc>
          <w:tcPr>
            <w:tcW w:w="880" w:type="dxa"/>
            <w:vAlign w:val="bottom"/>
            <w:tcBorders>
              <w:top w:val="single" w:sz="8" w:color="auto"/>
              <w:bottom w:val="single" w:sz="8" w:color="auto"/>
            </w:tcBorders>
            <w:shd w:val="clear" w:color="auto" w:fill="CFF0FC"/>
          </w:tcPr>
          <w:p>
            <w:pPr>
              <w:jc w:val="right"/>
              <w:spacing w:after="0" w:line="97" w:lineRule="exact"/>
              <w:rPr>
                <w:sz w:val="20"/>
                <w:szCs w:val="20"/>
                <w:color w:val="auto"/>
              </w:rPr>
            </w:pPr>
            <w:r>
              <w:rPr>
                <w:rFonts w:ascii="Arial" w:cs="Arial" w:eastAsia="Arial" w:hAnsi="Arial"/>
                <w:sz w:val="10"/>
                <w:szCs w:val="10"/>
                <w:color w:val="auto"/>
              </w:rPr>
              <w:t>36,587</w:t>
            </w:r>
          </w:p>
        </w:tc>
        <w:tc>
          <w:tcPr>
            <w:tcW w:w="240" w:type="dxa"/>
            <w:vAlign w:val="bottom"/>
            <w:tcBorders>
              <w:top w:val="single" w:sz="8" w:color="CFF0FC"/>
              <w:bottom w:val="single" w:sz="8" w:color="CFF0FC"/>
            </w:tcBorders>
            <w:shd w:val="clear" w:color="auto" w:fill="CFF0FC"/>
          </w:tcPr>
          <w:p>
            <w:pPr>
              <w:spacing w:after="0"/>
              <w:rPr>
                <w:sz w:val="9"/>
                <w:szCs w:val="9"/>
                <w:color w:val="auto"/>
              </w:rPr>
            </w:pPr>
          </w:p>
        </w:tc>
        <w:tc>
          <w:tcPr>
            <w:tcW w:w="140" w:type="dxa"/>
            <w:vAlign w:val="bottom"/>
            <w:tcBorders>
              <w:top w:val="single" w:sz="8" w:color="auto"/>
              <w:bottom w:val="single" w:sz="8" w:color="auto"/>
            </w:tcBorders>
            <w:shd w:val="clear" w:color="auto" w:fill="CFF0FC"/>
          </w:tcPr>
          <w:p>
            <w:pPr>
              <w:jc w:val="right"/>
              <w:ind w:right="76"/>
              <w:spacing w:after="0"/>
              <w:rPr>
                <w:sz w:val="20"/>
                <w:szCs w:val="20"/>
                <w:color w:val="auto"/>
              </w:rPr>
            </w:pPr>
            <w:r>
              <w:rPr>
                <w:rFonts w:ascii="Arial" w:cs="Arial" w:eastAsia="Arial" w:hAnsi="Arial"/>
                <w:sz w:val="5"/>
                <w:szCs w:val="5"/>
                <w:color w:val="auto"/>
                <w:w w:val="70"/>
              </w:rPr>
              <w:t>$</w:t>
            </w:r>
          </w:p>
        </w:tc>
        <w:tc>
          <w:tcPr>
            <w:tcW w:w="880" w:type="dxa"/>
            <w:vAlign w:val="bottom"/>
            <w:tcBorders>
              <w:top w:val="single" w:sz="8" w:color="auto"/>
              <w:bottom w:val="single" w:sz="8" w:color="auto"/>
            </w:tcBorders>
            <w:shd w:val="clear" w:color="auto" w:fill="CFF0FC"/>
          </w:tcPr>
          <w:p>
            <w:pPr>
              <w:jc w:val="right"/>
              <w:spacing w:after="0" w:line="97" w:lineRule="exact"/>
              <w:rPr>
                <w:sz w:val="20"/>
                <w:szCs w:val="20"/>
                <w:color w:val="auto"/>
              </w:rPr>
            </w:pPr>
            <w:r>
              <w:rPr>
                <w:rFonts w:ascii="Arial" w:cs="Arial" w:eastAsia="Arial" w:hAnsi="Arial"/>
                <w:sz w:val="10"/>
                <w:szCs w:val="10"/>
                <w:color w:val="auto"/>
              </w:rPr>
              <w:t>(4,641)</w:t>
            </w:r>
          </w:p>
        </w:tc>
        <w:tc>
          <w:tcPr>
            <w:tcW w:w="120" w:type="dxa"/>
            <w:vAlign w:val="bottom"/>
            <w:tcBorders>
              <w:top w:val="single" w:sz="8" w:color="CFF0FC"/>
              <w:bottom w:val="single" w:sz="8" w:color="CFF0FC"/>
            </w:tcBorders>
            <w:shd w:val="clear" w:color="auto" w:fill="CFF0FC"/>
          </w:tcPr>
          <w:p>
            <w:pPr>
              <w:spacing w:after="0"/>
              <w:rPr>
                <w:sz w:val="9"/>
                <w:szCs w:val="9"/>
                <w:color w:val="auto"/>
              </w:rPr>
            </w:pPr>
          </w:p>
        </w:tc>
        <w:tc>
          <w:tcPr>
            <w:tcW w:w="100" w:type="dxa"/>
            <w:vAlign w:val="bottom"/>
            <w:tcBorders>
              <w:top w:val="single" w:sz="8" w:color="CFF0FC"/>
              <w:bottom w:val="single" w:sz="8" w:color="CFF0FC"/>
            </w:tcBorders>
            <w:shd w:val="clear" w:color="auto" w:fill="CFF0FC"/>
          </w:tcPr>
          <w:p>
            <w:pPr>
              <w:spacing w:after="0"/>
              <w:rPr>
                <w:sz w:val="9"/>
                <w:szCs w:val="9"/>
                <w:color w:val="auto"/>
              </w:rPr>
            </w:pPr>
          </w:p>
        </w:tc>
        <w:tc>
          <w:tcPr>
            <w:tcW w:w="160" w:type="dxa"/>
            <w:vAlign w:val="bottom"/>
            <w:tcBorders>
              <w:top w:val="single" w:sz="8" w:color="auto"/>
              <w:bottom w:val="single" w:sz="8" w:color="auto"/>
            </w:tcBorders>
            <w:shd w:val="clear" w:color="auto" w:fill="CFF0FC"/>
          </w:tcPr>
          <w:p>
            <w:pPr>
              <w:jc w:val="right"/>
              <w:ind w:right="54"/>
              <w:spacing w:after="0" w:line="97" w:lineRule="exact"/>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shd w:val="clear" w:color="auto" w:fill="CFF0FC"/>
          </w:tcPr>
          <w:p>
            <w:pPr>
              <w:jc w:val="right"/>
              <w:spacing w:after="0" w:line="97" w:lineRule="exact"/>
              <w:rPr>
                <w:sz w:val="20"/>
                <w:szCs w:val="20"/>
                <w:color w:val="auto"/>
              </w:rPr>
            </w:pPr>
            <w:r>
              <w:rPr>
                <w:rFonts w:ascii="Arial" w:cs="Arial" w:eastAsia="Arial" w:hAnsi="Arial"/>
                <w:sz w:val="10"/>
                <w:szCs w:val="10"/>
                <w:color w:val="auto"/>
              </w:rPr>
              <w:t>(28,702)</w:t>
            </w:r>
          </w:p>
        </w:tc>
        <w:tc>
          <w:tcPr>
            <w:tcW w:w="120" w:type="dxa"/>
            <w:vAlign w:val="bottom"/>
            <w:tcBorders>
              <w:top w:val="single" w:sz="8" w:color="CFF0FC"/>
              <w:bottom w:val="single" w:sz="8" w:color="CFF0FC"/>
            </w:tcBorders>
            <w:shd w:val="clear" w:color="auto" w:fill="CFF0FC"/>
          </w:tcPr>
          <w:p>
            <w:pPr>
              <w:spacing w:after="0"/>
              <w:rPr>
                <w:sz w:val="9"/>
                <w:szCs w:val="9"/>
                <w:color w:val="auto"/>
              </w:rPr>
            </w:pPr>
          </w:p>
        </w:tc>
        <w:tc>
          <w:tcPr>
            <w:tcW w:w="100" w:type="dxa"/>
            <w:vAlign w:val="bottom"/>
            <w:tcBorders>
              <w:top w:val="single" w:sz="8" w:color="CFF0FC"/>
              <w:bottom w:val="single" w:sz="8" w:color="CFF0FC"/>
            </w:tcBorders>
            <w:shd w:val="clear" w:color="auto" w:fill="CFF0FC"/>
          </w:tcPr>
          <w:p>
            <w:pPr>
              <w:spacing w:after="0"/>
              <w:rPr>
                <w:sz w:val="9"/>
                <w:szCs w:val="9"/>
                <w:color w:val="auto"/>
              </w:rPr>
            </w:pPr>
          </w:p>
        </w:tc>
        <w:tc>
          <w:tcPr>
            <w:tcW w:w="160" w:type="dxa"/>
            <w:vAlign w:val="bottom"/>
            <w:tcBorders>
              <w:top w:val="single" w:sz="8" w:color="auto"/>
              <w:bottom w:val="single" w:sz="8" w:color="auto"/>
            </w:tcBorders>
            <w:shd w:val="clear" w:color="auto" w:fill="CFF0FC"/>
          </w:tcPr>
          <w:p>
            <w:pPr>
              <w:jc w:val="right"/>
              <w:ind w:right="54"/>
              <w:spacing w:after="0" w:line="97" w:lineRule="exact"/>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shd w:val="clear" w:color="auto" w:fill="CFF0FC"/>
          </w:tcPr>
          <w:p>
            <w:pPr>
              <w:jc w:val="right"/>
              <w:spacing w:after="0" w:line="97" w:lineRule="exact"/>
              <w:rPr>
                <w:sz w:val="20"/>
                <w:szCs w:val="20"/>
                <w:color w:val="auto"/>
              </w:rPr>
            </w:pPr>
            <w:r>
              <w:rPr>
                <w:rFonts w:ascii="Arial" w:cs="Arial" w:eastAsia="Arial" w:hAnsi="Arial"/>
                <w:sz w:val="10"/>
                <w:szCs w:val="10"/>
                <w:color w:val="auto"/>
              </w:rPr>
              <w:t>36,587</w:t>
            </w:r>
          </w:p>
        </w:tc>
        <w:tc>
          <w:tcPr>
            <w:tcW w:w="120" w:type="dxa"/>
            <w:vAlign w:val="bottom"/>
            <w:tcBorders>
              <w:top w:val="single" w:sz="8" w:color="CFF0FC"/>
              <w:bottom w:val="single" w:sz="8" w:color="CFF0FC"/>
            </w:tcBorders>
            <w:shd w:val="clear" w:color="auto" w:fill="CFF0FC"/>
          </w:tcPr>
          <w:p>
            <w:pPr>
              <w:spacing w:after="0"/>
              <w:rPr>
                <w:sz w:val="9"/>
                <w:szCs w:val="9"/>
                <w:color w:val="auto"/>
              </w:rPr>
            </w:pPr>
          </w:p>
        </w:tc>
      </w:tr>
    </w:tbl>
    <w:p>
      <w:pPr>
        <w:spacing w:after="0" w:line="297"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17740" cy="3683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ectPr>
          <w:pgSz w:w="11900" w:h="16838" w:orient="portrait"/>
          <w:cols w:equalWidth="0" w:num="1">
            <w:col w:w="11480"/>
          </w:cols>
          <w:pgMar w:left="220" w:top="271" w:right="199" w:bottom="1440" w:gutter="0" w:footer="0" w:header="0"/>
        </w:sectPr>
      </w:pPr>
    </w:p>
    <w:bookmarkStart w:id="106" w:name="page107"/>
    <w:bookmarkEnd w:id="106"/>
    <w:p>
      <w:pPr>
        <w:jc w:val="center"/>
        <w:ind w:right="20"/>
        <w:spacing w:after="0"/>
        <w:rPr>
          <w:sz w:val="20"/>
          <w:szCs w:val="20"/>
          <w:color w:val="auto"/>
        </w:rPr>
      </w:pPr>
      <w:r>
        <w:rPr>
          <w:rFonts w:ascii="Arial" w:cs="Arial" w:eastAsia="Arial" w:hAnsi="Arial"/>
          <w:sz w:val="12"/>
          <w:szCs w:val="12"/>
          <w:b w:val="1"/>
          <w:bCs w:val="1"/>
          <w:color w:val="auto"/>
        </w:rPr>
        <w:t>Verra Mobility Corporation and Subsidiaries</w:t>
      </w:r>
    </w:p>
    <w:p>
      <w:pPr>
        <w:spacing w:after="0" w:line="19"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Consolidated Statements of Cash Flows</w:t>
      </w:r>
    </w:p>
    <w:p>
      <w:pPr>
        <w:spacing w:after="0" w:line="6"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Year Ended December 31, 2019</w:t>
      </w:r>
    </w:p>
    <w:p>
      <w:pPr>
        <w:spacing w:after="0" w:line="200" w:lineRule="exact"/>
        <w:rPr>
          <w:sz w:val="20"/>
          <w:szCs w:val="20"/>
          <w:color w:val="auto"/>
        </w:rPr>
      </w:pP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40" w:type="dxa"/>
            <w:vAlign w:val="bottom"/>
          </w:tcPr>
          <w:p>
            <w:pPr>
              <w:spacing w:after="0"/>
              <w:rPr>
                <w:sz w:val="10"/>
                <w:szCs w:val="10"/>
                <w:color w:val="auto"/>
              </w:rPr>
            </w:pPr>
          </w:p>
        </w:tc>
        <w:tc>
          <w:tcPr>
            <w:tcW w:w="4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rPr>
              <w:t>VM</w:t>
            </w: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99"/>
        </w:trPr>
        <w:tc>
          <w:tcPr>
            <w:tcW w:w="640" w:type="dxa"/>
            <w:vAlign w:val="bottom"/>
          </w:tcPr>
          <w:p>
            <w:pPr>
              <w:spacing w:after="0"/>
              <w:rPr>
                <w:sz w:val="8"/>
                <w:szCs w:val="8"/>
                <w:color w:val="auto"/>
              </w:rPr>
            </w:pPr>
          </w:p>
        </w:tc>
        <w:tc>
          <w:tcPr>
            <w:tcW w:w="4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20" w:type="dxa"/>
            <w:vAlign w:val="bottom"/>
            <w:gridSpan w:val="2"/>
          </w:tcPr>
          <w:p>
            <w:pPr>
              <w:jc w:val="center"/>
              <w:ind w:right="380"/>
              <w:spacing w:after="0" w:line="99" w:lineRule="exact"/>
              <w:rPr>
                <w:sz w:val="20"/>
                <w:szCs w:val="20"/>
                <w:color w:val="auto"/>
              </w:rPr>
            </w:pPr>
            <w:r>
              <w:rPr>
                <w:rFonts w:ascii="Arial" w:cs="Arial" w:eastAsia="Arial" w:hAnsi="Arial"/>
                <w:sz w:val="10"/>
                <w:szCs w:val="10"/>
                <w:b w:val="1"/>
                <w:bCs w:val="1"/>
                <w:color w:val="auto"/>
                <w:w w:val="85"/>
              </w:rPr>
              <w:t>Consolidated</w:t>
            </w:r>
          </w:p>
        </w:tc>
        <w:tc>
          <w:tcPr>
            <w:tcW w:w="1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99"/>
        </w:trPr>
        <w:tc>
          <w:tcPr>
            <w:tcW w:w="640" w:type="dxa"/>
            <w:vAlign w:val="bottom"/>
          </w:tcPr>
          <w:p>
            <w:pPr>
              <w:spacing w:after="0"/>
              <w:rPr>
                <w:sz w:val="8"/>
                <w:szCs w:val="8"/>
                <w:color w:val="auto"/>
              </w:rPr>
            </w:pPr>
          </w:p>
        </w:tc>
        <w:tc>
          <w:tcPr>
            <w:tcW w:w="4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60" w:type="dxa"/>
            <w:vAlign w:val="bottom"/>
            <w:gridSpan w:val="2"/>
          </w:tcPr>
          <w:p>
            <w:pPr>
              <w:jc w:val="center"/>
              <w:ind w:right="340"/>
              <w:spacing w:after="0" w:line="99" w:lineRule="exact"/>
              <w:rPr>
                <w:sz w:val="20"/>
                <w:szCs w:val="20"/>
                <w:color w:val="auto"/>
              </w:rPr>
            </w:pPr>
            <w:r>
              <w:rPr>
                <w:rFonts w:ascii="Arial" w:cs="Arial" w:eastAsia="Arial" w:hAnsi="Arial"/>
                <w:sz w:val="10"/>
                <w:szCs w:val="10"/>
                <w:b w:val="1"/>
                <w:bCs w:val="1"/>
                <w:color w:val="auto"/>
                <w:w w:val="93"/>
              </w:rPr>
              <w:t>Verra Mobility</w:t>
            </w:r>
          </w:p>
        </w:tc>
        <w:tc>
          <w:tcPr>
            <w:tcW w:w="140" w:type="dxa"/>
            <w:vAlign w:val="bottom"/>
          </w:tcPr>
          <w:p>
            <w:pPr>
              <w:spacing w:after="0"/>
              <w:rPr>
                <w:sz w:val="8"/>
                <w:szCs w:val="8"/>
                <w:color w:val="auto"/>
              </w:rPr>
            </w:pPr>
          </w:p>
        </w:tc>
        <w:tc>
          <w:tcPr>
            <w:tcW w:w="1120" w:type="dxa"/>
            <w:vAlign w:val="bottom"/>
            <w:gridSpan w:val="2"/>
          </w:tcPr>
          <w:p>
            <w:pPr>
              <w:jc w:val="center"/>
              <w:ind w:right="400"/>
              <w:spacing w:after="0" w:line="99" w:lineRule="exact"/>
              <w:rPr>
                <w:sz w:val="20"/>
                <w:szCs w:val="20"/>
                <w:color w:val="auto"/>
              </w:rPr>
            </w:pPr>
            <w:r>
              <w:rPr>
                <w:rFonts w:ascii="Arial" w:cs="Arial" w:eastAsia="Arial" w:hAnsi="Arial"/>
                <w:sz w:val="10"/>
                <w:szCs w:val="10"/>
                <w:b w:val="1"/>
                <w:bCs w:val="1"/>
                <w:color w:val="auto"/>
                <w:w w:val="92"/>
              </w:rPr>
              <w:t>Inc.</w:t>
            </w:r>
          </w:p>
        </w:tc>
        <w:tc>
          <w:tcPr>
            <w:tcW w:w="140" w:type="dxa"/>
            <w:vAlign w:val="bottom"/>
          </w:tcPr>
          <w:p>
            <w:pPr>
              <w:spacing w:after="0"/>
              <w:rPr>
                <w:sz w:val="8"/>
                <w:szCs w:val="8"/>
                <w:color w:val="auto"/>
              </w:rPr>
            </w:pPr>
          </w:p>
        </w:tc>
        <w:tc>
          <w:tcPr>
            <w:tcW w:w="1000" w:type="dxa"/>
            <w:vAlign w:val="bottom"/>
            <w:gridSpan w:val="2"/>
          </w:tcPr>
          <w:p>
            <w:pPr>
              <w:jc w:val="center"/>
              <w:ind w:right="280"/>
              <w:spacing w:after="0" w:line="99" w:lineRule="exact"/>
              <w:rPr>
                <w:sz w:val="20"/>
                <w:szCs w:val="20"/>
                <w:color w:val="auto"/>
              </w:rPr>
            </w:pPr>
            <w:r>
              <w:rPr>
                <w:rFonts w:ascii="Arial" w:cs="Arial" w:eastAsia="Arial" w:hAnsi="Arial"/>
                <w:sz w:val="10"/>
                <w:szCs w:val="10"/>
                <w:b w:val="1"/>
                <w:bCs w:val="1"/>
                <w:color w:val="auto"/>
                <w:w w:val="87"/>
              </w:rPr>
              <w:t>Non-</w:t>
            </w: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99"/>
        </w:trPr>
        <w:tc>
          <w:tcPr>
            <w:tcW w:w="640" w:type="dxa"/>
            <w:vAlign w:val="bottom"/>
          </w:tcPr>
          <w:p>
            <w:pPr>
              <w:spacing w:after="0"/>
              <w:rPr>
                <w:sz w:val="8"/>
                <w:szCs w:val="8"/>
                <w:color w:val="auto"/>
              </w:rPr>
            </w:pPr>
          </w:p>
        </w:tc>
        <w:tc>
          <w:tcPr>
            <w:tcW w:w="4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60" w:type="dxa"/>
            <w:vAlign w:val="bottom"/>
            <w:gridSpan w:val="2"/>
          </w:tcPr>
          <w:p>
            <w:pPr>
              <w:jc w:val="center"/>
              <w:ind w:right="320"/>
              <w:spacing w:after="0" w:line="99" w:lineRule="exact"/>
              <w:rPr>
                <w:sz w:val="20"/>
                <w:szCs w:val="20"/>
                <w:color w:val="auto"/>
              </w:rPr>
            </w:pPr>
            <w:r>
              <w:rPr>
                <w:rFonts w:ascii="Arial" w:cs="Arial" w:eastAsia="Arial" w:hAnsi="Arial"/>
                <w:sz w:val="10"/>
                <w:szCs w:val="10"/>
                <w:b w:val="1"/>
                <w:bCs w:val="1"/>
                <w:color w:val="auto"/>
                <w:w w:val="90"/>
              </w:rPr>
              <w:t>Corporation</w:t>
            </w:r>
          </w:p>
        </w:tc>
        <w:tc>
          <w:tcPr>
            <w:tcW w:w="140" w:type="dxa"/>
            <w:vAlign w:val="bottom"/>
          </w:tcPr>
          <w:p>
            <w:pPr>
              <w:spacing w:after="0"/>
              <w:rPr>
                <w:sz w:val="8"/>
                <w:szCs w:val="8"/>
                <w:color w:val="auto"/>
              </w:rPr>
            </w:pPr>
          </w:p>
        </w:tc>
        <w:tc>
          <w:tcPr>
            <w:tcW w:w="1120" w:type="dxa"/>
            <w:vAlign w:val="bottom"/>
            <w:gridSpan w:val="2"/>
          </w:tcPr>
          <w:p>
            <w:pPr>
              <w:jc w:val="center"/>
              <w:ind w:right="400"/>
              <w:spacing w:after="0" w:line="99" w:lineRule="exact"/>
              <w:rPr>
                <w:sz w:val="20"/>
                <w:szCs w:val="20"/>
                <w:color w:val="auto"/>
              </w:rPr>
            </w:pPr>
            <w:r>
              <w:rPr>
                <w:rFonts w:ascii="Arial" w:cs="Arial" w:eastAsia="Arial" w:hAnsi="Arial"/>
                <w:sz w:val="10"/>
                <w:szCs w:val="10"/>
                <w:b w:val="1"/>
                <w:bCs w:val="1"/>
                <w:color w:val="auto"/>
                <w:w w:val="92"/>
              </w:rPr>
              <w:t>(Guarantor</w:t>
            </w:r>
          </w:p>
        </w:tc>
        <w:tc>
          <w:tcPr>
            <w:tcW w:w="140" w:type="dxa"/>
            <w:vAlign w:val="bottom"/>
          </w:tcPr>
          <w:p>
            <w:pPr>
              <w:spacing w:after="0"/>
              <w:rPr>
                <w:sz w:val="8"/>
                <w:szCs w:val="8"/>
                <w:color w:val="auto"/>
              </w:rPr>
            </w:pPr>
          </w:p>
        </w:tc>
        <w:tc>
          <w:tcPr>
            <w:tcW w:w="1000" w:type="dxa"/>
            <w:vAlign w:val="bottom"/>
            <w:gridSpan w:val="2"/>
          </w:tcPr>
          <w:p>
            <w:pPr>
              <w:jc w:val="center"/>
              <w:ind w:right="280"/>
              <w:spacing w:after="0" w:line="99" w:lineRule="exact"/>
              <w:rPr>
                <w:sz w:val="20"/>
                <w:szCs w:val="20"/>
                <w:color w:val="auto"/>
              </w:rPr>
            </w:pPr>
            <w:r>
              <w:rPr>
                <w:rFonts w:ascii="Arial" w:cs="Arial" w:eastAsia="Arial" w:hAnsi="Arial"/>
                <w:sz w:val="10"/>
                <w:szCs w:val="10"/>
                <w:b w:val="1"/>
                <w:bCs w:val="1"/>
                <w:color w:val="auto"/>
                <w:w w:val="85"/>
              </w:rPr>
              <w:t>guarantor</w:t>
            </w: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105"/>
        </w:trPr>
        <w:tc>
          <w:tcPr>
            <w:tcW w:w="5300" w:type="dxa"/>
            <w:vAlign w:val="bottom"/>
            <w:gridSpan w:val="2"/>
          </w:tcPr>
          <w:p>
            <w:pPr>
              <w:spacing w:after="0" w:line="105" w:lineRule="exact"/>
              <w:rPr>
                <w:sz w:val="20"/>
                <w:szCs w:val="20"/>
                <w:color w:val="auto"/>
              </w:rPr>
            </w:pPr>
            <w:r>
              <w:rPr>
                <w:rFonts w:ascii="Arial" w:cs="Arial" w:eastAsia="Arial" w:hAnsi="Arial"/>
                <w:sz w:val="10"/>
                <w:szCs w:val="10"/>
                <w:b w:val="1"/>
                <w:bCs w:val="1"/>
                <w:u w:val="single" w:color="auto"/>
                <w:color w:val="auto"/>
              </w:rPr>
              <w:t>(</w:t>
            </w:r>
            <w:r>
              <w:rPr>
                <w:rFonts w:ascii="Arial" w:cs="Arial" w:eastAsia="Arial" w:hAnsi="Arial"/>
                <w:sz w:val="10"/>
                <w:szCs w:val="10"/>
                <w:b w:val="1"/>
                <w:bCs w:val="1"/>
                <w:color w:val="auto"/>
              </w:rPr>
              <w:t>$ in thousands)</w:t>
            </w:r>
          </w:p>
        </w:tc>
        <w:tc>
          <w:tcPr>
            <w:tcW w:w="100" w:type="dxa"/>
            <w:vAlign w:val="bottom"/>
          </w:tcPr>
          <w:p>
            <w:pPr>
              <w:spacing w:after="0"/>
              <w:rPr>
                <w:sz w:val="9"/>
                <w:szCs w:val="9"/>
                <w:color w:val="auto"/>
              </w:rPr>
            </w:pPr>
          </w:p>
        </w:tc>
        <w:tc>
          <w:tcPr>
            <w:tcW w:w="1160" w:type="dxa"/>
            <w:vAlign w:val="bottom"/>
            <w:gridSpan w:val="2"/>
          </w:tcPr>
          <w:p>
            <w:pPr>
              <w:jc w:val="center"/>
              <w:ind w:right="320"/>
              <w:spacing w:after="0" w:line="105" w:lineRule="exact"/>
              <w:rPr>
                <w:sz w:val="20"/>
                <w:szCs w:val="20"/>
                <w:color w:val="auto"/>
              </w:rPr>
            </w:pPr>
            <w:r>
              <w:rPr>
                <w:rFonts w:ascii="Arial" w:cs="Arial" w:eastAsia="Arial" w:hAnsi="Arial"/>
                <w:sz w:val="10"/>
                <w:szCs w:val="10"/>
                <w:b w:val="1"/>
                <w:bCs w:val="1"/>
                <w:color w:val="auto"/>
                <w:w w:val="89"/>
              </w:rPr>
              <w:t>(Ultimate Parent)</w:t>
            </w:r>
          </w:p>
        </w:tc>
        <w:tc>
          <w:tcPr>
            <w:tcW w:w="140" w:type="dxa"/>
            <w:vAlign w:val="bottom"/>
          </w:tcPr>
          <w:p>
            <w:pPr>
              <w:spacing w:after="0"/>
              <w:rPr>
                <w:sz w:val="9"/>
                <w:szCs w:val="9"/>
                <w:color w:val="auto"/>
              </w:rPr>
            </w:pPr>
          </w:p>
        </w:tc>
        <w:tc>
          <w:tcPr>
            <w:tcW w:w="1120" w:type="dxa"/>
            <w:vAlign w:val="bottom"/>
            <w:gridSpan w:val="2"/>
          </w:tcPr>
          <w:p>
            <w:pPr>
              <w:jc w:val="center"/>
              <w:ind w:right="400"/>
              <w:spacing w:after="0" w:line="105" w:lineRule="exact"/>
              <w:rPr>
                <w:sz w:val="20"/>
                <w:szCs w:val="20"/>
                <w:color w:val="auto"/>
              </w:rPr>
            </w:pPr>
            <w:r>
              <w:rPr>
                <w:rFonts w:ascii="Arial" w:cs="Arial" w:eastAsia="Arial" w:hAnsi="Arial"/>
                <w:sz w:val="10"/>
                <w:szCs w:val="10"/>
                <w:b w:val="1"/>
                <w:bCs w:val="1"/>
                <w:color w:val="auto"/>
                <w:w w:val="88"/>
              </w:rPr>
              <w:t>Subsidiary)</w:t>
            </w:r>
          </w:p>
        </w:tc>
        <w:tc>
          <w:tcPr>
            <w:tcW w:w="140" w:type="dxa"/>
            <w:vAlign w:val="bottom"/>
          </w:tcPr>
          <w:p>
            <w:pPr>
              <w:spacing w:after="0"/>
              <w:rPr>
                <w:sz w:val="9"/>
                <w:szCs w:val="9"/>
                <w:color w:val="auto"/>
              </w:rPr>
            </w:pPr>
          </w:p>
        </w:tc>
        <w:tc>
          <w:tcPr>
            <w:tcW w:w="1000" w:type="dxa"/>
            <w:vAlign w:val="bottom"/>
            <w:gridSpan w:val="2"/>
          </w:tcPr>
          <w:p>
            <w:pPr>
              <w:jc w:val="center"/>
              <w:ind w:right="300"/>
              <w:spacing w:after="0" w:line="105" w:lineRule="exact"/>
              <w:rPr>
                <w:sz w:val="20"/>
                <w:szCs w:val="20"/>
                <w:color w:val="auto"/>
              </w:rPr>
            </w:pPr>
            <w:r>
              <w:rPr>
                <w:rFonts w:ascii="Arial" w:cs="Arial" w:eastAsia="Arial" w:hAnsi="Arial"/>
                <w:sz w:val="10"/>
                <w:szCs w:val="10"/>
                <w:b w:val="1"/>
                <w:bCs w:val="1"/>
                <w:color w:val="auto"/>
                <w:w w:val="83"/>
              </w:rPr>
              <w:t>Subsidiaries</w:t>
            </w: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gridSpan w:val="2"/>
          </w:tcPr>
          <w:p>
            <w:pPr>
              <w:jc w:val="right"/>
              <w:ind w:right="380"/>
              <w:spacing w:after="0" w:line="105" w:lineRule="exact"/>
              <w:rPr>
                <w:sz w:val="20"/>
                <w:szCs w:val="20"/>
                <w:color w:val="auto"/>
              </w:rPr>
            </w:pPr>
            <w:r>
              <w:rPr>
                <w:rFonts w:ascii="Arial" w:cs="Arial" w:eastAsia="Arial" w:hAnsi="Arial"/>
                <w:sz w:val="10"/>
                <w:szCs w:val="10"/>
                <w:b w:val="1"/>
                <w:bCs w:val="1"/>
                <w:color w:val="auto"/>
              </w:rPr>
              <w:t>Eliminations</w:t>
            </w: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gridSpan w:val="2"/>
          </w:tcPr>
          <w:p>
            <w:pPr>
              <w:jc w:val="right"/>
              <w:ind w:right="360"/>
              <w:spacing w:after="0" w:line="105" w:lineRule="exact"/>
              <w:rPr>
                <w:sz w:val="20"/>
                <w:szCs w:val="20"/>
                <w:color w:val="auto"/>
              </w:rPr>
            </w:pPr>
            <w:r>
              <w:rPr>
                <w:rFonts w:ascii="Arial" w:cs="Arial" w:eastAsia="Arial" w:hAnsi="Arial"/>
                <w:sz w:val="10"/>
                <w:szCs w:val="10"/>
                <w:b w:val="1"/>
                <w:bCs w:val="1"/>
                <w:color w:val="auto"/>
                <w:w w:val="97"/>
              </w:rPr>
              <w:t>Consolidated</w:t>
            </w:r>
          </w:p>
        </w:tc>
      </w:tr>
      <w:tr>
        <w:trPr>
          <w:trHeight w:val="20"/>
        </w:trPr>
        <w:tc>
          <w:tcPr>
            <w:tcW w:w="640" w:type="dxa"/>
            <w:vAlign w:val="bottom"/>
            <w:tcBorders>
              <w:bottom w:val="single" w:sz="8" w:color="CFF0FC"/>
            </w:tcBorders>
            <w:shd w:val="clear" w:color="auto" w:fill="000000"/>
          </w:tcPr>
          <w:p>
            <w:pPr>
              <w:spacing w:after="0" w:line="20" w:lineRule="exact"/>
              <w:rPr>
                <w:sz w:val="1"/>
                <w:szCs w:val="1"/>
                <w:color w:val="auto"/>
              </w:rPr>
            </w:pPr>
          </w:p>
        </w:tc>
        <w:tc>
          <w:tcPr>
            <w:tcW w:w="4660" w:type="dxa"/>
            <w:vAlign w:val="bottom"/>
            <w:tcBorders>
              <w:bottom w:val="single" w:sz="8" w:color="CFF0FC"/>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FF0FC"/>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FF0FC"/>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r>
      <w:tr>
        <w:trPr>
          <w:trHeight w:val="86"/>
        </w:trPr>
        <w:tc>
          <w:tcPr>
            <w:tcW w:w="5300" w:type="dxa"/>
            <w:vAlign w:val="bottom"/>
            <w:gridSpan w:val="2"/>
            <w:shd w:val="clear" w:color="auto" w:fill="CFF0FC"/>
          </w:tcPr>
          <w:p>
            <w:pPr>
              <w:spacing w:after="0" w:line="86" w:lineRule="exact"/>
              <w:rPr>
                <w:sz w:val="20"/>
                <w:szCs w:val="20"/>
                <w:color w:val="auto"/>
              </w:rPr>
            </w:pPr>
            <w:r>
              <w:rPr>
                <w:rFonts w:ascii="Arial" w:cs="Arial" w:eastAsia="Arial" w:hAnsi="Arial"/>
                <w:sz w:val="8"/>
                <w:szCs w:val="8"/>
                <w:b w:val="1"/>
                <w:bCs w:val="1"/>
                <w:color w:val="auto"/>
              </w:rPr>
              <w:t>Cash Flows from Operating Activities:</w:t>
            </w:r>
          </w:p>
        </w:tc>
        <w:tc>
          <w:tcPr>
            <w:tcW w:w="100" w:type="dxa"/>
            <w:vAlign w:val="bottom"/>
            <w:shd w:val="clear" w:color="auto" w:fill="CFF0FC"/>
          </w:tcPr>
          <w:p>
            <w:pPr>
              <w:spacing w:after="0"/>
              <w:rPr>
                <w:sz w:val="7"/>
                <w:szCs w:val="7"/>
                <w:color w:val="auto"/>
              </w:rPr>
            </w:pPr>
          </w:p>
        </w:tc>
        <w:tc>
          <w:tcPr>
            <w:tcW w:w="940" w:type="dxa"/>
            <w:vAlign w:val="bottom"/>
            <w:shd w:val="clear" w:color="auto" w:fill="CFF0FC"/>
          </w:tcPr>
          <w:p>
            <w:pPr>
              <w:spacing w:after="0"/>
              <w:rPr>
                <w:sz w:val="7"/>
                <w:szCs w:val="7"/>
                <w:color w:val="auto"/>
              </w:rPr>
            </w:pPr>
          </w:p>
        </w:tc>
        <w:tc>
          <w:tcPr>
            <w:tcW w:w="220" w:type="dxa"/>
            <w:vAlign w:val="bottom"/>
            <w:shd w:val="clear" w:color="auto" w:fill="CFF0FC"/>
          </w:tcPr>
          <w:p>
            <w:pPr>
              <w:spacing w:after="0"/>
              <w:rPr>
                <w:sz w:val="7"/>
                <w:szCs w:val="7"/>
                <w:color w:val="auto"/>
              </w:rPr>
            </w:pPr>
          </w:p>
        </w:tc>
        <w:tc>
          <w:tcPr>
            <w:tcW w:w="140" w:type="dxa"/>
            <w:vAlign w:val="bottom"/>
            <w:shd w:val="clear" w:color="auto" w:fill="CFF0FC"/>
          </w:tcPr>
          <w:p>
            <w:pPr>
              <w:spacing w:after="0"/>
              <w:rPr>
                <w:sz w:val="7"/>
                <w:szCs w:val="7"/>
                <w:color w:val="auto"/>
              </w:rPr>
            </w:pPr>
          </w:p>
        </w:tc>
        <w:tc>
          <w:tcPr>
            <w:tcW w:w="880" w:type="dxa"/>
            <w:vAlign w:val="bottom"/>
            <w:shd w:val="clear" w:color="auto" w:fill="CFF0FC"/>
          </w:tcPr>
          <w:p>
            <w:pPr>
              <w:spacing w:after="0"/>
              <w:rPr>
                <w:sz w:val="7"/>
                <w:szCs w:val="7"/>
                <w:color w:val="auto"/>
              </w:rPr>
            </w:pPr>
          </w:p>
        </w:tc>
        <w:tc>
          <w:tcPr>
            <w:tcW w:w="240" w:type="dxa"/>
            <w:vAlign w:val="bottom"/>
            <w:shd w:val="clear" w:color="auto" w:fill="CFF0FC"/>
          </w:tcPr>
          <w:p>
            <w:pPr>
              <w:spacing w:after="0"/>
              <w:rPr>
                <w:sz w:val="7"/>
                <w:szCs w:val="7"/>
                <w:color w:val="auto"/>
              </w:rPr>
            </w:pPr>
          </w:p>
        </w:tc>
        <w:tc>
          <w:tcPr>
            <w:tcW w:w="140" w:type="dxa"/>
            <w:vAlign w:val="bottom"/>
            <w:shd w:val="clear" w:color="auto" w:fill="CFF0FC"/>
          </w:tcPr>
          <w:p>
            <w:pPr>
              <w:spacing w:after="0"/>
              <w:rPr>
                <w:sz w:val="7"/>
                <w:szCs w:val="7"/>
                <w:color w:val="auto"/>
              </w:rPr>
            </w:pPr>
          </w:p>
        </w:tc>
        <w:tc>
          <w:tcPr>
            <w:tcW w:w="880" w:type="dxa"/>
            <w:vAlign w:val="bottom"/>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160" w:type="dxa"/>
            <w:vAlign w:val="bottom"/>
            <w:shd w:val="clear" w:color="auto" w:fill="CFF0FC"/>
          </w:tcPr>
          <w:p>
            <w:pPr>
              <w:spacing w:after="0"/>
              <w:rPr>
                <w:sz w:val="7"/>
                <w:szCs w:val="7"/>
                <w:color w:val="auto"/>
              </w:rPr>
            </w:pPr>
          </w:p>
        </w:tc>
        <w:tc>
          <w:tcPr>
            <w:tcW w:w="880" w:type="dxa"/>
            <w:vAlign w:val="bottom"/>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160" w:type="dxa"/>
            <w:vAlign w:val="bottom"/>
            <w:shd w:val="clear" w:color="auto" w:fill="CFF0FC"/>
          </w:tcPr>
          <w:p>
            <w:pPr>
              <w:spacing w:after="0"/>
              <w:rPr>
                <w:sz w:val="7"/>
                <w:szCs w:val="7"/>
                <w:color w:val="auto"/>
              </w:rPr>
            </w:pPr>
          </w:p>
        </w:tc>
        <w:tc>
          <w:tcPr>
            <w:tcW w:w="880" w:type="dxa"/>
            <w:vAlign w:val="bottom"/>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r>
      <w:tr>
        <w:trPr>
          <w:trHeight w:val="108"/>
        </w:trPr>
        <w:tc>
          <w:tcPr>
            <w:tcW w:w="5300" w:type="dxa"/>
            <w:vAlign w:val="bottom"/>
            <w:gridSpan w:val="2"/>
          </w:tcPr>
          <w:p>
            <w:pPr>
              <w:spacing w:after="0" w:line="108" w:lineRule="exact"/>
              <w:rPr>
                <w:sz w:val="20"/>
                <w:szCs w:val="20"/>
                <w:color w:val="auto"/>
              </w:rPr>
            </w:pPr>
            <w:r>
              <w:rPr>
                <w:rFonts w:ascii="Arial" w:cs="Arial" w:eastAsia="Arial" w:hAnsi="Arial"/>
                <w:sz w:val="10"/>
                <w:szCs w:val="10"/>
                <w:color w:val="auto"/>
              </w:rPr>
              <w:t>Net income (loss)</w:t>
            </w:r>
          </w:p>
        </w:tc>
        <w:tc>
          <w:tcPr>
            <w:tcW w:w="100" w:type="dxa"/>
            <w:vAlign w:val="bottom"/>
          </w:tcPr>
          <w:p>
            <w:pPr>
              <w:jc w:val="right"/>
              <w:spacing w:after="0" w:line="108" w:lineRule="exact"/>
              <w:rPr>
                <w:sz w:val="20"/>
                <w:szCs w:val="20"/>
                <w:color w:val="auto"/>
              </w:rPr>
            </w:pPr>
            <w:r>
              <w:rPr>
                <w:rFonts w:ascii="Arial" w:cs="Arial" w:eastAsia="Arial" w:hAnsi="Arial"/>
                <w:sz w:val="10"/>
                <w:szCs w:val="10"/>
                <w:color w:val="auto"/>
                <w:w w:val="71"/>
              </w:rPr>
              <w:t>$</w:t>
            </w:r>
          </w:p>
        </w:tc>
        <w:tc>
          <w:tcPr>
            <w:tcW w:w="940" w:type="dxa"/>
            <w:vAlign w:val="bottom"/>
          </w:tcPr>
          <w:p>
            <w:pPr>
              <w:jc w:val="right"/>
              <w:spacing w:after="0" w:line="108" w:lineRule="exact"/>
              <w:rPr>
                <w:sz w:val="20"/>
                <w:szCs w:val="20"/>
                <w:color w:val="auto"/>
              </w:rPr>
            </w:pPr>
            <w:r>
              <w:rPr>
                <w:rFonts w:ascii="Arial" w:cs="Arial" w:eastAsia="Arial" w:hAnsi="Arial"/>
                <w:sz w:val="10"/>
                <w:szCs w:val="10"/>
                <w:color w:val="auto"/>
              </w:rPr>
              <w:t>33,343</w:t>
            </w:r>
          </w:p>
        </w:tc>
        <w:tc>
          <w:tcPr>
            <w:tcW w:w="220" w:type="dxa"/>
            <w:vAlign w:val="bottom"/>
          </w:tcPr>
          <w:p>
            <w:pPr>
              <w:spacing w:after="0"/>
              <w:rPr>
                <w:sz w:val="9"/>
                <w:szCs w:val="9"/>
                <w:color w:val="auto"/>
              </w:rPr>
            </w:pPr>
          </w:p>
        </w:tc>
        <w:tc>
          <w:tcPr>
            <w:tcW w:w="140" w:type="dxa"/>
            <w:vAlign w:val="bottom"/>
          </w:tcPr>
          <w:p>
            <w:pPr>
              <w:jc w:val="right"/>
              <w:ind w:right="76"/>
              <w:spacing w:after="0"/>
              <w:rPr>
                <w:sz w:val="20"/>
                <w:szCs w:val="20"/>
                <w:color w:val="auto"/>
              </w:rPr>
            </w:pPr>
            <w:r>
              <w:rPr>
                <w:rFonts w:ascii="Arial" w:cs="Arial" w:eastAsia="Arial" w:hAnsi="Arial"/>
                <w:sz w:val="5"/>
                <w:szCs w:val="5"/>
                <w:color w:val="auto"/>
                <w:w w:val="70"/>
              </w:rPr>
              <w:t>$</w:t>
            </w:r>
          </w:p>
        </w:tc>
        <w:tc>
          <w:tcPr>
            <w:tcW w:w="880" w:type="dxa"/>
            <w:vAlign w:val="bottom"/>
          </w:tcPr>
          <w:p>
            <w:pPr>
              <w:jc w:val="right"/>
              <w:spacing w:after="0" w:line="108" w:lineRule="exact"/>
              <w:rPr>
                <w:sz w:val="20"/>
                <w:szCs w:val="20"/>
                <w:color w:val="auto"/>
              </w:rPr>
            </w:pPr>
            <w:r>
              <w:rPr>
                <w:rFonts w:ascii="Arial" w:cs="Arial" w:eastAsia="Arial" w:hAnsi="Arial"/>
                <w:sz w:val="10"/>
                <w:szCs w:val="10"/>
                <w:color w:val="auto"/>
              </w:rPr>
              <w:t>33,343</w:t>
            </w:r>
          </w:p>
        </w:tc>
        <w:tc>
          <w:tcPr>
            <w:tcW w:w="240" w:type="dxa"/>
            <w:vAlign w:val="bottom"/>
          </w:tcPr>
          <w:p>
            <w:pPr>
              <w:spacing w:after="0"/>
              <w:rPr>
                <w:sz w:val="9"/>
                <w:szCs w:val="9"/>
                <w:color w:val="auto"/>
              </w:rPr>
            </w:pPr>
          </w:p>
        </w:tc>
        <w:tc>
          <w:tcPr>
            <w:tcW w:w="140" w:type="dxa"/>
            <w:vAlign w:val="bottom"/>
          </w:tcPr>
          <w:p>
            <w:pPr>
              <w:jc w:val="right"/>
              <w:ind w:right="76"/>
              <w:spacing w:after="0"/>
              <w:rPr>
                <w:sz w:val="20"/>
                <w:szCs w:val="20"/>
                <w:color w:val="auto"/>
              </w:rPr>
            </w:pPr>
            <w:r>
              <w:rPr>
                <w:rFonts w:ascii="Arial" w:cs="Arial" w:eastAsia="Arial" w:hAnsi="Arial"/>
                <w:sz w:val="5"/>
                <w:szCs w:val="5"/>
                <w:color w:val="auto"/>
                <w:w w:val="70"/>
              </w:rPr>
              <w:t>$</w:t>
            </w:r>
          </w:p>
        </w:tc>
        <w:tc>
          <w:tcPr>
            <w:tcW w:w="100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(4,641)</w:t>
            </w:r>
          </w:p>
        </w:tc>
        <w:tc>
          <w:tcPr>
            <w:tcW w:w="260" w:type="dxa"/>
            <w:vAlign w:val="bottom"/>
            <w:gridSpan w:val="2"/>
          </w:tcPr>
          <w:p>
            <w:pPr>
              <w:jc w:val="right"/>
              <w:ind w:right="52"/>
              <w:spacing w:after="0" w:line="108" w:lineRule="exact"/>
              <w:rPr>
                <w:sz w:val="20"/>
                <w:szCs w:val="20"/>
                <w:color w:val="auto"/>
              </w:rPr>
            </w:pPr>
            <w:r>
              <w:rPr>
                <w:rFonts w:ascii="Arial" w:cs="Arial" w:eastAsia="Arial" w:hAnsi="Arial"/>
                <w:sz w:val="10"/>
                <w:szCs w:val="10"/>
                <w:color w:val="auto"/>
              </w:rPr>
              <w:t>$</w:t>
            </w:r>
          </w:p>
        </w:tc>
        <w:tc>
          <w:tcPr>
            <w:tcW w:w="100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(28,702)</w:t>
            </w:r>
          </w:p>
        </w:tc>
        <w:tc>
          <w:tcPr>
            <w:tcW w:w="260" w:type="dxa"/>
            <w:vAlign w:val="bottom"/>
            <w:gridSpan w:val="2"/>
          </w:tcPr>
          <w:p>
            <w:pPr>
              <w:jc w:val="right"/>
              <w:ind w:right="52"/>
              <w:spacing w:after="0" w:line="108" w:lineRule="exact"/>
              <w:rPr>
                <w:sz w:val="20"/>
                <w:szCs w:val="20"/>
                <w:color w:val="auto"/>
              </w:rPr>
            </w:pPr>
            <w:r>
              <w:rPr>
                <w:rFonts w:ascii="Arial" w:cs="Arial" w:eastAsia="Arial" w:hAnsi="Arial"/>
                <w:sz w:val="10"/>
                <w:szCs w:val="10"/>
                <w:color w:val="auto"/>
              </w:rPr>
              <w:t>$</w:t>
            </w:r>
          </w:p>
        </w:tc>
        <w:tc>
          <w:tcPr>
            <w:tcW w:w="880" w:type="dxa"/>
            <w:vAlign w:val="bottom"/>
          </w:tcPr>
          <w:p>
            <w:pPr>
              <w:jc w:val="right"/>
              <w:spacing w:after="0" w:line="108" w:lineRule="exact"/>
              <w:rPr>
                <w:sz w:val="20"/>
                <w:szCs w:val="20"/>
                <w:color w:val="auto"/>
              </w:rPr>
            </w:pPr>
            <w:r>
              <w:rPr>
                <w:rFonts w:ascii="Arial" w:cs="Arial" w:eastAsia="Arial" w:hAnsi="Arial"/>
                <w:sz w:val="10"/>
                <w:szCs w:val="10"/>
                <w:color w:val="auto"/>
              </w:rPr>
              <w:t>33,343</w:t>
            </w:r>
          </w:p>
        </w:tc>
        <w:tc>
          <w:tcPr>
            <w:tcW w:w="120" w:type="dxa"/>
            <w:vAlign w:val="bottom"/>
          </w:tcPr>
          <w:p>
            <w:pPr>
              <w:spacing w:after="0"/>
              <w:rPr>
                <w:sz w:val="9"/>
                <w:szCs w:val="9"/>
                <w:color w:val="auto"/>
              </w:rPr>
            </w:pPr>
          </w:p>
        </w:tc>
      </w:tr>
      <w:tr>
        <w:trPr>
          <w:trHeight w:val="108"/>
        </w:trPr>
        <w:tc>
          <w:tcPr>
            <w:tcW w:w="5300" w:type="dxa"/>
            <w:vAlign w:val="bottom"/>
            <w:gridSpan w:val="2"/>
            <w:shd w:val="clear" w:color="auto" w:fill="CFF0FC"/>
          </w:tcPr>
          <w:p>
            <w:pPr>
              <w:spacing w:after="0" w:line="108" w:lineRule="exact"/>
              <w:rPr>
                <w:sz w:val="20"/>
                <w:szCs w:val="20"/>
                <w:color w:val="auto"/>
              </w:rPr>
            </w:pPr>
            <w:r>
              <w:rPr>
                <w:rFonts w:ascii="Arial" w:cs="Arial" w:eastAsia="Arial" w:hAnsi="Arial"/>
                <w:sz w:val="10"/>
                <w:szCs w:val="10"/>
                <w:color w:val="auto"/>
              </w:rPr>
              <w:t>Adjustments to reconcile net income (loss) to net cash provided by operating activities:</w:t>
            </w:r>
          </w:p>
        </w:tc>
        <w:tc>
          <w:tcPr>
            <w:tcW w:w="100" w:type="dxa"/>
            <w:vAlign w:val="bottom"/>
            <w:shd w:val="clear" w:color="auto" w:fill="CFF0FC"/>
          </w:tcPr>
          <w:p>
            <w:pPr>
              <w:spacing w:after="0"/>
              <w:rPr>
                <w:sz w:val="9"/>
                <w:szCs w:val="9"/>
                <w:color w:val="auto"/>
              </w:rPr>
            </w:pPr>
          </w:p>
        </w:tc>
        <w:tc>
          <w:tcPr>
            <w:tcW w:w="9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88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8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8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8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r>
      <w:tr>
        <w:trPr>
          <w:trHeight w:val="108"/>
        </w:trPr>
        <w:tc>
          <w:tcPr>
            <w:tcW w:w="5300" w:type="dxa"/>
            <w:vAlign w:val="bottom"/>
            <w:gridSpan w:val="2"/>
          </w:tcPr>
          <w:p>
            <w:pPr>
              <w:ind w:left="160"/>
              <w:spacing w:after="0" w:line="108" w:lineRule="exact"/>
              <w:rPr>
                <w:sz w:val="20"/>
                <w:szCs w:val="20"/>
                <w:color w:val="auto"/>
              </w:rPr>
            </w:pPr>
            <w:r>
              <w:rPr>
                <w:rFonts w:ascii="Arial" w:cs="Arial" w:eastAsia="Arial" w:hAnsi="Arial"/>
                <w:sz w:val="10"/>
                <w:szCs w:val="10"/>
                <w:color w:val="auto"/>
              </w:rPr>
              <w:t>Depreciation and amortization</w:t>
            </w:r>
          </w:p>
        </w:tc>
        <w:tc>
          <w:tcPr>
            <w:tcW w:w="100" w:type="dxa"/>
            <w:vAlign w:val="bottom"/>
          </w:tcPr>
          <w:p>
            <w:pPr>
              <w:spacing w:after="0"/>
              <w:rPr>
                <w:sz w:val="9"/>
                <w:szCs w:val="9"/>
                <w:color w:val="auto"/>
              </w:rPr>
            </w:pPr>
          </w:p>
        </w:tc>
        <w:tc>
          <w:tcPr>
            <w:tcW w:w="1160" w:type="dxa"/>
            <w:vAlign w:val="bottom"/>
            <w:gridSpan w:val="2"/>
          </w:tcPr>
          <w:p>
            <w:pPr>
              <w:jc w:val="right"/>
              <w:ind w:right="240"/>
              <w:spacing w:after="0" w:line="108" w:lineRule="exact"/>
              <w:rPr>
                <w:sz w:val="20"/>
                <w:szCs w:val="20"/>
                <w:color w:val="auto"/>
              </w:rPr>
            </w:pPr>
            <w:r>
              <w:rPr>
                <w:rFonts w:ascii="Arial" w:cs="Arial" w:eastAsia="Arial" w:hAnsi="Arial"/>
                <w:sz w:val="10"/>
                <w:szCs w:val="10"/>
                <w:color w:val="auto"/>
              </w:rPr>
              <w:t>—</w:t>
            </w:r>
          </w:p>
        </w:tc>
        <w:tc>
          <w:tcPr>
            <w:tcW w:w="140" w:type="dxa"/>
            <w:vAlign w:val="bottom"/>
          </w:tcPr>
          <w:p>
            <w:pPr>
              <w:spacing w:after="0"/>
              <w:rPr>
                <w:sz w:val="9"/>
                <w:szCs w:val="9"/>
                <w:color w:val="auto"/>
              </w:rPr>
            </w:pPr>
          </w:p>
        </w:tc>
        <w:tc>
          <w:tcPr>
            <w:tcW w:w="880" w:type="dxa"/>
            <w:vAlign w:val="bottom"/>
          </w:tcPr>
          <w:p>
            <w:pPr>
              <w:jc w:val="right"/>
              <w:spacing w:after="0" w:line="108" w:lineRule="exact"/>
              <w:rPr>
                <w:sz w:val="20"/>
                <w:szCs w:val="20"/>
                <w:color w:val="auto"/>
              </w:rPr>
            </w:pPr>
            <w:r>
              <w:rPr>
                <w:rFonts w:ascii="Arial" w:cs="Arial" w:eastAsia="Arial" w:hAnsi="Arial"/>
                <w:sz w:val="10"/>
                <w:szCs w:val="10"/>
                <w:color w:val="auto"/>
              </w:rPr>
              <w:t>112,092</w:t>
            </w: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jc w:val="right"/>
              <w:spacing w:after="0" w:line="108" w:lineRule="exact"/>
              <w:rPr>
                <w:sz w:val="20"/>
                <w:szCs w:val="20"/>
                <w:color w:val="auto"/>
              </w:rPr>
            </w:pPr>
            <w:r>
              <w:rPr>
                <w:rFonts w:ascii="Arial" w:cs="Arial" w:eastAsia="Arial" w:hAnsi="Arial"/>
                <w:sz w:val="10"/>
                <w:szCs w:val="10"/>
                <w:color w:val="auto"/>
              </w:rPr>
              <w:t>3,474</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gridSpan w:val="2"/>
          </w:tcPr>
          <w:p>
            <w:pPr>
              <w:jc w:val="right"/>
              <w:ind w:right="140"/>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jc w:val="right"/>
              <w:spacing w:after="0" w:line="108" w:lineRule="exact"/>
              <w:rPr>
                <w:sz w:val="20"/>
                <w:szCs w:val="20"/>
                <w:color w:val="auto"/>
              </w:rPr>
            </w:pPr>
            <w:r>
              <w:rPr>
                <w:rFonts w:ascii="Arial" w:cs="Arial" w:eastAsia="Arial" w:hAnsi="Arial"/>
                <w:sz w:val="10"/>
                <w:szCs w:val="10"/>
                <w:color w:val="auto"/>
              </w:rPr>
              <w:t>115,566</w:t>
            </w:r>
          </w:p>
        </w:tc>
        <w:tc>
          <w:tcPr>
            <w:tcW w:w="120" w:type="dxa"/>
            <w:vAlign w:val="bottom"/>
          </w:tcPr>
          <w:p>
            <w:pPr>
              <w:spacing w:after="0"/>
              <w:rPr>
                <w:sz w:val="9"/>
                <w:szCs w:val="9"/>
                <w:color w:val="auto"/>
              </w:rPr>
            </w:pPr>
          </w:p>
        </w:tc>
      </w:tr>
      <w:tr>
        <w:trPr>
          <w:trHeight w:val="108"/>
        </w:trPr>
        <w:tc>
          <w:tcPr>
            <w:tcW w:w="5300" w:type="dxa"/>
            <w:vAlign w:val="bottom"/>
            <w:gridSpan w:val="2"/>
            <w:shd w:val="clear" w:color="auto" w:fill="CFF0FC"/>
          </w:tcPr>
          <w:p>
            <w:pPr>
              <w:ind w:left="160"/>
              <w:spacing w:after="0" w:line="108" w:lineRule="exact"/>
              <w:rPr>
                <w:sz w:val="20"/>
                <w:szCs w:val="20"/>
                <w:color w:val="auto"/>
              </w:rPr>
            </w:pPr>
            <w:r>
              <w:rPr>
                <w:rFonts w:ascii="Arial" w:cs="Arial" w:eastAsia="Arial" w:hAnsi="Arial"/>
                <w:sz w:val="10"/>
                <w:szCs w:val="10"/>
                <w:color w:val="auto"/>
              </w:rPr>
              <w:t>Amortization of deferred financing costs and discounts</w:t>
            </w:r>
          </w:p>
        </w:tc>
        <w:tc>
          <w:tcPr>
            <w:tcW w:w="100" w:type="dxa"/>
            <w:vAlign w:val="bottom"/>
            <w:shd w:val="clear" w:color="auto" w:fill="CFF0FC"/>
          </w:tcPr>
          <w:p>
            <w:pPr>
              <w:spacing w:after="0"/>
              <w:rPr>
                <w:sz w:val="9"/>
                <w:szCs w:val="9"/>
                <w:color w:val="auto"/>
              </w:rPr>
            </w:pPr>
          </w:p>
        </w:tc>
        <w:tc>
          <w:tcPr>
            <w:tcW w:w="1160" w:type="dxa"/>
            <w:vAlign w:val="bottom"/>
            <w:gridSpan w:val="2"/>
            <w:shd w:val="clear" w:color="auto" w:fill="CFF0FC"/>
          </w:tcPr>
          <w:p>
            <w:pPr>
              <w:jc w:val="right"/>
              <w:ind w:right="240"/>
              <w:spacing w:after="0" w:line="108" w:lineRule="exact"/>
              <w:rPr>
                <w:sz w:val="20"/>
                <w:szCs w:val="20"/>
                <w:color w:val="auto"/>
              </w:rPr>
            </w:pPr>
            <w:r>
              <w:rPr>
                <w:rFonts w:ascii="Arial" w:cs="Arial" w:eastAsia="Arial" w:hAnsi="Arial"/>
                <w:sz w:val="10"/>
                <w:szCs w:val="10"/>
                <w:color w:val="auto"/>
              </w:rPr>
              <w:t>—</w:t>
            </w:r>
          </w:p>
        </w:tc>
        <w:tc>
          <w:tcPr>
            <w:tcW w:w="140" w:type="dxa"/>
            <w:vAlign w:val="bottom"/>
            <w:shd w:val="clear" w:color="auto" w:fill="CFF0FC"/>
          </w:tcPr>
          <w:p>
            <w:pPr>
              <w:spacing w:after="0"/>
              <w:rPr>
                <w:sz w:val="9"/>
                <w:szCs w:val="9"/>
                <w:color w:val="auto"/>
              </w:rPr>
            </w:pPr>
          </w:p>
        </w:tc>
        <w:tc>
          <w:tcPr>
            <w:tcW w:w="880" w:type="dxa"/>
            <w:vAlign w:val="bottom"/>
            <w:shd w:val="clear" w:color="auto" w:fill="CFF0FC"/>
          </w:tcPr>
          <w:p>
            <w:pPr>
              <w:jc w:val="right"/>
              <w:spacing w:after="0" w:line="108" w:lineRule="exact"/>
              <w:rPr>
                <w:sz w:val="20"/>
                <w:szCs w:val="20"/>
                <w:color w:val="auto"/>
              </w:rPr>
            </w:pPr>
            <w:r>
              <w:rPr>
                <w:rFonts w:ascii="Arial" w:cs="Arial" w:eastAsia="Arial" w:hAnsi="Arial"/>
                <w:sz w:val="10"/>
                <w:szCs w:val="10"/>
                <w:color w:val="auto"/>
              </w:rPr>
              <w:t>6,641</w:t>
            </w:r>
          </w:p>
        </w:tc>
        <w:tc>
          <w:tcPr>
            <w:tcW w:w="24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1000" w:type="dxa"/>
            <w:vAlign w:val="bottom"/>
            <w:gridSpan w:val="2"/>
            <w:shd w:val="clear" w:color="auto" w:fill="CFF0FC"/>
          </w:tcPr>
          <w:p>
            <w:pPr>
              <w:jc w:val="right"/>
              <w:ind w:right="140"/>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1000" w:type="dxa"/>
            <w:vAlign w:val="bottom"/>
            <w:gridSpan w:val="2"/>
            <w:shd w:val="clear" w:color="auto" w:fill="CFF0FC"/>
          </w:tcPr>
          <w:p>
            <w:pPr>
              <w:jc w:val="right"/>
              <w:ind w:right="140"/>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880" w:type="dxa"/>
            <w:vAlign w:val="bottom"/>
            <w:shd w:val="clear" w:color="auto" w:fill="CFF0FC"/>
          </w:tcPr>
          <w:p>
            <w:pPr>
              <w:jc w:val="right"/>
              <w:spacing w:after="0" w:line="108" w:lineRule="exact"/>
              <w:rPr>
                <w:sz w:val="20"/>
                <w:szCs w:val="20"/>
                <w:color w:val="auto"/>
              </w:rPr>
            </w:pPr>
            <w:r>
              <w:rPr>
                <w:rFonts w:ascii="Arial" w:cs="Arial" w:eastAsia="Arial" w:hAnsi="Arial"/>
                <w:sz w:val="10"/>
                <w:szCs w:val="10"/>
                <w:color w:val="auto"/>
              </w:rPr>
              <w:t>6,641</w:t>
            </w:r>
          </w:p>
        </w:tc>
        <w:tc>
          <w:tcPr>
            <w:tcW w:w="120" w:type="dxa"/>
            <w:vAlign w:val="bottom"/>
            <w:shd w:val="clear" w:color="auto" w:fill="CFF0FC"/>
          </w:tcPr>
          <w:p>
            <w:pPr>
              <w:spacing w:after="0"/>
              <w:rPr>
                <w:sz w:val="9"/>
                <w:szCs w:val="9"/>
                <w:color w:val="auto"/>
              </w:rPr>
            </w:pPr>
          </w:p>
        </w:tc>
      </w:tr>
      <w:tr>
        <w:trPr>
          <w:trHeight w:val="108"/>
        </w:trPr>
        <w:tc>
          <w:tcPr>
            <w:tcW w:w="5300" w:type="dxa"/>
            <w:vAlign w:val="bottom"/>
            <w:gridSpan w:val="2"/>
          </w:tcPr>
          <w:p>
            <w:pPr>
              <w:ind w:left="160"/>
              <w:spacing w:after="0" w:line="108" w:lineRule="exact"/>
              <w:rPr>
                <w:sz w:val="20"/>
                <w:szCs w:val="20"/>
                <w:color w:val="auto"/>
              </w:rPr>
            </w:pPr>
            <w:r>
              <w:rPr>
                <w:rFonts w:ascii="Arial" w:cs="Arial" w:eastAsia="Arial" w:hAnsi="Arial"/>
                <w:sz w:val="10"/>
                <w:szCs w:val="10"/>
                <w:color w:val="auto"/>
              </w:rPr>
              <w:t>Impairment of property and equipment</w:t>
            </w:r>
          </w:p>
        </w:tc>
        <w:tc>
          <w:tcPr>
            <w:tcW w:w="100" w:type="dxa"/>
            <w:vAlign w:val="bottom"/>
          </w:tcPr>
          <w:p>
            <w:pPr>
              <w:spacing w:after="0"/>
              <w:rPr>
                <w:sz w:val="9"/>
                <w:szCs w:val="9"/>
                <w:color w:val="auto"/>
              </w:rPr>
            </w:pPr>
          </w:p>
        </w:tc>
        <w:tc>
          <w:tcPr>
            <w:tcW w:w="1160" w:type="dxa"/>
            <w:vAlign w:val="bottom"/>
            <w:gridSpan w:val="2"/>
          </w:tcPr>
          <w:p>
            <w:pPr>
              <w:jc w:val="right"/>
              <w:ind w:right="240"/>
              <w:spacing w:after="0" w:line="108" w:lineRule="exact"/>
              <w:rPr>
                <w:sz w:val="20"/>
                <w:szCs w:val="20"/>
                <w:color w:val="auto"/>
              </w:rPr>
            </w:pPr>
            <w:r>
              <w:rPr>
                <w:rFonts w:ascii="Arial" w:cs="Arial" w:eastAsia="Arial" w:hAnsi="Arial"/>
                <w:sz w:val="10"/>
                <w:szCs w:val="10"/>
                <w:color w:val="auto"/>
              </w:rPr>
              <w:t>—</w:t>
            </w:r>
          </w:p>
        </w:tc>
        <w:tc>
          <w:tcPr>
            <w:tcW w:w="140" w:type="dxa"/>
            <w:vAlign w:val="bottom"/>
          </w:tcPr>
          <w:p>
            <w:pPr>
              <w:spacing w:after="0"/>
              <w:rPr>
                <w:sz w:val="9"/>
                <w:szCs w:val="9"/>
                <w:color w:val="auto"/>
              </w:rPr>
            </w:pPr>
          </w:p>
        </w:tc>
        <w:tc>
          <w:tcPr>
            <w:tcW w:w="880" w:type="dxa"/>
            <w:vAlign w:val="bottom"/>
          </w:tcPr>
          <w:p>
            <w:pPr>
              <w:jc w:val="right"/>
              <w:spacing w:after="0" w:line="108" w:lineRule="exact"/>
              <w:rPr>
                <w:sz w:val="20"/>
                <w:szCs w:val="20"/>
                <w:color w:val="auto"/>
              </w:rPr>
            </w:pPr>
            <w:r>
              <w:rPr>
                <w:rFonts w:ascii="Arial" w:cs="Arial" w:eastAsia="Arial" w:hAnsi="Arial"/>
                <w:sz w:val="10"/>
                <w:szCs w:val="10"/>
                <w:color w:val="auto"/>
              </w:rPr>
              <w:t>5,898</w:t>
            </w: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0" w:type="dxa"/>
            <w:vAlign w:val="bottom"/>
            <w:gridSpan w:val="2"/>
          </w:tcPr>
          <w:p>
            <w:pPr>
              <w:jc w:val="right"/>
              <w:ind w:right="140"/>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gridSpan w:val="2"/>
          </w:tcPr>
          <w:p>
            <w:pPr>
              <w:jc w:val="right"/>
              <w:ind w:right="140"/>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jc w:val="right"/>
              <w:spacing w:after="0" w:line="108" w:lineRule="exact"/>
              <w:rPr>
                <w:sz w:val="20"/>
                <w:szCs w:val="20"/>
                <w:color w:val="auto"/>
              </w:rPr>
            </w:pPr>
            <w:r>
              <w:rPr>
                <w:rFonts w:ascii="Arial" w:cs="Arial" w:eastAsia="Arial" w:hAnsi="Arial"/>
                <w:sz w:val="10"/>
                <w:szCs w:val="10"/>
                <w:color w:val="auto"/>
              </w:rPr>
              <w:t>5,898</w:t>
            </w:r>
          </w:p>
        </w:tc>
        <w:tc>
          <w:tcPr>
            <w:tcW w:w="120" w:type="dxa"/>
            <w:vAlign w:val="bottom"/>
          </w:tcPr>
          <w:p>
            <w:pPr>
              <w:spacing w:after="0"/>
              <w:rPr>
                <w:sz w:val="9"/>
                <w:szCs w:val="9"/>
                <w:color w:val="auto"/>
              </w:rPr>
            </w:pPr>
          </w:p>
        </w:tc>
      </w:tr>
      <w:tr>
        <w:trPr>
          <w:trHeight w:val="108"/>
        </w:trPr>
        <w:tc>
          <w:tcPr>
            <w:tcW w:w="5300" w:type="dxa"/>
            <w:vAlign w:val="bottom"/>
            <w:gridSpan w:val="2"/>
            <w:shd w:val="clear" w:color="auto" w:fill="CFF0FC"/>
          </w:tcPr>
          <w:p>
            <w:pPr>
              <w:ind w:left="160"/>
              <w:spacing w:after="0" w:line="108" w:lineRule="exact"/>
              <w:rPr>
                <w:sz w:val="20"/>
                <w:szCs w:val="20"/>
                <w:color w:val="auto"/>
              </w:rPr>
            </w:pPr>
            <w:r>
              <w:rPr>
                <w:rFonts w:ascii="Arial" w:cs="Arial" w:eastAsia="Arial" w:hAnsi="Arial"/>
                <w:sz w:val="10"/>
                <w:szCs w:val="10"/>
                <w:color w:val="auto"/>
              </w:rPr>
              <w:t>Bad debt expense</w:t>
            </w:r>
          </w:p>
        </w:tc>
        <w:tc>
          <w:tcPr>
            <w:tcW w:w="100" w:type="dxa"/>
            <w:vAlign w:val="bottom"/>
            <w:shd w:val="clear" w:color="auto" w:fill="CFF0FC"/>
          </w:tcPr>
          <w:p>
            <w:pPr>
              <w:spacing w:after="0"/>
              <w:rPr>
                <w:sz w:val="9"/>
                <w:szCs w:val="9"/>
                <w:color w:val="auto"/>
              </w:rPr>
            </w:pPr>
          </w:p>
        </w:tc>
        <w:tc>
          <w:tcPr>
            <w:tcW w:w="1160" w:type="dxa"/>
            <w:vAlign w:val="bottom"/>
            <w:gridSpan w:val="2"/>
            <w:shd w:val="clear" w:color="auto" w:fill="CFF0FC"/>
          </w:tcPr>
          <w:p>
            <w:pPr>
              <w:jc w:val="right"/>
              <w:ind w:right="240"/>
              <w:spacing w:after="0" w:line="108" w:lineRule="exact"/>
              <w:rPr>
                <w:sz w:val="20"/>
                <w:szCs w:val="20"/>
                <w:color w:val="auto"/>
              </w:rPr>
            </w:pPr>
            <w:r>
              <w:rPr>
                <w:rFonts w:ascii="Arial" w:cs="Arial" w:eastAsia="Arial" w:hAnsi="Arial"/>
                <w:sz w:val="10"/>
                <w:szCs w:val="10"/>
                <w:color w:val="auto"/>
              </w:rPr>
              <w:t>—</w:t>
            </w:r>
          </w:p>
        </w:tc>
        <w:tc>
          <w:tcPr>
            <w:tcW w:w="140" w:type="dxa"/>
            <w:vAlign w:val="bottom"/>
            <w:shd w:val="clear" w:color="auto" w:fill="CFF0FC"/>
          </w:tcPr>
          <w:p>
            <w:pPr>
              <w:spacing w:after="0"/>
              <w:rPr>
                <w:sz w:val="9"/>
                <w:szCs w:val="9"/>
                <w:color w:val="auto"/>
              </w:rPr>
            </w:pPr>
          </w:p>
        </w:tc>
        <w:tc>
          <w:tcPr>
            <w:tcW w:w="880" w:type="dxa"/>
            <w:vAlign w:val="bottom"/>
            <w:shd w:val="clear" w:color="auto" w:fill="CFF0FC"/>
          </w:tcPr>
          <w:p>
            <w:pPr>
              <w:jc w:val="right"/>
              <w:spacing w:after="0" w:line="108" w:lineRule="exact"/>
              <w:rPr>
                <w:sz w:val="20"/>
                <w:szCs w:val="20"/>
                <w:color w:val="auto"/>
              </w:rPr>
            </w:pPr>
            <w:r>
              <w:rPr>
                <w:rFonts w:ascii="Arial" w:cs="Arial" w:eastAsia="Arial" w:hAnsi="Arial"/>
                <w:sz w:val="10"/>
                <w:szCs w:val="10"/>
                <w:color w:val="auto"/>
              </w:rPr>
              <w:t>8,098</w:t>
            </w:r>
          </w:p>
        </w:tc>
        <w:tc>
          <w:tcPr>
            <w:tcW w:w="24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880" w:type="dxa"/>
            <w:vAlign w:val="bottom"/>
            <w:shd w:val="clear" w:color="auto" w:fill="CFF0FC"/>
          </w:tcPr>
          <w:p>
            <w:pPr>
              <w:jc w:val="right"/>
              <w:spacing w:after="0" w:line="108" w:lineRule="exact"/>
              <w:rPr>
                <w:sz w:val="20"/>
                <w:szCs w:val="20"/>
                <w:color w:val="auto"/>
              </w:rPr>
            </w:pPr>
            <w:r>
              <w:rPr>
                <w:rFonts w:ascii="Arial" w:cs="Arial" w:eastAsia="Arial" w:hAnsi="Arial"/>
                <w:sz w:val="10"/>
                <w:szCs w:val="10"/>
                <w:color w:val="auto"/>
              </w:rPr>
              <w:t>2</w:t>
            </w: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1000" w:type="dxa"/>
            <w:vAlign w:val="bottom"/>
            <w:gridSpan w:val="2"/>
            <w:shd w:val="clear" w:color="auto" w:fill="CFF0FC"/>
          </w:tcPr>
          <w:p>
            <w:pPr>
              <w:jc w:val="right"/>
              <w:ind w:right="140"/>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880" w:type="dxa"/>
            <w:vAlign w:val="bottom"/>
            <w:shd w:val="clear" w:color="auto" w:fill="CFF0FC"/>
          </w:tcPr>
          <w:p>
            <w:pPr>
              <w:jc w:val="right"/>
              <w:spacing w:after="0" w:line="108" w:lineRule="exact"/>
              <w:rPr>
                <w:sz w:val="20"/>
                <w:szCs w:val="20"/>
                <w:color w:val="auto"/>
              </w:rPr>
            </w:pPr>
            <w:r>
              <w:rPr>
                <w:rFonts w:ascii="Arial" w:cs="Arial" w:eastAsia="Arial" w:hAnsi="Arial"/>
                <w:sz w:val="10"/>
                <w:szCs w:val="10"/>
                <w:color w:val="auto"/>
              </w:rPr>
              <w:t>8,100</w:t>
            </w:r>
          </w:p>
        </w:tc>
        <w:tc>
          <w:tcPr>
            <w:tcW w:w="120" w:type="dxa"/>
            <w:vAlign w:val="bottom"/>
            <w:shd w:val="clear" w:color="auto" w:fill="CFF0FC"/>
          </w:tcPr>
          <w:p>
            <w:pPr>
              <w:spacing w:after="0"/>
              <w:rPr>
                <w:sz w:val="9"/>
                <w:szCs w:val="9"/>
                <w:color w:val="auto"/>
              </w:rPr>
            </w:pPr>
          </w:p>
        </w:tc>
      </w:tr>
      <w:tr>
        <w:trPr>
          <w:trHeight w:val="108"/>
        </w:trPr>
        <w:tc>
          <w:tcPr>
            <w:tcW w:w="5300" w:type="dxa"/>
            <w:vAlign w:val="bottom"/>
            <w:gridSpan w:val="2"/>
          </w:tcPr>
          <w:p>
            <w:pPr>
              <w:ind w:left="160"/>
              <w:spacing w:after="0" w:line="108" w:lineRule="exact"/>
              <w:rPr>
                <w:sz w:val="20"/>
                <w:szCs w:val="20"/>
                <w:color w:val="auto"/>
              </w:rPr>
            </w:pPr>
            <w:r>
              <w:rPr>
                <w:rFonts w:ascii="Arial" w:cs="Arial" w:eastAsia="Arial" w:hAnsi="Arial"/>
                <w:sz w:val="10"/>
                <w:szCs w:val="10"/>
                <w:color w:val="auto"/>
              </w:rPr>
              <w:t>Deferred income taxes</w:t>
            </w:r>
          </w:p>
        </w:tc>
        <w:tc>
          <w:tcPr>
            <w:tcW w:w="100" w:type="dxa"/>
            <w:vAlign w:val="bottom"/>
          </w:tcPr>
          <w:p>
            <w:pPr>
              <w:spacing w:after="0"/>
              <w:rPr>
                <w:sz w:val="9"/>
                <w:szCs w:val="9"/>
                <w:color w:val="auto"/>
              </w:rPr>
            </w:pPr>
          </w:p>
        </w:tc>
        <w:tc>
          <w:tcPr>
            <w:tcW w:w="1160" w:type="dxa"/>
            <w:vAlign w:val="bottom"/>
            <w:gridSpan w:val="2"/>
          </w:tcPr>
          <w:p>
            <w:pPr>
              <w:jc w:val="right"/>
              <w:ind w:right="240"/>
              <w:spacing w:after="0" w:line="108" w:lineRule="exact"/>
              <w:rPr>
                <w:sz w:val="20"/>
                <w:szCs w:val="20"/>
                <w:color w:val="auto"/>
              </w:rPr>
            </w:pPr>
            <w:r>
              <w:rPr>
                <w:rFonts w:ascii="Arial" w:cs="Arial" w:eastAsia="Arial" w:hAnsi="Arial"/>
                <w:sz w:val="10"/>
                <w:szCs w:val="10"/>
                <w:color w:val="auto"/>
              </w:rPr>
              <w:t>—</w:t>
            </w:r>
          </w:p>
        </w:tc>
        <w:tc>
          <w:tcPr>
            <w:tcW w:w="140" w:type="dxa"/>
            <w:vAlign w:val="bottom"/>
          </w:tcPr>
          <w:p>
            <w:pPr>
              <w:spacing w:after="0"/>
              <w:rPr>
                <w:sz w:val="9"/>
                <w:szCs w:val="9"/>
                <w:color w:val="auto"/>
              </w:rPr>
            </w:pPr>
          </w:p>
        </w:tc>
        <w:tc>
          <w:tcPr>
            <w:tcW w:w="11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(9,888)</w:t>
            </w:r>
          </w:p>
        </w:tc>
        <w:tc>
          <w:tcPr>
            <w:tcW w:w="140" w:type="dxa"/>
            <w:vAlign w:val="bottom"/>
          </w:tcPr>
          <w:p>
            <w:pPr>
              <w:spacing w:after="0"/>
              <w:rPr>
                <w:sz w:val="9"/>
                <w:szCs w:val="9"/>
                <w:color w:val="auto"/>
              </w:rPr>
            </w:pPr>
          </w:p>
        </w:tc>
        <w:tc>
          <w:tcPr>
            <w:tcW w:w="100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(1,006)</w:t>
            </w: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gridSpan w:val="2"/>
          </w:tcPr>
          <w:p>
            <w:pPr>
              <w:jc w:val="right"/>
              <w:ind w:right="140"/>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gridSpan w:val="2"/>
          </w:tcPr>
          <w:p>
            <w:pPr>
              <w:jc w:val="right"/>
              <w:ind w:right="80"/>
              <w:spacing w:after="0" w:line="108" w:lineRule="exact"/>
              <w:rPr>
                <w:sz w:val="20"/>
                <w:szCs w:val="20"/>
                <w:color w:val="auto"/>
              </w:rPr>
            </w:pPr>
            <w:r>
              <w:rPr>
                <w:rFonts w:ascii="Arial" w:cs="Arial" w:eastAsia="Arial" w:hAnsi="Arial"/>
                <w:sz w:val="10"/>
                <w:szCs w:val="10"/>
                <w:color w:val="auto"/>
              </w:rPr>
              <w:t>(10,894)</w:t>
            </w:r>
          </w:p>
        </w:tc>
      </w:tr>
      <w:tr>
        <w:trPr>
          <w:trHeight w:val="108"/>
        </w:trPr>
        <w:tc>
          <w:tcPr>
            <w:tcW w:w="5300" w:type="dxa"/>
            <w:vAlign w:val="bottom"/>
            <w:gridSpan w:val="2"/>
            <w:shd w:val="clear" w:color="auto" w:fill="CFF0FC"/>
          </w:tcPr>
          <w:p>
            <w:pPr>
              <w:ind w:left="160"/>
              <w:spacing w:after="0" w:line="108" w:lineRule="exact"/>
              <w:rPr>
                <w:sz w:val="20"/>
                <w:szCs w:val="20"/>
                <w:color w:val="auto"/>
              </w:rPr>
            </w:pPr>
            <w:r>
              <w:rPr>
                <w:rFonts w:ascii="Arial" w:cs="Arial" w:eastAsia="Arial" w:hAnsi="Arial"/>
                <w:sz w:val="10"/>
                <w:szCs w:val="10"/>
                <w:color w:val="auto"/>
              </w:rPr>
              <w:t>Stock-based compensation</w:t>
            </w:r>
          </w:p>
        </w:tc>
        <w:tc>
          <w:tcPr>
            <w:tcW w:w="100" w:type="dxa"/>
            <w:vAlign w:val="bottom"/>
            <w:shd w:val="clear" w:color="auto" w:fill="CFF0FC"/>
          </w:tcPr>
          <w:p>
            <w:pPr>
              <w:spacing w:after="0"/>
              <w:rPr>
                <w:sz w:val="9"/>
                <w:szCs w:val="9"/>
                <w:color w:val="auto"/>
              </w:rPr>
            </w:pPr>
          </w:p>
        </w:tc>
        <w:tc>
          <w:tcPr>
            <w:tcW w:w="1160" w:type="dxa"/>
            <w:vAlign w:val="bottom"/>
            <w:gridSpan w:val="2"/>
            <w:shd w:val="clear" w:color="auto" w:fill="CFF0FC"/>
          </w:tcPr>
          <w:p>
            <w:pPr>
              <w:jc w:val="right"/>
              <w:ind w:right="240"/>
              <w:spacing w:after="0" w:line="108" w:lineRule="exact"/>
              <w:rPr>
                <w:sz w:val="20"/>
                <w:szCs w:val="20"/>
                <w:color w:val="auto"/>
              </w:rPr>
            </w:pPr>
            <w:r>
              <w:rPr>
                <w:rFonts w:ascii="Arial" w:cs="Arial" w:eastAsia="Arial" w:hAnsi="Arial"/>
                <w:sz w:val="10"/>
                <w:szCs w:val="10"/>
                <w:color w:val="auto"/>
              </w:rPr>
              <w:t>—</w:t>
            </w:r>
          </w:p>
        </w:tc>
        <w:tc>
          <w:tcPr>
            <w:tcW w:w="140" w:type="dxa"/>
            <w:vAlign w:val="bottom"/>
            <w:shd w:val="clear" w:color="auto" w:fill="CFF0FC"/>
          </w:tcPr>
          <w:p>
            <w:pPr>
              <w:spacing w:after="0"/>
              <w:rPr>
                <w:sz w:val="9"/>
                <w:szCs w:val="9"/>
                <w:color w:val="auto"/>
              </w:rPr>
            </w:pPr>
          </w:p>
        </w:tc>
        <w:tc>
          <w:tcPr>
            <w:tcW w:w="880" w:type="dxa"/>
            <w:vAlign w:val="bottom"/>
            <w:shd w:val="clear" w:color="auto" w:fill="CFF0FC"/>
          </w:tcPr>
          <w:p>
            <w:pPr>
              <w:jc w:val="right"/>
              <w:spacing w:after="0" w:line="108" w:lineRule="exact"/>
              <w:rPr>
                <w:sz w:val="20"/>
                <w:szCs w:val="20"/>
                <w:color w:val="auto"/>
              </w:rPr>
            </w:pPr>
            <w:r>
              <w:rPr>
                <w:rFonts w:ascii="Arial" w:cs="Arial" w:eastAsia="Arial" w:hAnsi="Arial"/>
                <w:sz w:val="10"/>
                <w:szCs w:val="10"/>
                <w:color w:val="auto"/>
              </w:rPr>
              <w:t>10,012</w:t>
            </w:r>
          </w:p>
        </w:tc>
        <w:tc>
          <w:tcPr>
            <w:tcW w:w="24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1000" w:type="dxa"/>
            <w:vAlign w:val="bottom"/>
            <w:gridSpan w:val="2"/>
            <w:shd w:val="clear" w:color="auto" w:fill="CFF0FC"/>
          </w:tcPr>
          <w:p>
            <w:pPr>
              <w:jc w:val="right"/>
              <w:ind w:right="140"/>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1000" w:type="dxa"/>
            <w:vAlign w:val="bottom"/>
            <w:gridSpan w:val="2"/>
            <w:shd w:val="clear" w:color="auto" w:fill="CFF0FC"/>
          </w:tcPr>
          <w:p>
            <w:pPr>
              <w:jc w:val="right"/>
              <w:ind w:right="140"/>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880" w:type="dxa"/>
            <w:vAlign w:val="bottom"/>
            <w:shd w:val="clear" w:color="auto" w:fill="CFF0FC"/>
          </w:tcPr>
          <w:p>
            <w:pPr>
              <w:jc w:val="right"/>
              <w:spacing w:after="0" w:line="108" w:lineRule="exact"/>
              <w:rPr>
                <w:sz w:val="20"/>
                <w:szCs w:val="20"/>
                <w:color w:val="auto"/>
              </w:rPr>
            </w:pPr>
            <w:r>
              <w:rPr>
                <w:rFonts w:ascii="Arial" w:cs="Arial" w:eastAsia="Arial" w:hAnsi="Arial"/>
                <w:sz w:val="10"/>
                <w:szCs w:val="10"/>
                <w:color w:val="auto"/>
              </w:rPr>
              <w:t>10,012</w:t>
            </w:r>
          </w:p>
        </w:tc>
        <w:tc>
          <w:tcPr>
            <w:tcW w:w="120" w:type="dxa"/>
            <w:vAlign w:val="bottom"/>
            <w:shd w:val="clear" w:color="auto" w:fill="CFF0FC"/>
          </w:tcPr>
          <w:p>
            <w:pPr>
              <w:spacing w:after="0"/>
              <w:rPr>
                <w:sz w:val="9"/>
                <w:szCs w:val="9"/>
                <w:color w:val="auto"/>
              </w:rPr>
            </w:pPr>
          </w:p>
        </w:tc>
      </w:tr>
      <w:tr>
        <w:trPr>
          <w:trHeight w:val="108"/>
        </w:trPr>
        <w:tc>
          <w:tcPr>
            <w:tcW w:w="5300" w:type="dxa"/>
            <w:vAlign w:val="bottom"/>
            <w:gridSpan w:val="2"/>
          </w:tcPr>
          <w:p>
            <w:pPr>
              <w:ind w:left="160"/>
              <w:spacing w:after="0" w:line="108" w:lineRule="exact"/>
              <w:rPr>
                <w:sz w:val="20"/>
                <w:szCs w:val="20"/>
                <w:color w:val="auto"/>
              </w:rPr>
            </w:pPr>
            <w:r>
              <w:rPr>
                <w:rFonts w:ascii="Arial" w:cs="Arial" w:eastAsia="Arial" w:hAnsi="Arial"/>
                <w:sz w:val="10"/>
                <w:szCs w:val="10"/>
                <w:color w:val="auto"/>
              </w:rPr>
              <w:t>Installation and service parts expense</w:t>
            </w:r>
          </w:p>
        </w:tc>
        <w:tc>
          <w:tcPr>
            <w:tcW w:w="100" w:type="dxa"/>
            <w:vAlign w:val="bottom"/>
          </w:tcPr>
          <w:p>
            <w:pPr>
              <w:spacing w:after="0"/>
              <w:rPr>
                <w:sz w:val="9"/>
                <w:szCs w:val="9"/>
                <w:color w:val="auto"/>
              </w:rPr>
            </w:pPr>
          </w:p>
        </w:tc>
        <w:tc>
          <w:tcPr>
            <w:tcW w:w="1160" w:type="dxa"/>
            <w:vAlign w:val="bottom"/>
            <w:gridSpan w:val="2"/>
          </w:tcPr>
          <w:p>
            <w:pPr>
              <w:jc w:val="right"/>
              <w:ind w:right="240"/>
              <w:spacing w:after="0" w:line="108" w:lineRule="exact"/>
              <w:rPr>
                <w:sz w:val="20"/>
                <w:szCs w:val="20"/>
                <w:color w:val="auto"/>
              </w:rPr>
            </w:pPr>
            <w:r>
              <w:rPr>
                <w:rFonts w:ascii="Arial" w:cs="Arial" w:eastAsia="Arial" w:hAnsi="Arial"/>
                <w:sz w:val="10"/>
                <w:szCs w:val="10"/>
                <w:color w:val="auto"/>
              </w:rPr>
              <w:t>—</w:t>
            </w:r>
          </w:p>
        </w:tc>
        <w:tc>
          <w:tcPr>
            <w:tcW w:w="140" w:type="dxa"/>
            <w:vAlign w:val="bottom"/>
          </w:tcPr>
          <w:p>
            <w:pPr>
              <w:spacing w:after="0"/>
              <w:rPr>
                <w:sz w:val="9"/>
                <w:szCs w:val="9"/>
                <w:color w:val="auto"/>
              </w:rPr>
            </w:pPr>
          </w:p>
        </w:tc>
        <w:tc>
          <w:tcPr>
            <w:tcW w:w="880" w:type="dxa"/>
            <w:vAlign w:val="bottom"/>
          </w:tcPr>
          <w:p>
            <w:pPr>
              <w:jc w:val="right"/>
              <w:spacing w:after="0" w:line="108" w:lineRule="exact"/>
              <w:rPr>
                <w:sz w:val="20"/>
                <w:szCs w:val="20"/>
                <w:color w:val="auto"/>
              </w:rPr>
            </w:pPr>
            <w:r>
              <w:rPr>
                <w:rFonts w:ascii="Arial" w:cs="Arial" w:eastAsia="Arial" w:hAnsi="Arial"/>
                <w:sz w:val="10"/>
                <w:szCs w:val="10"/>
                <w:color w:val="auto"/>
              </w:rPr>
              <w:t>1,166</w:t>
            </w: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0" w:type="dxa"/>
            <w:vAlign w:val="bottom"/>
            <w:gridSpan w:val="2"/>
          </w:tcPr>
          <w:p>
            <w:pPr>
              <w:jc w:val="right"/>
              <w:ind w:right="140"/>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gridSpan w:val="2"/>
          </w:tcPr>
          <w:p>
            <w:pPr>
              <w:jc w:val="right"/>
              <w:ind w:right="140"/>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jc w:val="right"/>
              <w:spacing w:after="0" w:line="108" w:lineRule="exact"/>
              <w:rPr>
                <w:sz w:val="20"/>
                <w:szCs w:val="20"/>
                <w:color w:val="auto"/>
              </w:rPr>
            </w:pPr>
            <w:r>
              <w:rPr>
                <w:rFonts w:ascii="Arial" w:cs="Arial" w:eastAsia="Arial" w:hAnsi="Arial"/>
                <w:sz w:val="10"/>
                <w:szCs w:val="10"/>
                <w:color w:val="auto"/>
              </w:rPr>
              <w:t>1,166</w:t>
            </w:r>
          </w:p>
        </w:tc>
        <w:tc>
          <w:tcPr>
            <w:tcW w:w="120" w:type="dxa"/>
            <w:vAlign w:val="bottom"/>
          </w:tcPr>
          <w:p>
            <w:pPr>
              <w:spacing w:after="0"/>
              <w:rPr>
                <w:sz w:val="9"/>
                <w:szCs w:val="9"/>
                <w:color w:val="auto"/>
              </w:rPr>
            </w:pPr>
          </w:p>
        </w:tc>
      </w:tr>
      <w:tr>
        <w:trPr>
          <w:trHeight w:val="108"/>
        </w:trPr>
        <w:tc>
          <w:tcPr>
            <w:tcW w:w="5300" w:type="dxa"/>
            <w:vAlign w:val="bottom"/>
            <w:gridSpan w:val="2"/>
            <w:shd w:val="clear" w:color="auto" w:fill="CFF0FC"/>
          </w:tcPr>
          <w:p>
            <w:pPr>
              <w:ind w:left="160"/>
              <w:spacing w:after="0" w:line="108" w:lineRule="exact"/>
              <w:rPr>
                <w:sz w:val="20"/>
                <w:szCs w:val="20"/>
                <w:color w:val="auto"/>
              </w:rPr>
            </w:pPr>
            <w:r>
              <w:rPr>
                <w:rFonts w:ascii="Arial" w:cs="Arial" w:eastAsia="Arial" w:hAnsi="Arial"/>
                <w:sz w:val="10"/>
                <w:szCs w:val="10"/>
                <w:color w:val="auto"/>
              </w:rPr>
              <w:t>Accretion expense</w:t>
            </w:r>
          </w:p>
        </w:tc>
        <w:tc>
          <w:tcPr>
            <w:tcW w:w="100" w:type="dxa"/>
            <w:vAlign w:val="bottom"/>
            <w:shd w:val="clear" w:color="auto" w:fill="CFF0FC"/>
          </w:tcPr>
          <w:p>
            <w:pPr>
              <w:spacing w:after="0"/>
              <w:rPr>
                <w:sz w:val="9"/>
                <w:szCs w:val="9"/>
                <w:color w:val="auto"/>
              </w:rPr>
            </w:pPr>
          </w:p>
        </w:tc>
        <w:tc>
          <w:tcPr>
            <w:tcW w:w="1160" w:type="dxa"/>
            <w:vAlign w:val="bottom"/>
            <w:gridSpan w:val="2"/>
            <w:shd w:val="clear" w:color="auto" w:fill="CFF0FC"/>
          </w:tcPr>
          <w:p>
            <w:pPr>
              <w:jc w:val="right"/>
              <w:ind w:right="240"/>
              <w:spacing w:after="0" w:line="108" w:lineRule="exact"/>
              <w:rPr>
                <w:sz w:val="20"/>
                <w:szCs w:val="20"/>
                <w:color w:val="auto"/>
              </w:rPr>
            </w:pPr>
            <w:r>
              <w:rPr>
                <w:rFonts w:ascii="Arial" w:cs="Arial" w:eastAsia="Arial" w:hAnsi="Arial"/>
                <w:sz w:val="10"/>
                <w:szCs w:val="10"/>
                <w:color w:val="auto"/>
              </w:rPr>
              <w:t>—</w:t>
            </w:r>
          </w:p>
        </w:tc>
        <w:tc>
          <w:tcPr>
            <w:tcW w:w="140" w:type="dxa"/>
            <w:vAlign w:val="bottom"/>
            <w:shd w:val="clear" w:color="auto" w:fill="CFF0FC"/>
          </w:tcPr>
          <w:p>
            <w:pPr>
              <w:spacing w:after="0"/>
              <w:rPr>
                <w:sz w:val="9"/>
                <w:szCs w:val="9"/>
                <w:color w:val="auto"/>
              </w:rPr>
            </w:pPr>
          </w:p>
        </w:tc>
        <w:tc>
          <w:tcPr>
            <w:tcW w:w="880" w:type="dxa"/>
            <w:vAlign w:val="bottom"/>
            <w:shd w:val="clear" w:color="auto" w:fill="CFF0FC"/>
          </w:tcPr>
          <w:p>
            <w:pPr>
              <w:jc w:val="right"/>
              <w:spacing w:after="0" w:line="108" w:lineRule="exact"/>
              <w:rPr>
                <w:sz w:val="20"/>
                <w:szCs w:val="20"/>
                <w:color w:val="auto"/>
              </w:rPr>
            </w:pPr>
            <w:r>
              <w:rPr>
                <w:rFonts w:ascii="Arial" w:cs="Arial" w:eastAsia="Arial" w:hAnsi="Arial"/>
                <w:sz w:val="10"/>
                <w:szCs w:val="10"/>
                <w:color w:val="auto"/>
              </w:rPr>
              <w:t>350</w:t>
            </w:r>
          </w:p>
        </w:tc>
        <w:tc>
          <w:tcPr>
            <w:tcW w:w="24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1000" w:type="dxa"/>
            <w:vAlign w:val="bottom"/>
            <w:gridSpan w:val="2"/>
            <w:shd w:val="clear" w:color="auto" w:fill="CFF0FC"/>
          </w:tcPr>
          <w:p>
            <w:pPr>
              <w:jc w:val="right"/>
              <w:ind w:right="140"/>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1000" w:type="dxa"/>
            <w:vAlign w:val="bottom"/>
            <w:gridSpan w:val="2"/>
            <w:shd w:val="clear" w:color="auto" w:fill="CFF0FC"/>
          </w:tcPr>
          <w:p>
            <w:pPr>
              <w:jc w:val="right"/>
              <w:ind w:right="140"/>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880" w:type="dxa"/>
            <w:vAlign w:val="bottom"/>
            <w:shd w:val="clear" w:color="auto" w:fill="CFF0FC"/>
          </w:tcPr>
          <w:p>
            <w:pPr>
              <w:jc w:val="right"/>
              <w:spacing w:after="0" w:line="108" w:lineRule="exact"/>
              <w:rPr>
                <w:sz w:val="20"/>
                <w:szCs w:val="20"/>
                <w:color w:val="auto"/>
              </w:rPr>
            </w:pPr>
            <w:r>
              <w:rPr>
                <w:rFonts w:ascii="Arial" w:cs="Arial" w:eastAsia="Arial" w:hAnsi="Arial"/>
                <w:sz w:val="10"/>
                <w:szCs w:val="10"/>
                <w:color w:val="auto"/>
              </w:rPr>
              <w:t>350</w:t>
            </w:r>
          </w:p>
        </w:tc>
        <w:tc>
          <w:tcPr>
            <w:tcW w:w="120" w:type="dxa"/>
            <w:vAlign w:val="bottom"/>
            <w:shd w:val="clear" w:color="auto" w:fill="CFF0FC"/>
          </w:tcPr>
          <w:p>
            <w:pPr>
              <w:spacing w:after="0"/>
              <w:rPr>
                <w:sz w:val="9"/>
                <w:szCs w:val="9"/>
                <w:color w:val="auto"/>
              </w:rPr>
            </w:pPr>
          </w:p>
        </w:tc>
      </w:tr>
      <w:tr>
        <w:trPr>
          <w:trHeight w:val="108"/>
        </w:trPr>
        <w:tc>
          <w:tcPr>
            <w:tcW w:w="5300" w:type="dxa"/>
            <w:vAlign w:val="bottom"/>
            <w:gridSpan w:val="2"/>
          </w:tcPr>
          <w:p>
            <w:pPr>
              <w:ind w:left="160"/>
              <w:spacing w:after="0" w:line="108" w:lineRule="exact"/>
              <w:rPr>
                <w:sz w:val="20"/>
                <w:szCs w:val="20"/>
                <w:color w:val="auto"/>
              </w:rPr>
            </w:pPr>
            <w:r>
              <w:rPr>
                <w:rFonts w:ascii="Arial" w:cs="Arial" w:eastAsia="Arial" w:hAnsi="Arial"/>
                <w:sz w:val="10"/>
                <w:szCs w:val="10"/>
                <w:color w:val="auto"/>
              </w:rPr>
              <w:t>Write-downs of installation and service parts and (gain) on disposal of assets</w:t>
            </w:r>
          </w:p>
        </w:tc>
        <w:tc>
          <w:tcPr>
            <w:tcW w:w="100" w:type="dxa"/>
            <w:vAlign w:val="bottom"/>
          </w:tcPr>
          <w:p>
            <w:pPr>
              <w:spacing w:after="0"/>
              <w:rPr>
                <w:sz w:val="9"/>
                <w:szCs w:val="9"/>
                <w:color w:val="auto"/>
              </w:rPr>
            </w:pPr>
          </w:p>
        </w:tc>
        <w:tc>
          <w:tcPr>
            <w:tcW w:w="1160" w:type="dxa"/>
            <w:vAlign w:val="bottom"/>
            <w:gridSpan w:val="2"/>
          </w:tcPr>
          <w:p>
            <w:pPr>
              <w:jc w:val="right"/>
              <w:ind w:right="240"/>
              <w:spacing w:after="0" w:line="108" w:lineRule="exact"/>
              <w:rPr>
                <w:sz w:val="20"/>
                <w:szCs w:val="20"/>
                <w:color w:val="auto"/>
              </w:rPr>
            </w:pPr>
            <w:r>
              <w:rPr>
                <w:rFonts w:ascii="Arial" w:cs="Arial" w:eastAsia="Arial" w:hAnsi="Arial"/>
                <w:sz w:val="10"/>
                <w:szCs w:val="10"/>
                <w:color w:val="auto"/>
              </w:rPr>
              <w:t>—</w:t>
            </w:r>
          </w:p>
        </w:tc>
        <w:tc>
          <w:tcPr>
            <w:tcW w:w="140" w:type="dxa"/>
            <w:vAlign w:val="bottom"/>
          </w:tcPr>
          <w:p>
            <w:pPr>
              <w:spacing w:after="0"/>
              <w:rPr>
                <w:sz w:val="9"/>
                <w:szCs w:val="9"/>
                <w:color w:val="auto"/>
              </w:rPr>
            </w:pPr>
          </w:p>
        </w:tc>
        <w:tc>
          <w:tcPr>
            <w:tcW w:w="880" w:type="dxa"/>
            <w:vAlign w:val="bottom"/>
          </w:tcPr>
          <w:p>
            <w:pPr>
              <w:jc w:val="right"/>
              <w:spacing w:after="0" w:line="108" w:lineRule="exact"/>
              <w:rPr>
                <w:sz w:val="20"/>
                <w:szCs w:val="20"/>
                <w:color w:val="auto"/>
              </w:rPr>
            </w:pPr>
            <w:r>
              <w:rPr>
                <w:rFonts w:ascii="Arial" w:cs="Arial" w:eastAsia="Arial" w:hAnsi="Arial"/>
                <w:sz w:val="10"/>
                <w:szCs w:val="10"/>
                <w:color w:val="auto"/>
              </w:rPr>
              <w:t>205</w:t>
            </w: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0" w:type="dxa"/>
            <w:vAlign w:val="bottom"/>
            <w:gridSpan w:val="2"/>
          </w:tcPr>
          <w:p>
            <w:pPr>
              <w:jc w:val="right"/>
              <w:ind w:right="140"/>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gridSpan w:val="2"/>
          </w:tcPr>
          <w:p>
            <w:pPr>
              <w:jc w:val="right"/>
              <w:ind w:right="140"/>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jc w:val="right"/>
              <w:spacing w:after="0" w:line="108" w:lineRule="exact"/>
              <w:rPr>
                <w:sz w:val="20"/>
                <w:szCs w:val="20"/>
                <w:color w:val="auto"/>
              </w:rPr>
            </w:pPr>
            <w:r>
              <w:rPr>
                <w:rFonts w:ascii="Arial" w:cs="Arial" w:eastAsia="Arial" w:hAnsi="Arial"/>
                <w:sz w:val="10"/>
                <w:szCs w:val="10"/>
                <w:color w:val="auto"/>
              </w:rPr>
              <w:t>205</w:t>
            </w:r>
          </w:p>
        </w:tc>
        <w:tc>
          <w:tcPr>
            <w:tcW w:w="120" w:type="dxa"/>
            <w:vAlign w:val="bottom"/>
          </w:tcPr>
          <w:p>
            <w:pPr>
              <w:spacing w:after="0"/>
              <w:rPr>
                <w:sz w:val="9"/>
                <w:szCs w:val="9"/>
                <w:color w:val="auto"/>
              </w:rPr>
            </w:pPr>
          </w:p>
        </w:tc>
      </w:tr>
      <w:tr>
        <w:trPr>
          <w:trHeight w:val="108"/>
        </w:trPr>
        <w:tc>
          <w:tcPr>
            <w:tcW w:w="5300" w:type="dxa"/>
            <w:vAlign w:val="bottom"/>
            <w:gridSpan w:val="2"/>
            <w:shd w:val="clear" w:color="auto" w:fill="CFF0FC"/>
          </w:tcPr>
          <w:p>
            <w:pPr>
              <w:ind w:left="160"/>
              <w:spacing w:after="0" w:line="108" w:lineRule="exact"/>
              <w:rPr>
                <w:sz w:val="20"/>
                <w:szCs w:val="20"/>
                <w:color w:val="auto"/>
              </w:rPr>
            </w:pPr>
            <w:r>
              <w:rPr>
                <w:rFonts w:ascii="Arial" w:cs="Arial" w:eastAsia="Arial" w:hAnsi="Arial"/>
                <w:sz w:val="10"/>
                <w:szCs w:val="10"/>
                <w:color w:val="auto"/>
              </w:rPr>
              <w:t>(Income) loss from equity investment</w:t>
            </w:r>
          </w:p>
        </w:tc>
        <w:tc>
          <w:tcPr>
            <w:tcW w:w="100" w:type="dxa"/>
            <w:vAlign w:val="bottom"/>
            <w:shd w:val="clear" w:color="auto" w:fill="CFF0FC"/>
          </w:tcPr>
          <w:p>
            <w:pPr>
              <w:spacing w:after="0"/>
              <w:rPr>
                <w:sz w:val="9"/>
                <w:szCs w:val="9"/>
                <w:color w:val="auto"/>
              </w:rPr>
            </w:pPr>
          </w:p>
        </w:tc>
        <w:tc>
          <w:tcPr>
            <w:tcW w:w="1160" w:type="dxa"/>
            <w:vAlign w:val="bottom"/>
            <w:gridSpan w:val="2"/>
            <w:shd w:val="clear" w:color="auto" w:fill="CFF0FC"/>
          </w:tcPr>
          <w:p>
            <w:pPr>
              <w:jc w:val="right"/>
              <w:ind w:right="200"/>
              <w:spacing w:after="0" w:line="108" w:lineRule="exact"/>
              <w:rPr>
                <w:sz w:val="20"/>
                <w:szCs w:val="20"/>
                <w:color w:val="auto"/>
              </w:rPr>
            </w:pPr>
            <w:r>
              <w:rPr>
                <w:rFonts w:ascii="Arial" w:cs="Arial" w:eastAsia="Arial" w:hAnsi="Arial"/>
                <w:sz w:val="10"/>
                <w:szCs w:val="10"/>
                <w:color w:val="auto"/>
              </w:rPr>
              <w:t>(33,343)</w:t>
            </w:r>
          </w:p>
        </w:tc>
        <w:tc>
          <w:tcPr>
            <w:tcW w:w="140" w:type="dxa"/>
            <w:vAlign w:val="bottom"/>
            <w:shd w:val="clear" w:color="auto" w:fill="CFF0FC"/>
          </w:tcPr>
          <w:p>
            <w:pPr>
              <w:spacing w:after="0"/>
              <w:rPr>
                <w:sz w:val="9"/>
                <w:szCs w:val="9"/>
                <w:color w:val="auto"/>
              </w:rPr>
            </w:pPr>
          </w:p>
        </w:tc>
        <w:tc>
          <w:tcPr>
            <w:tcW w:w="880" w:type="dxa"/>
            <w:vAlign w:val="bottom"/>
            <w:shd w:val="clear" w:color="auto" w:fill="CFF0FC"/>
          </w:tcPr>
          <w:p>
            <w:pPr>
              <w:jc w:val="right"/>
              <w:spacing w:after="0" w:line="108" w:lineRule="exact"/>
              <w:rPr>
                <w:sz w:val="20"/>
                <w:szCs w:val="20"/>
                <w:color w:val="auto"/>
              </w:rPr>
            </w:pPr>
            <w:r>
              <w:rPr>
                <w:rFonts w:ascii="Arial" w:cs="Arial" w:eastAsia="Arial" w:hAnsi="Arial"/>
                <w:sz w:val="10"/>
                <w:szCs w:val="10"/>
                <w:color w:val="auto"/>
              </w:rPr>
              <w:t>4,641</w:t>
            </w:r>
          </w:p>
        </w:tc>
        <w:tc>
          <w:tcPr>
            <w:tcW w:w="24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1000" w:type="dxa"/>
            <w:vAlign w:val="bottom"/>
            <w:gridSpan w:val="2"/>
            <w:shd w:val="clear" w:color="auto" w:fill="CFF0FC"/>
          </w:tcPr>
          <w:p>
            <w:pPr>
              <w:jc w:val="right"/>
              <w:ind w:right="140"/>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880" w:type="dxa"/>
            <w:vAlign w:val="bottom"/>
            <w:shd w:val="clear" w:color="auto" w:fill="CFF0FC"/>
          </w:tcPr>
          <w:p>
            <w:pPr>
              <w:jc w:val="right"/>
              <w:spacing w:after="0" w:line="108" w:lineRule="exact"/>
              <w:rPr>
                <w:sz w:val="20"/>
                <w:szCs w:val="20"/>
                <w:color w:val="auto"/>
              </w:rPr>
            </w:pPr>
            <w:r>
              <w:rPr>
                <w:rFonts w:ascii="Arial" w:cs="Arial" w:eastAsia="Arial" w:hAnsi="Arial"/>
                <w:sz w:val="10"/>
                <w:szCs w:val="10"/>
                <w:color w:val="auto"/>
              </w:rPr>
              <w:t>28,702</w:t>
            </w: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1000" w:type="dxa"/>
            <w:vAlign w:val="bottom"/>
            <w:gridSpan w:val="2"/>
            <w:shd w:val="clear" w:color="auto" w:fill="CFF0FC"/>
          </w:tcPr>
          <w:p>
            <w:pPr>
              <w:jc w:val="right"/>
              <w:ind w:right="120"/>
              <w:spacing w:after="0" w:line="108" w:lineRule="exact"/>
              <w:rPr>
                <w:sz w:val="20"/>
                <w:szCs w:val="20"/>
                <w:color w:val="auto"/>
              </w:rPr>
            </w:pPr>
            <w:r>
              <w:rPr>
                <w:rFonts w:ascii="Arial" w:cs="Arial" w:eastAsia="Arial" w:hAnsi="Arial"/>
                <w:sz w:val="10"/>
                <w:szCs w:val="10"/>
                <w:color w:val="auto"/>
              </w:rPr>
              <w:t>—</w:t>
            </w:r>
          </w:p>
        </w:tc>
      </w:tr>
      <w:tr>
        <w:trPr>
          <w:trHeight w:val="108"/>
        </w:trPr>
        <w:tc>
          <w:tcPr>
            <w:tcW w:w="5300" w:type="dxa"/>
            <w:vAlign w:val="bottom"/>
            <w:gridSpan w:val="2"/>
          </w:tcPr>
          <w:p>
            <w:pPr>
              <w:spacing w:after="0" w:line="108" w:lineRule="exact"/>
              <w:rPr>
                <w:sz w:val="20"/>
                <w:szCs w:val="20"/>
                <w:color w:val="auto"/>
              </w:rPr>
            </w:pPr>
            <w:r>
              <w:rPr>
                <w:rFonts w:ascii="Arial" w:cs="Arial" w:eastAsia="Arial" w:hAnsi="Arial"/>
                <w:sz w:val="10"/>
                <w:szCs w:val="10"/>
                <w:color w:val="auto"/>
              </w:rPr>
              <w:t>Changes in operating assets and liabilities:</w:t>
            </w:r>
          </w:p>
        </w:tc>
        <w:tc>
          <w:tcPr>
            <w:tcW w:w="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r>
      <w:tr>
        <w:trPr>
          <w:trHeight w:val="108"/>
        </w:trPr>
        <w:tc>
          <w:tcPr>
            <w:tcW w:w="5300" w:type="dxa"/>
            <w:vAlign w:val="bottom"/>
            <w:gridSpan w:val="2"/>
            <w:shd w:val="clear" w:color="auto" w:fill="CFF0FC"/>
          </w:tcPr>
          <w:p>
            <w:pPr>
              <w:ind w:left="160"/>
              <w:spacing w:after="0" w:line="108" w:lineRule="exact"/>
              <w:rPr>
                <w:sz w:val="20"/>
                <w:szCs w:val="20"/>
                <w:color w:val="auto"/>
              </w:rPr>
            </w:pPr>
            <w:r>
              <w:rPr>
                <w:rFonts w:ascii="Arial" w:cs="Arial" w:eastAsia="Arial" w:hAnsi="Arial"/>
                <w:sz w:val="10"/>
                <w:szCs w:val="10"/>
                <w:color w:val="auto"/>
              </w:rPr>
              <w:t>Accounts receivable, net</w:t>
            </w:r>
          </w:p>
        </w:tc>
        <w:tc>
          <w:tcPr>
            <w:tcW w:w="100" w:type="dxa"/>
            <w:vAlign w:val="bottom"/>
            <w:shd w:val="clear" w:color="auto" w:fill="CFF0FC"/>
          </w:tcPr>
          <w:p>
            <w:pPr>
              <w:spacing w:after="0"/>
              <w:rPr>
                <w:sz w:val="9"/>
                <w:szCs w:val="9"/>
                <w:color w:val="auto"/>
              </w:rPr>
            </w:pPr>
          </w:p>
        </w:tc>
        <w:tc>
          <w:tcPr>
            <w:tcW w:w="1160" w:type="dxa"/>
            <w:vAlign w:val="bottom"/>
            <w:gridSpan w:val="2"/>
            <w:shd w:val="clear" w:color="auto" w:fill="CFF0FC"/>
          </w:tcPr>
          <w:p>
            <w:pPr>
              <w:jc w:val="right"/>
              <w:ind w:right="240"/>
              <w:spacing w:after="0" w:line="108" w:lineRule="exact"/>
              <w:rPr>
                <w:sz w:val="20"/>
                <w:szCs w:val="20"/>
                <w:color w:val="auto"/>
              </w:rPr>
            </w:pPr>
            <w:r>
              <w:rPr>
                <w:rFonts w:ascii="Arial" w:cs="Arial" w:eastAsia="Arial" w:hAnsi="Arial"/>
                <w:sz w:val="10"/>
                <w:szCs w:val="10"/>
                <w:color w:val="auto"/>
              </w:rPr>
              <w:t>—</w:t>
            </w:r>
          </w:p>
        </w:tc>
        <w:tc>
          <w:tcPr>
            <w:tcW w:w="140" w:type="dxa"/>
            <w:vAlign w:val="bottom"/>
            <w:shd w:val="clear" w:color="auto" w:fill="CFF0FC"/>
          </w:tcPr>
          <w:p>
            <w:pPr>
              <w:spacing w:after="0"/>
              <w:rPr>
                <w:sz w:val="9"/>
                <w:szCs w:val="9"/>
                <w:color w:val="auto"/>
              </w:rPr>
            </w:pPr>
          </w:p>
        </w:tc>
        <w:tc>
          <w:tcPr>
            <w:tcW w:w="1120" w:type="dxa"/>
            <w:vAlign w:val="bottom"/>
            <w:gridSpan w:val="2"/>
            <w:shd w:val="clear" w:color="auto" w:fill="CFF0FC"/>
          </w:tcPr>
          <w:p>
            <w:pPr>
              <w:jc w:val="right"/>
              <w:ind w:right="200"/>
              <w:spacing w:after="0" w:line="108" w:lineRule="exact"/>
              <w:rPr>
                <w:sz w:val="20"/>
                <w:szCs w:val="20"/>
                <w:color w:val="auto"/>
              </w:rPr>
            </w:pPr>
            <w:r>
              <w:rPr>
                <w:rFonts w:ascii="Arial" w:cs="Arial" w:eastAsia="Arial" w:hAnsi="Arial"/>
                <w:sz w:val="10"/>
                <w:szCs w:val="10"/>
                <w:color w:val="auto"/>
              </w:rPr>
              <w:t>(11,166)</w:t>
            </w:r>
          </w:p>
        </w:tc>
        <w:tc>
          <w:tcPr>
            <w:tcW w:w="140" w:type="dxa"/>
            <w:vAlign w:val="bottom"/>
            <w:shd w:val="clear" w:color="auto" w:fill="CFF0FC"/>
          </w:tcPr>
          <w:p>
            <w:pPr>
              <w:spacing w:after="0"/>
              <w:rPr>
                <w:sz w:val="9"/>
                <w:szCs w:val="9"/>
                <w:color w:val="auto"/>
              </w:rPr>
            </w:pPr>
          </w:p>
        </w:tc>
        <w:tc>
          <w:tcPr>
            <w:tcW w:w="1000" w:type="dxa"/>
            <w:vAlign w:val="bottom"/>
            <w:gridSpan w:val="2"/>
            <w:shd w:val="clear" w:color="auto" w:fill="CFF0FC"/>
          </w:tcPr>
          <w:p>
            <w:pPr>
              <w:jc w:val="right"/>
              <w:ind w:right="100"/>
              <w:spacing w:after="0" w:line="108" w:lineRule="exact"/>
              <w:rPr>
                <w:sz w:val="20"/>
                <w:szCs w:val="20"/>
                <w:color w:val="auto"/>
              </w:rPr>
            </w:pPr>
            <w:r>
              <w:rPr>
                <w:rFonts w:ascii="Arial" w:cs="Arial" w:eastAsia="Arial" w:hAnsi="Arial"/>
                <w:sz w:val="10"/>
                <w:szCs w:val="10"/>
                <w:color w:val="auto"/>
              </w:rPr>
              <w:t>(1,496)</w:t>
            </w:r>
          </w:p>
        </w:tc>
        <w:tc>
          <w:tcPr>
            <w:tcW w:w="10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1000" w:type="dxa"/>
            <w:vAlign w:val="bottom"/>
            <w:gridSpan w:val="2"/>
            <w:shd w:val="clear" w:color="auto" w:fill="CFF0FC"/>
          </w:tcPr>
          <w:p>
            <w:pPr>
              <w:jc w:val="right"/>
              <w:ind w:right="140"/>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1000" w:type="dxa"/>
            <w:vAlign w:val="bottom"/>
            <w:gridSpan w:val="2"/>
            <w:shd w:val="clear" w:color="auto" w:fill="CFF0FC"/>
          </w:tcPr>
          <w:p>
            <w:pPr>
              <w:jc w:val="right"/>
              <w:ind w:right="80"/>
              <w:spacing w:after="0" w:line="108" w:lineRule="exact"/>
              <w:rPr>
                <w:sz w:val="20"/>
                <w:szCs w:val="20"/>
                <w:color w:val="auto"/>
              </w:rPr>
            </w:pPr>
            <w:r>
              <w:rPr>
                <w:rFonts w:ascii="Arial" w:cs="Arial" w:eastAsia="Arial" w:hAnsi="Arial"/>
                <w:sz w:val="10"/>
                <w:szCs w:val="10"/>
                <w:color w:val="auto"/>
              </w:rPr>
              <w:t>(12,662)</w:t>
            </w:r>
          </w:p>
        </w:tc>
      </w:tr>
      <w:tr>
        <w:trPr>
          <w:trHeight w:val="108"/>
        </w:trPr>
        <w:tc>
          <w:tcPr>
            <w:tcW w:w="5300" w:type="dxa"/>
            <w:vAlign w:val="bottom"/>
            <w:gridSpan w:val="2"/>
          </w:tcPr>
          <w:p>
            <w:pPr>
              <w:ind w:left="160"/>
              <w:spacing w:after="0" w:line="108" w:lineRule="exact"/>
              <w:rPr>
                <w:sz w:val="20"/>
                <w:szCs w:val="20"/>
                <w:color w:val="auto"/>
              </w:rPr>
            </w:pPr>
            <w:r>
              <w:rPr>
                <w:rFonts w:ascii="Arial" w:cs="Arial" w:eastAsia="Arial" w:hAnsi="Arial"/>
                <w:sz w:val="10"/>
                <w:szCs w:val="10"/>
                <w:color w:val="auto"/>
              </w:rPr>
              <w:t>Unbilled receivables</w:t>
            </w:r>
          </w:p>
        </w:tc>
        <w:tc>
          <w:tcPr>
            <w:tcW w:w="100" w:type="dxa"/>
            <w:vAlign w:val="bottom"/>
          </w:tcPr>
          <w:p>
            <w:pPr>
              <w:spacing w:after="0"/>
              <w:rPr>
                <w:sz w:val="9"/>
                <w:szCs w:val="9"/>
                <w:color w:val="auto"/>
              </w:rPr>
            </w:pPr>
          </w:p>
        </w:tc>
        <w:tc>
          <w:tcPr>
            <w:tcW w:w="1160" w:type="dxa"/>
            <w:vAlign w:val="bottom"/>
            <w:gridSpan w:val="2"/>
          </w:tcPr>
          <w:p>
            <w:pPr>
              <w:jc w:val="right"/>
              <w:ind w:right="240"/>
              <w:spacing w:after="0" w:line="108" w:lineRule="exact"/>
              <w:rPr>
                <w:sz w:val="20"/>
                <w:szCs w:val="20"/>
                <w:color w:val="auto"/>
              </w:rPr>
            </w:pPr>
            <w:r>
              <w:rPr>
                <w:rFonts w:ascii="Arial" w:cs="Arial" w:eastAsia="Arial" w:hAnsi="Arial"/>
                <w:sz w:val="10"/>
                <w:szCs w:val="10"/>
                <w:color w:val="auto"/>
              </w:rPr>
              <w:t>—</w:t>
            </w:r>
          </w:p>
        </w:tc>
        <w:tc>
          <w:tcPr>
            <w:tcW w:w="140" w:type="dxa"/>
            <w:vAlign w:val="bottom"/>
          </w:tcPr>
          <w:p>
            <w:pPr>
              <w:spacing w:after="0"/>
              <w:rPr>
                <w:sz w:val="9"/>
                <w:szCs w:val="9"/>
                <w:color w:val="auto"/>
              </w:rPr>
            </w:pPr>
          </w:p>
        </w:tc>
        <w:tc>
          <w:tcPr>
            <w:tcW w:w="11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(6,361)</w:t>
            </w:r>
          </w:p>
        </w:tc>
        <w:tc>
          <w:tcPr>
            <w:tcW w:w="140" w:type="dxa"/>
            <w:vAlign w:val="bottom"/>
          </w:tcPr>
          <w:p>
            <w:pPr>
              <w:spacing w:after="0"/>
              <w:rPr>
                <w:sz w:val="9"/>
                <w:szCs w:val="9"/>
                <w:color w:val="auto"/>
              </w:rPr>
            </w:pPr>
          </w:p>
        </w:tc>
        <w:tc>
          <w:tcPr>
            <w:tcW w:w="100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(67)</w:t>
            </w: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gridSpan w:val="2"/>
          </w:tcPr>
          <w:p>
            <w:pPr>
              <w:jc w:val="right"/>
              <w:ind w:right="140"/>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gridSpan w:val="2"/>
          </w:tcPr>
          <w:p>
            <w:pPr>
              <w:jc w:val="right"/>
              <w:ind w:right="80"/>
              <w:spacing w:after="0" w:line="108" w:lineRule="exact"/>
              <w:rPr>
                <w:sz w:val="20"/>
                <w:szCs w:val="20"/>
                <w:color w:val="auto"/>
              </w:rPr>
            </w:pPr>
            <w:r>
              <w:rPr>
                <w:rFonts w:ascii="Arial" w:cs="Arial" w:eastAsia="Arial" w:hAnsi="Arial"/>
                <w:sz w:val="10"/>
                <w:szCs w:val="10"/>
                <w:color w:val="auto"/>
              </w:rPr>
              <w:t>(6,428)</w:t>
            </w:r>
          </w:p>
        </w:tc>
      </w:tr>
      <w:tr>
        <w:trPr>
          <w:trHeight w:val="108"/>
        </w:trPr>
        <w:tc>
          <w:tcPr>
            <w:tcW w:w="5300" w:type="dxa"/>
            <w:vAlign w:val="bottom"/>
            <w:gridSpan w:val="2"/>
            <w:shd w:val="clear" w:color="auto" w:fill="CFF0FC"/>
          </w:tcPr>
          <w:p>
            <w:pPr>
              <w:ind w:left="160"/>
              <w:spacing w:after="0" w:line="108" w:lineRule="exact"/>
              <w:rPr>
                <w:sz w:val="20"/>
                <w:szCs w:val="20"/>
                <w:color w:val="auto"/>
              </w:rPr>
            </w:pPr>
            <w:r>
              <w:rPr>
                <w:rFonts w:ascii="Arial" w:cs="Arial" w:eastAsia="Arial" w:hAnsi="Arial"/>
                <w:sz w:val="10"/>
                <w:szCs w:val="10"/>
                <w:color w:val="auto"/>
              </w:rPr>
              <w:t>Prepaid expenses and other current assets</w:t>
            </w:r>
          </w:p>
        </w:tc>
        <w:tc>
          <w:tcPr>
            <w:tcW w:w="100" w:type="dxa"/>
            <w:vAlign w:val="bottom"/>
            <w:shd w:val="clear" w:color="auto" w:fill="CFF0FC"/>
          </w:tcPr>
          <w:p>
            <w:pPr>
              <w:spacing w:after="0"/>
              <w:rPr>
                <w:sz w:val="9"/>
                <w:szCs w:val="9"/>
                <w:color w:val="auto"/>
              </w:rPr>
            </w:pPr>
          </w:p>
        </w:tc>
        <w:tc>
          <w:tcPr>
            <w:tcW w:w="1160" w:type="dxa"/>
            <w:vAlign w:val="bottom"/>
            <w:gridSpan w:val="2"/>
            <w:shd w:val="clear" w:color="auto" w:fill="CFF0FC"/>
          </w:tcPr>
          <w:p>
            <w:pPr>
              <w:jc w:val="right"/>
              <w:ind w:right="240"/>
              <w:spacing w:after="0" w:line="108" w:lineRule="exact"/>
              <w:rPr>
                <w:sz w:val="20"/>
                <w:szCs w:val="20"/>
                <w:color w:val="auto"/>
              </w:rPr>
            </w:pPr>
            <w:r>
              <w:rPr>
                <w:rFonts w:ascii="Arial" w:cs="Arial" w:eastAsia="Arial" w:hAnsi="Arial"/>
                <w:sz w:val="10"/>
                <w:szCs w:val="10"/>
                <w:color w:val="auto"/>
              </w:rPr>
              <w:t>—</w:t>
            </w:r>
          </w:p>
        </w:tc>
        <w:tc>
          <w:tcPr>
            <w:tcW w:w="140" w:type="dxa"/>
            <w:vAlign w:val="bottom"/>
            <w:shd w:val="clear" w:color="auto" w:fill="CFF0FC"/>
          </w:tcPr>
          <w:p>
            <w:pPr>
              <w:spacing w:after="0"/>
              <w:rPr>
                <w:sz w:val="9"/>
                <w:szCs w:val="9"/>
                <w:color w:val="auto"/>
              </w:rPr>
            </w:pPr>
          </w:p>
        </w:tc>
        <w:tc>
          <w:tcPr>
            <w:tcW w:w="1120" w:type="dxa"/>
            <w:vAlign w:val="bottom"/>
            <w:gridSpan w:val="2"/>
            <w:shd w:val="clear" w:color="auto" w:fill="CFF0FC"/>
          </w:tcPr>
          <w:p>
            <w:pPr>
              <w:jc w:val="right"/>
              <w:ind w:right="200"/>
              <w:spacing w:after="0" w:line="108" w:lineRule="exact"/>
              <w:rPr>
                <w:sz w:val="20"/>
                <w:szCs w:val="20"/>
                <w:color w:val="auto"/>
              </w:rPr>
            </w:pPr>
            <w:r>
              <w:rPr>
                <w:rFonts w:ascii="Arial" w:cs="Arial" w:eastAsia="Arial" w:hAnsi="Arial"/>
                <w:sz w:val="10"/>
                <w:szCs w:val="10"/>
                <w:color w:val="auto"/>
              </w:rPr>
              <w:t>(6,890)</w:t>
            </w:r>
          </w:p>
        </w:tc>
        <w:tc>
          <w:tcPr>
            <w:tcW w:w="140" w:type="dxa"/>
            <w:vAlign w:val="bottom"/>
            <w:shd w:val="clear" w:color="auto" w:fill="CFF0FC"/>
          </w:tcPr>
          <w:p>
            <w:pPr>
              <w:spacing w:after="0"/>
              <w:rPr>
                <w:sz w:val="9"/>
                <w:szCs w:val="9"/>
                <w:color w:val="auto"/>
              </w:rPr>
            </w:pPr>
          </w:p>
        </w:tc>
        <w:tc>
          <w:tcPr>
            <w:tcW w:w="1000" w:type="dxa"/>
            <w:vAlign w:val="bottom"/>
            <w:gridSpan w:val="2"/>
            <w:shd w:val="clear" w:color="auto" w:fill="CFF0FC"/>
          </w:tcPr>
          <w:p>
            <w:pPr>
              <w:jc w:val="right"/>
              <w:ind w:right="100"/>
              <w:spacing w:after="0" w:line="108" w:lineRule="exact"/>
              <w:rPr>
                <w:sz w:val="20"/>
                <w:szCs w:val="20"/>
                <w:color w:val="auto"/>
              </w:rPr>
            </w:pPr>
            <w:r>
              <w:rPr>
                <w:rFonts w:ascii="Arial" w:cs="Arial" w:eastAsia="Arial" w:hAnsi="Arial"/>
                <w:sz w:val="10"/>
                <w:szCs w:val="10"/>
                <w:color w:val="auto"/>
              </w:rPr>
              <w:t>(260)</w:t>
            </w:r>
          </w:p>
        </w:tc>
        <w:tc>
          <w:tcPr>
            <w:tcW w:w="10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1000" w:type="dxa"/>
            <w:vAlign w:val="bottom"/>
            <w:gridSpan w:val="2"/>
            <w:shd w:val="clear" w:color="auto" w:fill="CFF0FC"/>
          </w:tcPr>
          <w:p>
            <w:pPr>
              <w:jc w:val="right"/>
              <w:ind w:right="140"/>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1000" w:type="dxa"/>
            <w:vAlign w:val="bottom"/>
            <w:gridSpan w:val="2"/>
            <w:shd w:val="clear" w:color="auto" w:fill="CFF0FC"/>
          </w:tcPr>
          <w:p>
            <w:pPr>
              <w:jc w:val="right"/>
              <w:ind w:right="80"/>
              <w:spacing w:after="0" w:line="108" w:lineRule="exact"/>
              <w:rPr>
                <w:sz w:val="20"/>
                <w:szCs w:val="20"/>
                <w:color w:val="auto"/>
              </w:rPr>
            </w:pPr>
            <w:r>
              <w:rPr>
                <w:rFonts w:ascii="Arial" w:cs="Arial" w:eastAsia="Arial" w:hAnsi="Arial"/>
                <w:sz w:val="10"/>
                <w:szCs w:val="10"/>
                <w:color w:val="auto"/>
              </w:rPr>
              <w:t>(7,150)</w:t>
            </w:r>
          </w:p>
        </w:tc>
      </w:tr>
      <w:tr>
        <w:trPr>
          <w:trHeight w:val="108"/>
        </w:trPr>
        <w:tc>
          <w:tcPr>
            <w:tcW w:w="5300" w:type="dxa"/>
            <w:vAlign w:val="bottom"/>
            <w:gridSpan w:val="2"/>
          </w:tcPr>
          <w:p>
            <w:pPr>
              <w:ind w:left="160"/>
              <w:spacing w:after="0" w:line="108" w:lineRule="exact"/>
              <w:rPr>
                <w:sz w:val="20"/>
                <w:szCs w:val="20"/>
                <w:color w:val="auto"/>
              </w:rPr>
            </w:pPr>
            <w:r>
              <w:rPr>
                <w:rFonts w:ascii="Arial" w:cs="Arial" w:eastAsia="Arial" w:hAnsi="Arial"/>
                <w:sz w:val="10"/>
                <w:szCs w:val="10"/>
                <w:color w:val="auto"/>
              </w:rPr>
              <w:t>Accounts payable and accrued liabilities</w:t>
            </w:r>
          </w:p>
        </w:tc>
        <w:tc>
          <w:tcPr>
            <w:tcW w:w="100" w:type="dxa"/>
            <w:vAlign w:val="bottom"/>
          </w:tcPr>
          <w:p>
            <w:pPr>
              <w:spacing w:after="0"/>
              <w:rPr>
                <w:sz w:val="9"/>
                <w:szCs w:val="9"/>
                <w:color w:val="auto"/>
              </w:rPr>
            </w:pPr>
          </w:p>
        </w:tc>
        <w:tc>
          <w:tcPr>
            <w:tcW w:w="1160" w:type="dxa"/>
            <w:vAlign w:val="bottom"/>
            <w:gridSpan w:val="2"/>
          </w:tcPr>
          <w:p>
            <w:pPr>
              <w:jc w:val="right"/>
              <w:ind w:right="240"/>
              <w:spacing w:after="0" w:line="108" w:lineRule="exact"/>
              <w:rPr>
                <w:sz w:val="20"/>
                <w:szCs w:val="20"/>
                <w:color w:val="auto"/>
              </w:rPr>
            </w:pPr>
            <w:r>
              <w:rPr>
                <w:rFonts w:ascii="Arial" w:cs="Arial" w:eastAsia="Arial" w:hAnsi="Arial"/>
                <w:sz w:val="10"/>
                <w:szCs w:val="10"/>
                <w:color w:val="auto"/>
              </w:rPr>
              <w:t>—</w:t>
            </w:r>
          </w:p>
        </w:tc>
        <w:tc>
          <w:tcPr>
            <w:tcW w:w="140" w:type="dxa"/>
            <w:vAlign w:val="bottom"/>
          </w:tcPr>
          <w:p>
            <w:pPr>
              <w:spacing w:after="0"/>
              <w:rPr>
                <w:sz w:val="9"/>
                <w:szCs w:val="9"/>
                <w:color w:val="auto"/>
              </w:rPr>
            </w:pPr>
          </w:p>
        </w:tc>
        <w:tc>
          <w:tcPr>
            <w:tcW w:w="11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(10,549)</w:t>
            </w:r>
          </w:p>
        </w:tc>
        <w:tc>
          <w:tcPr>
            <w:tcW w:w="140" w:type="dxa"/>
            <w:vAlign w:val="bottom"/>
          </w:tcPr>
          <w:p>
            <w:pPr>
              <w:spacing w:after="0"/>
              <w:rPr>
                <w:sz w:val="9"/>
                <w:szCs w:val="9"/>
                <w:color w:val="auto"/>
              </w:rPr>
            </w:pPr>
          </w:p>
        </w:tc>
        <w:tc>
          <w:tcPr>
            <w:tcW w:w="880" w:type="dxa"/>
            <w:vAlign w:val="bottom"/>
          </w:tcPr>
          <w:p>
            <w:pPr>
              <w:jc w:val="right"/>
              <w:spacing w:after="0" w:line="108" w:lineRule="exact"/>
              <w:rPr>
                <w:sz w:val="20"/>
                <w:szCs w:val="20"/>
                <w:color w:val="auto"/>
              </w:rPr>
            </w:pPr>
            <w:r>
              <w:rPr>
                <w:rFonts w:ascii="Arial" w:cs="Arial" w:eastAsia="Arial" w:hAnsi="Arial"/>
                <w:sz w:val="10"/>
                <w:szCs w:val="10"/>
                <w:color w:val="auto"/>
              </w:rPr>
              <w:t>2,355</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gridSpan w:val="2"/>
          </w:tcPr>
          <w:p>
            <w:pPr>
              <w:jc w:val="right"/>
              <w:ind w:right="140"/>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gridSpan w:val="2"/>
          </w:tcPr>
          <w:p>
            <w:pPr>
              <w:jc w:val="right"/>
              <w:ind w:right="80"/>
              <w:spacing w:after="0" w:line="108" w:lineRule="exact"/>
              <w:rPr>
                <w:sz w:val="20"/>
                <w:szCs w:val="20"/>
                <w:color w:val="auto"/>
              </w:rPr>
            </w:pPr>
            <w:r>
              <w:rPr>
                <w:rFonts w:ascii="Arial" w:cs="Arial" w:eastAsia="Arial" w:hAnsi="Arial"/>
                <w:sz w:val="10"/>
                <w:szCs w:val="10"/>
                <w:color w:val="auto"/>
              </w:rPr>
              <w:t>(8,194)</w:t>
            </w:r>
          </w:p>
        </w:tc>
      </w:tr>
      <w:tr>
        <w:trPr>
          <w:trHeight w:val="108"/>
        </w:trPr>
        <w:tc>
          <w:tcPr>
            <w:tcW w:w="5300" w:type="dxa"/>
            <w:vAlign w:val="bottom"/>
            <w:gridSpan w:val="2"/>
            <w:shd w:val="clear" w:color="auto" w:fill="CFF0FC"/>
          </w:tcPr>
          <w:p>
            <w:pPr>
              <w:ind w:left="160"/>
              <w:spacing w:after="0" w:line="108" w:lineRule="exact"/>
              <w:rPr>
                <w:sz w:val="20"/>
                <w:szCs w:val="20"/>
                <w:color w:val="auto"/>
              </w:rPr>
            </w:pPr>
            <w:r>
              <w:rPr>
                <w:rFonts w:ascii="Arial" w:cs="Arial" w:eastAsia="Arial" w:hAnsi="Arial"/>
                <w:sz w:val="10"/>
                <w:szCs w:val="10"/>
                <w:color w:val="auto"/>
              </w:rPr>
              <w:t>Due to affiliates</w:t>
            </w:r>
          </w:p>
        </w:tc>
        <w:tc>
          <w:tcPr>
            <w:tcW w:w="100" w:type="dxa"/>
            <w:vAlign w:val="bottom"/>
            <w:shd w:val="clear" w:color="auto" w:fill="CFF0FC"/>
          </w:tcPr>
          <w:p>
            <w:pPr>
              <w:spacing w:after="0"/>
              <w:rPr>
                <w:sz w:val="9"/>
                <w:szCs w:val="9"/>
                <w:color w:val="auto"/>
              </w:rPr>
            </w:pPr>
          </w:p>
        </w:tc>
        <w:tc>
          <w:tcPr>
            <w:tcW w:w="1160" w:type="dxa"/>
            <w:vAlign w:val="bottom"/>
            <w:gridSpan w:val="2"/>
            <w:shd w:val="clear" w:color="auto" w:fill="CFF0FC"/>
          </w:tcPr>
          <w:p>
            <w:pPr>
              <w:jc w:val="right"/>
              <w:ind w:right="240"/>
              <w:spacing w:after="0" w:line="108" w:lineRule="exact"/>
              <w:rPr>
                <w:sz w:val="20"/>
                <w:szCs w:val="20"/>
                <w:color w:val="auto"/>
              </w:rPr>
            </w:pPr>
            <w:r>
              <w:rPr>
                <w:rFonts w:ascii="Arial" w:cs="Arial" w:eastAsia="Arial" w:hAnsi="Arial"/>
                <w:sz w:val="10"/>
                <w:szCs w:val="10"/>
                <w:color w:val="auto"/>
              </w:rPr>
              <w:t>—</w:t>
            </w:r>
          </w:p>
        </w:tc>
        <w:tc>
          <w:tcPr>
            <w:tcW w:w="140" w:type="dxa"/>
            <w:vAlign w:val="bottom"/>
            <w:shd w:val="clear" w:color="auto" w:fill="CFF0FC"/>
          </w:tcPr>
          <w:p>
            <w:pPr>
              <w:spacing w:after="0"/>
              <w:rPr>
                <w:sz w:val="9"/>
                <w:szCs w:val="9"/>
                <w:color w:val="auto"/>
              </w:rPr>
            </w:pPr>
          </w:p>
        </w:tc>
        <w:tc>
          <w:tcPr>
            <w:tcW w:w="1120" w:type="dxa"/>
            <w:vAlign w:val="bottom"/>
            <w:gridSpan w:val="2"/>
            <w:shd w:val="clear" w:color="auto" w:fill="CFF0FC"/>
          </w:tcPr>
          <w:p>
            <w:pPr>
              <w:jc w:val="right"/>
              <w:ind w:right="200"/>
              <w:spacing w:after="0" w:line="108" w:lineRule="exact"/>
              <w:rPr>
                <w:sz w:val="20"/>
                <w:szCs w:val="20"/>
                <w:color w:val="auto"/>
              </w:rPr>
            </w:pPr>
            <w:r>
              <w:rPr>
                <w:rFonts w:ascii="Arial" w:cs="Arial" w:eastAsia="Arial" w:hAnsi="Arial"/>
                <w:sz w:val="10"/>
                <w:szCs w:val="10"/>
                <w:color w:val="auto"/>
              </w:rPr>
              <w:t>(35,111)</w:t>
            </w:r>
          </w:p>
        </w:tc>
        <w:tc>
          <w:tcPr>
            <w:tcW w:w="140" w:type="dxa"/>
            <w:vAlign w:val="bottom"/>
            <w:shd w:val="clear" w:color="auto" w:fill="CFF0FC"/>
          </w:tcPr>
          <w:p>
            <w:pPr>
              <w:spacing w:after="0"/>
              <w:rPr>
                <w:sz w:val="9"/>
                <w:szCs w:val="9"/>
                <w:color w:val="auto"/>
              </w:rPr>
            </w:pPr>
          </w:p>
        </w:tc>
        <w:tc>
          <w:tcPr>
            <w:tcW w:w="880" w:type="dxa"/>
            <w:vAlign w:val="bottom"/>
            <w:shd w:val="clear" w:color="auto" w:fill="CFF0FC"/>
          </w:tcPr>
          <w:p>
            <w:pPr>
              <w:jc w:val="right"/>
              <w:spacing w:after="0" w:line="108" w:lineRule="exact"/>
              <w:rPr>
                <w:sz w:val="20"/>
                <w:szCs w:val="20"/>
                <w:color w:val="auto"/>
              </w:rPr>
            </w:pPr>
            <w:r>
              <w:rPr>
                <w:rFonts w:ascii="Arial" w:cs="Arial" w:eastAsia="Arial" w:hAnsi="Arial"/>
                <w:sz w:val="10"/>
                <w:szCs w:val="10"/>
                <w:color w:val="auto"/>
              </w:rPr>
              <w:t>35,111</w:t>
            </w: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1000" w:type="dxa"/>
            <w:vAlign w:val="bottom"/>
            <w:gridSpan w:val="2"/>
            <w:shd w:val="clear" w:color="auto" w:fill="CFF0FC"/>
          </w:tcPr>
          <w:p>
            <w:pPr>
              <w:jc w:val="right"/>
              <w:ind w:right="140"/>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1000" w:type="dxa"/>
            <w:vAlign w:val="bottom"/>
            <w:gridSpan w:val="2"/>
            <w:shd w:val="clear" w:color="auto" w:fill="CFF0FC"/>
          </w:tcPr>
          <w:p>
            <w:pPr>
              <w:jc w:val="right"/>
              <w:ind w:right="120"/>
              <w:spacing w:after="0" w:line="108" w:lineRule="exact"/>
              <w:rPr>
                <w:sz w:val="20"/>
                <w:szCs w:val="20"/>
                <w:color w:val="auto"/>
              </w:rPr>
            </w:pPr>
            <w:r>
              <w:rPr>
                <w:rFonts w:ascii="Arial" w:cs="Arial" w:eastAsia="Arial" w:hAnsi="Arial"/>
                <w:sz w:val="10"/>
                <w:szCs w:val="10"/>
                <w:color w:val="auto"/>
              </w:rPr>
              <w:t>—</w:t>
            </w:r>
          </w:p>
        </w:tc>
      </w:tr>
      <w:tr>
        <w:trPr>
          <w:trHeight w:val="108"/>
        </w:trPr>
        <w:tc>
          <w:tcPr>
            <w:tcW w:w="5300" w:type="dxa"/>
            <w:vAlign w:val="bottom"/>
            <w:gridSpan w:val="2"/>
          </w:tcPr>
          <w:p>
            <w:pPr>
              <w:ind w:left="160"/>
              <w:spacing w:after="0" w:line="108" w:lineRule="exact"/>
              <w:rPr>
                <w:sz w:val="20"/>
                <w:szCs w:val="20"/>
                <w:color w:val="auto"/>
              </w:rPr>
            </w:pPr>
            <w:r>
              <w:rPr>
                <w:rFonts w:ascii="Arial" w:cs="Arial" w:eastAsia="Arial" w:hAnsi="Arial"/>
                <w:sz w:val="10"/>
                <w:szCs w:val="10"/>
                <w:color w:val="auto"/>
              </w:rPr>
              <w:t>Other liabilities</w:t>
            </w:r>
          </w:p>
        </w:tc>
        <w:tc>
          <w:tcPr>
            <w:tcW w:w="100" w:type="dxa"/>
            <w:vAlign w:val="bottom"/>
          </w:tcPr>
          <w:p>
            <w:pPr>
              <w:spacing w:after="0"/>
              <w:rPr>
                <w:sz w:val="9"/>
                <w:szCs w:val="9"/>
                <w:color w:val="auto"/>
              </w:rPr>
            </w:pPr>
          </w:p>
        </w:tc>
        <w:tc>
          <w:tcPr>
            <w:tcW w:w="1160" w:type="dxa"/>
            <w:vAlign w:val="bottom"/>
            <w:gridSpan w:val="2"/>
          </w:tcPr>
          <w:p>
            <w:pPr>
              <w:jc w:val="right"/>
              <w:ind w:right="240"/>
              <w:spacing w:after="0" w:line="108" w:lineRule="exact"/>
              <w:rPr>
                <w:sz w:val="20"/>
                <w:szCs w:val="20"/>
                <w:color w:val="auto"/>
              </w:rPr>
            </w:pPr>
            <w:r>
              <w:rPr>
                <w:rFonts w:ascii="Arial" w:cs="Arial" w:eastAsia="Arial" w:hAnsi="Arial"/>
                <w:sz w:val="10"/>
                <w:szCs w:val="10"/>
                <w:color w:val="auto"/>
              </w:rPr>
              <w:t>—</w:t>
            </w:r>
          </w:p>
        </w:tc>
        <w:tc>
          <w:tcPr>
            <w:tcW w:w="140" w:type="dxa"/>
            <w:vAlign w:val="bottom"/>
          </w:tcPr>
          <w:p>
            <w:pPr>
              <w:spacing w:after="0"/>
              <w:rPr>
                <w:sz w:val="9"/>
                <w:szCs w:val="9"/>
                <w:color w:val="auto"/>
              </w:rPr>
            </w:pPr>
          </w:p>
        </w:tc>
        <w:tc>
          <w:tcPr>
            <w:tcW w:w="11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(2,151)</w:t>
            </w:r>
          </w:p>
        </w:tc>
        <w:tc>
          <w:tcPr>
            <w:tcW w:w="140" w:type="dxa"/>
            <w:vAlign w:val="bottom"/>
          </w:tcPr>
          <w:p>
            <w:pPr>
              <w:spacing w:after="0"/>
              <w:rPr>
                <w:sz w:val="9"/>
                <w:szCs w:val="9"/>
                <w:color w:val="auto"/>
              </w:rPr>
            </w:pPr>
          </w:p>
        </w:tc>
        <w:tc>
          <w:tcPr>
            <w:tcW w:w="1000" w:type="dxa"/>
            <w:vAlign w:val="bottom"/>
            <w:gridSpan w:val="2"/>
          </w:tcPr>
          <w:p>
            <w:pPr>
              <w:jc w:val="right"/>
              <w:ind w:right="140"/>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gridSpan w:val="2"/>
          </w:tcPr>
          <w:p>
            <w:pPr>
              <w:jc w:val="right"/>
              <w:ind w:right="140"/>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gridSpan w:val="2"/>
          </w:tcPr>
          <w:p>
            <w:pPr>
              <w:jc w:val="right"/>
              <w:ind w:right="80"/>
              <w:spacing w:after="0" w:line="108" w:lineRule="exact"/>
              <w:rPr>
                <w:sz w:val="20"/>
                <w:szCs w:val="20"/>
                <w:color w:val="auto"/>
              </w:rPr>
            </w:pPr>
            <w:r>
              <w:rPr>
                <w:rFonts w:ascii="Arial" w:cs="Arial" w:eastAsia="Arial" w:hAnsi="Arial"/>
                <w:sz w:val="10"/>
                <w:szCs w:val="10"/>
                <w:color w:val="auto"/>
              </w:rPr>
              <w:t>(2,151)</w:t>
            </w:r>
          </w:p>
        </w:tc>
      </w:tr>
      <w:tr>
        <w:trPr>
          <w:trHeight w:val="97"/>
        </w:trPr>
        <w:tc>
          <w:tcPr>
            <w:tcW w:w="5300" w:type="dxa"/>
            <w:vAlign w:val="bottom"/>
            <w:tcBorders>
              <w:top w:val="single" w:sz="8" w:color="CFF0FC"/>
            </w:tcBorders>
            <w:gridSpan w:val="2"/>
            <w:shd w:val="clear" w:color="auto" w:fill="CFF0FC"/>
          </w:tcPr>
          <w:p>
            <w:pPr>
              <w:spacing w:after="0" w:line="97" w:lineRule="exact"/>
              <w:rPr>
                <w:sz w:val="20"/>
                <w:szCs w:val="20"/>
                <w:color w:val="auto"/>
              </w:rPr>
            </w:pPr>
            <w:r>
              <w:rPr>
                <w:rFonts w:ascii="Arial" w:cs="Arial" w:eastAsia="Arial" w:hAnsi="Arial"/>
                <w:sz w:val="10"/>
                <w:szCs w:val="10"/>
                <w:color w:val="auto"/>
              </w:rPr>
              <w:t>Net cash (used in) provided by operating activities</w:t>
            </w:r>
          </w:p>
        </w:tc>
        <w:tc>
          <w:tcPr>
            <w:tcW w:w="100" w:type="dxa"/>
            <w:vAlign w:val="bottom"/>
            <w:tcBorders>
              <w:top w:val="single" w:sz="8" w:color="auto"/>
            </w:tcBorders>
            <w:shd w:val="clear" w:color="auto" w:fill="CFF0FC"/>
          </w:tcPr>
          <w:p>
            <w:pPr>
              <w:spacing w:after="0"/>
              <w:rPr>
                <w:sz w:val="8"/>
                <w:szCs w:val="8"/>
                <w:color w:val="auto"/>
              </w:rPr>
            </w:pPr>
          </w:p>
        </w:tc>
        <w:tc>
          <w:tcPr>
            <w:tcW w:w="940" w:type="dxa"/>
            <w:vAlign w:val="bottom"/>
            <w:tcBorders>
              <w:top w:val="single" w:sz="8" w:color="auto"/>
            </w:tcBorders>
            <w:shd w:val="clear" w:color="auto" w:fill="CFF0FC"/>
          </w:tcPr>
          <w:p>
            <w:pPr>
              <w:jc w:val="right"/>
              <w:spacing w:after="0" w:line="97" w:lineRule="exact"/>
              <w:rPr>
                <w:sz w:val="20"/>
                <w:szCs w:val="20"/>
                <w:color w:val="auto"/>
              </w:rPr>
            </w:pPr>
            <w:r>
              <w:rPr>
                <w:rFonts w:ascii="Arial" w:cs="Arial" w:eastAsia="Arial" w:hAnsi="Arial"/>
                <w:sz w:val="10"/>
                <w:szCs w:val="10"/>
                <w:color w:val="auto"/>
              </w:rPr>
              <w:t>—</w:t>
            </w:r>
          </w:p>
        </w:tc>
        <w:tc>
          <w:tcPr>
            <w:tcW w:w="220" w:type="dxa"/>
            <w:vAlign w:val="bottom"/>
            <w:tcBorders>
              <w:top w:val="single" w:sz="8" w:color="CFF0FC"/>
            </w:tcBorders>
            <w:shd w:val="clear" w:color="auto" w:fill="CFF0FC"/>
          </w:tcPr>
          <w:p>
            <w:pPr>
              <w:spacing w:after="0"/>
              <w:rPr>
                <w:sz w:val="8"/>
                <w:szCs w:val="8"/>
                <w:color w:val="auto"/>
              </w:rPr>
            </w:pPr>
          </w:p>
        </w:tc>
        <w:tc>
          <w:tcPr>
            <w:tcW w:w="140" w:type="dxa"/>
            <w:vAlign w:val="bottom"/>
            <w:tcBorders>
              <w:top w:val="single" w:sz="8" w:color="auto"/>
            </w:tcBorders>
            <w:shd w:val="clear" w:color="auto" w:fill="CFF0FC"/>
          </w:tcPr>
          <w:p>
            <w:pPr>
              <w:spacing w:after="0"/>
              <w:rPr>
                <w:sz w:val="8"/>
                <w:szCs w:val="8"/>
                <w:color w:val="auto"/>
              </w:rPr>
            </w:pPr>
          </w:p>
        </w:tc>
        <w:tc>
          <w:tcPr>
            <w:tcW w:w="880" w:type="dxa"/>
            <w:vAlign w:val="bottom"/>
            <w:tcBorders>
              <w:top w:val="single" w:sz="8" w:color="auto"/>
            </w:tcBorders>
            <w:shd w:val="clear" w:color="auto" w:fill="CFF0FC"/>
          </w:tcPr>
          <w:p>
            <w:pPr>
              <w:jc w:val="right"/>
              <w:spacing w:after="0" w:line="97" w:lineRule="exact"/>
              <w:rPr>
                <w:sz w:val="20"/>
                <w:szCs w:val="20"/>
                <w:color w:val="auto"/>
              </w:rPr>
            </w:pPr>
            <w:r>
              <w:rPr>
                <w:rFonts w:ascii="Arial" w:cs="Arial" w:eastAsia="Arial" w:hAnsi="Arial"/>
                <w:sz w:val="10"/>
                <w:szCs w:val="10"/>
                <w:color w:val="auto"/>
              </w:rPr>
              <w:t>100,330</w:t>
            </w:r>
          </w:p>
        </w:tc>
        <w:tc>
          <w:tcPr>
            <w:tcW w:w="240" w:type="dxa"/>
            <w:vAlign w:val="bottom"/>
            <w:tcBorders>
              <w:top w:val="single" w:sz="8" w:color="CFF0FC"/>
            </w:tcBorders>
            <w:shd w:val="clear" w:color="auto" w:fill="CFF0FC"/>
          </w:tcPr>
          <w:p>
            <w:pPr>
              <w:spacing w:after="0"/>
              <w:rPr>
                <w:sz w:val="8"/>
                <w:szCs w:val="8"/>
                <w:color w:val="auto"/>
              </w:rPr>
            </w:pPr>
          </w:p>
        </w:tc>
        <w:tc>
          <w:tcPr>
            <w:tcW w:w="140" w:type="dxa"/>
            <w:vAlign w:val="bottom"/>
            <w:tcBorders>
              <w:top w:val="single" w:sz="8" w:color="auto"/>
            </w:tcBorders>
            <w:shd w:val="clear" w:color="auto" w:fill="CFF0FC"/>
          </w:tcPr>
          <w:p>
            <w:pPr>
              <w:spacing w:after="0"/>
              <w:rPr>
                <w:sz w:val="8"/>
                <w:szCs w:val="8"/>
                <w:color w:val="auto"/>
              </w:rPr>
            </w:pPr>
          </w:p>
        </w:tc>
        <w:tc>
          <w:tcPr>
            <w:tcW w:w="880" w:type="dxa"/>
            <w:vAlign w:val="bottom"/>
            <w:tcBorders>
              <w:top w:val="single" w:sz="8" w:color="auto"/>
            </w:tcBorders>
            <w:shd w:val="clear" w:color="auto" w:fill="CFF0FC"/>
          </w:tcPr>
          <w:p>
            <w:pPr>
              <w:jc w:val="right"/>
              <w:spacing w:after="0" w:line="97" w:lineRule="exact"/>
              <w:rPr>
                <w:sz w:val="20"/>
                <w:szCs w:val="20"/>
                <w:color w:val="auto"/>
              </w:rPr>
            </w:pPr>
            <w:r>
              <w:rPr>
                <w:rFonts w:ascii="Arial" w:cs="Arial" w:eastAsia="Arial" w:hAnsi="Arial"/>
                <w:sz w:val="10"/>
                <w:szCs w:val="10"/>
                <w:color w:val="auto"/>
              </w:rPr>
              <w:t>33,472</w:t>
            </w:r>
          </w:p>
        </w:tc>
        <w:tc>
          <w:tcPr>
            <w:tcW w:w="120" w:type="dxa"/>
            <w:vAlign w:val="bottom"/>
            <w:tcBorders>
              <w:top w:val="single" w:sz="8" w:color="CFF0FC"/>
            </w:tcBorders>
            <w:shd w:val="clear" w:color="auto" w:fill="CFF0FC"/>
          </w:tcPr>
          <w:p>
            <w:pPr>
              <w:spacing w:after="0"/>
              <w:rPr>
                <w:sz w:val="8"/>
                <w:szCs w:val="8"/>
                <w:color w:val="auto"/>
              </w:rPr>
            </w:pPr>
          </w:p>
        </w:tc>
        <w:tc>
          <w:tcPr>
            <w:tcW w:w="100" w:type="dxa"/>
            <w:vAlign w:val="bottom"/>
            <w:tcBorders>
              <w:top w:val="single" w:sz="8" w:color="CFF0FC"/>
            </w:tcBorders>
            <w:shd w:val="clear" w:color="auto" w:fill="CFF0FC"/>
          </w:tcPr>
          <w:p>
            <w:pPr>
              <w:spacing w:after="0"/>
              <w:rPr>
                <w:sz w:val="8"/>
                <w:szCs w:val="8"/>
                <w:color w:val="auto"/>
              </w:rPr>
            </w:pPr>
          </w:p>
        </w:tc>
        <w:tc>
          <w:tcPr>
            <w:tcW w:w="160" w:type="dxa"/>
            <w:vAlign w:val="bottom"/>
            <w:tcBorders>
              <w:top w:val="single" w:sz="8" w:color="auto"/>
            </w:tcBorders>
            <w:shd w:val="clear" w:color="auto" w:fill="CFF0FC"/>
          </w:tcPr>
          <w:p>
            <w:pPr>
              <w:spacing w:after="0"/>
              <w:rPr>
                <w:sz w:val="8"/>
                <w:szCs w:val="8"/>
                <w:color w:val="auto"/>
              </w:rPr>
            </w:pPr>
          </w:p>
        </w:tc>
        <w:tc>
          <w:tcPr>
            <w:tcW w:w="880" w:type="dxa"/>
            <w:vAlign w:val="bottom"/>
            <w:tcBorders>
              <w:top w:val="single" w:sz="8" w:color="auto"/>
            </w:tcBorders>
            <w:shd w:val="clear" w:color="auto" w:fill="CFF0FC"/>
          </w:tcPr>
          <w:p>
            <w:pPr>
              <w:jc w:val="right"/>
              <w:spacing w:after="0" w:line="97" w:lineRule="exact"/>
              <w:rPr>
                <w:sz w:val="20"/>
                <w:szCs w:val="20"/>
                <w:color w:val="auto"/>
              </w:rPr>
            </w:pPr>
            <w:r>
              <w:rPr>
                <w:rFonts w:ascii="Arial" w:cs="Arial" w:eastAsia="Arial" w:hAnsi="Arial"/>
                <w:sz w:val="10"/>
                <w:szCs w:val="10"/>
                <w:color w:val="auto"/>
              </w:rPr>
              <w:t>—</w:t>
            </w:r>
          </w:p>
        </w:tc>
        <w:tc>
          <w:tcPr>
            <w:tcW w:w="120" w:type="dxa"/>
            <w:vAlign w:val="bottom"/>
            <w:tcBorders>
              <w:top w:val="single" w:sz="8" w:color="CFF0FC"/>
            </w:tcBorders>
            <w:shd w:val="clear" w:color="auto" w:fill="CFF0FC"/>
          </w:tcPr>
          <w:p>
            <w:pPr>
              <w:spacing w:after="0"/>
              <w:rPr>
                <w:sz w:val="8"/>
                <w:szCs w:val="8"/>
                <w:color w:val="auto"/>
              </w:rPr>
            </w:pPr>
          </w:p>
        </w:tc>
        <w:tc>
          <w:tcPr>
            <w:tcW w:w="100" w:type="dxa"/>
            <w:vAlign w:val="bottom"/>
            <w:tcBorders>
              <w:top w:val="single" w:sz="8" w:color="CFF0FC"/>
            </w:tcBorders>
            <w:shd w:val="clear" w:color="auto" w:fill="CFF0FC"/>
          </w:tcPr>
          <w:p>
            <w:pPr>
              <w:spacing w:after="0"/>
              <w:rPr>
                <w:sz w:val="8"/>
                <w:szCs w:val="8"/>
                <w:color w:val="auto"/>
              </w:rPr>
            </w:pPr>
          </w:p>
        </w:tc>
        <w:tc>
          <w:tcPr>
            <w:tcW w:w="160" w:type="dxa"/>
            <w:vAlign w:val="bottom"/>
            <w:tcBorders>
              <w:top w:val="single" w:sz="8" w:color="auto"/>
            </w:tcBorders>
            <w:shd w:val="clear" w:color="auto" w:fill="CFF0FC"/>
          </w:tcPr>
          <w:p>
            <w:pPr>
              <w:spacing w:after="0"/>
              <w:rPr>
                <w:sz w:val="8"/>
                <w:szCs w:val="8"/>
                <w:color w:val="auto"/>
              </w:rPr>
            </w:pPr>
          </w:p>
        </w:tc>
        <w:tc>
          <w:tcPr>
            <w:tcW w:w="880" w:type="dxa"/>
            <w:vAlign w:val="bottom"/>
            <w:tcBorders>
              <w:top w:val="single" w:sz="8" w:color="auto"/>
            </w:tcBorders>
            <w:shd w:val="clear" w:color="auto" w:fill="CFF0FC"/>
          </w:tcPr>
          <w:p>
            <w:pPr>
              <w:jc w:val="right"/>
              <w:spacing w:after="0" w:line="97" w:lineRule="exact"/>
              <w:rPr>
                <w:sz w:val="20"/>
                <w:szCs w:val="20"/>
                <w:color w:val="auto"/>
              </w:rPr>
            </w:pPr>
            <w:r>
              <w:rPr>
                <w:rFonts w:ascii="Arial" w:cs="Arial" w:eastAsia="Arial" w:hAnsi="Arial"/>
                <w:sz w:val="10"/>
                <w:szCs w:val="10"/>
                <w:color w:val="auto"/>
              </w:rPr>
              <w:t>133,802</w:t>
            </w:r>
          </w:p>
        </w:tc>
        <w:tc>
          <w:tcPr>
            <w:tcW w:w="120" w:type="dxa"/>
            <w:vAlign w:val="bottom"/>
            <w:tcBorders>
              <w:top w:val="single" w:sz="8" w:color="CFF0FC"/>
            </w:tcBorders>
            <w:shd w:val="clear" w:color="auto" w:fill="CFF0FC"/>
          </w:tcPr>
          <w:p>
            <w:pPr>
              <w:spacing w:after="0"/>
              <w:rPr>
                <w:sz w:val="8"/>
                <w:szCs w:val="8"/>
                <w:color w:val="auto"/>
              </w:rPr>
            </w:pPr>
          </w:p>
        </w:tc>
      </w:tr>
      <w:tr>
        <w:trPr>
          <w:trHeight w:val="108"/>
        </w:trPr>
        <w:tc>
          <w:tcPr>
            <w:tcW w:w="5300" w:type="dxa"/>
            <w:vAlign w:val="bottom"/>
            <w:gridSpan w:val="2"/>
          </w:tcPr>
          <w:p>
            <w:pPr>
              <w:spacing w:after="0" w:line="108" w:lineRule="exact"/>
              <w:rPr>
                <w:sz w:val="20"/>
                <w:szCs w:val="20"/>
                <w:color w:val="auto"/>
              </w:rPr>
            </w:pPr>
            <w:r>
              <w:rPr>
                <w:rFonts w:ascii="Arial" w:cs="Arial" w:eastAsia="Arial" w:hAnsi="Arial"/>
                <w:sz w:val="10"/>
                <w:szCs w:val="10"/>
                <w:b w:val="1"/>
                <w:bCs w:val="1"/>
                <w:color w:val="auto"/>
              </w:rPr>
              <w:t>Cash Flows from Investing Activities:</w:t>
            </w:r>
          </w:p>
        </w:tc>
        <w:tc>
          <w:tcPr>
            <w:tcW w:w="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r>
      <w:tr>
        <w:trPr>
          <w:trHeight w:val="108"/>
        </w:trPr>
        <w:tc>
          <w:tcPr>
            <w:tcW w:w="5300" w:type="dxa"/>
            <w:vAlign w:val="bottom"/>
            <w:gridSpan w:val="2"/>
            <w:shd w:val="clear" w:color="auto" w:fill="CFF0FC"/>
          </w:tcPr>
          <w:p>
            <w:pPr>
              <w:ind w:left="160"/>
              <w:spacing w:after="0" w:line="108" w:lineRule="exact"/>
              <w:rPr>
                <w:sz w:val="20"/>
                <w:szCs w:val="20"/>
                <w:color w:val="auto"/>
              </w:rPr>
            </w:pPr>
            <w:r>
              <w:rPr>
                <w:rFonts w:ascii="Arial" w:cs="Arial" w:eastAsia="Arial" w:hAnsi="Arial"/>
                <w:sz w:val="10"/>
                <w:szCs w:val="10"/>
                <w:color w:val="auto"/>
              </w:rPr>
              <w:t>Acquisition of business, net of cash and restricted cash acquired</w:t>
            </w:r>
          </w:p>
        </w:tc>
        <w:tc>
          <w:tcPr>
            <w:tcW w:w="100" w:type="dxa"/>
            <w:vAlign w:val="bottom"/>
            <w:shd w:val="clear" w:color="auto" w:fill="CFF0FC"/>
          </w:tcPr>
          <w:p>
            <w:pPr>
              <w:spacing w:after="0"/>
              <w:rPr>
                <w:sz w:val="9"/>
                <w:szCs w:val="9"/>
                <w:color w:val="auto"/>
              </w:rPr>
            </w:pPr>
          </w:p>
        </w:tc>
        <w:tc>
          <w:tcPr>
            <w:tcW w:w="1160" w:type="dxa"/>
            <w:vAlign w:val="bottom"/>
            <w:gridSpan w:val="2"/>
            <w:shd w:val="clear" w:color="auto" w:fill="CFF0FC"/>
          </w:tcPr>
          <w:p>
            <w:pPr>
              <w:jc w:val="right"/>
              <w:ind w:right="240"/>
              <w:spacing w:after="0" w:line="108" w:lineRule="exact"/>
              <w:rPr>
                <w:sz w:val="20"/>
                <w:szCs w:val="20"/>
                <w:color w:val="auto"/>
              </w:rPr>
            </w:pPr>
            <w:r>
              <w:rPr>
                <w:rFonts w:ascii="Arial" w:cs="Arial" w:eastAsia="Arial" w:hAnsi="Arial"/>
                <w:sz w:val="10"/>
                <w:szCs w:val="10"/>
                <w:color w:val="auto"/>
              </w:rPr>
              <w:t>—</w:t>
            </w:r>
          </w:p>
        </w:tc>
        <w:tc>
          <w:tcPr>
            <w:tcW w:w="140" w:type="dxa"/>
            <w:vAlign w:val="bottom"/>
            <w:shd w:val="clear" w:color="auto" w:fill="CFF0FC"/>
          </w:tcPr>
          <w:p>
            <w:pPr>
              <w:spacing w:after="0"/>
              <w:rPr>
                <w:sz w:val="9"/>
                <w:szCs w:val="9"/>
                <w:color w:val="auto"/>
              </w:rPr>
            </w:pPr>
          </w:p>
        </w:tc>
        <w:tc>
          <w:tcPr>
            <w:tcW w:w="1120" w:type="dxa"/>
            <w:vAlign w:val="bottom"/>
            <w:gridSpan w:val="2"/>
            <w:shd w:val="clear" w:color="auto" w:fill="CFF0FC"/>
          </w:tcPr>
          <w:p>
            <w:pPr>
              <w:jc w:val="right"/>
              <w:ind w:right="240"/>
              <w:spacing w:after="0" w:line="108" w:lineRule="exact"/>
              <w:rPr>
                <w:sz w:val="20"/>
                <w:szCs w:val="20"/>
                <w:color w:val="auto"/>
              </w:rPr>
            </w:pPr>
            <w:r>
              <w:rPr>
                <w:rFonts w:ascii="Arial" w:cs="Arial" w:eastAsia="Arial" w:hAnsi="Arial"/>
                <w:sz w:val="10"/>
                <w:szCs w:val="10"/>
                <w:color w:val="auto"/>
              </w:rPr>
              <w:t>—</w:t>
            </w:r>
          </w:p>
        </w:tc>
        <w:tc>
          <w:tcPr>
            <w:tcW w:w="140" w:type="dxa"/>
            <w:vAlign w:val="bottom"/>
            <w:shd w:val="clear" w:color="auto" w:fill="CFF0FC"/>
          </w:tcPr>
          <w:p>
            <w:pPr>
              <w:spacing w:after="0"/>
              <w:rPr>
                <w:sz w:val="9"/>
                <w:szCs w:val="9"/>
                <w:color w:val="auto"/>
              </w:rPr>
            </w:pPr>
          </w:p>
        </w:tc>
        <w:tc>
          <w:tcPr>
            <w:tcW w:w="1000" w:type="dxa"/>
            <w:vAlign w:val="bottom"/>
            <w:gridSpan w:val="2"/>
            <w:shd w:val="clear" w:color="auto" w:fill="CFF0FC"/>
          </w:tcPr>
          <w:p>
            <w:pPr>
              <w:jc w:val="right"/>
              <w:ind w:right="100"/>
              <w:spacing w:after="0" w:line="108" w:lineRule="exact"/>
              <w:rPr>
                <w:sz w:val="20"/>
                <w:szCs w:val="20"/>
                <w:color w:val="auto"/>
              </w:rPr>
            </w:pPr>
            <w:r>
              <w:rPr>
                <w:rFonts w:ascii="Arial" w:cs="Arial" w:eastAsia="Arial" w:hAnsi="Arial"/>
                <w:sz w:val="10"/>
                <w:szCs w:val="10"/>
                <w:color w:val="auto"/>
              </w:rPr>
              <w:t>(25,519)</w:t>
            </w:r>
          </w:p>
        </w:tc>
        <w:tc>
          <w:tcPr>
            <w:tcW w:w="10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1000" w:type="dxa"/>
            <w:vAlign w:val="bottom"/>
            <w:gridSpan w:val="2"/>
            <w:shd w:val="clear" w:color="auto" w:fill="CFF0FC"/>
          </w:tcPr>
          <w:p>
            <w:pPr>
              <w:jc w:val="right"/>
              <w:ind w:right="140"/>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1000" w:type="dxa"/>
            <w:vAlign w:val="bottom"/>
            <w:gridSpan w:val="2"/>
            <w:shd w:val="clear" w:color="auto" w:fill="CFF0FC"/>
          </w:tcPr>
          <w:p>
            <w:pPr>
              <w:jc w:val="right"/>
              <w:ind w:right="80"/>
              <w:spacing w:after="0" w:line="108" w:lineRule="exact"/>
              <w:rPr>
                <w:sz w:val="20"/>
                <w:szCs w:val="20"/>
                <w:color w:val="auto"/>
              </w:rPr>
            </w:pPr>
            <w:r>
              <w:rPr>
                <w:rFonts w:ascii="Arial" w:cs="Arial" w:eastAsia="Arial" w:hAnsi="Arial"/>
                <w:sz w:val="10"/>
                <w:szCs w:val="10"/>
                <w:color w:val="auto"/>
              </w:rPr>
              <w:t>(25,519)</w:t>
            </w:r>
          </w:p>
        </w:tc>
      </w:tr>
      <w:tr>
        <w:trPr>
          <w:trHeight w:val="108"/>
        </w:trPr>
        <w:tc>
          <w:tcPr>
            <w:tcW w:w="5300" w:type="dxa"/>
            <w:vAlign w:val="bottom"/>
            <w:gridSpan w:val="2"/>
          </w:tcPr>
          <w:p>
            <w:pPr>
              <w:ind w:left="160"/>
              <w:spacing w:after="0" w:line="108" w:lineRule="exact"/>
              <w:rPr>
                <w:sz w:val="20"/>
                <w:szCs w:val="20"/>
                <w:color w:val="auto"/>
              </w:rPr>
            </w:pPr>
            <w:r>
              <w:rPr>
                <w:rFonts w:ascii="Arial" w:cs="Arial" w:eastAsia="Arial" w:hAnsi="Arial"/>
                <w:sz w:val="10"/>
                <w:szCs w:val="10"/>
                <w:color w:val="auto"/>
              </w:rPr>
              <w:t>Purchases of installation and service parts and property and equipment</w:t>
            </w:r>
          </w:p>
        </w:tc>
        <w:tc>
          <w:tcPr>
            <w:tcW w:w="100" w:type="dxa"/>
            <w:vAlign w:val="bottom"/>
          </w:tcPr>
          <w:p>
            <w:pPr>
              <w:spacing w:after="0"/>
              <w:rPr>
                <w:sz w:val="9"/>
                <w:szCs w:val="9"/>
                <w:color w:val="auto"/>
              </w:rPr>
            </w:pPr>
          </w:p>
        </w:tc>
        <w:tc>
          <w:tcPr>
            <w:tcW w:w="1160" w:type="dxa"/>
            <w:vAlign w:val="bottom"/>
            <w:gridSpan w:val="2"/>
          </w:tcPr>
          <w:p>
            <w:pPr>
              <w:jc w:val="right"/>
              <w:ind w:right="240"/>
              <w:spacing w:after="0" w:line="108" w:lineRule="exact"/>
              <w:rPr>
                <w:sz w:val="20"/>
                <w:szCs w:val="20"/>
                <w:color w:val="auto"/>
              </w:rPr>
            </w:pPr>
            <w:r>
              <w:rPr>
                <w:rFonts w:ascii="Arial" w:cs="Arial" w:eastAsia="Arial" w:hAnsi="Arial"/>
                <w:sz w:val="10"/>
                <w:szCs w:val="10"/>
                <w:color w:val="auto"/>
              </w:rPr>
              <w:t>—</w:t>
            </w:r>
          </w:p>
        </w:tc>
        <w:tc>
          <w:tcPr>
            <w:tcW w:w="140" w:type="dxa"/>
            <w:vAlign w:val="bottom"/>
          </w:tcPr>
          <w:p>
            <w:pPr>
              <w:spacing w:after="0"/>
              <w:rPr>
                <w:sz w:val="9"/>
                <w:szCs w:val="9"/>
                <w:color w:val="auto"/>
              </w:rPr>
            </w:pPr>
          </w:p>
        </w:tc>
        <w:tc>
          <w:tcPr>
            <w:tcW w:w="11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(28,319)</w:t>
            </w:r>
          </w:p>
        </w:tc>
        <w:tc>
          <w:tcPr>
            <w:tcW w:w="140" w:type="dxa"/>
            <w:vAlign w:val="bottom"/>
          </w:tcPr>
          <w:p>
            <w:pPr>
              <w:spacing w:after="0"/>
              <w:rPr>
                <w:sz w:val="9"/>
                <w:szCs w:val="9"/>
                <w:color w:val="auto"/>
              </w:rPr>
            </w:pPr>
          </w:p>
        </w:tc>
        <w:tc>
          <w:tcPr>
            <w:tcW w:w="100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(1,366)</w:t>
            </w: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gridSpan w:val="2"/>
          </w:tcPr>
          <w:p>
            <w:pPr>
              <w:jc w:val="right"/>
              <w:ind w:right="140"/>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gridSpan w:val="2"/>
          </w:tcPr>
          <w:p>
            <w:pPr>
              <w:jc w:val="right"/>
              <w:ind w:right="80"/>
              <w:spacing w:after="0" w:line="108" w:lineRule="exact"/>
              <w:rPr>
                <w:sz w:val="20"/>
                <w:szCs w:val="20"/>
                <w:color w:val="auto"/>
              </w:rPr>
            </w:pPr>
            <w:r>
              <w:rPr>
                <w:rFonts w:ascii="Arial" w:cs="Arial" w:eastAsia="Arial" w:hAnsi="Arial"/>
                <w:sz w:val="10"/>
                <w:szCs w:val="10"/>
                <w:color w:val="auto"/>
              </w:rPr>
              <w:t>(29,685)</w:t>
            </w:r>
          </w:p>
        </w:tc>
      </w:tr>
      <w:tr>
        <w:trPr>
          <w:trHeight w:val="108"/>
        </w:trPr>
        <w:tc>
          <w:tcPr>
            <w:tcW w:w="5300" w:type="dxa"/>
            <w:vAlign w:val="bottom"/>
            <w:gridSpan w:val="2"/>
            <w:shd w:val="clear" w:color="auto" w:fill="CFF0FC"/>
          </w:tcPr>
          <w:p>
            <w:pPr>
              <w:ind w:left="160"/>
              <w:spacing w:after="0" w:line="108" w:lineRule="exact"/>
              <w:rPr>
                <w:sz w:val="20"/>
                <w:szCs w:val="20"/>
                <w:color w:val="auto"/>
              </w:rPr>
            </w:pPr>
            <w:r>
              <w:rPr>
                <w:rFonts w:ascii="Arial" w:cs="Arial" w:eastAsia="Arial" w:hAnsi="Arial"/>
                <w:sz w:val="10"/>
                <w:szCs w:val="10"/>
                <w:color w:val="auto"/>
              </w:rPr>
              <w:t>Cash proceeds from the sale of assets</w:t>
            </w:r>
          </w:p>
        </w:tc>
        <w:tc>
          <w:tcPr>
            <w:tcW w:w="100" w:type="dxa"/>
            <w:vAlign w:val="bottom"/>
            <w:shd w:val="clear" w:color="auto" w:fill="CFF0FC"/>
          </w:tcPr>
          <w:p>
            <w:pPr>
              <w:spacing w:after="0"/>
              <w:rPr>
                <w:sz w:val="9"/>
                <w:szCs w:val="9"/>
                <w:color w:val="auto"/>
              </w:rPr>
            </w:pPr>
          </w:p>
        </w:tc>
        <w:tc>
          <w:tcPr>
            <w:tcW w:w="1160" w:type="dxa"/>
            <w:vAlign w:val="bottom"/>
            <w:gridSpan w:val="2"/>
            <w:shd w:val="clear" w:color="auto" w:fill="CFF0FC"/>
          </w:tcPr>
          <w:p>
            <w:pPr>
              <w:jc w:val="right"/>
              <w:ind w:right="240"/>
              <w:spacing w:after="0" w:line="108" w:lineRule="exact"/>
              <w:rPr>
                <w:sz w:val="20"/>
                <w:szCs w:val="20"/>
                <w:color w:val="auto"/>
              </w:rPr>
            </w:pPr>
            <w:r>
              <w:rPr>
                <w:rFonts w:ascii="Arial" w:cs="Arial" w:eastAsia="Arial" w:hAnsi="Arial"/>
                <w:sz w:val="10"/>
                <w:szCs w:val="10"/>
                <w:color w:val="auto"/>
              </w:rPr>
              <w:t>—</w:t>
            </w:r>
          </w:p>
        </w:tc>
        <w:tc>
          <w:tcPr>
            <w:tcW w:w="140" w:type="dxa"/>
            <w:vAlign w:val="bottom"/>
            <w:shd w:val="clear" w:color="auto" w:fill="CFF0FC"/>
          </w:tcPr>
          <w:p>
            <w:pPr>
              <w:spacing w:after="0"/>
              <w:rPr>
                <w:sz w:val="9"/>
                <w:szCs w:val="9"/>
                <w:color w:val="auto"/>
              </w:rPr>
            </w:pPr>
          </w:p>
        </w:tc>
        <w:tc>
          <w:tcPr>
            <w:tcW w:w="880" w:type="dxa"/>
            <w:vAlign w:val="bottom"/>
            <w:shd w:val="clear" w:color="auto" w:fill="CFF0FC"/>
          </w:tcPr>
          <w:p>
            <w:pPr>
              <w:jc w:val="right"/>
              <w:spacing w:after="0" w:line="108" w:lineRule="exact"/>
              <w:rPr>
                <w:sz w:val="20"/>
                <w:szCs w:val="20"/>
                <w:color w:val="auto"/>
              </w:rPr>
            </w:pPr>
            <w:r>
              <w:rPr>
                <w:rFonts w:ascii="Arial" w:cs="Arial" w:eastAsia="Arial" w:hAnsi="Arial"/>
                <w:sz w:val="10"/>
                <w:szCs w:val="10"/>
                <w:color w:val="auto"/>
              </w:rPr>
              <w:t>231</w:t>
            </w:r>
          </w:p>
        </w:tc>
        <w:tc>
          <w:tcPr>
            <w:tcW w:w="24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1000" w:type="dxa"/>
            <w:vAlign w:val="bottom"/>
            <w:gridSpan w:val="2"/>
            <w:shd w:val="clear" w:color="auto" w:fill="CFF0FC"/>
          </w:tcPr>
          <w:p>
            <w:pPr>
              <w:jc w:val="right"/>
              <w:ind w:right="140"/>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1000" w:type="dxa"/>
            <w:vAlign w:val="bottom"/>
            <w:gridSpan w:val="2"/>
            <w:shd w:val="clear" w:color="auto" w:fill="CFF0FC"/>
          </w:tcPr>
          <w:p>
            <w:pPr>
              <w:jc w:val="right"/>
              <w:ind w:right="140"/>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880" w:type="dxa"/>
            <w:vAlign w:val="bottom"/>
            <w:shd w:val="clear" w:color="auto" w:fill="CFF0FC"/>
          </w:tcPr>
          <w:p>
            <w:pPr>
              <w:jc w:val="right"/>
              <w:spacing w:after="0" w:line="108" w:lineRule="exact"/>
              <w:rPr>
                <w:sz w:val="20"/>
                <w:szCs w:val="20"/>
                <w:color w:val="auto"/>
              </w:rPr>
            </w:pPr>
            <w:r>
              <w:rPr>
                <w:rFonts w:ascii="Arial" w:cs="Arial" w:eastAsia="Arial" w:hAnsi="Arial"/>
                <w:sz w:val="10"/>
                <w:szCs w:val="10"/>
                <w:color w:val="auto"/>
              </w:rPr>
              <w:t>231</w:t>
            </w:r>
          </w:p>
        </w:tc>
        <w:tc>
          <w:tcPr>
            <w:tcW w:w="120" w:type="dxa"/>
            <w:vAlign w:val="bottom"/>
            <w:shd w:val="clear" w:color="auto" w:fill="CFF0FC"/>
          </w:tcPr>
          <w:p>
            <w:pPr>
              <w:spacing w:after="0"/>
              <w:rPr>
                <w:sz w:val="9"/>
                <w:szCs w:val="9"/>
                <w:color w:val="auto"/>
              </w:rPr>
            </w:pPr>
          </w:p>
        </w:tc>
      </w:tr>
      <w:tr>
        <w:trPr>
          <w:trHeight w:val="97"/>
        </w:trPr>
        <w:tc>
          <w:tcPr>
            <w:tcW w:w="5300" w:type="dxa"/>
            <w:vAlign w:val="bottom"/>
            <w:gridSpan w:val="2"/>
          </w:tcPr>
          <w:p>
            <w:pPr>
              <w:spacing w:after="0" w:line="97" w:lineRule="exact"/>
              <w:rPr>
                <w:sz w:val="20"/>
                <w:szCs w:val="20"/>
                <w:color w:val="auto"/>
              </w:rPr>
            </w:pPr>
            <w:r>
              <w:rPr>
                <w:rFonts w:ascii="Arial" w:cs="Arial" w:eastAsia="Arial" w:hAnsi="Arial"/>
                <w:sz w:val="10"/>
                <w:szCs w:val="10"/>
                <w:color w:val="auto"/>
              </w:rPr>
              <w:t>Net cash used in investing activities</w:t>
            </w:r>
          </w:p>
        </w:tc>
        <w:tc>
          <w:tcPr>
            <w:tcW w:w="100" w:type="dxa"/>
            <w:vAlign w:val="bottom"/>
            <w:tcBorders>
              <w:top w:val="single" w:sz="8" w:color="auto"/>
            </w:tcBorders>
          </w:tcPr>
          <w:p>
            <w:pPr>
              <w:spacing w:after="0"/>
              <w:rPr>
                <w:sz w:val="8"/>
                <w:szCs w:val="8"/>
                <w:color w:val="auto"/>
              </w:rPr>
            </w:pPr>
          </w:p>
        </w:tc>
        <w:tc>
          <w:tcPr>
            <w:tcW w:w="940" w:type="dxa"/>
            <w:vAlign w:val="bottom"/>
            <w:tcBorders>
              <w:top w:val="single" w:sz="8" w:color="auto"/>
            </w:tcBorders>
          </w:tcPr>
          <w:p>
            <w:pPr>
              <w:jc w:val="right"/>
              <w:spacing w:after="0" w:line="97" w:lineRule="exact"/>
              <w:rPr>
                <w:sz w:val="20"/>
                <w:szCs w:val="20"/>
                <w:color w:val="auto"/>
              </w:rPr>
            </w:pPr>
            <w:r>
              <w:rPr>
                <w:rFonts w:ascii="Arial" w:cs="Arial" w:eastAsia="Arial" w:hAnsi="Arial"/>
                <w:sz w:val="10"/>
                <w:szCs w:val="10"/>
                <w:color w:val="auto"/>
              </w:rPr>
              <w:t>—</w:t>
            </w:r>
          </w:p>
        </w:tc>
        <w:tc>
          <w:tcPr>
            <w:tcW w:w="22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880" w:type="dxa"/>
            <w:vAlign w:val="bottom"/>
            <w:tcBorders>
              <w:top w:val="single" w:sz="8" w:color="auto"/>
            </w:tcBorders>
          </w:tcPr>
          <w:p>
            <w:pPr>
              <w:jc w:val="right"/>
              <w:spacing w:after="0" w:line="97" w:lineRule="exact"/>
              <w:rPr>
                <w:sz w:val="20"/>
                <w:szCs w:val="20"/>
                <w:color w:val="auto"/>
              </w:rPr>
            </w:pPr>
            <w:r>
              <w:rPr>
                <w:rFonts w:ascii="Arial" w:cs="Arial" w:eastAsia="Arial" w:hAnsi="Arial"/>
                <w:sz w:val="10"/>
                <w:szCs w:val="10"/>
                <w:color w:val="auto"/>
              </w:rPr>
              <w:t>(28,088)</w:t>
            </w:r>
          </w:p>
        </w:tc>
        <w:tc>
          <w:tcPr>
            <w:tcW w:w="24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880" w:type="dxa"/>
            <w:vAlign w:val="bottom"/>
            <w:tcBorders>
              <w:top w:val="single" w:sz="8" w:color="auto"/>
            </w:tcBorders>
          </w:tcPr>
          <w:p>
            <w:pPr>
              <w:jc w:val="right"/>
              <w:spacing w:after="0" w:line="97" w:lineRule="exact"/>
              <w:rPr>
                <w:sz w:val="20"/>
                <w:szCs w:val="20"/>
                <w:color w:val="auto"/>
              </w:rPr>
            </w:pPr>
            <w:r>
              <w:rPr>
                <w:rFonts w:ascii="Arial" w:cs="Arial" w:eastAsia="Arial" w:hAnsi="Arial"/>
                <w:sz w:val="10"/>
                <w:szCs w:val="10"/>
                <w:color w:val="auto"/>
              </w:rPr>
              <w:t>(26,885)</w:t>
            </w: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880" w:type="dxa"/>
            <w:vAlign w:val="bottom"/>
            <w:tcBorders>
              <w:top w:val="single" w:sz="8" w:color="auto"/>
            </w:tcBorders>
          </w:tcPr>
          <w:p>
            <w:pPr>
              <w:jc w:val="right"/>
              <w:spacing w:after="0" w:line="97" w:lineRule="exact"/>
              <w:rPr>
                <w:sz w:val="20"/>
                <w:szCs w:val="20"/>
                <w:color w:val="auto"/>
              </w:rPr>
            </w:pPr>
            <w:r>
              <w:rPr>
                <w:rFonts w:ascii="Arial" w:cs="Arial" w:eastAsia="Arial" w:hAnsi="Arial"/>
                <w:sz w:val="10"/>
                <w:szCs w:val="10"/>
                <w:color w:val="auto"/>
              </w:rPr>
              <w:t>—</w:t>
            </w: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880" w:type="dxa"/>
            <w:vAlign w:val="bottom"/>
            <w:tcBorders>
              <w:top w:val="single" w:sz="8" w:color="auto"/>
            </w:tcBorders>
          </w:tcPr>
          <w:p>
            <w:pPr>
              <w:jc w:val="right"/>
              <w:spacing w:after="0" w:line="97" w:lineRule="exact"/>
              <w:rPr>
                <w:sz w:val="20"/>
                <w:szCs w:val="20"/>
                <w:color w:val="auto"/>
              </w:rPr>
            </w:pPr>
            <w:r>
              <w:rPr>
                <w:rFonts w:ascii="Arial" w:cs="Arial" w:eastAsia="Arial" w:hAnsi="Arial"/>
                <w:sz w:val="10"/>
                <w:szCs w:val="10"/>
                <w:color w:val="auto"/>
              </w:rPr>
              <w:t>(54,973)</w:t>
            </w:r>
          </w:p>
        </w:tc>
        <w:tc>
          <w:tcPr>
            <w:tcW w:w="120" w:type="dxa"/>
            <w:vAlign w:val="bottom"/>
          </w:tcPr>
          <w:p>
            <w:pPr>
              <w:spacing w:after="0"/>
              <w:rPr>
                <w:sz w:val="8"/>
                <w:szCs w:val="8"/>
                <w:color w:val="auto"/>
              </w:rPr>
            </w:pPr>
          </w:p>
        </w:tc>
      </w:tr>
      <w:tr>
        <w:trPr>
          <w:trHeight w:val="108"/>
        </w:trPr>
        <w:tc>
          <w:tcPr>
            <w:tcW w:w="5300" w:type="dxa"/>
            <w:vAlign w:val="bottom"/>
            <w:gridSpan w:val="2"/>
            <w:shd w:val="clear" w:color="auto" w:fill="CFF0FC"/>
          </w:tcPr>
          <w:p>
            <w:pPr>
              <w:spacing w:after="0" w:line="108" w:lineRule="exact"/>
              <w:rPr>
                <w:sz w:val="20"/>
                <w:szCs w:val="20"/>
                <w:color w:val="auto"/>
              </w:rPr>
            </w:pPr>
            <w:r>
              <w:rPr>
                <w:rFonts w:ascii="Arial" w:cs="Arial" w:eastAsia="Arial" w:hAnsi="Arial"/>
                <w:sz w:val="10"/>
                <w:szCs w:val="10"/>
                <w:b w:val="1"/>
                <w:bCs w:val="1"/>
                <w:color w:val="auto"/>
              </w:rPr>
              <w:t>Cash Flows from Financing Activities:</w:t>
            </w:r>
          </w:p>
        </w:tc>
        <w:tc>
          <w:tcPr>
            <w:tcW w:w="100" w:type="dxa"/>
            <w:vAlign w:val="bottom"/>
            <w:shd w:val="clear" w:color="auto" w:fill="CFF0FC"/>
          </w:tcPr>
          <w:p>
            <w:pPr>
              <w:spacing w:after="0"/>
              <w:rPr>
                <w:sz w:val="9"/>
                <w:szCs w:val="9"/>
                <w:color w:val="auto"/>
              </w:rPr>
            </w:pPr>
          </w:p>
        </w:tc>
        <w:tc>
          <w:tcPr>
            <w:tcW w:w="9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88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8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8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8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r>
      <w:tr>
        <w:trPr>
          <w:trHeight w:val="108"/>
        </w:trPr>
        <w:tc>
          <w:tcPr>
            <w:tcW w:w="5300" w:type="dxa"/>
            <w:vAlign w:val="bottom"/>
            <w:gridSpan w:val="2"/>
          </w:tcPr>
          <w:p>
            <w:pPr>
              <w:ind w:left="160"/>
              <w:spacing w:after="0" w:line="108" w:lineRule="exact"/>
              <w:rPr>
                <w:sz w:val="20"/>
                <w:szCs w:val="20"/>
                <w:color w:val="auto"/>
              </w:rPr>
            </w:pPr>
            <w:r>
              <w:rPr>
                <w:rFonts w:ascii="Arial" w:cs="Arial" w:eastAsia="Arial" w:hAnsi="Arial"/>
                <w:sz w:val="10"/>
                <w:szCs w:val="10"/>
                <w:color w:val="auto"/>
              </w:rPr>
              <w:t>Successor repayment of long-term debt</w:t>
            </w:r>
          </w:p>
        </w:tc>
        <w:tc>
          <w:tcPr>
            <w:tcW w:w="100" w:type="dxa"/>
            <w:vAlign w:val="bottom"/>
          </w:tcPr>
          <w:p>
            <w:pPr>
              <w:spacing w:after="0"/>
              <w:rPr>
                <w:sz w:val="9"/>
                <w:szCs w:val="9"/>
                <w:color w:val="auto"/>
              </w:rPr>
            </w:pPr>
          </w:p>
        </w:tc>
        <w:tc>
          <w:tcPr>
            <w:tcW w:w="1160" w:type="dxa"/>
            <w:vAlign w:val="bottom"/>
            <w:gridSpan w:val="2"/>
          </w:tcPr>
          <w:p>
            <w:pPr>
              <w:jc w:val="right"/>
              <w:ind w:right="240"/>
              <w:spacing w:after="0" w:line="108" w:lineRule="exact"/>
              <w:rPr>
                <w:sz w:val="20"/>
                <w:szCs w:val="20"/>
                <w:color w:val="auto"/>
              </w:rPr>
            </w:pPr>
            <w:r>
              <w:rPr>
                <w:rFonts w:ascii="Arial" w:cs="Arial" w:eastAsia="Arial" w:hAnsi="Arial"/>
                <w:sz w:val="10"/>
                <w:szCs w:val="10"/>
                <w:color w:val="auto"/>
              </w:rPr>
              <w:t>—</w:t>
            </w:r>
          </w:p>
        </w:tc>
        <w:tc>
          <w:tcPr>
            <w:tcW w:w="140" w:type="dxa"/>
            <w:vAlign w:val="bottom"/>
          </w:tcPr>
          <w:p>
            <w:pPr>
              <w:spacing w:after="0"/>
              <w:rPr>
                <w:sz w:val="9"/>
                <w:szCs w:val="9"/>
                <w:color w:val="auto"/>
              </w:rPr>
            </w:pPr>
          </w:p>
        </w:tc>
        <w:tc>
          <w:tcPr>
            <w:tcW w:w="11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(9,104)</w:t>
            </w:r>
          </w:p>
        </w:tc>
        <w:tc>
          <w:tcPr>
            <w:tcW w:w="140" w:type="dxa"/>
            <w:vAlign w:val="bottom"/>
          </w:tcPr>
          <w:p>
            <w:pPr>
              <w:spacing w:after="0"/>
              <w:rPr>
                <w:sz w:val="9"/>
                <w:szCs w:val="9"/>
                <w:color w:val="auto"/>
              </w:rPr>
            </w:pPr>
          </w:p>
        </w:tc>
        <w:tc>
          <w:tcPr>
            <w:tcW w:w="1000" w:type="dxa"/>
            <w:vAlign w:val="bottom"/>
            <w:gridSpan w:val="2"/>
          </w:tcPr>
          <w:p>
            <w:pPr>
              <w:jc w:val="right"/>
              <w:ind w:right="140"/>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gridSpan w:val="2"/>
          </w:tcPr>
          <w:p>
            <w:pPr>
              <w:jc w:val="right"/>
              <w:ind w:right="140"/>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gridSpan w:val="2"/>
          </w:tcPr>
          <w:p>
            <w:pPr>
              <w:jc w:val="right"/>
              <w:ind w:right="80"/>
              <w:spacing w:after="0" w:line="108" w:lineRule="exact"/>
              <w:rPr>
                <w:sz w:val="20"/>
                <w:szCs w:val="20"/>
                <w:color w:val="auto"/>
              </w:rPr>
            </w:pPr>
            <w:r>
              <w:rPr>
                <w:rFonts w:ascii="Arial" w:cs="Arial" w:eastAsia="Arial" w:hAnsi="Arial"/>
                <w:sz w:val="10"/>
                <w:szCs w:val="10"/>
                <w:color w:val="auto"/>
              </w:rPr>
              <w:t>(9,104)</w:t>
            </w:r>
          </w:p>
        </w:tc>
      </w:tr>
      <w:tr>
        <w:trPr>
          <w:trHeight w:val="108"/>
        </w:trPr>
        <w:tc>
          <w:tcPr>
            <w:tcW w:w="5300" w:type="dxa"/>
            <w:vAlign w:val="bottom"/>
            <w:gridSpan w:val="2"/>
            <w:shd w:val="clear" w:color="auto" w:fill="CFF0FC"/>
          </w:tcPr>
          <w:p>
            <w:pPr>
              <w:ind w:left="160"/>
              <w:spacing w:after="0" w:line="108" w:lineRule="exact"/>
              <w:rPr>
                <w:sz w:val="20"/>
                <w:szCs w:val="20"/>
                <w:color w:val="auto"/>
              </w:rPr>
            </w:pPr>
            <w:r>
              <w:rPr>
                <w:rFonts w:ascii="Arial" w:cs="Arial" w:eastAsia="Arial" w:hAnsi="Arial"/>
                <w:sz w:val="10"/>
                <w:szCs w:val="10"/>
                <w:color w:val="auto"/>
              </w:rPr>
              <w:t>Successor payment of debt issuance costs</w:t>
            </w:r>
          </w:p>
        </w:tc>
        <w:tc>
          <w:tcPr>
            <w:tcW w:w="100" w:type="dxa"/>
            <w:vAlign w:val="bottom"/>
            <w:shd w:val="clear" w:color="auto" w:fill="CFF0FC"/>
          </w:tcPr>
          <w:p>
            <w:pPr>
              <w:spacing w:after="0"/>
              <w:rPr>
                <w:sz w:val="9"/>
                <w:szCs w:val="9"/>
                <w:color w:val="auto"/>
              </w:rPr>
            </w:pPr>
          </w:p>
        </w:tc>
        <w:tc>
          <w:tcPr>
            <w:tcW w:w="1160" w:type="dxa"/>
            <w:vAlign w:val="bottom"/>
            <w:gridSpan w:val="2"/>
            <w:shd w:val="clear" w:color="auto" w:fill="CFF0FC"/>
          </w:tcPr>
          <w:p>
            <w:pPr>
              <w:jc w:val="right"/>
              <w:ind w:right="240"/>
              <w:spacing w:after="0" w:line="108" w:lineRule="exact"/>
              <w:rPr>
                <w:sz w:val="20"/>
                <w:szCs w:val="20"/>
                <w:color w:val="auto"/>
              </w:rPr>
            </w:pPr>
            <w:r>
              <w:rPr>
                <w:rFonts w:ascii="Arial" w:cs="Arial" w:eastAsia="Arial" w:hAnsi="Arial"/>
                <w:sz w:val="10"/>
                <w:szCs w:val="10"/>
                <w:color w:val="auto"/>
              </w:rPr>
              <w:t>—</w:t>
            </w:r>
          </w:p>
        </w:tc>
        <w:tc>
          <w:tcPr>
            <w:tcW w:w="140" w:type="dxa"/>
            <w:vAlign w:val="bottom"/>
            <w:shd w:val="clear" w:color="auto" w:fill="CFF0FC"/>
          </w:tcPr>
          <w:p>
            <w:pPr>
              <w:spacing w:after="0"/>
              <w:rPr>
                <w:sz w:val="9"/>
                <w:szCs w:val="9"/>
                <w:color w:val="auto"/>
              </w:rPr>
            </w:pPr>
          </w:p>
        </w:tc>
        <w:tc>
          <w:tcPr>
            <w:tcW w:w="1120" w:type="dxa"/>
            <w:vAlign w:val="bottom"/>
            <w:gridSpan w:val="2"/>
            <w:shd w:val="clear" w:color="auto" w:fill="CFF0FC"/>
          </w:tcPr>
          <w:p>
            <w:pPr>
              <w:jc w:val="right"/>
              <w:ind w:right="200"/>
              <w:spacing w:after="0" w:line="108" w:lineRule="exact"/>
              <w:rPr>
                <w:sz w:val="20"/>
                <w:szCs w:val="20"/>
                <w:color w:val="auto"/>
              </w:rPr>
            </w:pPr>
            <w:r>
              <w:rPr>
                <w:rFonts w:ascii="Arial" w:cs="Arial" w:eastAsia="Arial" w:hAnsi="Arial"/>
                <w:sz w:val="10"/>
                <w:szCs w:val="10"/>
                <w:color w:val="auto"/>
              </w:rPr>
              <w:t>(426)</w:t>
            </w:r>
          </w:p>
        </w:tc>
        <w:tc>
          <w:tcPr>
            <w:tcW w:w="140" w:type="dxa"/>
            <w:vAlign w:val="bottom"/>
            <w:shd w:val="clear" w:color="auto" w:fill="CFF0FC"/>
          </w:tcPr>
          <w:p>
            <w:pPr>
              <w:spacing w:after="0"/>
              <w:rPr>
                <w:sz w:val="9"/>
                <w:szCs w:val="9"/>
                <w:color w:val="auto"/>
              </w:rPr>
            </w:pPr>
          </w:p>
        </w:tc>
        <w:tc>
          <w:tcPr>
            <w:tcW w:w="1000" w:type="dxa"/>
            <w:vAlign w:val="bottom"/>
            <w:gridSpan w:val="2"/>
            <w:shd w:val="clear" w:color="auto" w:fill="CFF0FC"/>
          </w:tcPr>
          <w:p>
            <w:pPr>
              <w:jc w:val="right"/>
              <w:ind w:right="140"/>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1000" w:type="dxa"/>
            <w:vAlign w:val="bottom"/>
            <w:gridSpan w:val="2"/>
            <w:shd w:val="clear" w:color="auto" w:fill="CFF0FC"/>
          </w:tcPr>
          <w:p>
            <w:pPr>
              <w:jc w:val="right"/>
              <w:ind w:right="140"/>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1000" w:type="dxa"/>
            <w:vAlign w:val="bottom"/>
            <w:gridSpan w:val="2"/>
            <w:shd w:val="clear" w:color="auto" w:fill="CFF0FC"/>
          </w:tcPr>
          <w:p>
            <w:pPr>
              <w:jc w:val="right"/>
              <w:ind w:right="80"/>
              <w:spacing w:after="0" w:line="108" w:lineRule="exact"/>
              <w:rPr>
                <w:sz w:val="20"/>
                <w:szCs w:val="20"/>
                <w:color w:val="auto"/>
              </w:rPr>
            </w:pPr>
            <w:r>
              <w:rPr>
                <w:rFonts w:ascii="Arial" w:cs="Arial" w:eastAsia="Arial" w:hAnsi="Arial"/>
                <w:sz w:val="10"/>
                <w:szCs w:val="10"/>
                <w:color w:val="auto"/>
              </w:rPr>
              <w:t>(426)</w:t>
            </w:r>
          </w:p>
        </w:tc>
      </w:tr>
      <w:tr>
        <w:trPr>
          <w:trHeight w:val="108"/>
        </w:trPr>
        <w:tc>
          <w:tcPr>
            <w:tcW w:w="5300" w:type="dxa"/>
            <w:vAlign w:val="bottom"/>
            <w:gridSpan w:val="2"/>
          </w:tcPr>
          <w:p>
            <w:pPr>
              <w:ind w:left="160"/>
              <w:spacing w:after="0" w:line="108" w:lineRule="exact"/>
              <w:rPr>
                <w:sz w:val="20"/>
                <w:szCs w:val="20"/>
                <w:color w:val="auto"/>
              </w:rPr>
            </w:pPr>
            <w:r>
              <w:rPr>
                <w:rFonts w:ascii="Arial" w:cs="Arial" w:eastAsia="Arial" w:hAnsi="Arial"/>
                <w:sz w:val="10"/>
                <w:szCs w:val="10"/>
                <w:color w:val="auto"/>
              </w:rPr>
              <w:t>Payment of employee tax withholding related to RSU vesting</w:t>
            </w:r>
          </w:p>
        </w:tc>
        <w:tc>
          <w:tcPr>
            <w:tcW w:w="100" w:type="dxa"/>
            <w:vAlign w:val="bottom"/>
          </w:tcPr>
          <w:p>
            <w:pPr>
              <w:spacing w:after="0"/>
              <w:rPr>
                <w:sz w:val="9"/>
                <w:szCs w:val="9"/>
                <w:color w:val="auto"/>
              </w:rPr>
            </w:pPr>
          </w:p>
        </w:tc>
        <w:tc>
          <w:tcPr>
            <w:tcW w:w="1160" w:type="dxa"/>
            <w:vAlign w:val="bottom"/>
            <w:gridSpan w:val="2"/>
          </w:tcPr>
          <w:p>
            <w:pPr>
              <w:jc w:val="right"/>
              <w:ind w:right="240"/>
              <w:spacing w:after="0" w:line="108" w:lineRule="exact"/>
              <w:rPr>
                <w:sz w:val="20"/>
                <w:szCs w:val="20"/>
                <w:color w:val="auto"/>
              </w:rPr>
            </w:pPr>
            <w:r>
              <w:rPr>
                <w:rFonts w:ascii="Arial" w:cs="Arial" w:eastAsia="Arial" w:hAnsi="Arial"/>
                <w:sz w:val="10"/>
                <w:szCs w:val="10"/>
                <w:color w:val="auto"/>
              </w:rPr>
              <w:t>—</w:t>
            </w:r>
          </w:p>
        </w:tc>
        <w:tc>
          <w:tcPr>
            <w:tcW w:w="140" w:type="dxa"/>
            <w:vAlign w:val="bottom"/>
          </w:tcPr>
          <w:p>
            <w:pPr>
              <w:spacing w:after="0"/>
              <w:rPr>
                <w:sz w:val="9"/>
                <w:szCs w:val="9"/>
                <w:color w:val="auto"/>
              </w:rPr>
            </w:pPr>
          </w:p>
        </w:tc>
        <w:tc>
          <w:tcPr>
            <w:tcW w:w="11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(4,990)</w:t>
            </w:r>
          </w:p>
        </w:tc>
        <w:tc>
          <w:tcPr>
            <w:tcW w:w="140" w:type="dxa"/>
            <w:vAlign w:val="bottom"/>
          </w:tcPr>
          <w:p>
            <w:pPr>
              <w:spacing w:after="0"/>
              <w:rPr>
                <w:sz w:val="9"/>
                <w:szCs w:val="9"/>
                <w:color w:val="auto"/>
              </w:rPr>
            </w:pPr>
          </w:p>
        </w:tc>
        <w:tc>
          <w:tcPr>
            <w:tcW w:w="1000" w:type="dxa"/>
            <w:vAlign w:val="bottom"/>
            <w:gridSpan w:val="2"/>
          </w:tcPr>
          <w:p>
            <w:pPr>
              <w:jc w:val="right"/>
              <w:ind w:right="140"/>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gridSpan w:val="2"/>
          </w:tcPr>
          <w:p>
            <w:pPr>
              <w:jc w:val="right"/>
              <w:ind w:right="140"/>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gridSpan w:val="2"/>
          </w:tcPr>
          <w:p>
            <w:pPr>
              <w:jc w:val="right"/>
              <w:ind w:right="80"/>
              <w:spacing w:after="0" w:line="108" w:lineRule="exact"/>
              <w:rPr>
                <w:sz w:val="20"/>
                <w:szCs w:val="20"/>
                <w:color w:val="auto"/>
              </w:rPr>
            </w:pPr>
            <w:r>
              <w:rPr>
                <w:rFonts w:ascii="Arial" w:cs="Arial" w:eastAsia="Arial" w:hAnsi="Arial"/>
                <w:sz w:val="10"/>
                <w:szCs w:val="10"/>
                <w:color w:val="auto"/>
              </w:rPr>
              <w:t>(4,990)</w:t>
            </w:r>
          </w:p>
        </w:tc>
      </w:tr>
      <w:tr>
        <w:trPr>
          <w:trHeight w:val="97"/>
        </w:trPr>
        <w:tc>
          <w:tcPr>
            <w:tcW w:w="5300" w:type="dxa"/>
            <w:vAlign w:val="bottom"/>
            <w:tcBorders>
              <w:top w:val="single" w:sz="8" w:color="CFF0FC"/>
            </w:tcBorders>
            <w:gridSpan w:val="2"/>
            <w:shd w:val="clear" w:color="auto" w:fill="CFF0FC"/>
          </w:tcPr>
          <w:p>
            <w:pPr>
              <w:spacing w:after="0" w:line="97" w:lineRule="exact"/>
              <w:rPr>
                <w:sz w:val="20"/>
                <w:szCs w:val="20"/>
                <w:color w:val="auto"/>
              </w:rPr>
            </w:pPr>
            <w:r>
              <w:rPr>
                <w:rFonts w:ascii="Arial" w:cs="Arial" w:eastAsia="Arial" w:hAnsi="Arial"/>
                <w:sz w:val="10"/>
                <w:szCs w:val="10"/>
                <w:color w:val="auto"/>
              </w:rPr>
              <w:t>Net cash used in financing activities</w:t>
            </w:r>
          </w:p>
        </w:tc>
        <w:tc>
          <w:tcPr>
            <w:tcW w:w="100" w:type="dxa"/>
            <w:vAlign w:val="bottom"/>
            <w:tcBorders>
              <w:top w:val="single" w:sz="8" w:color="auto"/>
              <w:bottom w:val="single" w:sz="8" w:color="auto"/>
            </w:tcBorders>
            <w:shd w:val="clear" w:color="auto" w:fill="CFF0FC"/>
          </w:tcPr>
          <w:p>
            <w:pPr>
              <w:spacing w:after="0"/>
              <w:rPr>
                <w:sz w:val="8"/>
                <w:szCs w:val="8"/>
                <w:color w:val="auto"/>
              </w:rPr>
            </w:pPr>
          </w:p>
        </w:tc>
        <w:tc>
          <w:tcPr>
            <w:tcW w:w="940" w:type="dxa"/>
            <w:vAlign w:val="bottom"/>
            <w:tcBorders>
              <w:top w:val="single" w:sz="8" w:color="auto"/>
              <w:bottom w:val="single" w:sz="8" w:color="auto"/>
            </w:tcBorders>
            <w:shd w:val="clear" w:color="auto" w:fill="CFF0FC"/>
          </w:tcPr>
          <w:p>
            <w:pPr>
              <w:jc w:val="right"/>
              <w:spacing w:after="0" w:line="97" w:lineRule="exact"/>
              <w:rPr>
                <w:sz w:val="20"/>
                <w:szCs w:val="20"/>
                <w:color w:val="auto"/>
              </w:rPr>
            </w:pPr>
            <w:r>
              <w:rPr>
                <w:rFonts w:ascii="Arial" w:cs="Arial" w:eastAsia="Arial" w:hAnsi="Arial"/>
                <w:sz w:val="10"/>
                <w:szCs w:val="10"/>
                <w:color w:val="auto"/>
              </w:rPr>
              <w:t>—</w:t>
            </w:r>
          </w:p>
        </w:tc>
        <w:tc>
          <w:tcPr>
            <w:tcW w:w="220" w:type="dxa"/>
            <w:vAlign w:val="bottom"/>
            <w:tcBorders>
              <w:top w:val="single" w:sz="8" w:color="CFF0FC"/>
            </w:tcBorders>
            <w:shd w:val="clear" w:color="auto" w:fill="CFF0FC"/>
          </w:tcPr>
          <w:p>
            <w:pPr>
              <w:spacing w:after="0"/>
              <w:rPr>
                <w:sz w:val="8"/>
                <w:szCs w:val="8"/>
                <w:color w:val="auto"/>
              </w:rPr>
            </w:pPr>
          </w:p>
        </w:tc>
        <w:tc>
          <w:tcPr>
            <w:tcW w:w="140" w:type="dxa"/>
            <w:vAlign w:val="bottom"/>
            <w:tcBorders>
              <w:top w:val="single" w:sz="8" w:color="auto"/>
              <w:bottom w:val="single" w:sz="8" w:color="auto"/>
            </w:tcBorders>
            <w:shd w:val="clear" w:color="auto" w:fill="CFF0FC"/>
          </w:tcPr>
          <w:p>
            <w:pPr>
              <w:spacing w:after="0"/>
              <w:rPr>
                <w:sz w:val="8"/>
                <w:szCs w:val="8"/>
                <w:color w:val="auto"/>
              </w:rPr>
            </w:pPr>
          </w:p>
        </w:tc>
        <w:tc>
          <w:tcPr>
            <w:tcW w:w="880" w:type="dxa"/>
            <w:vAlign w:val="bottom"/>
            <w:tcBorders>
              <w:top w:val="single" w:sz="8" w:color="auto"/>
              <w:bottom w:val="single" w:sz="8" w:color="auto"/>
            </w:tcBorders>
            <w:shd w:val="clear" w:color="auto" w:fill="CFF0FC"/>
          </w:tcPr>
          <w:p>
            <w:pPr>
              <w:jc w:val="right"/>
              <w:spacing w:after="0" w:line="97" w:lineRule="exact"/>
              <w:rPr>
                <w:sz w:val="20"/>
                <w:szCs w:val="20"/>
                <w:color w:val="auto"/>
              </w:rPr>
            </w:pPr>
            <w:r>
              <w:rPr>
                <w:rFonts w:ascii="Arial" w:cs="Arial" w:eastAsia="Arial" w:hAnsi="Arial"/>
                <w:sz w:val="10"/>
                <w:szCs w:val="10"/>
                <w:color w:val="auto"/>
              </w:rPr>
              <w:t>(14,520)</w:t>
            </w:r>
          </w:p>
        </w:tc>
        <w:tc>
          <w:tcPr>
            <w:tcW w:w="240" w:type="dxa"/>
            <w:vAlign w:val="bottom"/>
            <w:tcBorders>
              <w:top w:val="single" w:sz="8" w:color="CFF0FC"/>
            </w:tcBorders>
            <w:shd w:val="clear" w:color="auto" w:fill="CFF0FC"/>
          </w:tcPr>
          <w:p>
            <w:pPr>
              <w:spacing w:after="0"/>
              <w:rPr>
                <w:sz w:val="8"/>
                <w:szCs w:val="8"/>
                <w:color w:val="auto"/>
              </w:rPr>
            </w:pPr>
          </w:p>
        </w:tc>
        <w:tc>
          <w:tcPr>
            <w:tcW w:w="140" w:type="dxa"/>
            <w:vAlign w:val="bottom"/>
            <w:tcBorders>
              <w:top w:val="single" w:sz="8" w:color="auto"/>
              <w:bottom w:val="single" w:sz="8" w:color="auto"/>
            </w:tcBorders>
            <w:shd w:val="clear" w:color="auto" w:fill="CFF0FC"/>
          </w:tcPr>
          <w:p>
            <w:pPr>
              <w:spacing w:after="0"/>
              <w:rPr>
                <w:sz w:val="8"/>
                <w:szCs w:val="8"/>
                <w:color w:val="auto"/>
              </w:rPr>
            </w:pPr>
          </w:p>
        </w:tc>
        <w:tc>
          <w:tcPr>
            <w:tcW w:w="880" w:type="dxa"/>
            <w:vAlign w:val="bottom"/>
            <w:tcBorders>
              <w:top w:val="single" w:sz="8" w:color="auto"/>
              <w:bottom w:val="single" w:sz="8" w:color="auto"/>
            </w:tcBorders>
            <w:shd w:val="clear" w:color="auto" w:fill="CFF0FC"/>
          </w:tcPr>
          <w:p>
            <w:pPr>
              <w:jc w:val="right"/>
              <w:spacing w:after="0" w:line="97" w:lineRule="exact"/>
              <w:rPr>
                <w:sz w:val="20"/>
                <w:szCs w:val="20"/>
                <w:color w:val="auto"/>
              </w:rPr>
            </w:pPr>
            <w:r>
              <w:rPr>
                <w:rFonts w:ascii="Arial" w:cs="Arial" w:eastAsia="Arial" w:hAnsi="Arial"/>
                <w:sz w:val="10"/>
                <w:szCs w:val="10"/>
                <w:color w:val="auto"/>
              </w:rPr>
              <w:t>—</w:t>
            </w:r>
          </w:p>
        </w:tc>
        <w:tc>
          <w:tcPr>
            <w:tcW w:w="120" w:type="dxa"/>
            <w:vAlign w:val="bottom"/>
            <w:tcBorders>
              <w:top w:val="single" w:sz="8" w:color="CFF0FC"/>
            </w:tcBorders>
            <w:shd w:val="clear" w:color="auto" w:fill="CFF0FC"/>
          </w:tcPr>
          <w:p>
            <w:pPr>
              <w:spacing w:after="0"/>
              <w:rPr>
                <w:sz w:val="8"/>
                <w:szCs w:val="8"/>
                <w:color w:val="auto"/>
              </w:rPr>
            </w:pPr>
          </w:p>
        </w:tc>
        <w:tc>
          <w:tcPr>
            <w:tcW w:w="100" w:type="dxa"/>
            <w:vAlign w:val="bottom"/>
            <w:tcBorders>
              <w:top w:val="single" w:sz="8" w:color="CFF0FC"/>
            </w:tcBorders>
            <w:shd w:val="clear" w:color="auto" w:fill="CFF0FC"/>
          </w:tcPr>
          <w:p>
            <w:pPr>
              <w:spacing w:after="0"/>
              <w:rPr>
                <w:sz w:val="8"/>
                <w:szCs w:val="8"/>
                <w:color w:val="auto"/>
              </w:rPr>
            </w:pPr>
          </w:p>
        </w:tc>
        <w:tc>
          <w:tcPr>
            <w:tcW w:w="160" w:type="dxa"/>
            <w:vAlign w:val="bottom"/>
            <w:tcBorders>
              <w:top w:val="single" w:sz="8" w:color="auto"/>
              <w:bottom w:val="single" w:sz="8" w:color="auto"/>
            </w:tcBorders>
            <w:shd w:val="clear" w:color="auto" w:fill="CFF0FC"/>
          </w:tcPr>
          <w:p>
            <w:pPr>
              <w:spacing w:after="0"/>
              <w:rPr>
                <w:sz w:val="8"/>
                <w:szCs w:val="8"/>
                <w:color w:val="auto"/>
              </w:rPr>
            </w:pPr>
          </w:p>
        </w:tc>
        <w:tc>
          <w:tcPr>
            <w:tcW w:w="880" w:type="dxa"/>
            <w:vAlign w:val="bottom"/>
            <w:tcBorders>
              <w:top w:val="single" w:sz="8" w:color="auto"/>
              <w:bottom w:val="single" w:sz="8" w:color="auto"/>
            </w:tcBorders>
            <w:shd w:val="clear" w:color="auto" w:fill="CFF0FC"/>
          </w:tcPr>
          <w:p>
            <w:pPr>
              <w:jc w:val="right"/>
              <w:spacing w:after="0" w:line="97" w:lineRule="exact"/>
              <w:rPr>
                <w:sz w:val="20"/>
                <w:szCs w:val="20"/>
                <w:color w:val="auto"/>
              </w:rPr>
            </w:pPr>
            <w:r>
              <w:rPr>
                <w:rFonts w:ascii="Arial" w:cs="Arial" w:eastAsia="Arial" w:hAnsi="Arial"/>
                <w:sz w:val="10"/>
                <w:szCs w:val="10"/>
                <w:color w:val="auto"/>
              </w:rPr>
              <w:t>—</w:t>
            </w:r>
          </w:p>
        </w:tc>
        <w:tc>
          <w:tcPr>
            <w:tcW w:w="120" w:type="dxa"/>
            <w:vAlign w:val="bottom"/>
            <w:tcBorders>
              <w:top w:val="single" w:sz="8" w:color="CFF0FC"/>
            </w:tcBorders>
            <w:shd w:val="clear" w:color="auto" w:fill="CFF0FC"/>
          </w:tcPr>
          <w:p>
            <w:pPr>
              <w:spacing w:after="0"/>
              <w:rPr>
                <w:sz w:val="8"/>
                <w:szCs w:val="8"/>
                <w:color w:val="auto"/>
              </w:rPr>
            </w:pPr>
          </w:p>
        </w:tc>
        <w:tc>
          <w:tcPr>
            <w:tcW w:w="100" w:type="dxa"/>
            <w:vAlign w:val="bottom"/>
            <w:tcBorders>
              <w:top w:val="single" w:sz="8" w:color="CFF0FC"/>
            </w:tcBorders>
            <w:shd w:val="clear" w:color="auto" w:fill="CFF0FC"/>
          </w:tcPr>
          <w:p>
            <w:pPr>
              <w:spacing w:after="0"/>
              <w:rPr>
                <w:sz w:val="8"/>
                <w:szCs w:val="8"/>
                <w:color w:val="auto"/>
              </w:rPr>
            </w:pPr>
          </w:p>
        </w:tc>
        <w:tc>
          <w:tcPr>
            <w:tcW w:w="160" w:type="dxa"/>
            <w:vAlign w:val="bottom"/>
            <w:tcBorders>
              <w:top w:val="single" w:sz="8" w:color="auto"/>
              <w:bottom w:val="single" w:sz="8" w:color="auto"/>
            </w:tcBorders>
            <w:shd w:val="clear" w:color="auto" w:fill="CFF0FC"/>
          </w:tcPr>
          <w:p>
            <w:pPr>
              <w:spacing w:after="0"/>
              <w:rPr>
                <w:sz w:val="8"/>
                <w:szCs w:val="8"/>
                <w:color w:val="auto"/>
              </w:rPr>
            </w:pPr>
          </w:p>
        </w:tc>
        <w:tc>
          <w:tcPr>
            <w:tcW w:w="880" w:type="dxa"/>
            <w:vAlign w:val="bottom"/>
            <w:tcBorders>
              <w:top w:val="single" w:sz="8" w:color="auto"/>
              <w:bottom w:val="single" w:sz="8" w:color="auto"/>
            </w:tcBorders>
            <w:shd w:val="clear" w:color="auto" w:fill="CFF0FC"/>
          </w:tcPr>
          <w:p>
            <w:pPr>
              <w:jc w:val="right"/>
              <w:spacing w:after="0" w:line="97" w:lineRule="exact"/>
              <w:rPr>
                <w:sz w:val="20"/>
                <w:szCs w:val="20"/>
                <w:color w:val="auto"/>
              </w:rPr>
            </w:pPr>
            <w:r>
              <w:rPr>
                <w:rFonts w:ascii="Arial" w:cs="Arial" w:eastAsia="Arial" w:hAnsi="Arial"/>
                <w:sz w:val="10"/>
                <w:szCs w:val="10"/>
                <w:color w:val="auto"/>
              </w:rPr>
              <w:t>(14,520)</w:t>
            </w:r>
          </w:p>
        </w:tc>
        <w:tc>
          <w:tcPr>
            <w:tcW w:w="120" w:type="dxa"/>
            <w:vAlign w:val="bottom"/>
            <w:tcBorders>
              <w:top w:val="single" w:sz="8" w:color="CFF0FC"/>
            </w:tcBorders>
            <w:shd w:val="clear" w:color="auto" w:fill="CFF0FC"/>
          </w:tcPr>
          <w:p>
            <w:pPr>
              <w:spacing w:after="0"/>
              <w:rPr>
                <w:sz w:val="8"/>
                <w:szCs w:val="8"/>
                <w:color w:val="auto"/>
              </w:rPr>
            </w:pPr>
          </w:p>
        </w:tc>
      </w:tr>
      <w:tr>
        <w:trPr>
          <w:trHeight w:val="97"/>
        </w:trPr>
        <w:tc>
          <w:tcPr>
            <w:tcW w:w="5300" w:type="dxa"/>
            <w:vAlign w:val="bottom"/>
            <w:tcBorders>
              <w:bottom w:val="single" w:sz="8" w:color="CFF0FC"/>
            </w:tcBorders>
            <w:gridSpan w:val="2"/>
          </w:tcPr>
          <w:p>
            <w:pPr>
              <w:spacing w:after="0" w:line="97" w:lineRule="exact"/>
              <w:rPr>
                <w:sz w:val="20"/>
                <w:szCs w:val="20"/>
                <w:color w:val="auto"/>
              </w:rPr>
            </w:pPr>
            <w:r>
              <w:rPr>
                <w:rFonts w:ascii="Arial" w:cs="Arial" w:eastAsia="Arial" w:hAnsi="Arial"/>
                <w:sz w:val="10"/>
                <w:szCs w:val="10"/>
                <w:color w:val="auto"/>
              </w:rPr>
              <w:t>Effect of exchange rate changes on cash and cash equivalents</w:t>
            </w:r>
          </w:p>
        </w:tc>
        <w:tc>
          <w:tcPr>
            <w:tcW w:w="10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jc w:val="right"/>
              <w:spacing w:after="0" w:line="97" w:lineRule="exact"/>
              <w:rPr>
                <w:sz w:val="20"/>
                <w:szCs w:val="20"/>
                <w:color w:val="auto"/>
              </w:rPr>
            </w:pPr>
            <w:r>
              <w:rPr>
                <w:rFonts w:ascii="Arial" w:cs="Arial" w:eastAsia="Arial" w:hAnsi="Arial"/>
                <w:sz w:val="10"/>
                <w:szCs w:val="10"/>
                <w:color w:val="auto"/>
              </w:rPr>
              <w:t>—</w:t>
            </w:r>
          </w:p>
        </w:tc>
        <w:tc>
          <w:tcPr>
            <w:tcW w:w="220" w:type="dxa"/>
            <w:vAlign w:val="bottom"/>
            <w:tcBorders>
              <w:bottom w:val="single" w:sz="8" w:color="CFF0FC"/>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jc w:val="right"/>
              <w:spacing w:after="0" w:line="97" w:lineRule="exact"/>
              <w:rPr>
                <w:sz w:val="20"/>
                <w:szCs w:val="20"/>
                <w:color w:val="auto"/>
              </w:rPr>
            </w:pPr>
            <w:r>
              <w:rPr>
                <w:rFonts w:ascii="Arial" w:cs="Arial" w:eastAsia="Arial" w:hAnsi="Arial"/>
                <w:sz w:val="10"/>
                <w:szCs w:val="10"/>
                <w:color w:val="auto"/>
              </w:rPr>
              <w:t>—</w:t>
            </w:r>
          </w:p>
        </w:tc>
        <w:tc>
          <w:tcPr>
            <w:tcW w:w="240" w:type="dxa"/>
            <w:vAlign w:val="bottom"/>
            <w:tcBorders>
              <w:bottom w:val="single" w:sz="8" w:color="CFF0FC"/>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jc w:val="right"/>
              <w:spacing w:after="0" w:line="97" w:lineRule="exact"/>
              <w:rPr>
                <w:sz w:val="20"/>
                <w:szCs w:val="20"/>
                <w:color w:val="auto"/>
              </w:rPr>
            </w:pPr>
            <w:r>
              <w:rPr>
                <w:rFonts w:ascii="Arial" w:cs="Arial" w:eastAsia="Arial" w:hAnsi="Arial"/>
                <w:sz w:val="10"/>
                <w:szCs w:val="10"/>
                <w:color w:val="auto"/>
              </w:rPr>
              <w:t>1,040</w:t>
            </w:r>
          </w:p>
        </w:tc>
        <w:tc>
          <w:tcPr>
            <w:tcW w:w="120" w:type="dxa"/>
            <w:vAlign w:val="bottom"/>
            <w:tcBorders>
              <w:bottom w:val="single" w:sz="8" w:color="CFF0FC"/>
            </w:tcBorders>
          </w:tcPr>
          <w:p>
            <w:pPr>
              <w:spacing w:after="0"/>
              <w:rPr>
                <w:sz w:val="8"/>
                <w:szCs w:val="8"/>
                <w:color w:val="auto"/>
              </w:rPr>
            </w:pPr>
          </w:p>
        </w:tc>
        <w:tc>
          <w:tcPr>
            <w:tcW w:w="100" w:type="dxa"/>
            <w:vAlign w:val="bottom"/>
            <w:tcBorders>
              <w:bottom w:val="single" w:sz="8" w:color="CFF0FC"/>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jc w:val="right"/>
              <w:spacing w:after="0" w:line="97" w:lineRule="exact"/>
              <w:rPr>
                <w:sz w:val="20"/>
                <w:szCs w:val="20"/>
                <w:color w:val="auto"/>
              </w:rPr>
            </w:pPr>
            <w:r>
              <w:rPr>
                <w:rFonts w:ascii="Arial" w:cs="Arial" w:eastAsia="Arial" w:hAnsi="Arial"/>
                <w:sz w:val="10"/>
                <w:szCs w:val="10"/>
                <w:color w:val="auto"/>
              </w:rPr>
              <w:t>—</w:t>
            </w:r>
          </w:p>
        </w:tc>
        <w:tc>
          <w:tcPr>
            <w:tcW w:w="120" w:type="dxa"/>
            <w:vAlign w:val="bottom"/>
            <w:tcBorders>
              <w:bottom w:val="single" w:sz="8" w:color="CFF0FC"/>
            </w:tcBorders>
          </w:tcPr>
          <w:p>
            <w:pPr>
              <w:spacing w:after="0"/>
              <w:rPr>
                <w:sz w:val="8"/>
                <w:szCs w:val="8"/>
                <w:color w:val="auto"/>
              </w:rPr>
            </w:pPr>
          </w:p>
        </w:tc>
        <w:tc>
          <w:tcPr>
            <w:tcW w:w="100" w:type="dxa"/>
            <w:vAlign w:val="bottom"/>
            <w:tcBorders>
              <w:bottom w:val="single" w:sz="8" w:color="CFF0FC"/>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jc w:val="right"/>
              <w:spacing w:after="0" w:line="97" w:lineRule="exact"/>
              <w:rPr>
                <w:sz w:val="20"/>
                <w:szCs w:val="20"/>
                <w:color w:val="auto"/>
              </w:rPr>
            </w:pPr>
            <w:r>
              <w:rPr>
                <w:rFonts w:ascii="Arial" w:cs="Arial" w:eastAsia="Arial" w:hAnsi="Arial"/>
                <w:sz w:val="10"/>
                <w:szCs w:val="10"/>
                <w:color w:val="auto"/>
              </w:rPr>
              <w:t>1,040</w:t>
            </w:r>
          </w:p>
        </w:tc>
        <w:tc>
          <w:tcPr>
            <w:tcW w:w="120" w:type="dxa"/>
            <w:vAlign w:val="bottom"/>
            <w:tcBorders>
              <w:bottom w:val="single" w:sz="8" w:color="CFF0FC"/>
            </w:tcBorders>
          </w:tcPr>
          <w:p>
            <w:pPr>
              <w:spacing w:after="0"/>
              <w:rPr>
                <w:sz w:val="8"/>
                <w:szCs w:val="8"/>
                <w:color w:val="auto"/>
              </w:rPr>
            </w:pPr>
          </w:p>
        </w:tc>
      </w:tr>
      <w:tr>
        <w:trPr>
          <w:trHeight w:val="97"/>
        </w:trPr>
        <w:tc>
          <w:tcPr>
            <w:tcW w:w="5300" w:type="dxa"/>
            <w:vAlign w:val="bottom"/>
            <w:gridSpan w:val="2"/>
            <w:shd w:val="clear" w:color="auto" w:fill="CFF0FC"/>
          </w:tcPr>
          <w:p>
            <w:pPr>
              <w:spacing w:after="0" w:line="97" w:lineRule="exact"/>
              <w:rPr>
                <w:sz w:val="20"/>
                <w:szCs w:val="20"/>
                <w:color w:val="auto"/>
              </w:rPr>
            </w:pPr>
            <w:r>
              <w:rPr>
                <w:rFonts w:ascii="Arial" w:cs="Arial" w:eastAsia="Arial" w:hAnsi="Arial"/>
                <w:sz w:val="10"/>
                <w:szCs w:val="10"/>
                <w:color w:val="auto"/>
              </w:rPr>
              <w:t>Net increase in cash, cash equivalents and restricted cash</w:t>
            </w:r>
          </w:p>
        </w:tc>
        <w:tc>
          <w:tcPr>
            <w:tcW w:w="100" w:type="dxa"/>
            <w:vAlign w:val="bottom"/>
            <w:shd w:val="clear" w:color="auto" w:fill="CFF0FC"/>
          </w:tcPr>
          <w:p>
            <w:pPr>
              <w:spacing w:after="0"/>
              <w:rPr>
                <w:sz w:val="8"/>
                <w:szCs w:val="8"/>
                <w:color w:val="auto"/>
              </w:rPr>
            </w:pPr>
          </w:p>
        </w:tc>
        <w:tc>
          <w:tcPr>
            <w:tcW w:w="940" w:type="dxa"/>
            <w:vAlign w:val="bottom"/>
            <w:shd w:val="clear" w:color="auto" w:fill="CFF0FC"/>
          </w:tcPr>
          <w:p>
            <w:pPr>
              <w:jc w:val="right"/>
              <w:spacing w:after="0" w:line="97" w:lineRule="exact"/>
              <w:rPr>
                <w:sz w:val="20"/>
                <w:szCs w:val="20"/>
                <w:color w:val="auto"/>
              </w:rPr>
            </w:pPr>
            <w:r>
              <w:rPr>
                <w:rFonts w:ascii="Arial" w:cs="Arial" w:eastAsia="Arial" w:hAnsi="Arial"/>
                <w:sz w:val="10"/>
                <w:szCs w:val="10"/>
                <w:color w:val="auto"/>
              </w:rPr>
              <w:t>—</w:t>
            </w:r>
          </w:p>
        </w:tc>
        <w:tc>
          <w:tcPr>
            <w:tcW w:w="22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880" w:type="dxa"/>
            <w:vAlign w:val="bottom"/>
            <w:shd w:val="clear" w:color="auto" w:fill="CFF0FC"/>
          </w:tcPr>
          <w:p>
            <w:pPr>
              <w:jc w:val="right"/>
              <w:spacing w:after="0" w:line="97" w:lineRule="exact"/>
              <w:rPr>
                <w:sz w:val="20"/>
                <w:szCs w:val="20"/>
                <w:color w:val="auto"/>
              </w:rPr>
            </w:pPr>
            <w:r>
              <w:rPr>
                <w:rFonts w:ascii="Arial" w:cs="Arial" w:eastAsia="Arial" w:hAnsi="Arial"/>
                <w:sz w:val="10"/>
                <w:szCs w:val="10"/>
                <w:color w:val="auto"/>
              </w:rPr>
              <w:t>57,722</w:t>
            </w:r>
          </w:p>
        </w:tc>
        <w:tc>
          <w:tcPr>
            <w:tcW w:w="24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880" w:type="dxa"/>
            <w:vAlign w:val="bottom"/>
            <w:shd w:val="clear" w:color="auto" w:fill="CFF0FC"/>
          </w:tcPr>
          <w:p>
            <w:pPr>
              <w:jc w:val="right"/>
              <w:spacing w:after="0" w:line="97" w:lineRule="exact"/>
              <w:rPr>
                <w:sz w:val="20"/>
                <w:szCs w:val="20"/>
                <w:color w:val="auto"/>
              </w:rPr>
            </w:pPr>
            <w:r>
              <w:rPr>
                <w:rFonts w:ascii="Arial" w:cs="Arial" w:eastAsia="Arial" w:hAnsi="Arial"/>
                <w:sz w:val="10"/>
                <w:szCs w:val="10"/>
                <w:color w:val="auto"/>
              </w:rPr>
              <w:t>7,627</w:t>
            </w:r>
          </w:p>
        </w:tc>
        <w:tc>
          <w:tcPr>
            <w:tcW w:w="1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60" w:type="dxa"/>
            <w:vAlign w:val="bottom"/>
            <w:shd w:val="clear" w:color="auto" w:fill="CFF0FC"/>
          </w:tcPr>
          <w:p>
            <w:pPr>
              <w:spacing w:after="0"/>
              <w:rPr>
                <w:sz w:val="8"/>
                <w:szCs w:val="8"/>
                <w:color w:val="auto"/>
              </w:rPr>
            </w:pPr>
          </w:p>
        </w:tc>
        <w:tc>
          <w:tcPr>
            <w:tcW w:w="880" w:type="dxa"/>
            <w:vAlign w:val="bottom"/>
            <w:shd w:val="clear" w:color="auto" w:fill="CFF0FC"/>
          </w:tcPr>
          <w:p>
            <w:pPr>
              <w:jc w:val="right"/>
              <w:spacing w:after="0" w:line="97" w:lineRule="exact"/>
              <w:rPr>
                <w:sz w:val="20"/>
                <w:szCs w:val="20"/>
                <w:color w:val="auto"/>
              </w:rPr>
            </w:pPr>
            <w:r>
              <w:rPr>
                <w:rFonts w:ascii="Arial" w:cs="Arial" w:eastAsia="Arial" w:hAnsi="Arial"/>
                <w:sz w:val="10"/>
                <w:szCs w:val="10"/>
                <w:color w:val="auto"/>
              </w:rPr>
              <w:t>—</w:t>
            </w:r>
          </w:p>
        </w:tc>
        <w:tc>
          <w:tcPr>
            <w:tcW w:w="1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60" w:type="dxa"/>
            <w:vAlign w:val="bottom"/>
            <w:shd w:val="clear" w:color="auto" w:fill="CFF0FC"/>
          </w:tcPr>
          <w:p>
            <w:pPr>
              <w:spacing w:after="0"/>
              <w:rPr>
                <w:sz w:val="8"/>
                <w:szCs w:val="8"/>
                <w:color w:val="auto"/>
              </w:rPr>
            </w:pPr>
          </w:p>
        </w:tc>
        <w:tc>
          <w:tcPr>
            <w:tcW w:w="880" w:type="dxa"/>
            <w:vAlign w:val="bottom"/>
            <w:shd w:val="clear" w:color="auto" w:fill="CFF0FC"/>
          </w:tcPr>
          <w:p>
            <w:pPr>
              <w:jc w:val="right"/>
              <w:spacing w:after="0" w:line="97" w:lineRule="exact"/>
              <w:rPr>
                <w:sz w:val="20"/>
                <w:szCs w:val="20"/>
                <w:color w:val="auto"/>
              </w:rPr>
            </w:pPr>
            <w:r>
              <w:rPr>
                <w:rFonts w:ascii="Arial" w:cs="Arial" w:eastAsia="Arial" w:hAnsi="Arial"/>
                <w:sz w:val="10"/>
                <w:szCs w:val="10"/>
                <w:color w:val="auto"/>
              </w:rPr>
              <w:t>65,349</w:t>
            </w:r>
          </w:p>
        </w:tc>
        <w:tc>
          <w:tcPr>
            <w:tcW w:w="120" w:type="dxa"/>
            <w:vAlign w:val="bottom"/>
            <w:shd w:val="clear" w:color="auto" w:fill="CFF0FC"/>
          </w:tcPr>
          <w:p>
            <w:pPr>
              <w:spacing w:after="0"/>
              <w:rPr>
                <w:sz w:val="8"/>
                <w:szCs w:val="8"/>
                <w:color w:val="auto"/>
              </w:rPr>
            </w:pPr>
          </w:p>
        </w:tc>
      </w:tr>
      <w:tr>
        <w:trPr>
          <w:trHeight w:val="108"/>
        </w:trPr>
        <w:tc>
          <w:tcPr>
            <w:tcW w:w="5300" w:type="dxa"/>
            <w:vAlign w:val="bottom"/>
            <w:gridSpan w:val="2"/>
          </w:tcPr>
          <w:p>
            <w:pPr>
              <w:spacing w:after="0" w:line="108" w:lineRule="exact"/>
              <w:rPr>
                <w:sz w:val="20"/>
                <w:szCs w:val="20"/>
                <w:color w:val="auto"/>
              </w:rPr>
            </w:pPr>
            <w:r>
              <w:rPr>
                <w:rFonts w:ascii="Arial" w:cs="Arial" w:eastAsia="Arial" w:hAnsi="Arial"/>
                <w:sz w:val="10"/>
                <w:szCs w:val="10"/>
                <w:color w:val="auto"/>
              </w:rPr>
              <w:t>Cash, cash equivalents and restricted cash - beginning of period</w:t>
            </w:r>
          </w:p>
        </w:tc>
        <w:tc>
          <w:tcPr>
            <w:tcW w:w="100" w:type="dxa"/>
            <w:vAlign w:val="bottom"/>
          </w:tcPr>
          <w:p>
            <w:pPr>
              <w:spacing w:after="0"/>
              <w:rPr>
                <w:sz w:val="9"/>
                <w:szCs w:val="9"/>
                <w:color w:val="auto"/>
              </w:rPr>
            </w:pPr>
          </w:p>
        </w:tc>
        <w:tc>
          <w:tcPr>
            <w:tcW w:w="1160" w:type="dxa"/>
            <w:vAlign w:val="bottom"/>
            <w:gridSpan w:val="2"/>
          </w:tcPr>
          <w:p>
            <w:pPr>
              <w:jc w:val="right"/>
              <w:ind w:right="240"/>
              <w:spacing w:after="0" w:line="108" w:lineRule="exact"/>
              <w:rPr>
                <w:sz w:val="20"/>
                <w:szCs w:val="20"/>
                <w:color w:val="auto"/>
              </w:rPr>
            </w:pPr>
            <w:r>
              <w:rPr>
                <w:rFonts w:ascii="Arial" w:cs="Arial" w:eastAsia="Arial" w:hAnsi="Arial"/>
                <w:sz w:val="10"/>
                <w:szCs w:val="10"/>
                <w:color w:val="auto"/>
              </w:rPr>
              <w:t>—</w:t>
            </w:r>
          </w:p>
        </w:tc>
        <w:tc>
          <w:tcPr>
            <w:tcW w:w="140" w:type="dxa"/>
            <w:vAlign w:val="bottom"/>
          </w:tcPr>
          <w:p>
            <w:pPr>
              <w:spacing w:after="0"/>
              <w:rPr>
                <w:sz w:val="9"/>
                <w:szCs w:val="9"/>
                <w:color w:val="auto"/>
              </w:rPr>
            </w:pPr>
          </w:p>
        </w:tc>
        <w:tc>
          <w:tcPr>
            <w:tcW w:w="880" w:type="dxa"/>
            <w:vAlign w:val="bottom"/>
          </w:tcPr>
          <w:p>
            <w:pPr>
              <w:jc w:val="right"/>
              <w:spacing w:after="0" w:line="108" w:lineRule="exact"/>
              <w:rPr>
                <w:sz w:val="20"/>
                <w:szCs w:val="20"/>
                <w:color w:val="auto"/>
              </w:rPr>
            </w:pPr>
            <w:r>
              <w:rPr>
                <w:rFonts w:ascii="Arial" w:cs="Arial" w:eastAsia="Arial" w:hAnsi="Arial"/>
                <w:sz w:val="10"/>
                <w:szCs w:val="10"/>
                <w:color w:val="auto"/>
              </w:rPr>
              <w:t>56,564</w:t>
            </w: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jc w:val="right"/>
              <w:spacing w:after="0" w:line="108" w:lineRule="exact"/>
              <w:rPr>
                <w:sz w:val="20"/>
                <w:szCs w:val="20"/>
                <w:color w:val="auto"/>
              </w:rPr>
            </w:pPr>
            <w:r>
              <w:rPr>
                <w:rFonts w:ascii="Arial" w:cs="Arial" w:eastAsia="Arial" w:hAnsi="Arial"/>
                <w:sz w:val="10"/>
                <w:szCs w:val="10"/>
                <w:color w:val="auto"/>
              </w:rPr>
              <w:t>10,517</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gridSpan w:val="2"/>
          </w:tcPr>
          <w:p>
            <w:pPr>
              <w:jc w:val="right"/>
              <w:ind w:right="140"/>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jc w:val="right"/>
              <w:spacing w:after="0" w:line="108" w:lineRule="exact"/>
              <w:rPr>
                <w:sz w:val="20"/>
                <w:szCs w:val="20"/>
                <w:color w:val="auto"/>
              </w:rPr>
            </w:pPr>
            <w:r>
              <w:rPr>
                <w:rFonts w:ascii="Arial" w:cs="Arial" w:eastAsia="Arial" w:hAnsi="Arial"/>
                <w:sz w:val="10"/>
                <w:szCs w:val="10"/>
                <w:color w:val="auto"/>
              </w:rPr>
              <w:t>67,081</w:t>
            </w:r>
          </w:p>
        </w:tc>
        <w:tc>
          <w:tcPr>
            <w:tcW w:w="120" w:type="dxa"/>
            <w:vAlign w:val="bottom"/>
          </w:tcPr>
          <w:p>
            <w:pPr>
              <w:spacing w:after="0"/>
              <w:rPr>
                <w:sz w:val="9"/>
                <w:szCs w:val="9"/>
                <w:color w:val="auto"/>
              </w:rPr>
            </w:pPr>
          </w:p>
        </w:tc>
      </w:tr>
      <w:tr>
        <w:trPr>
          <w:trHeight w:val="104"/>
        </w:trPr>
        <w:tc>
          <w:tcPr>
            <w:tcW w:w="5300" w:type="dxa"/>
            <w:vAlign w:val="bottom"/>
            <w:tcBorders>
              <w:top w:val="single" w:sz="8" w:color="CFF0FC"/>
              <w:bottom w:val="single" w:sz="8" w:color="CFF0FC"/>
            </w:tcBorders>
            <w:gridSpan w:val="2"/>
            <w:shd w:val="clear" w:color="auto" w:fill="CFF0FC"/>
          </w:tcPr>
          <w:p>
            <w:pPr>
              <w:spacing w:after="0" w:line="97" w:lineRule="exact"/>
              <w:rPr>
                <w:sz w:val="20"/>
                <w:szCs w:val="20"/>
                <w:color w:val="auto"/>
              </w:rPr>
            </w:pPr>
            <w:r>
              <w:rPr>
                <w:rFonts w:ascii="Arial" w:cs="Arial" w:eastAsia="Arial" w:hAnsi="Arial"/>
                <w:sz w:val="10"/>
                <w:szCs w:val="10"/>
                <w:color w:val="auto"/>
              </w:rPr>
              <w:t>Cash, cash equivalents and restricted cash - end of period</w:t>
            </w:r>
          </w:p>
        </w:tc>
        <w:tc>
          <w:tcPr>
            <w:tcW w:w="100" w:type="dxa"/>
            <w:vAlign w:val="bottom"/>
            <w:tcBorders>
              <w:top w:val="single" w:sz="8" w:color="auto"/>
              <w:bottom w:val="single" w:sz="8" w:color="auto"/>
            </w:tcBorders>
            <w:shd w:val="clear" w:color="auto" w:fill="CFF0FC"/>
          </w:tcPr>
          <w:p>
            <w:pPr>
              <w:jc w:val="right"/>
              <w:spacing w:after="0" w:line="97" w:lineRule="exact"/>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bottom w:val="single" w:sz="8" w:color="auto"/>
            </w:tcBorders>
            <w:shd w:val="clear" w:color="auto" w:fill="CFF0FC"/>
          </w:tcPr>
          <w:p>
            <w:pPr>
              <w:jc w:val="right"/>
              <w:spacing w:after="0" w:line="97" w:lineRule="exact"/>
              <w:rPr>
                <w:sz w:val="20"/>
                <w:szCs w:val="20"/>
                <w:color w:val="auto"/>
              </w:rPr>
            </w:pPr>
            <w:r>
              <w:rPr>
                <w:rFonts w:ascii="Arial" w:cs="Arial" w:eastAsia="Arial" w:hAnsi="Arial"/>
                <w:sz w:val="10"/>
                <w:szCs w:val="10"/>
                <w:color w:val="auto"/>
              </w:rPr>
              <w:t>—</w:t>
            </w:r>
          </w:p>
        </w:tc>
        <w:tc>
          <w:tcPr>
            <w:tcW w:w="220" w:type="dxa"/>
            <w:vAlign w:val="bottom"/>
            <w:tcBorders>
              <w:top w:val="single" w:sz="8" w:color="CFF0FC"/>
              <w:bottom w:val="single" w:sz="8" w:color="CFF0FC"/>
            </w:tcBorders>
            <w:shd w:val="clear" w:color="auto" w:fill="CFF0FC"/>
          </w:tcPr>
          <w:p>
            <w:pPr>
              <w:spacing w:after="0"/>
              <w:rPr>
                <w:sz w:val="9"/>
                <w:szCs w:val="9"/>
                <w:color w:val="auto"/>
              </w:rPr>
            </w:pPr>
          </w:p>
        </w:tc>
        <w:tc>
          <w:tcPr>
            <w:tcW w:w="140" w:type="dxa"/>
            <w:vAlign w:val="bottom"/>
            <w:tcBorders>
              <w:top w:val="single" w:sz="8" w:color="auto"/>
              <w:bottom w:val="single" w:sz="8" w:color="auto"/>
            </w:tcBorders>
            <w:shd w:val="clear" w:color="auto" w:fill="CFF0FC"/>
          </w:tcPr>
          <w:p>
            <w:pPr>
              <w:jc w:val="right"/>
              <w:ind w:right="76"/>
              <w:spacing w:after="0"/>
              <w:rPr>
                <w:sz w:val="20"/>
                <w:szCs w:val="20"/>
                <w:color w:val="auto"/>
              </w:rPr>
            </w:pPr>
            <w:r>
              <w:rPr>
                <w:rFonts w:ascii="Arial" w:cs="Arial" w:eastAsia="Arial" w:hAnsi="Arial"/>
                <w:sz w:val="5"/>
                <w:szCs w:val="5"/>
                <w:color w:val="auto"/>
                <w:w w:val="70"/>
              </w:rPr>
              <w:t>$</w:t>
            </w:r>
          </w:p>
        </w:tc>
        <w:tc>
          <w:tcPr>
            <w:tcW w:w="880" w:type="dxa"/>
            <w:vAlign w:val="bottom"/>
            <w:tcBorders>
              <w:top w:val="single" w:sz="8" w:color="auto"/>
              <w:bottom w:val="single" w:sz="8" w:color="auto"/>
            </w:tcBorders>
            <w:shd w:val="clear" w:color="auto" w:fill="CFF0FC"/>
          </w:tcPr>
          <w:p>
            <w:pPr>
              <w:jc w:val="right"/>
              <w:spacing w:after="0" w:line="97" w:lineRule="exact"/>
              <w:rPr>
                <w:sz w:val="20"/>
                <w:szCs w:val="20"/>
                <w:color w:val="auto"/>
              </w:rPr>
            </w:pPr>
            <w:r>
              <w:rPr>
                <w:rFonts w:ascii="Arial" w:cs="Arial" w:eastAsia="Arial" w:hAnsi="Arial"/>
                <w:sz w:val="10"/>
                <w:szCs w:val="10"/>
                <w:color w:val="auto"/>
              </w:rPr>
              <w:t>114,286</w:t>
            </w:r>
          </w:p>
        </w:tc>
        <w:tc>
          <w:tcPr>
            <w:tcW w:w="240" w:type="dxa"/>
            <w:vAlign w:val="bottom"/>
            <w:tcBorders>
              <w:top w:val="single" w:sz="8" w:color="CFF0FC"/>
              <w:bottom w:val="single" w:sz="8" w:color="CFF0FC"/>
            </w:tcBorders>
            <w:shd w:val="clear" w:color="auto" w:fill="CFF0FC"/>
          </w:tcPr>
          <w:p>
            <w:pPr>
              <w:spacing w:after="0"/>
              <w:rPr>
                <w:sz w:val="9"/>
                <w:szCs w:val="9"/>
                <w:color w:val="auto"/>
              </w:rPr>
            </w:pPr>
          </w:p>
        </w:tc>
        <w:tc>
          <w:tcPr>
            <w:tcW w:w="140" w:type="dxa"/>
            <w:vAlign w:val="bottom"/>
            <w:tcBorders>
              <w:top w:val="single" w:sz="8" w:color="auto"/>
              <w:bottom w:val="single" w:sz="8" w:color="auto"/>
            </w:tcBorders>
            <w:shd w:val="clear" w:color="auto" w:fill="CFF0FC"/>
          </w:tcPr>
          <w:p>
            <w:pPr>
              <w:jc w:val="right"/>
              <w:ind w:right="76"/>
              <w:spacing w:after="0"/>
              <w:rPr>
                <w:sz w:val="20"/>
                <w:szCs w:val="20"/>
                <w:color w:val="auto"/>
              </w:rPr>
            </w:pPr>
            <w:r>
              <w:rPr>
                <w:rFonts w:ascii="Arial" w:cs="Arial" w:eastAsia="Arial" w:hAnsi="Arial"/>
                <w:sz w:val="5"/>
                <w:szCs w:val="5"/>
                <w:color w:val="auto"/>
                <w:w w:val="70"/>
              </w:rPr>
              <w:t>$</w:t>
            </w:r>
          </w:p>
        </w:tc>
        <w:tc>
          <w:tcPr>
            <w:tcW w:w="880" w:type="dxa"/>
            <w:vAlign w:val="bottom"/>
            <w:tcBorders>
              <w:top w:val="single" w:sz="8" w:color="auto"/>
              <w:bottom w:val="single" w:sz="8" w:color="auto"/>
            </w:tcBorders>
            <w:shd w:val="clear" w:color="auto" w:fill="CFF0FC"/>
          </w:tcPr>
          <w:p>
            <w:pPr>
              <w:jc w:val="right"/>
              <w:spacing w:after="0" w:line="97" w:lineRule="exact"/>
              <w:rPr>
                <w:sz w:val="20"/>
                <w:szCs w:val="20"/>
                <w:color w:val="auto"/>
              </w:rPr>
            </w:pPr>
            <w:r>
              <w:rPr>
                <w:rFonts w:ascii="Arial" w:cs="Arial" w:eastAsia="Arial" w:hAnsi="Arial"/>
                <w:sz w:val="10"/>
                <w:szCs w:val="10"/>
                <w:color w:val="auto"/>
              </w:rPr>
              <w:t>18,144</w:t>
            </w:r>
          </w:p>
        </w:tc>
        <w:tc>
          <w:tcPr>
            <w:tcW w:w="120" w:type="dxa"/>
            <w:vAlign w:val="bottom"/>
            <w:tcBorders>
              <w:top w:val="single" w:sz="8" w:color="CFF0FC"/>
              <w:bottom w:val="single" w:sz="8" w:color="CFF0FC"/>
            </w:tcBorders>
            <w:shd w:val="clear" w:color="auto" w:fill="CFF0FC"/>
          </w:tcPr>
          <w:p>
            <w:pPr>
              <w:spacing w:after="0"/>
              <w:rPr>
                <w:sz w:val="9"/>
                <w:szCs w:val="9"/>
                <w:color w:val="auto"/>
              </w:rPr>
            </w:pPr>
          </w:p>
        </w:tc>
        <w:tc>
          <w:tcPr>
            <w:tcW w:w="100" w:type="dxa"/>
            <w:vAlign w:val="bottom"/>
            <w:tcBorders>
              <w:top w:val="single" w:sz="8" w:color="CFF0FC"/>
              <w:bottom w:val="single" w:sz="8" w:color="CFF0FC"/>
            </w:tcBorders>
            <w:shd w:val="clear" w:color="auto" w:fill="CFF0FC"/>
          </w:tcPr>
          <w:p>
            <w:pPr>
              <w:spacing w:after="0"/>
              <w:rPr>
                <w:sz w:val="9"/>
                <w:szCs w:val="9"/>
                <w:color w:val="auto"/>
              </w:rPr>
            </w:pPr>
          </w:p>
        </w:tc>
        <w:tc>
          <w:tcPr>
            <w:tcW w:w="160" w:type="dxa"/>
            <w:vAlign w:val="bottom"/>
            <w:tcBorders>
              <w:top w:val="single" w:sz="8" w:color="auto"/>
              <w:bottom w:val="single" w:sz="8" w:color="auto"/>
            </w:tcBorders>
            <w:shd w:val="clear" w:color="auto" w:fill="CFF0FC"/>
          </w:tcPr>
          <w:p>
            <w:pPr>
              <w:jc w:val="right"/>
              <w:ind w:right="52"/>
              <w:spacing w:after="0" w:line="97" w:lineRule="exact"/>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shd w:val="clear" w:color="auto" w:fill="CFF0FC"/>
          </w:tcPr>
          <w:p>
            <w:pPr>
              <w:jc w:val="right"/>
              <w:spacing w:after="0" w:line="97" w:lineRule="exact"/>
              <w:rPr>
                <w:sz w:val="20"/>
                <w:szCs w:val="20"/>
                <w:color w:val="auto"/>
              </w:rPr>
            </w:pPr>
            <w:r>
              <w:rPr>
                <w:rFonts w:ascii="Arial" w:cs="Arial" w:eastAsia="Arial" w:hAnsi="Arial"/>
                <w:sz w:val="10"/>
                <w:szCs w:val="10"/>
                <w:color w:val="auto"/>
              </w:rPr>
              <w:t>—</w:t>
            </w:r>
          </w:p>
        </w:tc>
        <w:tc>
          <w:tcPr>
            <w:tcW w:w="120" w:type="dxa"/>
            <w:vAlign w:val="bottom"/>
            <w:tcBorders>
              <w:top w:val="single" w:sz="8" w:color="CFF0FC"/>
              <w:bottom w:val="single" w:sz="8" w:color="CFF0FC"/>
            </w:tcBorders>
            <w:shd w:val="clear" w:color="auto" w:fill="CFF0FC"/>
          </w:tcPr>
          <w:p>
            <w:pPr>
              <w:spacing w:after="0"/>
              <w:rPr>
                <w:sz w:val="9"/>
                <w:szCs w:val="9"/>
                <w:color w:val="auto"/>
              </w:rPr>
            </w:pPr>
          </w:p>
        </w:tc>
        <w:tc>
          <w:tcPr>
            <w:tcW w:w="100" w:type="dxa"/>
            <w:vAlign w:val="bottom"/>
            <w:tcBorders>
              <w:top w:val="single" w:sz="8" w:color="CFF0FC"/>
              <w:bottom w:val="single" w:sz="8" w:color="CFF0FC"/>
            </w:tcBorders>
            <w:shd w:val="clear" w:color="auto" w:fill="CFF0FC"/>
          </w:tcPr>
          <w:p>
            <w:pPr>
              <w:spacing w:after="0"/>
              <w:rPr>
                <w:sz w:val="9"/>
                <w:szCs w:val="9"/>
                <w:color w:val="auto"/>
              </w:rPr>
            </w:pPr>
          </w:p>
        </w:tc>
        <w:tc>
          <w:tcPr>
            <w:tcW w:w="160" w:type="dxa"/>
            <w:vAlign w:val="bottom"/>
            <w:tcBorders>
              <w:top w:val="single" w:sz="8" w:color="auto"/>
              <w:bottom w:val="single" w:sz="8" w:color="auto"/>
            </w:tcBorders>
            <w:shd w:val="clear" w:color="auto" w:fill="CFF0FC"/>
          </w:tcPr>
          <w:p>
            <w:pPr>
              <w:jc w:val="right"/>
              <w:ind w:right="52"/>
              <w:spacing w:after="0" w:line="97" w:lineRule="exact"/>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shd w:val="clear" w:color="auto" w:fill="CFF0FC"/>
          </w:tcPr>
          <w:p>
            <w:pPr>
              <w:jc w:val="right"/>
              <w:spacing w:after="0" w:line="97" w:lineRule="exact"/>
              <w:rPr>
                <w:sz w:val="20"/>
                <w:szCs w:val="20"/>
                <w:color w:val="auto"/>
              </w:rPr>
            </w:pPr>
            <w:r>
              <w:rPr>
                <w:rFonts w:ascii="Arial" w:cs="Arial" w:eastAsia="Arial" w:hAnsi="Arial"/>
                <w:sz w:val="10"/>
                <w:szCs w:val="10"/>
                <w:color w:val="auto"/>
              </w:rPr>
              <w:t>132,430</w:t>
            </w:r>
          </w:p>
        </w:tc>
        <w:tc>
          <w:tcPr>
            <w:tcW w:w="120" w:type="dxa"/>
            <w:vAlign w:val="bottom"/>
            <w:tcBorders>
              <w:top w:val="single" w:sz="8" w:color="CFF0FC"/>
              <w:bottom w:val="single" w:sz="8" w:color="CFF0FC"/>
            </w:tcBorders>
            <w:shd w:val="clear" w:color="auto" w:fill="CFF0FC"/>
          </w:tcPr>
          <w:p>
            <w:pPr>
              <w:spacing w:after="0"/>
              <w:rPr>
                <w:sz w:val="9"/>
                <w:szCs w:val="9"/>
                <w:color w:val="auto"/>
              </w:rPr>
            </w:pPr>
          </w:p>
        </w:tc>
      </w:tr>
    </w:tbl>
    <w:p>
      <w:pPr>
        <w:spacing w:after="0" w:line="297"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17740" cy="3683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ectPr>
          <w:pgSz w:w="11900" w:h="16838" w:orient="portrait"/>
          <w:cols w:equalWidth="0" w:num="1">
            <w:col w:w="11480"/>
          </w:cols>
          <w:pgMar w:left="220" w:top="271" w:right="199" w:bottom="1440" w:gutter="0" w:footer="0" w:header="0"/>
        </w:sectPr>
      </w:pPr>
    </w:p>
    <w:bookmarkStart w:id="107" w:name="page108"/>
    <w:bookmarkEnd w:id="107"/>
    <w:p>
      <w:pPr>
        <w:jc w:val="center"/>
        <w:ind w:right="-7"/>
        <w:spacing w:after="0"/>
        <w:rPr>
          <w:sz w:val="20"/>
          <w:szCs w:val="20"/>
          <w:color w:val="auto"/>
        </w:rPr>
      </w:pPr>
      <w:r>
        <w:rPr>
          <w:rFonts w:ascii="Arial" w:cs="Arial" w:eastAsia="Arial" w:hAnsi="Arial"/>
          <w:sz w:val="12"/>
          <w:szCs w:val="12"/>
          <w:b w:val="1"/>
          <w:bCs w:val="1"/>
          <w:color w:val="auto"/>
        </w:rPr>
        <w:t>Verra Mobility Corporation and Subsidiaries</w:t>
      </w:r>
    </w:p>
    <w:p>
      <w:pPr>
        <w:spacing w:after="0" w:line="19"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Consolidated Statements of Cash Flows (Continued)</w:t>
      </w:r>
    </w:p>
    <w:p>
      <w:pPr>
        <w:spacing w:after="0" w:line="6"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Year Ended December 31, 2019</w:t>
      </w:r>
    </w:p>
    <w:p>
      <w:pPr>
        <w:spacing w:after="0" w:line="264" w:lineRule="exact"/>
        <w:rPr>
          <w:sz w:val="20"/>
          <w:szCs w:val="20"/>
          <w:color w:val="auto"/>
        </w:rPr>
      </w:pPr>
    </w:p>
    <w:tbl>
      <w:tblPr>
        <w:tblLayout w:type="fixed"/>
        <w:tblInd w:w="8" w:type="dxa"/>
        <w:tblCellMar>
          <w:top w:w="0" w:type="dxa"/>
          <w:left w:w="0" w:type="dxa"/>
          <w:bottom w:w="0" w:type="dxa"/>
          <w:right w:w="0" w:type="dxa"/>
        </w:tblCellMar>
      </w:tblPr>
      <w:tr>
        <w:trPr>
          <w:trHeight w:val="115"/>
        </w:trPr>
        <w:tc>
          <w:tcPr>
            <w:tcW w:w="5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rPr>
              <w:t>VM</w:t>
            </w: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99"/>
        </w:trPr>
        <w:tc>
          <w:tcPr>
            <w:tcW w:w="5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20" w:type="dxa"/>
            <w:vAlign w:val="bottom"/>
            <w:gridSpan w:val="2"/>
          </w:tcPr>
          <w:p>
            <w:pPr>
              <w:jc w:val="center"/>
              <w:ind w:right="380"/>
              <w:spacing w:after="0" w:line="99" w:lineRule="exact"/>
              <w:rPr>
                <w:sz w:val="20"/>
                <w:szCs w:val="20"/>
                <w:color w:val="auto"/>
              </w:rPr>
            </w:pPr>
            <w:r>
              <w:rPr>
                <w:rFonts w:ascii="Arial" w:cs="Arial" w:eastAsia="Arial" w:hAnsi="Arial"/>
                <w:sz w:val="10"/>
                <w:szCs w:val="10"/>
                <w:b w:val="1"/>
                <w:bCs w:val="1"/>
                <w:color w:val="auto"/>
                <w:w w:val="85"/>
              </w:rPr>
              <w:t>Consolidated</w:t>
            </w:r>
          </w:p>
        </w:tc>
        <w:tc>
          <w:tcPr>
            <w:tcW w:w="140" w:type="dxa"/>
            <w:vAlign w:val="bottom"/>
          </w:tcPr>
          <w:p>
            <w:pPr>
              <w:spacing w:after="0"/>
              <w:rPr>
                <w:sz w:val="8"/>
                <w:szCs w:val="8"/>
                <w:color w:val="auto"/>
              </w:rPr>
            </w:pPr>
          </w:p>
        </w:tc>
        <w:tc>
          <w:tcPr>
            <w:tcW w:w="8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99"/>
        </w:trPr>
        <w:tc>
          <w:tcPr>
            <w:tcW w:w="5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60" w:type="dxa"/>
            <w:vAlign w:val="bottom"/>
            <w:gridSpan w:val="2"/>
          </w:tcPr>
          <w:p>
            <w:pPr>
              <w:jc w:val="center"/>
              <w:ind w:right="340"/>
              <w:spacing w:after="0" w:line="99" w:lineRule="exact"/>
              <w:rPr>
                <w:sz w:val="20"/>
                <w:szCs w:val="20"/>
                <w:color w:val="auto"/>
              </w:rPr>
            </w:pPr>
            <w:r>
              <w:rPr>
                <w:rFonts w:ascii="Arial" w:cs="Arial" w:eastAsia="Arial" w:hAnsi="Arial"/>
                <w:sz w:val="10"/>
                <w:szCs w:val="10"/>
                <w:b w:val="1"/>
                <w:bCs w:val="1"/>
                <w:color w:val="auto"/>
                <w:w w:val="93"/>
              </w:rPr>
              <w:t>Verra Mobility</w:t>
            </w:r>
          </w:p>
        </w:tc>
        <w:tc>
          <w:tcPr>
            <w:tcW w:w="140" w:type="dxa"/>
            <w:vAlign w:val="bottom"/>
          </w:tcPr>
          <w:p>
            <w:pPr>
              <w:spacing w:after="0"/>
              <w:rPr>
                <w:sz w:val="8"/>
                <w:szCs w:val="8"/>
                <w:color w:val="auto"/>
              </w:rPr>
            </w:pPr>
          </w:p>
        </w:tc>
        <w:tc>
          <w:tcPr>
            <w:tcW w:w="1120" w:type="dxa"/>
            <w:vAlign w:val="bottom"/>
            <w:gridSpan w:val="2"/>
          </w:tcPr>
          <w:p>
            <w:pPr>
              <w:jc w:val="center"/>
              <w:ind w:right="400"/>
              <w:spacing w:after="0" w:line="99" w:lineRule="exact"/>
              <w:rPr>
                <w:sz w:val="20"/>
                <w:szCs w:val="20"/>
                <w:color w:val="auto"/>
              </w:rPr>
            </w:pPr>
            <w:r>
              <w:rPr>
                <w:rFonts w:ascii="Arial" w:cs="Arial" w:eastAsia="Arial" w:hAnsi="Arial"/>
                <w:sz w:val="10"/>
                <w:szCs w:val="10"/>
                <w:b w:val="1"/>
                <w:bCs w:val="1"/>
                <w:color w:val="auto"/>
                <w:w w:val="92"/>
              </w:rPr>
              <w:t>Inc.</w:t>
            </w:r>
          </w:p>
        </w:tc>
        <w:tc>
          <w:tcPr>
            <w:tcW w:w="140" w:type="dxa"/>
            <w:vAlign w:val="bottom"/>
          </w:tcPr>
          <w:p>
            <w:pPr>
              <w:spacing w:after="0"/>
              <w:rPr>
                <w:sz w:val="8"/>
                <w:szCs w:val="8"/>
                <w:color w:val="auto"/>
              </w:rPr>
            </w:pPr>
          </w:p>
        </w:tc>
        <w:tc>
          <w:tcPr>
            <w:tcW w:w="880" w:type="dxa"/>
            <w:vAlign w:val="bottom"/>
          </w:tcPr>
          <w:p>
            <w:pPr>
              <w:jc w:val="center"/>
              <w:ind w:right="112"/>
              <w:spacing w:after="0" w:line="99" w:lineRule="exact"/>
              <w:rPr>
                <w:sz w:val="20"/>
                <w:szCs w:val="20"/>
                <w:color w:val="auto"/>
              </w:rPr>
            </w:pPr>
            <w:r>
              <w:rPr>
                <w:rFonts w:ascii="Arial" w:cs="Arial" w:eastAsia="Arial" w:hAnsi="Arial"/>
                <w:sz w:val="10"/>
                <w:szCs w:val="10"/>
                <w:b w:val="1"/>
                <w:bCs w:val="1"/>
                <w:color w:val="auto"/>
                <w:w w:val="87"/>
              </w:rPr>
              <w:t>Non-</w:t>
            </w: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99"/>
        </w:trPr>
        <w:tc>
          <w:tcPr>
            <w:tcW w:w="5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60" w:type="dxa"/>
            <w:vAlign w:val="bottom"/>
            <w:gridSpan w:val="2"/>
          </w:tcPr>
          <w:p>
            <w:pPr>
              <w:jc w:val="center"/>
              <w:ind w:right="320"/>
              <w:spacing w:after="0" w:line="99" w:lineRule="exact"/>
              <w:rPr>
                <w:sz w:val="20"/>
                <w:szCs w:val="20"/>
                <w:color w:val="auto"/>
              </w:rPr>
            </w:pPr>
            <w:r>
              <w:rPr>
                <w:rFonts w:ascii="Arial" w:cs="Arial" w:eastAsia="Arial" w:hAnsi="Arial"/>
                <w:sz w:val="10"/>
                <w:szCs w:val="10"/>
                <w:b w:val="1"/>
                <w:bCs w:val="1"/>
                <w:color w:val="auto"/>
                <w:w w:val="90"/>
              </w:rPr>
              <w:t>Corporation</w:t>
            </w:r>
          </w:p>
        </w:tc>
        <w:tc>
          <w:tcPr>
            <w:tcW w:w="140" w:type="dxa"/>
            <w:vAlign w:val="bottom"/>
          </w:tcPr>
          <w:p>
            <w:pPr>
              <w:spacing w:after="0"/>
              <w:rPr>
                <w:sz w:val="8"/>
                <w:szCs w:val="8"/>
                <w:color w:val="auto"/>
              </w:rPr>
            </w:pPr>
          </w:p>
        </w:tc>
        <w:tc>
          <w:tcPr>
            <w:tcW w:w="1120" w:type="dxa"/>
            <w:vAlign w:val="bottom"/>
            <w:gridSpan w:val="2"/>
          </w:tcPr>
          <w:p>
            <w:pPr>
              <w:jc w:val="center"/>
              <w:ind w:right="400"/>
              <w:spacing w:after="0" w:line="99" w:lineRule="exact"/>
              <w:rPr>
                <w:sz w:val="20"/>
                <w:szCs w:val="20"/>
                <w:color w:val="auto"/>
              </w:rPr>
            </w:pPr>
            <w:r>
              <w:rPr>
                <w:rFonts w:ascii="Arial" w:cs="Arial" w:eastAsia="Arial" w:hAnsi="Arial"/>
                <w:sz w:val="10"/>
                <w:szCs w:val="10"/>
                <w:b w:val="1"/>
                <w:bCs w:val="1"/>
                <w:color w:val="auto"/>
                <w:w w:val="92"/>
              </w:rPr>
              <w:t>(Guarantor</w:t>
            </w:r>
          </w:p>
        </w:tc>
        <w:tc>
          <w:tcPr>
            <w:tcW w:w="140" w:type="dxa"/>
            <w:vAlign w:val="bottom"/>
          </w:tcPr>
          <w:p>
            <w:pPr>
              <w:spacing w:after="0"/>
              <w:rPr>
                <w:sz w:val="8"/>
                <w:szCs w:val="8"/>
                <w:color w:val="auto"/>
              </w:rPr>
            </w:pPr>
          </w:p>
        </w:tc>
        <w:tc>
          <w:tcPr>
            <w:tcW w:w="880" w:type="dxa"/>
            <w:vAlign w:val="bottom"/>
          </w:tcPr>
          <w:p>
            <w:pPr>
              <w:jc w:val="center"/>
              <w:ind w:right="112"/>
              <w:spacing w:after="0" w:line="99" w:lineRule="exact"/>
              <w:rPr>
                <w:sz w:val="20"/>
                <w:szCs w:val="20"/>
                <w:color w:val="auto"/>
              </w:rPr>
            </w:pPr>
            <w:r>
              <w:rPr>
                <w:rFonts w:ascii="Arial" w:cs="Arial" w:eastAsia="Arial" w:hAnsi="Arial"/>
                <w:sz w:val="10"/>
                <w:szCs w:val="10"/>
                <w:b w:val="1"/>
                <w:bCs w:val="1"/>
                <w:color w:val="auto"/>
                <w:w w:val="85"/>
              </w:rPr>
              <w:t>guarantor</w:t>
            </w: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114"/>
        </w:trPr>
        <w:tc>
          <w:tcPr>
            <w:tcW w:w="5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60" w:type="dxa"/>
            <w:vAlign w:val="bottom"/>
            <w:gridSpan w:val="2"/>
          </w:tcPr>
          <w:p>
            <w:pPr>
              <w:jc w:val="center"/>
              <w:ind w:right="320"/>
              <w:spacing w:after="0" w:line="114" w:lineRule="exact"/>
              <w:rPr>
                <w:sz w:val="20"/>
                <w:szCs w:val="20"/>
                <w:color w:val="auto"/>
              </w:rPr>
            </w:pPr>
            <w:r>
              <w:rPr>
                <w:rFonts w:ascii="Arial" w:cs="Arial" w:eastAsia="Arial" w:hAnsi="Arial"/>
                <w:sz w:val="10"/>
                <w:szCs w:val="10"/>
                <w:b w:val="1"/>
                <w:bCs w:val="1"/>
                <w:color w:val="auto"/>
                <w:w w:val="89"/>
              </w:rPr>
              <w:t>(Ultimate Parent)</w:t>
            </w:r>
          </w:p>
        </w:tc>
        <w:tc>
          <w:tcPr>
            <w:tcW w:w="140" w:type="dxa"/>
            <w:vAlign w:val="bottom"/>
          </w:tcPr>
          <w:p>
            <w:pPr>
              <w:spacing w:after="0"/>
              <w:rPr>
                <w:sz w:val="9"/>
                <w:szCs w:val="9"/>
                <w:color w:val="auto"/>
              </w:rPr>
            </w:pPr>
          </w:p>
        </w:tc>
        <w:tc>
          <w:tcPr>
            <w:tcW w:w="1120" w:type="dxa"/>
            <w:vAlign w:val="bottom"/>
            <w:gridSpan w:val="2"/>
          </w:tcPr>
          <w:p>
            <w:pPr>
              <w:jc w:val="center"/>
              <w:ind w:right="400"/>
              <w:spacing w:after="0" w:line="114" w:lineRule="exact"/>
              <w:rPr>
                <w:sz w:val="20"/>
                <w:szCs w:val="20"/>
                <w:color w:val="auto"/>
              </w:rPr>
            </w:pPr>
            <w:r>
              <w:rPr>
                <w:rFonts w:ascii="Arial" w:cs="Arial" w:eastAsia="Arial" w:hAnsi="Arial"/>
                <w:sz w:val="10"/>
                <w:szCs w:val="10"/>
                <w:b w:val="1"/>
                <w:bCs w:val="1"/>
                <w:color w:val="auto"/>
                <w:w w:val="88"/>
              </w:rPr>
              <w:t>Subsidiary)</w:t>
            </w:r>
          </w:p>
        </w:tc>
        <w:tc>
          <w:tcPr>
            <w:tcW w:w="140" w:type="dxa"/>
            <w:vAlign w:val="bottom"/>
          </w:tcPr>
          <w:p>
            <w:pPr>
              <w:spacing w:after="0"/>
              <w:rPr>
                <w:sz w:val="9"/>
                <w:szCs w:val="9"/>
                <w:color w:val="auto"/>
              </w:rPr>
            </w:pPr>
          </w:p>
        </w:tc>
        <w:tc>
          <w:tcPr>
            <w:tcW w:w="880" w:type="dxa"/>
            <w:vAlign w:val="bottom"/>
          </w:tcPr>
          <w:p>
            <w:pPr>
              <w:jc w:val="center"/>
              <w:ind w:right="132"/>
              <w:spacing w:after="0" w:line="114" w:lineRule="exact"/>
              <w:rPr>
                <w:sz w:val="20"/>
                <w:szCs w:val="20"/>
                <w:color w:val="auto"/>
              </w:rPr>
            </w:pPr>
            <w:r>
              <w:rPr>
                <w:rFonts w:ascii="Arial" w:cs="Arial" w:eastAsia="Arial" w:hAnsi="Arial"/>
                <w:sz w:val="10"/>
                <w:szCs w:val="10"/>
                <w:b w:val="1"/>
                <w:bCs w:val="1"/>
                <w:color w:val="auto"/>
                <w:w w:val="83"/>
              </w:rPr>
              <w:t>Subsidiaries</w:t>
            </w: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ind w:left="100"/>
              <w:spacing w:after="0" w:line="114" w:lineRule="exact"/>
              <w:rPr>
                <w:sz w:val="20"/>
                <w:szCs w:val="20"/>
                <w:color w:val="auto"/>
              </w:rPr>
            </w:pPr>
            <w:r>
              <w:rPr>
                <w:rFonts w:ascii="Arial" w:cs="Arial" w:eastAsia="Arial" w:hAnsi="Arial"/>
                <w:sz w:val="10"/>
                <w:szCs w:val="10"/>
                <w:b w:val="1"/>
                <w:bCs w:val="1"/>
                <w:color w:val="auto"/>
              </w:rPr>
              <w:t>Eliminations</w:t>
            </w: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gridSpan w:val="2"/>
          </w:tcPr>
          <w:p>
            <w:pPr>
              <w:ind w:left="100"/>
              <w:spacing w:after="0" w:line="114" w:lineRule="exact"/>
              <w:rPr>
                <w:sz w:val="20"/>
                <w:szCs w:val="20"/>
                <w:color w:val="auto"/>
              </w:rPr>
            </w:pPr>
            <w:r>
              <w:rPr>
                <w:rFonts w:ascii="Arial" w:cs="Arial" w:eastAsia="Arial" w:hAnsi="Arial"/>
                <w:sz w:val="10"/>
                <w:szCs w:val="10"/>
                <w:b w:val="1"/>
                <w:bCs w:val="1"/>
                <w:color w:val="auto"/>
              </w:rPr>
              <w:t>Consolidated</w:t>
            </w:r>
          </w:p>
        </w:tc>
      </w:tr>
      <w:tr>
        <w:trPr>
          <w:trHeight w:val="97"/>
        </w:trPr>
        <w:tc>
          <w:tcPr>
            <w:tcW w:w="5300" w:type="dxa"/>
            <w:vAlign w:val="bottom"/>
            <w:tcBorders>
              <w:top w:val="single" w:sz="8" w:color="CFF0FC"/>
            </w:tcBorders>
            <w:shd w:val="clear" w:color="auto" w:fill="CFF0FC"/>
          </w:tcPr>
          <w:p>
            <w:pPr>
              <w:spacing w:after="0" w:line="97" w:lineRule="exact"/>
              <w:rPr>
                <w:sz w:val="20"/>
                <w:szCs w:val="20"/>
                <w:color w:val="auto"/>
              </w:rPr>
            </w:pPr>
            <w:r>
              <w:rPr>
                <w:rFonts w:ascii="Arial" w:cs="Arial" w:eastAsia="Arial" w:hAnsi="Arial"/>
                <w:sz w:val="10"/>
                <w:szCs w:val="10"/>
                <w:color w:val="auto"/>
              </w:rPr>
              <w:t>Supplemental cash flow information:</w:t>
            </w:r>
          </w:p>
        </w:tc>
        <w:tc>
          <w:tcPr>
            <w:tcW w:w="100" w:type="dxa"/>
            <w:vAlign w:val="bottom"/>
            <w:tcBorders>
              <w:top w:val="single" w:sz="8" w:color="auto"/>
            </w:tcBorders>
            <w:shd w:val="clear" w:color="auto" w:fill="CFF0FC"/>
          </w:tcPr>
          <w:p>
            <w:pPr>
              <w:spacing w:after="0"/>
              <w:rPr>
                <w:sz w:val="8"/>
                <w:szCs w:val="8"/>
                <w:color w:val="auto"/>
              </w:rPr>
            </w:pPr>
          </w:p>
        </w:tc>
        <w:tc>
          <w:tcPr>
            <w:tcW w:w="940" w:type="dxa"/>
            <w:vAlign w:val="bottom"/>
            <w:tcBorders>
              <w:top w:val="single" w:sz="8" w:color="auto"/>
            </w:tcBorders>
            <w:shd w:val="clear" w:color="auto" w:fill="CFF0FC"/>
          </w:tcPr>
          <w:p>
            <w:pPr>
              <w:spacing w:after="0"/>
              <w:rPr>
                <w:sz w:val="8"/>
                <w:szCs w:val="8"/>
                <w:color w:val="auto"/>
              </w:rPr>
            </w:pPr>
          </w:p>
        </w:tc>
        <w:tc>
          <w:tcPr>
            <w:tcW w:w="220" w:type="dxa"/>
            <w:vAlign w:val="bottom"/>
            <w:tcBorders>
              <w:top w:val="single" w:sz="8" w:color="CFF0FC"/>
            </w:tcBorders>
            <w:shd w:val="clear" w:color="auto" w:fill="CFF0FC"/>
          </w:tcPr>
          <w:p>
            <w:pPr>
              <w:spacing w:after="0"/>
              <w:rPr>
                <w:sz w:val="8"/>
                <w:szCs w:val="8"/>
                <w:color w:val="auto"/>
              </w:rPr>
            </w:pPr>
          </w:p>
        </w:tc>
        <w:tc>
          <w:tcPr>
            <w:tcW w:w="140" w:type="dxa"/>
            <w:vAlign w:val="bottom"/>
            <w:tcBorders>
              <w:top w:val="single" w:sz="8" w:color="auto"/>
            </w:tcBorders>
            <w:shd w:val="clear" w:color="auto" w:fill="CFF0FC"/>
          </w:tcPr>
          <w:p>
            <w:pPr>
              <w:spacing w:after="0"/>
              <w:rPr>
                <w:sz w:val="8"/>
                <w:szCs w:val="8"/>
                <w:color w:val="auto"/>
              </w:rPr>
            </w:pPr>
          </w:p>
        </w:tc>
        <w:tc>
          <w:tcPr>
            <w:tcW w:w="880" w:type="dxa"/>
            <w:vAlign w:val="bottom"/>
            <w:tcBorders>
              <w:top w:val="single" w:sz="8" w:color="auto"/>
            </w:tcBorders>
            <w:shd w:val="clear" w:color="auto" w:fill="CFF0FC"/>
          </w:tcPr>
          <w:p>
            <w:pPr>
              <w:spacing w:after="0"/>
              <w:rPr>
                <w:sz w:val="8"/>
                <w:szCs w:val="8"/>
                <w:color w:val="auto"/>
              </w:rPr>
            </w:pPr>
          </w:p>
        </w:tc>
        <w:tc>
          <w:tcPr>
            <w:tcW w:w="240" w:type="dxa"/>
            <w:vAlign w:val="bottom"/>
            <w:tcBorders>
              <w:top w:val="single" w:sz="8" w:color="CFF0FC"/>
            </w:tcBorders>
            <w:shd w:val="clear" w:color="auto" w:fill="CFF0FC"/>
          </w:tcPr>
          <w:p>
            <w:pPr>
              <w:spacing w:after="0"/>
              <w:rPr>
                <w:sz w:val="8"/>
                <w:szCs w:val="8"/>
                <w:color w:val="auto"/>
              </w:rPr>
            </w:pPr>
          </w:p>
        </w:tc>
        <w:tc>
          <w:tcPr>
            <w:tcW w:w="140" w:type="dxa"/>
            <w:vAlign w:val="bottom"/>
            <w:tcBorders>
              <w:top w:val="single" w:sz="8" w:color="auto"/>
            </w:tcBorders>
            <w:shd w:val="clear" w:color="auto" w:fill="CFF0FC"/>
          </w:tcPr>
          <w:p>
            <w:pPr>
              <w:spacing w:after="0"/>
              <w:rPr>
                <w:sz w:val="8"/>
                <w:szCs w:val="8"/>
                <w:color w:val="auto"/>
              </w:rPr>
            </w:pPr>
          </w:p>
        </w:tc>
        <w:tc>
          <w:tcPr>
            <w:tcW w:w="880" w:type="dxa"/>
            <w:vAlign w:val="bottom"/>
            <w:tcBorders>
              <w:top w:val="single" w:sz="8" w:color="auto"/>
            </w:tcBorders>
            <w:shd w:val="clear" w:color="auto" w:fill="CFF0FC"/>
          </w:tcPr>
          <w:p>
            <w:pPr>
              <w:spacing w:after="0"/>
              <w:rPr>
                <w:sz w:val="8"/>
                <w:szCs w:val="8"/>
                <w:color w:val="auto"/>
              </w:rPr>
            </w:pPr>
          </w:p>
        </w:tc>
        <w:tc>
          <w:tcPr>
            <w:tcW w:w="220" w:type="dxa"/>
            <w:vAlign w:val="bottom"/>
            <w:tcBorders>
              <w:top w:val="single" w:sz="8" w:color="CFF0FC"/>
            </w:tcBorders>
            <w:shd w:val="clear" w:color="auto" w:fill="CFF0FC"/>
          </w:tcPr>
          <w:p>
            <w:pPr>
              <w:spacing w:after="0"/>
              <w:rPr>
                <w:sz w:val="8"/>
                <w:szCs w:val="8"/>
                <w:color w:val="auto"/>
              </w:rPr>
            </w:pPr>
          </w:p>
        </w:tc>
        <w:tc>
          <w:tcPr>
            <w:tcW w:w="160" w:type="dxa"/>
            <w:vAlign w:val="bottom"/>
            <w:tcBorders>
              <w:top w:val="single" w:sz="8" w:color="auto"/>
            </w:tcBorders>
            <w:shd w:val="clear" w:color="auto" w:fill="CFF0FC"/>
          </w:tcPr>
          <w:p>
            <w:pPr>
              <w:spacing w:after="0"/>
              <w:rPr>
                <w:sz w:val="8"/>
                <w:szCs w:val="8"/>
                <w:color w:val="auto"/>
              </w:rPr>
            </w:pPr>
          </w:p>
        </w:tc>
        <w:tc>
          <w:tcPr>
            <w:tcW w:w="880" w:type="dxa"/>
            <w:vAlign w:val="bottom"/>
            <w:tcBorders>
              <w:top w:val="single" w:sz="8" w:color="auto"/>
            </w:tcBorders>
            <w:shd w:val="clear" w:color="auto" w:fill="CFF0FC"/>
          </w:tcPr>
          <w:p>
            <w:pPr>
              <w:spacing w:after="0"/>
              <w:rPr>
                <w:sz w:val="8"/>
                <w:szCs w:val="8"/>
                <w:color w:val="auto"/>
              </w:rPr>
            </w:pPr>
          </w:p>
        </w:tc>
        <w:tc>
          <w:tcPr>
            <w:tcW w:w="220" w:type="dxa"/>
            <w:vAlign w:val="bottom"/>
            <w:tcBorders>
              <w:top w:val="single" w:sz="8" w:color="CFF0FC"/>
            </w:tcBorders>
            <w:shd w:val="clear" w:color="auto" w:fill="CFF0FC"/>
          </w:tcPr>
          <w:p>
            <w:pPr>
              <w:spacing w:after="0"/>
              <w:rPr>
                <w:sz w:val="8"/>
                <w:szCs w:val="8"/>
                <w:color w:val="auto"/>
              </w:rPr>
            </w:pPr>
          </w:p>
        </w:tc>
        <w:tc>
          <w:tcPr>
            <w:tcW w:w="160" w:type="dxa"/>
            <w:vAlign w:val="bottom"/>
            <w:tcBorders>
              <w:top w:val="single" w:sz="8" w:color="auto"/>
            </w:tcBorders>
            <w:shd w:val="clear" w:color="auto" w:fill="CFF0FC"/>
          </w:tcPr>
          <w:p>
            <w:pPr>
              <w:spacing w:after="0"/>
              <w:rPr>
                <w:sz w:val="8"/>
                <w:szCs w:val="8"/>
                <w:color w:val="auto"/>
              </w:rPr>
            </w:pPr>
          </w:p>
        </w:tc>
        <w:tc>
          <w:tcPr>
            <w:tcW w:w="880" w:type="dxa"/>
            <w:vAlign w:val="bottom"/>
            <w:tcBorders>
              <w:top w:val="single" w:sz="8" w:color="auto"/>
            </w:tcBorders>
            <w:shd w:val="clear" w:color="auto" w:fill="CFF0FC"/>
          </w:tcPr>
          <w:p>
            <w:pPr>
              <w:spacing w:after="0"/>
              <w:rPr>
                <w:sz w:val="8"/>
                <w:szCs w:val="8"/>
                <w:color w:val="auto"/>
              </w:rPr>
            </w:pPr>
          </w:p>
        </w:tc>
        <w:tc>
          <w:tcPr>
            <w:tcW w:w="120" w:type="dxa"/>
            <w:vAlign w:val="bottom"/>
            <w:tcBorders>
              <w:top w:val="single" w:sz="8" w:color="CFF0FC"/>
            </w:tcBorders>
            <w:shd w:val="clear" w:color="auto" w:fill="CFF0FC"/>
          </w:tcPr>
          <w:p>
            <w:pPr>
              <w:spacing w:after="0"/>
              <w:rPr>
                <w:sz w:val="8"/>
                <w:szCs w:val="8"/>
                <w:color w:val="auto"/>
              </w:rPr>
            </w:pPr>
          </w:p>
        </w:tc>
      </w:tr>
      <w:tr>
        <w:trPr>
          <w:trHeight w:val="108"/>
        </w:trPr>
        <w:tc>
          <w:tcPr>
            <w:tcW w:w="5300" w:type="dxa"/>
            <w:vAlign w:val="bottom"/>
          </w:tcPr>
          <w:p>
            <w:pPr>
              <w:ind w:left="160"/>
              <w:spacing w:after="0" w:line="108" w:lineRule="exact"/>
              <w:rPr>
                <w:sz w:val="20"/>
                <w:szCs w:val="20"/>
                <w:color w:val="auto"/>
              </w:rPr>
            </w:pPr>
            <w:r>
              <w:rPr>
                <w:rFonts w:ascii="Arial" w:cs="Arial" w:eastAsia="Arial" w:hAnsi="Arial"/>
                <w:sz w:val="10"/>
                <w:szCs w:val="10"/>
                <w:color w:val="auto"/>
              </w:rPr>
              <w:t>Interest paid</w:t>
            </w:r>
          </w:p>
        </w:tc>
        <w:tc>
          <w:tcPr>
            <w:tcW w:w="100" w:type="dxa"/>
            <w:vAlign w:val="bottom"/>
          </w:tcPr>
          <w:p>
            <w:pPr>
              <w:jc w:val="right"/>
              <w:spacing w:after="0" w:line="108" w:lineRule="exact"/>
              <w:rPr>
                <w:sz w:val="20"/>
                <w:szCs w:val="20"/>
                <w:color w:val="auto"/>
              </w:rPr>
            </w:pPr>
            <w:r>
              <w:rPr>
                <w:rFonts w:ascii="Arial" w:cs="Arial" w:eastAsia="Arial" w:hAnsi="Arial"/>
                <w:sz w:val="10"/>
                <w:szCs w:val="10"/>
                <w:color w:val="auto"/>
                <w:w w:val="71"/>
              </w:rPr>
              <w:t>$</w:t>
            </w:r>
          </w:p>
        </w:tc>
        <w:tc>
          <w:tcPr>
            <w:tcW w:w="1160" w:type="dxa"/>
            <w:vAlign w:val="bottom"/>
            <w:gridSpan w:val="2"/>
          </w:tcPr>
          <w:p>
            <w:pPr>
              <w:jc w:val="right"/>
              <w:ind w:right="240"/>
              <w:spacing w:after="0" w:line="108" w:lineRule="exact"/>
              <w:rPr>
                <w:sz w:val="20"/>
                <w:szCs w:val="20"/>
                <w:color w:val="auto"/>
              </w:rPr>
            </w:pPr>
            <w:r>
              <w:rPr>
                <w:rFonts w:ascii="Arial" w:cs="Arial" w:eastAsia="Arial" w:hAnsi="Arial"/>
                <w:sz w:val="10"/>
                <w:szCs w:val="10"/>
                <w:color w:val="auto"/>
              </w:rPr>
              <w:t>—</w:t>
            </w:r>
          </w:p>
        </w:tc>
        <w:tc>
          <w:tcPr>
            <w:tcW w:w="140" w:type="dxa"/>
            <w:vAlign w:val="bottom"/>
          </w:tcPr>
          <w:p>
            <w:pPr>
              <w:jc w:val="right"/>
              <w:ind w:right="76"/>
              <w:spacing w:after="0"/>
              <w:rPr>
                <w:sz w:val="20"/>
                <w:szCs w:val="20"/>
                <w:color w:val="auto"/>
              </w:rPr>
            </w:pPr>
            <w:r>
              <w:rPr>
                <w:rFonts w:ascii="Arial" w:cs="Arial" w:eastAsia="Arial" w:hAnsi="Arial"/>
                <w:sz w:val="5"/>
                <w:szCs w:val="5"/>
                <w:color w:val="auto"/>
                <w:w w:val="70"/>
              </w:rPr>
              <w:t>$</w:t>
            </w:r>
          </w:p>
        </w:tc>
        <w:tc>
          <w:tcPr>
            <w:tcW w:w="880" w:type="dxa"/>
            <w:vAlign w:val="bottom"/>
          </w:tcPr>
          <w:p>
            <w:pPr>
              <w:jc w:val="right"/>
              <w:spacing w:after="0" w:line="108" w:lineRule="exact"/>
              <w:rPr>
                <w:sz w:val="20"/>
                <w:szCs w:val="20"/>
                <w:color w:val="auto"/>
              </w:rPr>
            </w:pPr>
            <w:r>
              <w:rPr>
                <w:rFonts w:ascii="Arial" w:cs="Arial" w:eastAsia="Arial" w:hAnsi="Arial"/>
                <w:sz w:val="10"/>
                <w:szCs w:val="10"/>
                <w:color w:val="auto"/>
              </w:rPr>
              <w:t>55,197</w:t>
            </w:r>
          </w:p>
        </w:tc>
        <w:tc>
          <w:tcPr>
            <w:tcW w:w="240" w:type="dxa"/>
            <w:vAlign w:val="bottom"/>
          </w:tcPr>
          <w:p>
            <w:pPr>
              <w:spacing w:after="0"/>
              <w:rPr>
                <w:sz w:val="9"/>
                <w:szCs w:val="9"/>
                <w:color w:val="auto"/>
              </w:rPr>
            </w:pPr>
          </w:p>
        </w:tc>
        <w:tc>
          <w:tcPr>
            <w:tcW w:w="140" w:type="dxa"/>
            <w:vAlign w:val="bottom"/>
          </w:tcPr>
          <w:p>
            <w:pPr>
              <w:jc w:val="right"/>
              <w:ind w:right="76"/>
              <w:spacing w:after="0"/>
              <w:rPr>
                <w:sz w:val="20"/>
                <w:szCs w:val="20"/>
                <w:color w:val="auto"/>
              </w:rPr>
            </w:pPr>
            <w:r>
              <w:rPr>
                <w:rFonts w:ascii="Arial" w:cs="Arial" w:eastAsia="Arial" w:hAnsi="Arial"/>
                <w:sz w:val="5"/>
                <w:szCs w:val="5"/>
                <w:color w:val="auto"/>
                <w:w w:val="70"/>
              </w:rPr>
              <w:t>$</w:t>
            </w:r>
          </w:p>
        </w:tc>
        <w:tc>
          <w:tcPr>
            <w:tcW w:w="880" w:type="dxa"/>
            <w:vAlign w:val="bottom"/>
          </w:tcPr>
          <w:p>
            <w:pPr>
              <w:jc w:val="right"/>
              <w:spacing w:after="0" w:line="108" w:lineRule="exact"/>
              <w:rPr>
                <w:sz w:val="20"/>
                <w:szCs w:val="20"/>
                <w:color w:val="auto"/>
              </w:rPr>
            </w:pPr>
            <w:r>
              <w:rPr>
                <w:rFonts w:ascii="Arial" w:cs="Arial" w:eastAsia="Arial" w:hAnsi="Arial"/>
                <w:sz w:val="10"/>
                <w:szCs w:val="10"/>
                <w:color w:val="auto"/>
              </w:rPr>
              <w:t>—</w:t>
            </w:r>
          </w:p>
        </w:tc>
        <w:tc>
          <w:tcPr>
            <w:tcW w:w="38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w:t>
            </w:r>
          </w:p>
        </w:tc>
        <w:tc>
          <w:tcPr>
            <w:tcW w:w="880" w:type="dxa"/>
            <w:vAlign w:val="bottom"/>
          </w:tcPr>
          <w:p>
            <w:pPr>
              <w:ind w:left="780"/>
              <w:spacing w:after="0" w:line="108" w:lineRule="exact"/>
              <w:rPr>
                <w:sz w:val="20"/>
                <w:szCs w:val="20"/>
                <w:color w:val="auto"/>
              </w:rPr>
            </w:pPr>
            <w:r>
              <w:rPr>
                <w:rFonts w:ascii="Arial" w:cs="Arial" w:eastAsia="Arial" w:hAnsi="Arial"/>
                <w:sz w:val="10"/>
                <w:szCs w:val="10"/>
                <w:color w:val="auto"/>
                <w:w w:val="79"/>
              </w:rPr>
              <w:t>—</w:t>
            </w:r>
          </w:p>
        </w:tc>
        <w:tc>
          <w:tcPr>
            <w:tcW w:w="38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w:t>
            </w:r>
          </w:p>
        </w:tc>
        <w:tc>
          <w:tcPr>
            <w:tcW w:w="880" w:type="dxa"/>
            <w:vAlign w:val="bottom"/>
          </w:tcPr>
          <w:p>
            <w:pPr>
              <w:jc w:val="right"/>
              <w:spacing w:after="0" w:line="108" w:lineRule="exact"/>
              <w:rPr>
                <w:sz w:val="20"/>
                <w:szCs w:val="20"/>
                <w:color w:val="auto"/>
              </w:rPr>
            </w:pPr>
            <w:r>
              <w:rPr>
                <w:rFonts w:ascii="Arial" w:cs="Arial" w:eastAsia="Arial" w:hAnsi="Arial"/>
                <w:sz w:val="10"/>
                <w:szCs w:val="10"/>
                <w:color w:val="auto"/>
              </w:rPr>
              <w:t>55,197</w:t>
            </w:r>
          </w:p>
        </w:tc>
        <w:tc>
          <w:tcPr>
            <w:tcW w:w="120" w:type="dxa"/>
            <w:vAlign w:val="bottom"/>
          </w:tcPr>
          <w:p>
            <w:pPr>
              <w:spacing w:after="0"/>
              <w:rPr>
                <w:sz w:val="9"/>
                <w:szCs w:val="9"/>
                <w:color w:val="auto"/>
              </w:rPr>
            </w:pPr>
          </w:p>
        </w:tc>
      </w:tr>
      <w:tr>
        <w:trPr>
          <w:trHeight w:val="108"/>
        </w:trPr>
        <w:tc>
          <w:tcPr>
            <w:tcW w:w="5300" w:type="dxa"/>
            <w:vAlign w:val="bottom"/>
            <w:shd w:val="clear" w:color="auto" w:fill="CFF0FC"/>
          </w:tcPr>
          <w:p>
            <w:pPr>
              <w:ind w:left="160"/>
              <w:spacing w:after="0" w:line="108" w:lineRule="exact"/>
              <w:rPr>
                <w:sz w:val="20"/>
                <w:szCs w:val="20"/>
                <w:color w:val="auto"/>
              </w:rPr>
            </w:pPr>
            <w:r>
              <w:rPr>
                <w:rFonts w:ascii="Arial" w:cs="Arial" w:eastAsia="Arial" w:hAnsi="Arial"/>
                <w:sz w:val="10"/>
                <w:szCs w:val="10"/>
                <w:color w:val="auto"/>
              </w:rPr>
              <w:t>Income taxes paid, net</w:t>
            </w:r>
          </w:p>
        </w:tc>
        <w:tc>
          <w:tcPr>
            <w:tcW w:w="100" w:type="dxa"/>
            <w:vAlign w:val="bottom"/>
            <w:shd w:val="clear" w:color="auto" w:fill="CFF0FC"/>
          </w:tcPr>
          <w:p>
            <w:pPr>
              <w:spacing w:after="0"/>
              <w:rPr>
                <w:sz w:val="9"/>
                <w:szCs w:val="9"/>
                <w:color w:val="auto"/>
              </w:rPr>
            </w:pPr>
          </w:p>
        </w:tc>
        <w:tc>
          <w:tcPr>
            <w:tcW w:w="1160" w:type="dxa"/>
            <w:vAlign w:val="bottom"/>
            <w:gridSpan w:val="2"/>
            <w:shd w:val="clear" w:color="auto" w:fill="CFF0FC"/>
          </w:tcPr>
          <w:p>
            <w:pPr>
              <w:jc w:val="right"/>
              <w:ind w:right="240"/>
              <w:spacing w:after="0" w:line="108" w:lineRule="exact"/>
              <w:rPr>
                <w:sz w:val="20"/>
                <w:szCs w:val="20"/>
                <w:color w:val="auto"/>
              </w:rPr>
            </w:pPr>
            <w:r>
              <w:rPr>
                <w:rFonts w:ascii="Arial" w:cs="Arial" w:eastAsia="Arial" w:hAnsi="Arial"/>
                <w:sz w:val="10"/>
                <w:szCs w:val="10"/>
                <w:color w:val="auto"/>
              </w:rPr>
              <w:t>—</w:t>
            </w:r>
          </w:p>
        </w:tc>
        <w:tc>
          <w:tcPr>
            <w:tcW w:w="140" w:type="dxa"/>
            <w:vAlign w:val="bottom"/>
            <w:shd w:val="clear" w:color="auto" w:fill="CFF0FC"/>
          </w:tcPr>
          <w:p>
            <w:pPr>
              <w:spacing w:after="0"/>
              <w:rPr>
                <w:sz w:val="9"/>
                <w:szCs w:val="9"/>
                <w:color w:val="auto"/>
              </w:rPr>
            </w:pPr>
          </w:p>
        </w:tc>
        <w:tc>
          <w:tcPr>
            <w:tcW w:w="880" w:type="dxa"/>
            <w:vAlign w:val="bottom"/>
            <w:shd w:val="clear" w:color="auto" w:fill="CFF0FC"/>
          </w:tcPr>
          <w:p>
            <w:pPr>
              <w:jc w:val="right"/>
              <w:spacing w:after="0" w:line="108" w:lineRule="exact"/>
              <w:rPr>
                <w:sz w:val="20"/>
                <w:szCs w:val="20"/>
                <w:color w:val="auto"/>
              </w:rPr>
            </w:pPr>
            <w:r>
              <w:rPr>
                <w:rFonts w:ascii="Arial" w:cs="Arial" w:eastAsia="Arial" w:hAnsi="Arial"/>
                <w:sz w:val="10"/>
                <w:szCs w:val="10"/>
                <w:color w:val="auto"/>
              </w:rPr>
              <w:t>24,109</w:t>
            </w:r>
          </w:p>
        </w:tc>
        <w:tc>
          <w:tcPr>
            <w:tcW w:w="24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880" w:type="dxa"/>
            <w:vAlign w:val="bottom"/>
            <w:shd w:val="clear" w:color="auto" w:fill="CFF0FC"/>
          </w:tcPr>
          <w:p>
            <w:pPr>
              <w:jc w:val="right"/>
              <w:spacing w:after="0" w:line="108" w:lineRule="exact"/>
              <w:rPr>
                <w:sz w:val="20"/>
                <w:szCs w:val="20"/>
                <w:color w:val="auto"/>
              </w:rPr>
            </w:pPr>
            <w:r>
              <w:rPr>
                <w:rFonts w:ascii="Arial" w:cs="Arial" w:eastAsia="Arial" w:hAnsi="Arial"/>
                <w:sz w:val="10"/>
                <w:szCs w:val="10"/>
                <w:color w:val="auto"/>
              </w:rPr>
              <w:t>248</w:t>
            </w:r>
          </w:p>
        </w:tc>
        <w:tc>
          <w:tcPr>
            <w:tcW w:w="22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880" w:type="dxa"/>
            <w:vAlign w:val="bottom"/>
            <w:shd w:val="clear" w:color="auto" w:fill="CFF0FC"/>
          </w:tcPr>
          <w:p>
            <w:pPr>
              <w:ind w:left="780"/>
              <w:spacing w:after="0" w:line="108" w:lineRule="exact"/>
              <w:rPr>
                <w:sz w:val="20"/>
                <w:szCs w:val="20"/>
                <w:color w:val="auto"/>
              </w:rPr>
            </w:pPr>
            <w:r>
              <w:rPr>
                <w:rFonts w:ascii="Arial" w:cs="Arial" w:eastAsia="Arial" w:hAnsi="Arial"/>
                <w:sz w:val="10"/>
                <w:szCs w:val="10"/>
                <w:color w:val="auto"/>
                <w:w w:val="79"/>
              </w:rPr>
              <w:t>—</w:t>
            </w:r>
          </w:p>
        </w:tc>
        <w:tc>
          <w:tcPr>
            <w:tcW w:w="22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880" w:type="dxa"/>
            <w:vAlign w:val="bottom"/>
            <w:shd w:val="clear" w:color="auto" w:fill="CFF0FC"/>
          </w:tcPr>
          <w:p>
            <w:pPr>
              <w:jc w:val="right"/>
              <w:spacing w:after="0" w:line="108" w:lineRule="exact"/>
              <w:rPr>
                <w:sz w:val="20"/>
                <w:szCs w:val="20"/>
                <w:color w:val="auto"/>
              </w:rPr>
            </w:pPr>
            <w:r>
              <w:rPr>
                <w:rFonts w:ascii="Arial" w:cs="Arial" w:eastAsia="Arial" w:hAnsi="Arial"/>
                <w:sz w:val="10"/>
                <w:szCs w:val="10"/>
                <w:color w:val="auto"/>
              </w:rPr>
              <w:t>24,357</w:t>
            </w:r>
          </w:p>
        </w:tc>
        <w:tc>
          <w:tcPr>
            <w:tcW w:w="120" w:type="dxa"/>
            <w:vAlign w:val="bottom"/>
            <w:shd w:val="clear" w:color="auto" w:fill="CFF0FC"/>
          </w:tcPr>
          <w:p>
            <w:pPr>
              <w:spacing w:after="0"/>
              <w:rPr>
                <w:sz w:val="9"/>
                <w:szCs w:val="9"/>
                <w:color w:val="auto"/>
              </w:rPr>
            </w:pPr>
          </w:p>
        </w:tc>
      </w:tr>
      <w:tr>
        <w:trPr>
          <w:trHeight w:val="108"/>
        </w:trPr>
        <w:tc>
          <w:tcPr>
            <w:tcW w:w="5300" w:type="dxa"/>
            <w:vAlign w:val="bottom"/>
          </w:tcPr>
          <w:p>
            <w:pPr>
              <w:spacing w:after="0" w:line="108" w:lineRule="exact"/>
              <w:rPr>
                <w:sz w:val="20"/>
                <w:szCs w:val="20"/>
                <w:color w:val="auto"/>
              </w:rPr>
            </w:pPr>
            <w:r>
              <w:rPr>
                <w:rFonts w:ascii="Arial" w:cs="Arial" w:eastAsia="Arial" w:hAnsi="Arial"/>
                <w:sz w:val="10"/>
                <w:szCs w:val="10"/>
                <w:color w:val="auto"/>
              </w:rPr>
              <w:t>Supplemental non-cash investing and financing activities:</w:t>
            </w:r>
          </w:p>
        </w:tc>
        <w:tc>
          <w:tcPr>
            <w:tcW w:w="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r>
      <w:tr>
        <w:trPr>
          <w:trHeight w:val="108"/>
        </w:trPr>
        <w:tc>
          <w:tcPr>
            <w:tcW w:w="5300" w:type="dxa"/>
            <w:vAlign w:val="bottom"/>
            <w:shd w:val="clear" w:color="auto" w:fill="CFF0FC"/>
          </w:tcPr>
          <w:p>
            <w:pPr>
              <w:ind w:left="160"/>
              <w:spacing w:after="0" w:line="108" w:lineRule="exact"/>
              <w:rPr>
                <w:sz w:val="20"/>
                <w:szCs w:val="20"/>
                <w:color w:val="auto"/>
              </w:rPr>
            </w:pPr>
            <w:r>
              <w:rPr>
                <w:rFonts w:ascii="Arial" w:cs="Arial" w:eastAsia="Arial" w:hAnsi="Arial"/>
                <w:sz w:val="10"/>
                <w:szCs w:val="10"/>
                <w:color w:val="auto"/>
              </w:rPr>
              <w:t>Reduction to tax receivable agreement liability</w:t>
            </w:r>
          </w:p>
        </w:tc>
        <w:tc>
          <w:tcPr>
            <w:tcW w:w="100" w:type="dxa"/>
            <w:vAlign w:val="bottom"/>
            <w:shd w:val="clear" w:color="auto" w:fill="CFF0FC"/>
          </w:tcPr>
          <w:p>
            <w:pPr>
              <w:spacing w:after="0"/>
              <w:rPr>
                <w:sz w:val="9"/>
                <w:szCs w:val="9"/>
                <w:color w:val="auto"/>
              </w:rPr>
            </w:pPr>
          </w:p>
        </w:tc>
        <w:tc>
          <w:tcPr>
            <w:tcW w:w="940" w:type="dxa"/>
            <w:vAlign w:val="bottom"/>
            <w:shd w:val="clear" w:color="auto" w:fill="CFF0FC"/>
          </w:tcPr>
          <w:p>
            <w:pPr>
              <w:jc w:val="right"/>
              <w:spacing w:after="0" w:line="108" w:lineRule="exact"/>
              <w:rPr>
                <w:sz w:val="20"/>
                <w:szCs w:val="20"/>
                <w:color w:val="auto"/>
              </w:rPr>
            </w:pPr>
            <w:r>
              <w:rPr>
                <w:rFonts w:ascii="Arial" w:cs="Arial" w:eastAsia="Arial" w:hAnsi="Arial"/>
                <w:sz w:val="10"/>
                <w:szCs w:val="10"/>
                <w:color w:val="auto"/>
              </w:rPr>
              <w:t>2,940</w:t>
            </w:r>
          </w:p>
        </w:tc>
        <w:tc>
          <w:tcPr>
            <w:tcW w:w="22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1120" w:type="dxa"/>
            <w:vAlign w:val="bottom"/>
            <w:gridSpan w:val="2"/>
            <w:shd w:val="clear" w:color="auto" w:fill="CFF0FC"/>
          </w:tcPr>
          <w:p>
            <w:pPr>
              <w:jc w:val="right"/>
              <w:ind w:right="240"/>
              <w:spacing w:after="0" w:line="108" w:lineRule="exact"/>
              <w:rPr>
                <w:sz w:val="20"/>
                <w:szCs w:val="20"/>
                <w:color w:val="auto"/>
              </w:rPr>
            </w:pPr>
            <w:r>
              <w:rPr>
                <w:rFonts w:ascii="Arial" w:cs="Arial" w:eastAsia="Arial" w:hAnsi="Arial"/>
                <w:sz w:val="10"/>
                <w:szCs w:val="10"/>
                <w:color w:val="auto"/>
              </w:rPr>
              <w:t>—</w:t>
            </w:r>
          </w:p>
        </w:tc>
        <w:tc>
          <w:tcPr>
            <w:tcW w:w="140" w:type="dxa"/>
            <w:vAlign w:val="bottom"/>
            <w:shd w:val="clear" w:color="auto" w:fill="CFF0FC"/>
          </w:tcPr>
          <w:p>
            <w:pPr>
              <w:spacing w:after="0"/>
              <w:rPr>
                <w:sz w:val="9"/>
                <w:szCs w:val="9"/>
                <w:color w:val="auto"/>
              </w:rPr>
            </w:pPr>
          </w:p>
        </w:tc>
        <w:tc>
          <w:tcPr>
            <w:tcW w:w="880" w:type="dxa"/>
            <w:vAlign w:val="bottom"/>
            <w:shd w:val="clear" w:color="auto" w:fill="CFF0FC"/>
          </w:tcPr>
          <w:p>
            <w:pPr>
              <w:jc w:val="right"/>
              <w:spacing w:after="0" w:line="108" w:lineRule="exact"/>
              <w:rPr>
                <w:sz w:val="20"/>
                <w:szCs w:val="20"/>
                <w:color w:val="auto"/>
              </w:rPr>
            </w:pPr>
            <w:r>
              <w:rPr>
                <w:rFonts w:ascii="Arial" w:cs="Arial" w:eastAsia="Arial" w:hAnsi="Arial"/>
                <w:sz w:val="10"/>
                <w:szCs w:val="10"/>
                <w:color w:val="auto"/>
              </w:rPr>
              <w:t>—</w:t>
            </w:r>
          </w:p>
        </w:tc>
        <w:tc>
          <w:tcPr>
            <w:tcW w:w="22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880" w:type="dxa"/>
            <w:vAlign w:val="bottom"/>
            <w:shd w:val="clear" w:color="auto" w:fill="CFF0FC"/>
          </w:tcPr>
          <w:p>
            <w:pPr>
              <w:ind w:left="780"/>
              <w:spacing w:after="0" w:line="108" w:lineRule="exact"/>
              <w:rPr>
                <w:sz w:val="20"/>
                <w:szCs w:val="20"/>
                <w:color w:val="auto"/>
              </w:rPr>
            </w:pPr>
            <w:r>
              <w:rPr>
                <w:rFonts w:ascii="Arial" w:cs="Arial" w:eastAsia="Arial" w:hAnsi="Arial"/>
                <w:sz w:val="10"/>
                <w:szCs w:val="10"/>
                <w:color w:val="auto"/>
                <w:w w:val="79"/>
              </w:rPr>
              <w:t>—</w:t>
            </w:r>
          </w:p>
        </w:tc>
        <w:tc>
          <w:tcPr>
            <w:tcW w:w="22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880" w:type="dxa"/>
            <w:vAlign w:val="bottom"/>
            <w:shd w:val="clear" w:color="auto" w:fill="CFF0FC"/>
          </w:tcPr>
          <w:p>
            <w:pPr>
              <w:jc w:val="right"/>
              <w:spacing w:after="0" w:line="108" w:lineRule="exact"/>
              <w:rPr>
                <w:sz w:val="20"/>
                <w:szCs w:val="20"/>
                <w:color w:val="auto"/>
              </w:rPr>
            </w:pPr>
            <w:r>
              <w:rPr>
                <w:rFonts w:ascii="Arial" w:cs="Arial" w:eastAsia="Arial" w:hAnsi="Arial"/>
                <w:sz w:val="10"/>
                <w:szCs w:val="10"/>
                <w:color w:val="auto"/>
              </w:rPr>
              <w:t>2,940</w:t>
            </w:r>
          </w:p>
        </w:tc>
        <w:tc>
          <w:tcPr>
            <w:tcW w:w="120" w:type="dxa"/>
            <w:vAlign w:val="bottom"/>
            <w:shd w:val="clear" w:color="auto" w:fill="CFF0FC"/>
          </w:tcPr>
          <w:p>
            <w:pPr>
              <w:spacing w:after="0"/>
              <w:rPr>
                <w:sz w:val="9"/>
                <w:szCs w:val="9"/>
                <w:color w:val="auto"/>
              </w:rPr>
            </w:pPr>
          </w:p>
        </w:tc>
      </w:tr>
      <w:tr>
        <w:trPr>
          <w:trHeight w:val="108"/>
        </w:trPr>
        <w:tc>
          <w:tcPr>
            <w:tcW w:w="5300" w:type="dxa"/>
            <w:vAlign w:val="bottom"/>
          </w:tcPr>
          <w:p>
            <w:pPr>
              <w:ind w:left="160"/>
              <w:spacing w:after="0" w:line="108" w:lineRule="exact"/>
              <w:rPr>
                <w:sz w:val="20"/>
                <w:szCs w:val="20"/>
                <w:color w:val="auto"/>
              </w:rPr>
            </w:pPr>
            <w:r>
              <w:rPr>
                <w:rFonts w:ascii="Arial" w:cs="Arial" w:eastAsia="Arial" w:hAnsi="Arial"/>
                <w:sz w:val="10"/>
                <w:szCs w:val="10"/>
                <w:color w:val="auto"/>
              </w:rPr>
              <w:t>Earn-out shares issued to Platinum Stockholder</w:t>
            </w:r>
          </w:p>
        </w:tc>
        <w:tc>
          <w:tcPr>
            <w:tcW w:w="100" w:type="dxa"/>
            <w:vAlign w:val="bottom"/>
          </w:tcPr>
          <w:p>
            <w:pPr>
              <w:spacing w:after="0"/>
              <w:rPr>
                <w:sz w:val="9"/>
                <w:szCs w:val="9"/>
                <w:color w:val="auto"/>
              </w:rPr>
            </w:pPr>
          </w:p>
        </w:tc>
        <w:tc>
          <w:tcPr>
            <w:tcW w:w="940" w:type="dxa"/>
            <w:vAlign w:val="bottom"/>
          </w:tcPr>
          <w:p>
            <w:pPr>
              <w:jc w:val="right"/>
              <w:spacing w:after="0" w:line="108" w:lineRule="exact"/>
              <w:rPr>
                <w:sz w:val="20"/>
                <w:szCs w:val="20"/>
                <w:color w:val="auto"/>
              </w:rPr>
            </w:pPr>
            <w:r>
              <w:rPr>
                <w:rFonts w:ascii="Arial" w:cs="Arial" w:eastAsia="Arial" w:hAnsi="Arial"/>
                <w:sz w:val="10"/>
                <w:szCs w:val="10"/>
                <w:color w:val="auto"/>
              </w:rPr>
              <w:t>18,288</w:t>
            </w: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20" w:type="dxa"/>
            <w:vAlign w:val="bottom"/>
            <w:gridSpan w:val="2"/>
          </w:tcPr>
          <w:p>
            <w:pPr>
              <w:jc w:val="right"/>
              <w:ind w:right="240"/>
              <w:spacing w:after="0" w:line="108" w:lineRule="exact"/>
              <w:rPr>
                <w:sz w:val="20"/>
                <w:szCs w:val="20"/>
                <w:color w:val="auto"/>
              </w:rPr>
            </w:pPr>
            <w:r>
              <w:rPr>
                <w:rFonts w:ascii="Arial" w:cs="Arial" w:eastAsia="Arial" w:hAnsi="Arial"/>
                <w:sz w:val="10"/>
                <w:szCs w:val="10"/>
                <w:color w:val="auto"/>
              </w:rPr>
              <w:t>—</w:t>
            </w:r>
          </w:p>
        </w:tc>
        <w:tc>
          <w:tcPr>
            <w:tcW w:w="140" w:type="dxa"/>
            <w:vAlign w:val="bottom"/>
          </w:tcPr>
          <w:p>
            <w:pPr>
              <w:spacing w:after="0"/>
              <w:rPr>
                <w:sz w:val="9"/>
                <w:szCs w:val="9"/>
                <w:color w:val="auto"/>
              </w:rPr>
            </w:pPr>
          </w:p>
        </w:tc>
        <w:tc>
          <w:tcPr>
            <w:tcW w:w="880" w:type="dxa"/>
            <w:vAlign w:val="bottom"/>
          </w:tcPr>
          <w:p>
            <w:pPr>
              <w:jc w:val="right"/>
              <w:spacing w:after="0" w:line="108" w:lineRule="exact"/>
              <w:rPr>
                <w:sz w:val="20"/>
                <w:szCs w:val="20"/>
                <w:color w:val="auto"/>
              </w:rPr>
            </w:pPr>
            <w:r>
              <w:rPr>
                <w:rFonts w:ascii="Arial" w:cs="Arial" w:eastAsia="Arial" w:hAnsi="Arial"/>
                <w:sz w:val="10"/>
                <w:szCs w:val="10"/>
                <w:color w:val="auto"/>
              </w:rPr>
              <w:t>—</w:t>
            </w: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ind w:left="780"/>
              <w:spacing w:after="0" w:line="108" w:lineRule="exact"/>
              <w:rPr>
                <w:sz w:val="20"/>
                <w:szCs w:val="20"/>
                <w:color w:val="auto"/>
              </w:rPr>
            </w:pPr>
            <w:r>
              <w:rPr>
                <w:rFonts w:ascii="Arial" w:cs="Arial" w:eastAsia="Arial" w:hAnsi="Arial"/>
                <w:sz w:val="10"/>
                <w:szCs w:val="10"/>
                <w:color w:val="auto"/>
                <w:w w:val="79"/>
              </w:rPr>
              <w:t>—</w:t>
            </w: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jc w:val="right"/>
              <w:spacing w:after="0" w:line="108" w:lineRule="exact"/>
              <w:rPr>
                <w:sz w:val="20"/>
                <w:szCs w:val="20"/>
                <w:color w:val="auto"/>
              </w:rPr>
            </w:pPr>
            <w:r>
              <w:rPr>
                <w:rFonts w:ascii="Arial" w:cs="Arial" w:eastAsia="Arial" w:hAnsi="Arial"/>
                <w:sz w:val="10"/>
                <w:szCs w:val="10"/>
                <w:color w:val="auto"/>
              </w:rPr>
              <w:t>18,288</w:t>
            </w:r>
          </w:p>
        </w:tc>
        <w:tc>
          <w:tcPr>
            <w:tcW w:w="120" w:type="dxa"/>
            <w:vAlign w:val="bottom"/>
          </w:tcPr>
          <w:p>
            <w:pPr>
              <w:spacing w:after="0"/>
              <w:rPr>
                <w:sz w:val="9"/>
                <w:szCs w:val="9"/>
                <w:color w:val="auto"/>
              </w:rPr>
            </w:pPr>
          </w:p>
        </w:tc>
      </w:tr>
      <w:tr>
        <w:trPr>
          <w:trHeight w:val="108"/>
        </w:trPr>
        <w:tc>
          <w:tcPr>
            <w:tcW w:w="5300" w:type="dxa"/>
            <w:vAlign w:val="bottom"/>
            <w:shd w:val="clear" w:color="auto" w:fill="CFF0FC"/>
          </w:tcPr>
          <w:p>
            <w:pPr>
              <w:ind w:left="160"/>
              <w:spacing w:after="0" w:line="108" w:lineRule="exact"/>
              <w:rPr>
                <w:sz w:val="20"/>
                <w:szCs w:val="20"/>
                <w:color w:val="auto"/>
              </w:rPr>
            </w:pPr>
            <w:r>
              <w:rPr>
                <w:rFonts w:ascii="Arial" w:cs="Arial" w:eastAsia="Arial" w:hAnsi="Arial"/>
                <w:sz w:val="10"/>
                <w:szCs w:val="10"/>
                <w:color w:val="auto"/>
              </w:rPr>
              <w:t>Additions to ARO, property and equipment, and other</w:t>
            </w:r>
          </w:p>
        </w:tc>
        <w:tc>
          <w:tcPr>
            <w:tcW w:w="100" w:type="dxa"/>
            <w:vAlign w:val="bottom"/>
            <w:shd w:val="clear" w:color="auto" w:fill="CFF0FC"/>
          </w:tcPr>
          <w:p>
            <w:pPr>
              <w:spacing w:after="0"/>
              <w:rPr>
                <w:sz w:val="9"/>
                <w:szCs w:val="9"/>
                <w:color w:val="auto"/>
              </w:rPr>
            </w:pPr>
          </w:p>
        </w:tc>
        <w:tc>
          <w:tcPr>
            <w:tcW w:w="1160" w:type="dxa"/>
            <w:vAlign w:val="bottom"/>
            <w:gridSpan w:val="2"/>
            <w:shd w:val="clear" w:color="auto" w:fill="CFF0FC"/>
          </w:tcPr>
          <w:p>
            <w:pPr>
              <w:jc w:val="right"/>
              <w:ind w:right="240"/>
              <w:spacing w:after="0" w:line="108" w:lineRule="exact"/>
              <w:rPr>
                <w:sz w:val="20"/>
                <w:szCs w:val="20"/>
                <w:color w:val="auto"/>
              </w:rPr>
            </w:pPr>
            <w:r>
              <w:rPr>
                <w:rFonts w:ascii="Arial" w:cs="Arial" w:eastAsia="Arial" w:hAnsi="Arial"/>
                <w:sz w:val="10"/>
                <w:szCs w:val="10"/>
                <w:color w:val="auto"/>
              </w:rPr>
              <w:t>—</w:t>
            </w:r>
          </w:p>
        </w:tc>
        <w:tc>
          <w:tcPr>
            <w:tcW w:w="140" w:type="dxa"/>
            <w:vAlign w:val="bottom"/>
            <w:shd w:val="clear" w:color="auto" w:fill="CFF0FC"/>
          </w:tcPr>
          <w:p>
            <w:pPr>
              <w:spacing w:after="0"/>
              <w:rPr>
                <w:sz w:val="9"/>
                <w:szCs w:val="9"/>
                <w:color w:val="auto"/>
              </w:rPr>
            </w:pPr>
          </w:p>
        </w:tc>
        <w:tc>
          <w:tcPr>
            <w:tcW w:w="880" w:type="dxa"/>
            <w:vAlign w:val="bottom"/>
            <w:shd w:val="clear" w:color="auto" w:fill="CFF0FC"/>
          </w:tcPr>
          <w:p>
            <w:pPr>
              <w:jc w:val="right"/>
              <w:spacing w:after="0" w:line="108" w:lineRule="exact"/>
              <w:rPr>
                <w:sz w:val="20"/>
                <w:szCs w:val="20"/>
                <w:color w:val="auto"/>
              </w:rPr>
            </w:pPr>
            <w:r>
              <w:rPr>
                <w:rFonts w:ascii="Arial" w:cs="Arial" w:eastAsia="Arial" w:hAnsi="Arial"/>
                <w:sz w:val="10"/>
                <w:szCs w:val="10"/>
                <w:color w:val="auto"/>
              </w:rPr>
              <w:t>230</w:t>
            </w:r>
          </w:p>
        </w:tc>
        <w:tc>
          <w:tcPr>
            <w:tcW w:w="24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880" w:type="dxa"/>
            <w:vAlign w:val="bottom"/>
            <w:shd w:val="clear" w:color="auto" w:fill="CFF0FC"/>
          </w:tcPr>
          <w:p>
            <w:pPr>
              <w:jc w:val="right"/>
              <w:spacing w:after="0" w:line="108" w:lineRule="exact"/>
              <w:rPr>
                <w:sz w:val="20"/>
                <w:szCs w:val="20"/>
                <w:color w:val="auto"/>
              </w:rPr>
            </w:pPr>
            <w:r>
              <w:rPr>
                <w:rFonts w:ascii="Arial" w:cs="Arial" w:eastAsia="Arial" w:hAnsi="Arial"/>
                <w:sz w:val="10"/>
                <w:szCs w:val="10"/>
                <w:color w:val="auto"/>
              </w:rPr>
              <w:t>—</w:t>
            </w:r>
          </w:p>
        </w:tc>
        <w:tc>
          <w:tcPr>
            <w:tcW w:w="22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880" w:type="dxa"/>
            <w:vAlign w:val="bottom"/>
            <w:shd w:val="clear" w:color="auto" w:fill="CFF0FC"/>
          </w:tcPr>
          <w:p>
            <w:pPr>
              <w:ind w:left="780"/>
              <w:spacing w:after="0" w:line="108" w:lineRule="exact"/>
              <w:rPr>
                <w:sz w:val="20"/>
                <w:szCs w:val="20"/>
                <w:color w:val="auto"/>
              </w:rPr>
            </w:pPr>
            <w:r>
              <w:rPr>
                <w:rFonts w:ascii="Arial" w:cs="Arial" w:eastAsia="Arial" w:hAnsi="Arial"/>
                <w:sz w:val="10"/>
                <w:szCs w:val="10"/>
                <w:color w:val="auto"/>
                <w:w w:val="79"/>
              </w:rPr>
              <w:t>—</w:t>
            </w:r>
          </w:p>
        </w:tc>
        <w:tc>
          <w:tcPr>
            <w:tcW w:w="22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880" w:type="dxa"/>
            <w:vAlign w:val="bottom"/>
            <w:shd w:val="clear" w:color="auto" w:fill="CFF0FC"/>
          </w:tcPr>
          <w:p>
            <w:pPr>
              <w:jc w:val="right"/>
              <w:spacing w:after="0" w:line="108" w:lineRule="exact"/>
              <w:rPr>
                <w:sz w:val="20"/>
                <w:szCs w:val="20"/>
                <w:color w:val="auto"/>
              </w:rPr>
            </w:pPr>
            <w:r>
              <w:rPr>
                <w:rFonts w:ascii="Arial" w:cs="Arial" w:eastAsia="Arial" w:hAnsi="Arial"/>
                <w:sz w:val="10"/>
                <w:szCs w:val="10"/>
                <w:color w:val="auto"/>
              </w:rPr>
              <w:t>230</w:t>
            </w:r>
          </w:p>
        </w:tc>
        <w:tc>
          <w:tcPr>
            <w:tcW w:w="120" w:type="dxa"/>
            <w:vAlign w:val="bottom"/>
            <w:shd w:val="clear" w:color="auto" w:fill="CFF0FC"/>
          </w:tcPr>
          <w:p>
            <w:pPr>
              <w:spacing w:after="0"/>
              <w:rPr>
                <w:sz w:val="9"/>
                <w:szCs w:val="9"/>
                <w:color w:val="auto"/>
              </w:rPr>
            </w:pPr>
          </w:p>
        </w:tc>
      </w:tr>
      <w:tr>
        <w:trPr>
          <w:trHeight w:val="108"/>
        </w:trPr>
        <w:tc>
          <w:tcPr>
            <w:tcW w:w="5300" w:type="dxa"/>
            <w:vAlign w:val="bottom"/>
          </w:tcPr>
          <w:p>
            <w:pPr>
              <w:ind w:left="160"/>
              <w:spacing w:after="0" w:line="108" w:lineRule="exact"/>
              <w:rPr>
                <w:sz w:val="20"/>
                <w:szCs w:val="20"/>
                <w:color w:val="auto"/>
              </w:rPr>
            </w:pPr>
            <w:r>
              <w:rPr>
                <w:rFonts w:ascii="Arial" w:cs="Arial" w:eastAsia="Arial" w:hAnsi="Arial"/>
                <w:sz w:val="10"/>
                <w:szCs w:val="10"/>
                <w:color w:val="auto"/>
                <w:w w:val="91"/>
              </w:rPr>
              <w:t>Purchases of installation and service parts and property and equipment in accounts payable and accrued liabilities at year-end</w:t>
            </w:r>
          </w:p>
        </w:tc>
        <w:tc>
          <w:tcPr>
            <w:tcW w:w="100" w:type="dxa"/>
            <w:vAlign w:val="bottom"/>
          </w:tcPr>
          <w:p>
            <w:pPr>
              <w:spacing w:after="0"/>
              <w:rPr>
                <w:sz w:val="9"/>
                <w:szCs w:val="9"/>
                <w:color w:val="auto"/>
              </w:rPr>
            </w:pPr>
          </w:p>
        </w:tc>
        <w:tc>
          <w:tcPr>
            <w:tcW w:w="1160" w:type="dxa"/>
            <w:vAlign w:val="bottom"/>
            <w:gridSpan w:val="2"/>
          </w:tcPr>
          <w:p>
            <w:pPr>
              <w:jc w:val="right"/>
              <w:ind w:right="240"/>
              <w:spacing w:after="0" w:line="108" w:lineRule="exact"/>
              <w:rPr>
                <w:sz w:val="20"/>
                <w:szCs w:val="20"/>
                <w:color w:val="auto"/>
              </w:rPr>
            </w:pPr>
            <w:r>
              <w:rPr>
                <w:rFonts w:ascii="Arial" w:cs="Arial" w:eastAsia="Arial" w:hAnsi="Arial"/>
                <w:sz w:val="10"/>
                <w:szCs w:val="10"/>
                <w:color w:val="auto"/>
              </w:rPr>
              <w:t>—</w:t>
            </w:r>
          </w:p>
        </w:tc>
        <w:tc>
          <w:tcPr>
            <w:tcW w:w="140" w:type="dxa"/>
            <w:vAlign w:val="bottom"/>
          </w:tcPr>
          <w:p>
            <w:pPr>
              <w:spacing w:after="0"/>
              <w:rPr>
                <w:sz w:val="9"/>
                <w:szCs w:val="9"/>
                <w:color w:val="auto"/>
              </w:rPr>
            </w:pPr>
          </w:p>
        </w:tc>
        <w:tc>
          <w:tcPr>
            <w:tcW w:w="880" w:type="dxa"/>
            <w:vAlign w:val="bottom"/>
          </w:tcPr>
          <w:p>
            <w:pPr>
              <w:jc w:val="right"/>
              <w:spacing w:after="0" w:line="108" w:lineRule="exact"/>
              <w:rPr>
                <w:sz w:val="20"/>
                <w:szCs w:val="20"/>
                <w:color w:val="auto"/>
              </w:rPr>
            </w:pPr>
            <w:r>
              <w:rPr>
                <w:rFonts w:ascii="Arial" w:cs="Arial" w:eastAsia="Arial" w:hAnsi="Arial"/>
                <w:sz w:val="10"/>
                <w:szCs w:val="10"/>
                <w:color w:val="auto"/>
              </w:rPr>
              <w:t>4,204</w:t>
            </w: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jc w:val="right"/>
              <w:spacing w:after="0" w:line="108" w:lineRule="exact"/>
              <w:rPr>
                <w:sz w:val="20"/>
                <w:szCs w:val="20"/>
                <w:color w:val="auto"/>
              </w:rPr>
            </w:pPr>
            <w:r>
              <w:rPr>
                <w:rFonts w:ascii="Arial" w:cs="Arial" w:eastAsia="Arial" w:hAnsi="Arial"/>
                <w:sz w:val="10"/>
                <w:szCs w:val="10"/>
                <w:color w:val="auto"/>
              </w:rPr>
              <w:t>—</w:t>
            </w: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ind w:left="780"/>
              <w:spacing w:after="0" w:line="108" w:lineRule="exact"/>
              <w:rPr>
                <w:sz w:val="20"/>
                <w:szCs w:val="20"/>
                <w:color w:val="auto"/>
              </w:rPr>
            </w:pPr>
            <w:r>
              <w:rPr>
                <w:rFonts w:ascii="Arial" w:cs="Arial" w:eastAsia="Arial" w:hAnsi="Arial"/>
                <w:sz w:val="10"/>
                <w:szCs w:val="10"/>
                <w:color w:val="auto"/>
                <w:w w:val="79"/>
              </w:rPr>
              <w:t>—</w:t>
            </w: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jc w:val="right"/>
              <w:spacing w:after="0" w:line="108" w:lineRule="exact"/>
              <w:rPr>
                <w:sz w:val="20"/>
                <w:szCs w:val="20"/>
                <w:color w:val="auto"/>
              </w:rPr>
            </w:pPr>
            <w:r>
              <w:rPr>
                <w:rFonts w:ascii="Arial" w:cs="Arial" w:eastAsia="Arial" w:hAnsi="Arial"/>
                <w:sz w:val="10"/>
                <w:szCs w:val="10"/>
                <w:color w:val="auto"/>
              </w:rPr>
              <w:t>4,204</w:t>
            </w:r>
          </w:p>
        </w:tc>
        <w:tc>
          <w:tcPr>
            <w:tcW w:w="120" w:type="dxa"/>
            <w:vAlign w:val="bottom"/>
          </w:tcPr>
          <w:p>
            <w:pPr>
              <w:spacing w:after="0"/>
              <w:rPr>
                <w:sz w:val="9"/>
                <w:szCs w:val="9"/>
                <w:color w:val="auto"/>
              </w:rPr>
            </w:pPr>
          </w:p>
        </w:tc>
      </w:tr>
      <w:tr>
        <w:trPr>
          <w:trHeight w:val="108"/>
        </w:trPr>
        <w:tc>
          <w:tcPr>
            <w:tcW w:w="5300" w:type="dxa"/>
            <w:vAlign w:val="bottom"/>
            <w:shd w:val="clear" w:color="auto" w:fill="CFF0FC"/>
          </w:tcPr>
          <w:p>
            <w:pPr>
              <w:ind w:left="160"/>
              <w:spacing w:after="0" w:line="108" w:lineRule="exact"/>
              <w:rPr>
                <w:sz w:val="20"/>
                <w:szCs w:val="20"/>
                <w:color w:val="auto"/>
              </w:rPr>
            </w:pPr>
            <w:r>
              <w:rPr>
                <w:rFonts w:ascii="Arial" w:cs="Arial" w:eastAsia="Arial" w:hAnsi="Arial"/>
                <w:sz w:val="10"/>
                <w:szCs w:val="10"/>
                <w:color w:val="auto"/>
              </w:rPr>
              <w:t>Tenant improvement allowance included in property and equipment</w:t>
            </w:r>
          </w:p>
        </w:tc>
        <w:tc>
          <w:tcPr>
            <w:tcW w:w="100" w:type="dxa"/>
            <w:vAlign w:val="bottom"/>
            <w:shd w:val="clear" w:color="auto" w:fill="CFF0FC"/>
          </w:tcPr>
          <w:p>
            <w:pPr>
              <w:spacing w:after="0"/>
              <w:rPr>
                <w:sz w:val="9"/>
                <w:szCs w:val="9"/>
                <w:color w:val="auto"/>
              </w:rPr>
            </w:pPr>
          </w:p>
        </w:tc>
        <w:tc>
          <w:tcPr>
            <w:tcW w:w="1160" w:type="dxa"/>
            <w:vAlign w:val="bottom"/>
            <w:gridSpan w:val="2"/>
            <w:shd w:val="clear" w:color="auto" w:fill="CFF0FC"/>
          </w:tcPr>
          <w:p>
            <w:pPr>
              <w:jc w:val="right"/>
              <w:ind w:right="240"/>
              <w:spacing w:after="0" w:line="108" w:lineRule="exact"/>
              <w:rPr>
                <w:sz w:val="20"/>
                <w:szCs w:val="20"/>
                <w:color w:val="auto"/>
              </w:rPr>
            </w:pPr>
            <w:r>
              <w:rPr>
                <w:rFonts w:ascii="Arial" w:cs="Arial" w:eastAsia="Arial" w:hAnsi="Arial"/>
                <w:sz w:val="10"/>
                <w:szCs w:val="10"/>
                <w:color w:val="auto"/>
              </w:rPr>
              <w:t>—</w:t>
            </w:r>
          </w:p>
        </w:tc>
        <w:tc>
          <w:tcPr>
            <w:tcW w:w="140" w:type="dxa"/>
            <w:vAlign w:val="bottom"/>
            <w:shd w:val="clear" w:color="auto" w:fill="CFF0FC"/>
          </w:tcPr>
          <w:p>
            <w:pPr>
              <w:spacing w:after="0"/>
              <w:rPr>
                <w:sz w:val="9"/>
                <w:szCs w:val="9"/>
                <w:color w:val="auto"/>
              </w:rPr>
            </w:pPr>
          </w:p>
        </w:tc>
        <w:tc>
          <w:tcPr>
            <w:tcW w:w="880" w:type="dxa"/>
            <w:vAlign w:val="bottom"/>
            <w:shd w:val="clear" w:color="auto" w:fill="CFF0FC"/>
          </w:tcPr>
          <w:p>
            <w:pPr>
              <w:jc w:val="right"/>
              <w:spacing w:after="0" w:line="108" w:lineRule="exact"/>
              <w:rPr>
                <w:sz w:val="20"/>
                <w:szCs w:val="20"/>
                <w:color w:val="auto"/>
              </w:rPr>
            </w:pPr>
            <w:r>
              <w:rPr>
                <w:rFonts w:ascii="Arial" w:cs="Arial" w:eastAsia="Arial" w:hAnsi="Arial"/>
                <w:sz w:val="10"/>
                <w:szCs w:val="10"/>
                <w:color w:val="auto"/>
              </w:rPr>
              <w:t>581</w:t>
            </w:r>
          </w:p>
        </w:tc>
        <w:tc>
          <w:tcPr>
            <w:tcW w:w="24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880" w:type="dxa"/>
            <w:vAlign w:val="bottom"/>
            <w:shd w:val="clear" w:color="auto" w:fill="CFF0FC"/>
          </w:tcPr>
          <w:p>
            <w:pPr>
              <w:jc w:val="right"/>
              <w:spacing w:after="0" w:line="108" w:lineRule="exact"/>
              <w:rPr>
                <w:sz w:val="20"/>
                <w:szCs w:val="20"/>
                <w:color w:val="auto"/>
              </w:rPr>
            </w:pPr>
            <w:r>
              <w:rPr>
                <w:rFonts w:ascii="Arial" w:cs="Arial" w:eastAsia="Arial" w:hAnsi="Arial"/>
                <w:sz w:val="10"/>
                <w:szCs w:val="10"/>
                <w:color w:val="auto"/>
              </w:rPr>
              <w:t>—</w:t>
            </w:r>
          </w:p>
        </w:tc>
        <w:tc>
          <w:tcPr>
            <w:tcW w:w="22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880" w:type="dxa"/>
            <w:vAlign w:val="bottom"/>
            <w:shd w:val="clear" w:color="auto" w:fill="CFF0FC"/>
          </w:tcPr>
          <w:p>
            <w:pPr>
              <w:ind w:left="780"/>
              <w:spacing w:after="0" w:line="108" w:lineRule="exact"/>
              <w:rPr>
                <w:sz w:val="20"/>
                <w:szCs w:val="20"/>
                <w:color w:val="auto"/>
              </w:rPr>
            </w:pPr>
            <w:r>
              <w:rPr>
                <w:rFonts w:ascii="Arial" w:cs="Arial" w:eastAsia="Arial" w:hAnsi="Arial"/>
                <w:sz w:val="10"/>
                <w:szCs w:val="10"/>
                <w:color w:val="auto"/>
                <w:w w:val="79"/>
              </w:rPr>
              <w:t>—</w:t>
            </w:r>
          </w:p>
        </w:tc>
        <w:tc>
          <w:tcPr>
            <w:tcW w:w="22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880" w:type="dxa"/>
            <w:vAlign w:val="bottom"/>
            <w:shd w:val="clear" w:color="auto" w:fill="CFF0FC"/>
          </w:tcPr>
          <w:p>
            <w:pPr>
              <w:jc w:val="right"/>
              <w:spacing w:after="0" w:line="108" w:lineRule="exact"/>
              <w:rPr>
                <w:sz w:val="20"/>
                <w:szCs w:val="20"/>
                <w:color w:val="auto"/>
              </w:rPr>
            </w:pPr>
            <w:r>
              <w:rPr>
                <w:rFonts w:ascii="Arial" w:cs="Arial" w:eastAsia="Arial" w:hAnsi="Arial"/>
                <w:sz w:val="10"/>
                <w:szCs w:val="10"/>
                <w:color w:val="auto"/>
              </w:rPr>
              <w:t>581</w:t>
            </w:r>
          </w:p>
        </w:tc>
        <w:tc>
          <w:tcPr>
            <w:tcW w:w="120" w:type="dxa"/>
            <w:vAlign w:val="bottom"/>
            <w:shd w:val="clear" w:color="auto" w:fill="CFF0FC"/>
          </w:tcPr>
          <w:p>
            <w:pPr>
              <w:spacing w:after="0"/>
              <w:rPr>
                <w:sz w:val="9"/>
                <w:szCs w:val="9"/>
                <w:color w:val="auto"/>
              </w:rPr>
            </w:pPr>
          </w:p>
        </w:tc>
      </w:tr>
    </w:tbl>
    <w:p>
      <w:pPr>
        <w:spacing w:after="0" w:line="221" w:lineRule="exact"/>
        <w:rPr>
          <w:sz w:val="20"/>
          <w:szCs w:val="20"/>
          <w:color w:val="auto"/>
        </w:rPr>
      </w:pPr>
    </w:p>
    <w:p>
      <w:pPr>
        <w:ind w:left="588" w:hanging="588"/>
        <w:spacing w:after="0"/>
        <w:tabs>
          <w:tab w:leader="none" w:pos="588" w:val="left"/>
        </w:tabs>
        <w:numPr>
          <w:ilvl w:val="0"/>
          <w:numId w:val="44"/>
        </w:numPr>
        <w:rPr>
          <w:rFonts w:ascii="Arial" w:cs="Arial" w:eastAsia="Arial" w:hAnsi="Arial"/>
          <w:sz w:val="12"/>
          <w:szCs w:val="12"/>
          <w:b w:val="1"/>
          <w:bCs w:val="1"/>
          <w:color w:val="auto"/>
        </w:rPr>
      </w:pPr>
      <w:r>
        <w:rPr>
          <w:rFonts w:ascii="Arial" w:cs="Arial" w:eastAsia="Arial" w:hAnsi="Arial"/>
          <w:sz w:val="12"/>
          <w:szCs w:val="12"/>
          <w:b w:val="1"/>
          <w:bCs w:val="1"/>
          <w:color w:val="auto"/>
        </w:rPr>
        <w:t>Subsequent Events</w:t>
      </w:r>
    </w:p>
    <w:p>
      <w:pPr>
        <w:spacing w:after="0" w:line="91"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Earn-Out Agreement</w:t>
      </w:r>
    </w:p>
    <w:p>
      <w:pPr>
        <w:spacing w:after="0" w:line="87" w:lineRule="exact"/>
        <w:rPr>
          <w:sz w:val="20"/>
          <w:szCs w:val="20"/>
          <w:color w:val="auto"/>
        </w:rPr>
      </w:pPr>
    </w:p>
    <w:p>
      <w:pPr>
        <w:jc w:val="both"/>
        <w:ind w:left="8" w:right="120" w:firstLine="602"/>
        <w:spacing w:after="0" w:line="276" w:lineRule="auto"/>
        <w:rPr>
          <w:sz w:val="20"/>
          <w:szCs w:val="20"/>
          <w:color w:val="auto"/>
        </w:rPr>
      </w:pPr>
      <w:r>
        <w:rPr>
          <w:rFonts w:ascii="Arial" w:cs="Arial" w:eastAsia="Arial" w:hAnsi="Arial"/>
          <w:sz w:val="12"/>
          <w:szCs w:val="12"/>
          <w:color w:val="auto"/>
        </w:rPr>
        <w:t>On January 27, 2020, the Triggering Event for the issuance of the second tranche of Earn-Out Shares occurred, as the volume weighted average closing sale price per share of the Company’s Class A Common Stock as of that date had been greater than $15.50 for 10 out of 20 consecutive trading days. This Triggering Event resulted in the issuance of 2,500,000 shares of the Company’s Class A Common Stock.</w:t>
      </w:r>
    </w:p>
    <w:p>
      <w:pPr>
        <w:spacing w:after="0" w:line="214"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First Lien Term Loan Amendment</w:t>
      </w:r>
    </w:p>
    <w:p>
      <w:pPr>
        <w:spacing w:after="0" w:line="87" w:lineRule="exact"/>
        <w:rPr>
          <w:sz w:val="20"/>
          <w:szCs w:val="20"/>
          <w:color w:val="auto"/>
        </w:rPr>
      </w:pPr>
    </w:p>
    <w:p>
      <w:pPr>
        <w:ind w:left="8" w:right="260" w:firstLine="602"/>
        <w:spacing w:after="0" w:line="276" w:lineRule="auto"/>
        <w:rPr>
          <w:sz w:val="20"/>
          <w:szCs w:val="20"/>
          <w:color w:val="auto"/>
        </w:rPr>
      </w:pPr>
      <w:r>
        <w:rPr>
          <w:rFonts w:ascii="Arial" w:cs="Arial" w:eastAsia="Arial" w:hAnsi="Arial"/>
          <w:sz w:val="12"/>
          <w:szCs w:val="12"/>
          <w:color w:val="auto"/>
        </w:rPr>
        <w:t>On February 20, 2020, certain wholly-owned subsidiaries of the Company entered into Amendment No. 2 (the “</w:t>
      </w:r>
      <w:r>
        <w:rPr>
          <w:rFonts w:ascii="Arial" w:cs="Arial" w:eastAsia="Arial" w:hAnsi="Arial"/>
          <w:sz w:val="12"/>
          <w:szCs w:val="12"/>
          <w:b w:val="1"/>
          <w:bCs w:val="1"/>
          <w:i w:val="1"/>
          <w:iCs w:val="1"/>
          <w:color w:val="auto"/>
        </w:rPr>
        <w:t>Second Amendment</w:t>
      </w:r>
      <w:r>
        <w:rPr>
          <w:rFonts w:ascii="Arial" w:cs="Arial" w:eastAsia="Arial" w:hAnsi="Arial"/>
          <w:sz w:val="12"/>
          <w:szCs w:val="12"/>
          <w:color w:val="auto"/>
        </w:rPr>
        <w:t>”) to the New First Lien Term Loan with the lenders party thereto and Bank of America, N.A., as administrative agent and collateral agent.</w:t>
      </w:r>
    </w:p>
    <w:p>
      <w:pPr>
        <w:spacing w:after="0" w:line="133" w:lineRule="exact"/>
        <w:rPr>
          <w:sz w:val="20"/>
          <w:szCs w:val="20"/>
          <w:color w:val="auto"/>
        </w:rPr>
      </w:pPr>
    </w:p>
    <w:p>
      <w:pPr>
        <w:jc w:val="both"/>
        <w:ind w:left="8" w:right="100" w:firstLine="602"/>
        <w:spacing w:after="0" w:line="306" w:lineRule="auto"/>
        <w:rPr>
          <w:sz w:val="20"/>
          <w:szCs w:val="20"/>
          <w:color w:val="auto"/>
        </w:rPr>
      </w:pPr>
      <w:r>
        <w:rPr>
          <w:rFonts w:ascii="Arial" w:cs="Arial" w:eastAsia="Arial" w:hAnsi="Arial"/>
          <w:sz w:val="10"/>
          <w:szCs w:val="10"/>
          <w:color w:val="auto"/>
        </w:rPr>
        <w:t>Pursuant to the terms of the Second Amendment, the Company consummated a permitted refinancing of the entire outstanding amount under the New First Lien Term Loan and incurred a new Term B-1 Loan (the “</w:t>
      </w:r>
      <w:r>
        <w:rPr>
          <w:rFonts w:ascii="Arial" w:cs="Arial" w:eastAsia="Arial" w:hAnsi="Arial"/>
          <w:sz w:val="10"/>
          <w:szCs w:val="10"/>
          <w:b w:val="1"/>
          <w:bCs w:val="1"/>
          <w:i w:val="1"/>
          <w:iCs w:val="1"/>
          <w:color w:val="auto"/>
        </w:rPr>
        <w:t>New Term</w:t>
      </w:r>
      <w:r>
        <w:rPr>
          <w:rFonts w:ascii="Arial" w:cs="Arial" w:eastAsia="Arial" w:hAnsi="Arial"/>
          <w:sz w:val="10"/>
          <w:szCs w:val="10"/>
          <w:color w:val="auto"/>
        </w:rPr>
        <w:t xml:space="preserve"> </w:t>
      </w:r>
      <w:r>
        <w:rPr>
          <w:rFonts w:ascii="Arial" w:cs="Arial" w:eastAsia="Arial" w:hAnsi="Arial"/>
          <w:sz w:val="10"/>
          <w:szCs w:val="10"/>
          <w:b w:val="1"/>
          <w:bCs w:val="1"/>
          <w:i w:val="1"/>
          <w:iCs w:val="1"/>
          <w:color w:val="auto"/>
        </w:rPr>
        <w:t>B-1 Loan</w:t>
      </w:r>
      <w:r>
        <w:rPr>
          <w:rFonts w:ascii="Arial" w:cs="Arial" w:eastAsia="Arial" w:hAnsi="Arial"/>
          <w:sz w:val="10"/>
          <w:szCs w:val="10"/>
          <w:color w:val="auto"/>
        </w:rPr>
        <w:t>”) in the aggregate principal amount of $894.4 million. The proceeds from the New Term B-1 Loan were used in their entirety to prepay in full the then outstanding principal amount of the existing term loan. In connection with</w:t>
      </w:r>
      <w:r>
        <w:rPr>
          <w:rFonts w:ascii="Arial" w:cs="Arial" w:eastAsia="Arial" w:hAnsi="Arial"/>
          <w:sz w:val="10"/>
          <w:szCs w:val="10"/>
          <w:b w:val="1"/>
          <w:bCs w:val="1"/>
          <w:i w:val="1"/>
          <w:iCs w:val="1"/>
          <w:color w:val="auto"/>
        </w:rPr>
        <w:t xml:space="preserve"> </w:t>
      </w:r>
      <w:r>
        <w:rPr>
          <w:rFonts w:ascii="Arial" w:cs="Arial" w:eastAsia="Arial" w:hAnsi="Arial"/>
          <w:sz w:val="10"/>
          <w:szCs w:val="10"/>
          <w:color w:val="auto"/>
        </w:rPr>
        <w:t>the refinancing, the interest rate on the approximately $894.4 million outstanding balance of the New Term B-1 Loan was reduced by 50 basis points to LIBOR + 3.25% from LIBOR + 3.75% with the LIBOR floor unchanged at 0.00%.</w:t>
      </w:r>
    </w:p>
    <w:p>
      <w:pPr>
        <w:spacing w:after="0" w:line="1" w:lineRule="exact"/>
        <w:rPr>
          <w:sz w:val="20"/>
          <w:szCs w:val="20"/>
          <w:color w:val="auto"/>
        </w:rPr>
      </w:pPr>
    </w:p>
    <w:p>
      <w:pPr>
        <w:jc w:val="both"/>
        <w:ind w:left="8" w:right="20"/>
        <w:spacing w:after="0" w:line="255" w:lineRule="auto"/>
        <w:rPr>
          <w:sz w:val="20"/>
          <w:szCs w:val="20"/>
          <w:color w:val="auto"/>
        </w:rPr>
      </w:pPr>
      <w:r>
        <w:rPr>
          <w:rFonts w:ascii="Arial" w:cs="Arial" w:eastAsia="Arial" w:hAnsi="Arial"/>
          <w:sz w:val="12"/>
          <w:szCs w:val="12"/>
          <w:color w:val="auto"/>
        </w:rPr>
        <w:t>The New Term B-1 Loan will be subject to a prepayment premium of 1.00% of the principal amount repaid for any voluntary prepayment or mandatory prepayment with proceeds of debt that has a lower effective yield than the New Term B-1 Loan or any amendment to the New Term B-1 Loan that reduces the interest rate thereon, in each case, to the extent occurring within six months of the effective date of the Second Amendment. The maturity date for the New First Lien Term Loan remains February 28, 2025, and no changes were made to the financial covenants or other debt repayment terms.</w:t>
      </w:r>
    </w:p>
    <w:p>
      <w:pPr>
        <w:spacing w:after="0" w:line="200" w:lineRule="exact"/>
        <w:rPr>
          <w:sz w:val="20"/>
          <w:szCs w:val="20"/>
          <w:color w:val="auto"/>
        </w:rPr>
      </w:pPr>
    </w:p>
    <w:p>
      <w:pPr>
        <w:spacing w:after="0" w:line="216"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42545</wp:posOffset>
            </wp:positionV>
            <wp:extent cx="7317740" cy="3683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ectPr>
          <w:pgSz w:w="11900" w:h="16838" w:orient="portrait"/>
          <w:cols w:equalWidth="0" w:num="1">
            <w:col w:w="11488"/>
          </w:cols>
          <w:pgMar w:left="212" w:top="271" w:right="199" w:bottom="1440" w:gutter="0" w:footer="0" w:header="0"/>
        </w:sectPr>
      </w:pPr>
    </w:p>
    <w:bookmarkStart w:id="108" w:name="page109"/>
    <w:bookmarkEnd w:id="108"/>
    <w:p>
      <w:pPr>
        <w:spacing w:after="0"/>
        <w:rPr>
          <w:sz w:val="20"/>
          <w:szCs w:val="20"/>
          <w:color w:val="auto"/>
        </w:rPr>
      </w:pPr>
      <w:r>
        <w:rPr>
          <w:rFonts w:ascii="Arial" w:cs="Arial" w:eastAsia="Arial" w:hAnsi="Arial"/>
          <w:sz w:val="12"/>
          <w:szCs w:val="12"/>
          <w:b w:val="1"/>
          <w:bCs w:val="1"/>
          <w:color w:val="auto"/>
        </w:rPr>
        <w:t>Item 9. Changes in and Disagreements with Accountants on Accounting and Financial Disclosure</w:t>
      </w:r>
    </w:p>
    <w:p>
      <w:pPr>
        <w:spacing w:after="0" w:line="82" w:lineRule="exact"/>
        <w:rPr>
          <w:sz w:val="20"/>
          <w:szCs w:val="20"/>
          <w:color w:val="auto"/>
        </w:rPr>
      </w:pPr>
    </w:p>
    <w:p>
      <w:pPr>
        <w:ind w:left="600"/>
        <w:spacing w:after="0"/>
        <w:rPr>
          <w:sz w:val="20"/>
          <w:szCs w:val="20"/>
          <w:color w:val="auto"/>
        </w:rPr>
      </w:pPr>
      <w:r>
        <w:rPr>
          <w:rFonts w:ascii="Arial" w:cs="Arial" w:eastAsia="Arial" w:hAnsi="Arial"/>
          <w:sz w:val="12"/>
          <w:szCs w:val="12"/>
          <w:color w:val="auto"/>
        </w:rPr>
        <w:t>None.</w:t>
      </w:r>
    </w:p>
    <w:p>
      <w:pPr>
        <w:spacing w:after="0" w:line="21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9A. Controls and Procedures</w:t>
      </w:r>
    </w:p>
    <w:p>
      <w:pPr>
        <w:spacing w:after="0" w:line="8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Evaluation of Disclosure Controls and Procedures</w:t>
      </w:r>
    </w:p>
    <w:p>
      <w:pPr>
        <w:spacing w:after="0" w:line="82" w:lineRule="exact"/>
        <w:rPr>
          <w:sz w:val="20"/>
          <w:szCs w:val="20"/>
          <w:color w:val="auto"/>
        </w:rPr>
      </w:pPr>
    </w:p>
    <w:p>
      <w:pPr>
        <w:ind w:right="160" w:firstLine="602"/>
        <w:spacing w:after="0" w:line="257" w:lineRule="auto"/>
        <w:rPr>
          <w:sz w:val="20"/>
          <w:szCs w:val="20"/>
          <w:color w:val="auto"/>
        </w:rPr>
      </w:pPr>
      <w:r>
        <w:rPr>
          <w:rFonts w:ascii="Arial" w:cs="Arial" w:eastAsia="Arial" w:hAnsi="Arial"/>
          <w:sz w:val="12"/>
          <w:szCs w:val="12"/>
          <w:color w:val="auto"/>
        </w:rPr>
        <w:t>Our disclosure controls and procedures (as defined in Rules 13a-15(e) or 15d-15(e) under the Exchange Act are designed to ensure that information required to be disclosed in the reports that we file or submit under the Exchange Act is recorded, processed, summarized, and reported within the time periods specified in the SEC’s rules and forms and to ensure that information required to be disclosed is accumulated and communicated to management, including our principal executive and financial officers, to allow timely decisions regarding disclosure. Our Chief Executive Officer and Chief Financial Officer, with assistance from other members of management, have reviewed the effectiveness of our disclosure controls and procedures as of December 31, 2019 and, based on their evaluation, have concluded that the disclosure controls and procedures were not effective as of such date due to a material weakness in internal control over financial reporting, described below.</w:t>
      </w:r>
    </w:p>
    <w:p>
      <w:pPr>
        <w:spacing w:after="0" w:line="19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Management’s Report on Internal Control over Financial Reporting</w:t>
      </w:r>
    </w:p>
    <w:p>
      <w:pPr>
        <w:spacing w:after="0" w:line="82" w:lineRule="exact"/>
        <w:rPr>
          <w:sz w:val="20"/>
          <w:szCs w:val="20"/>
          <w:color w:val="auto"/>
        </w:rPr>
      </w:pPr>
    </w:p>
    <w:p>
      <w:pPr>
        <w:ind w:right="20" w:firstLine="602"/>
        <w:spacing w:after="0" w:line="257" w:lineRule="auto"/>
        <w:rPr>
          <w:sz w:val="20"/>
          <w:szCs w:val="20"/>
          <w:color w:val="auto"/>
        </w:rPr>
      </w:pPr>
      <w:r>
        <w:rPr>
          <w:rFonts w:ascii="Arial" w:cs="Arial" w:eastAsia="Arial" w:hAnsi="Arial"/>
          <w:sz w:val="12"/>
          <w:szCs w:val="12"/>
          <w:color w:val="auto"/>
        </w:rPr>
        <w:t>Our management is responsible for establishing and maintaining adequate internal control over financial reporting as defined in Rule 13a-15(f) under the Exchange Act. Our internal control over financial reporting is designed to provide reasonable assurance regarding the reliability of financial reporting and the preparation of financial statements for external purposes in accordance with U.S. GAAP and includes those policies and procedures that: (1) pertain to the maintenance of records that accurately and fairly reflect our transactions and the dispositions of our assets; (2) provide reasonable assurance that our transactions are recorded as necessary to permit preparation of financial statements in accordance with GAAP and that our receipts and expenditures are being made only in accordance with appropriate authorizations; and (3) provide reasonable assurance regarding prevention or timely detection of unauthorized acquisition, use or disposition of our assets that could have a material effect on our financial statements.</w:t>
      </w:r>
    </w:p>
    <w:p>
      <w:pPr>
        <w:spacing w:after="0" w:line="126" w:lineRule="exact"/>
        <w:rPr>
          <w:sz w:val="20"/>
          <w:szCs w:val="20"/>
          <w:color w:val="auto"/>
        </w:rPr>
      </w:pPr>
    </w:p>
    <w:p>
      <w:pPr>
        <w:ind w:right="260" w:firstLine="602"/>
        <w:spacing w:after="0" w:line="276" w:lineRule="auto"/>
        <w:rPr>
          <w:sz w:val="20"/>
          <w:szCs w:val="20"/>
          <w:color w:val="auto"/>
        </w:rPr>
      </w:pPr>
      <w:r>
        <w:rPr>
          <w:rFonts w:ascii="Arial" w:cs="Arial" w:eastAsia="Arial" w:hAnsi="Arial"/>
          <w:sz w:val="12"/>
          <w:szCs w:val="12"/>
          <w:color w:val="auto"/>
        </w:rPr>
        <w:t>Because of its inherent limitations, internal control over financial reporting may not prevent or detect misstatements. Projections of any evaluation of effectiveness for future periods are subject to the risk that controls may become inadequate because of changes in conditions, or that the degree of compliance with the policies or procedures may deteriorate.</w:t>
      </w:r>
    </w:p>
    <w:p>
      <w:pPr>
        <w:spacing w:after="0" w:line="115" w:lineRule="exact"/>
        <w:rPr>
          <w:sz w:val="20"/>
          <w:szCs w:val="20"/>
          <w:color w:val="auto"/>
        </w:rPr>
      </w:pPr>
    </w:p>
    <w:p>
      <w:pPr>
        <w:ind w:right="80" w:firstLine="602"/>
        <w:spacing w:after="0" w:line="263" w:lineRule="auto"/>
        <w:rPr>
          <w:sz w:val="20"/>
          <w:szCs w:val="20"/>
          <w:color w:val="auto"/>
        </w:rPr>
      </w:pPr>
      <w:r>
        <w:rPr>
          <w:rFonts w:ascii="Arial" w:cs="Arial" w:eastAsia="Arial" w:hAnsi="Arial"/>
          <w:sz w:val="12"/>
          <w:szCs w:val="12"/>
          <w:color w:val="auto"/>
        </w:rPr>
        <w:t>Under the supervision of and with the participation of our management, we assessed the effectiveness of our internal control over financial reporting as of December 31, 2019, using the criteria set forth by the Committee of Sponsoring Organizations of the Treadway Commission (COSO) in Internal Control — Integrated Framework (2013).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spacing w:after="0" w:line="123" w:lineRule="exact"/>
        <w:rPr>
          <w:sz w:val="20"/>
          <w:szCs w:val="20"/>
          <w:color w:val="auto"/>
        </w:rPr>
      </w:pPr>
    </w:p>
    <w:p>
      <w:pPr>
        <w:ind w:firstLine="602"/>
        <w:spacing w:after="0" w:line="263" w:lineRule="auto"/>
        <w:rPr>
          <w:sz w:val="20"/>
          <w:szCs w:val="20"/>
          <w:color w:val="auto"/>
        </w:rPr>
      </w:pPr>
      <w:r>
        <w:rPr>
          <w:rFonts w:ascii="Arial" w:cs="Arial" w:eastAsia="Arial" w:hAnsi="Arial"/>
          <w:sz w:val="12"/>
          <w:szCs w:val="12"/>
          <w:color w:val="auto"/>
        </w:rPr>
        <w:t>We identified a material weakness in internal control related to ineffective information technology general controls (“</w:t>
      </w:r>
      <w:r>
        <w:rPr>
          <w:rFonts w:ascii="Arial" w:cs="Arial" w:eastAsia="Arial" w:hAnsi="Arial"/>
          <w:sz w:val="12"/>
          <w:szCs w:val="12"/>
          <w:b w:val="1"/>
          <w:bCs w:val="1"/>
          <w:i w:val="1"/>
          <w:iCs w:val="1"/>
          <w:color w:val="auto"/>
        </w:rPr>
        <w:t>ITGC</w:t>
      </w:r>
      <w:r>
        <w:rPr>
          <w:rFonts w:ascii="Arial" w:cs="Arial" w:eastAsia="Arial" w:hAnsi="Arial"/>
          <w:sz w:val="12"/>
          <w:szCs w:val="12"/>
          <w:color w:val="auto"/>
        </w:rPr>
        <w:t>s”) in the area of user access over certain information technology (“</w:t>
      </w:r>
      <w:r>
        <w:rPr>
          <w:rFonts w:ascii="Arial" w:cs="Arial" w:eastAsia="Arial" w:hAnsi="Arial"/>
          <w:sz w:val="12"/>
          <w:szCs w:val="12"/>
          <w:b w:val="1"/>
          <w:bCs w:val="1"/>
          <w:i w:val="1"/>
          <w:iCs w:val="1"/>
          <w:color w:val="auto"/>
        </w:rPr>
        <w:t>IT</w:t>
      </w:r>
      <w:r>
        <w:rPr>
          <w:rFonts w:ascii="Arial" w:cs="Arial" w:eastAsia="Arial" w:hAnsi="Arial"/>
          <w:sz w:val="12"/>
          <w:szCs w:val="12"/>
          <w:color w:val="auto"/>
        </w:rPr>
        <w:t>”) systems that support the Company’s financial reporting processes. Certain business process controls (automated and manual) that are dependent on the affected ITGCs were also deemed ineffective. Based on this material weakness, our management concluded that at December 31, 2019, the Company’s internal control over financial reporting was not effective.</w:t>
      </w:r>
    </w:p>
    <w:p>
      <w:pPr>
        <w:spacing w:after="0" w:line="123" w:lineRule="exact"/>
        <w:rPr>
          <w:sz w:val="20"/>
          <w:szCs w:val="20"/>
          <w:color w:val="auto"/>
        </w:rPr>
      </w:pPr>
    </w:p>
    <w:p>
      <w:pPr>
        <w:ind w:right="40" w:firstLine="602"/>
        <w:spacing w:after="0" w:line="276" w:lineRule="auto"/>
        <w:rPr>
          <w:sz w:val="20"/>
          <w:szCs w:val="20"/>
          <w:color w:val="auto"/>
        </w:rPr>
      </w:pPr>
      <w:r>
        <w:rPr>
          <w:rFonts w:ascii="Arial" w:cs="Arial" w:eastAsia="Arial" w:hAnsi="Arial"/>
          <w:sz w:val="12"/>
          <w:szCs w:val="12"/>
          <w:color w:val="auto"/>
        </w:rPr>
        <w:t>Ernst &amp; Young LLP, an independent registered public accounting firm, has issued an adverse audit report on the effectiveness of the Company’s internal control over financial reporting as of December 31, 2019, which appears in Item 8 of this Annual Report on Form 10-K.</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17740" cy="3683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ectPr>
          <w:pgSz w:w="11900" w:h="16838" w:orient="portrait"/>
          <w:cols w:equalWidth="0" w:num="1">
            <w:col w:w="11460"/>
          </w:cols>
          <w:pgMar w:left="220" w:top="271" w:right="219" w:bottom="1440" w:gutter="0" w:footer="0" w:header="0"/>
        </w:sectPr>
      </w:pPr>
    </w:p>
    <w:bookmarkStart w:id="109" w:name="page110"/>
    <w:bookmarkEnd w:id="109"/>
    <w:p>
      <w:pPr>
        <w:ind w:left="600"/>
        <w:spacing w:after="0"/>
        <w:rPr>
          <w:sz w:val="20"/>
          <w:szCs w:val="20"/>
          <w:color w:val="auto"/>
        </w:rPr>
      </w:pPr>
      <w:r>
        <w:rPr>
          <w:rFonts w:ascii="Arial" w:cs="Arial" w:eastAsia="Arial" w:hAnsi="Arial"/>
          <w:sz w:val="12"/>
          <w:szCs w:val="12"/>
          <w:i w:val="1"/>
          <w:iCs w:val="1"/>
          <w:color w:val="auto"/>
        </w:rPr>
        <w:t>Remediation</w:t>
      </w:r>
    </w:p>
    <w:p>
      <w:pPr>
        <w:spacing w:after="0" w:line="78" w:lineRule="exact"/>
        <w:rPr>
          <w:sz w:val="20"/>
          <w:szCs w:val="20"/>
          <w:color w:val="auto"/>
        </w:rPr>
      </w:pPr>
    </w:p>
    <w:p>
      <w:pPr>
        <w:ind w:firstLine="602"/>
        <w:spacing w:after="0" w:line="286" w:lineRule="auto"/>
        <w:rPr>
          <w:sz w:val="20"/>
          <w:szCs w:val="20"/>
          <w:color w:val="auto"/>
        </w:rPr>
      </w:pPr>
      <w:r>
        <w:rPr>
          <w:rFonts w:ascii="Arial" w:cs="Arial" w:eastAsia="Arial" w:hAnsi="Arial"/>
          <w:sz w:val="11"/>
          <w:szCs w:val="11"/>
          <w:color w:val="auto"/>
        </w:rPr>
        <w:t>Management has been implementing and continues to implement measures designed to ensure that control deficiencies contributing to the material weakness are remediated, such that these controls are designed, implemented, and operating effectively. These remediation actions include: (i) creating and filling an IT Compliance Oversight function; (ii) developing a training program addressing ITGCs and policies, including educating control owners concerning the principles and requirements of each control, with a focus on those related to user access over IT systems impacting financial reporting; (iii) developing and maintaining documentation underlying ITGCs to promote knowledge transfer upon personnel and function changes; (iv) developing enhanced risk assessment procedures and controls related to changes in IT systems; (v) implementing an IT management review and testing plan to monitor ITGCs with a specific focus on systems supporting our financial reporting processes; and (vi) enhanced quarterly reporting on the remediation measures to the Audit Committee.</w:t>
      </w:r>
    </w:p>
    <w:p>
      <w:pPr>
        <w:spacing w:after="0" w:line="111" w:lineRule="exact"/>
        <w:rPr>
          <w:sz w:val="20"/>
          <w:szCs w:val="20"/>
          <w:color w:val="auto"/>
        </w:rPr>
      </w:pPr>
    </w:p>
    <w:p>
      <w:pPr>
        <w:ind w:firstLine="602"/>
        <w:spacing w:after="0" w:line="276" w:lineRule="auto"/>
        <w:rPr>
          <w:sz w:val="20"/>
          <w:szCs w:val="20"/>
          <w:color w:val="auto"/>
        </w:rPr>
      </w:pPr>
      <w:r>
        <w:rPr>
          <w:rFonts w:ascii="Arial" w:cs="Arial" w:eastAsia="Arial" w:hAnsi="Arial"/>
          <w:sz w:val="12"/>
          <w:szCs w:val="12"/>
          <w:color w:val="auto"/>
        </w:rPr>
        <w:t>We believe that these actions will remediate the material weakness. The weakness will not be considered remediated, however, until the applicable controls operate for a sufficient period of time and management has concluded, through testing, that these controls are operating effectively. We expect that the remediation of this material weakness will be completed prior to the end of fiscal 2020.</w:t>
      </w:r>
    </w:p>
    <w:p>
      <w:pPr>
        <w:spacing w:after="0" w:line="18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Changes in Internal Control over Financing Reporting</w:t>
      </w:r>
    </w:p>
    <w:p>
      <w:pPr>
        <w:spacing w:after="0" w:line="82" w:lineRule="exact"/>
        <w:rPr>
          <w:sz w:val="20"/>
          <w:szCs w:val="20"/>
          <w:color w:val="auto"/>
        </w:rPr>
      </w:pPr>
    </w:p>
    <w:p>
      <w:pPr>
        <w:ind w:right="180" w:firstLine="602"/>
        <w:spacing w:after="0" w:line="380" w:lineRule="auto"/>
        <w:rPr>
          <w:sz w:val="20"/>
          <w:szCs w:val="20"/>
          <w:color w:val="auto"/>
        </w:rPr>
      </w:pPr>
      <w:r>
        <w:rPr>
          <w:rFonts w:ascii="Arial" w:cs="Arial" w:eastAsia="Arial" w:hAnsi="Arial"/>
          <w:sz w:val="10"/>
          <w:szCs w:val="10"/>
          <w:color w:val="auto"/>
        </w:rPr>
        <w:t>There were no changes to our internal control over financial reporting that occurred during the quarter ended December 31, 2019 that have materially affected, or are reasonably likely to materially affect, our internal control over financial reporting. Subsequent to December 31, 2019 and in connection with the identification of the material weakness discussed above, we are taking remediation steps to improve our internal control over financial reporting.</w:t>
      </w:r>
    </w:p>
    <w:p>
      <w:pPr>
        <w:spacing w:after="0" w:line="136" w:lineRule="exact"/>
        <w:rPr>
          <w:sz w:val="20"/>
          <w:szCs w:val="20"/>
          <w:color w:val="auto"/>
        </w:rPr>
      </w:pPr>
    </w:p>
    <w:p>
      <w:pPr>
        <w:jc w:val="center"/>
        <w:ind w:right="10060"/>
        <w:spacing w:after="0"/>
        <w:rPr>
          <w:sz w:val="20"/>
          <w:szCs w:val="20"/>
          <w:color w:val="auto"/>
        </w:rPr>
      </w:pPr>
      <w:r>
        <w:rPr>
          <w:rFonts w:ascii="Arial" w:cs="Arial" w:eastAsia="Arial" w:hAnsi="Arial"/>
          <w:sz w:val="11"/>
          <w:szCs w:val="11"/>
          <w:b w:val="1"/>
          <w:bCs w:val="1"/>
          <w:color w:val="auto"/>
        </w:rPr>
        <w:t>Item 9B. Other Information</w:t>
      </w:r>
    </w:p>
    <w:p>
      <w:pPr>
        <w:spacing w:after="0" w:line="94" w:lineRule="exact"/>
        <w:rPr>
          <w:sz w:val="20"/>
          <w:szCs w:val="20"/>
          <w:color w:val="auto"/>
        </w:rPr>
      </w:pPr>
    </w:p>
    <w:p>
      <w:pPr>
        <w:jc w:val="center"/>
        <w:ind w:right="10000"/>
        <w:spacing w:after="0"/>
        <w:rPr>
          <w:sz w:val="20"/>
          <w:szCs w:val="20"/>
          <w:color w:val="auto"/>
        </w:rPr>
      </w:pPr>
      <w:r>
        <w:rPr>
          <w:rFonts w:ascii="Arial" w:cs="Arial" w:eastAsia="Arial" w:hAnsi="Arial"/>
          <w:sz w:val="12"/>
          <w:szCs w:val="12"/>
          <w:color w:val="auto"/>
        </w:rPr>
        <w:t>None.</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17740" cy="3683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ectPr>
          <w:pgSz w:w="11900" w:h="16838" w:orient="portrait"/>
          <w:cols w:equalWidth="0" w:num="1">
            <w:col w:w="11480"/>
          </w:cols>
          <w:pgMar w:left="220" w:top="374" w:right="199" w:bottom="1440" w:gutter="0" w:footer="0" w:header="0"/>
        </w:sectPr>
      </w:pPr>
    </w:p>
    <w:bookmarkStart w:id="110" w:name="page111"/>
    <w:bookmarkEnd w:id="110"/>
    <w:p>
      <w:pPr>
        <w:spacing w:after="0"/>
        <w:rPr>
          <w:sz w:val="20"/>
          <w:szCs w:val="20"/>
          <w:color w:val="auto"/>
        </w:rPr>
      </w:pPr>
      <w:r>
        <w:rPr>
          <w:rFonts w:ascii="Arial" w:cs="Arial" w:eastAsia="Arial" w:hAnsi="Arial"/>
          <w:sz w:val="12"/>
          <w:szCs w:val="12"/>
          <w:b w:val="1"/>
          <w:bCs w:val="1"/>
          <w:color w:val="auto"/>
        </w:rPr>
        <w:t>PART III</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10. Directors, Executive Officers and Corporate Governance</w:t>
      </w:r>
    </w:p>
    <w:p>
      <w:pPr>
        <w:spacing w:after="0" w:line="82" w:lineRule="exact"/>
        <w:rPr>
          <w:sz w:val="20"/>
          <w:szCs w:val="20"/>
          <w:color w:val="auto"/>
        </w:rPr>
      </w:pPr>
    </w:p>
    <w:p>
      <w:pPr>
        <w:ind w:firstLine="602"/>
        <w:spacing w:after="0" w:line="276" w:lineRule="auto"/>
        <w:rPr>
          <w:sz w:val="20"/>
          <w:szCs w:val="20"/>
          <w:color w:val="auto"/>
        </w:rPr>
      </w:pPr>
      <w:r>
        <w:rPr>
          <w:rFonts w:ascii="Arial" w:cs="Arial" w:eastAsia="Arial" w:hAnsi="Arial"/>
          <w:sz w:val="12"/>
          <w:szCs w:val="12"/>
          <w:color w:val="auto"/>
        </w:rPr>
        <w:t>The information required by this Item is incorporated by reference from our Proxy Statement to be filed in connection with our 2020 Annual Meeting of Stockholders within 120 days after the end of the fiscal year ended December 31, 2019.</w:t>
      </w:r>
    </w:p>
    <w:p>
      <w:pPr>
        <w:spacing w:after="0" w:line="18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11. Executive Compensation</w:t>
      </w:r>
    </w:p>
    <w:p>
      <w:pPr>
        <w:spacing w:after="0" w:line="82" w:lineRule="exact"/>
        <w:rPr>
          <w:sz w:val="20"/>
          <w:szCs w:val="20"/>
          <w:color w:val="auto"/>
        </w:rPr>
      </w:pPr>
    </w:p>
    <w:p>
      <w:pPr>
        <w:ind w:firstLine="602"/>
        <w:spacing w:after="0" w:line="276" w:lineRule="auto"/>
        <w:rPr>
          <w:sz w:val="20"/>
          <w:szCs w:val="20"/>
          <w:color w:val="auto"/>
        </w:rPr>
      </w:pPr>
      <w:r>
        <w:rPr>
          <w:rFonts w:ascii="Arial" w:cs="Arial" w:eastAsia="Arial" w:hAnsi="Arial"/>
          <w:sz w:val="12"/>
          <w:szCs w:val="12"/>
          <w:color w:val="auto"/>
        </w:rPr>
        <w:t>The information required by this Item is incorporated by reference from our Proxy Statement to be filed in connection with our 2020 Annual Meeting of Stockholders within 120 days after the end of the fiscal year ended December 31, 2019.</w:t>
      </w:r>
    </w:p>
    <w:p>
      <w:pPr>
        <w:spacing w:after="0" w:line="18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12. Security Ownership of Certain Beneficial Owners and Management and Related Stockholder Matters</w:t>
      </w:r>
    </w:p>
    <w:p>
      <w:pPr>
        <w:spacing w:after="0" w:line="82" w:lineRule="exact"/>
        <w:rPr>
          <w:sz w:val="20"/>
          <w:szCs w:val="20"/>
          <w:color w:val="auto"/>
        </w:rPr>
      </w:pPr>
    </w:p>
    <w:p>
      <w:pPr>
        <w:ind w:firstLine="602"/>
        <w:spacing w:after="0" w:line="276" w:lineRule="auto"/>
        <w:rPr>
          <w:sz w:val="20"/>
          <w:szCs w:val="20"/>
          <w:color w:val="auto"/>
        </w:rPr>
      </w:pPr>
      <w:r>
        <w:rPr>
          <w:rFonts w:ascii="Arial" w:cs="Arial" w:eastAsia="Arial" w:hAnsi="Arial"/>
          <w:sz w:val="12"/>
          <w:szCs w:val="12"/>
          <w:color w:val="auto"/>
        </w:rPr>
        <w:t>The information required by this Item is incorporated by reference from our Proxy Statement to be filed in connection with our 2020 Annual Meeting of Stockholders within 120 days after the end of the fiscal year ended December 31, 2019.</w:t>
      </w:r>
    </w:p>
    <w:p>
      <w:pPr>
        <w:spacing w:after="0" w:line="18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13. Certain Relationships and Related Transactions, and Director Independence</w:t>
      </w:r>
    </w:p>
    <w:p>
      <w:pPr>
        <w:spacing w:after="0" w:line="82" w:lineRule="exact"/>
        <w:rPr>
          <w:sz w:val="20"/>
          <w:szCs w:val="20"/>
          <w:color w:val="auto"/>
        </w:rPr>
      </w:pPr>
    </w:p>
    <w:p>
      <w:pPr>
        <w:ind w:firstLine="602"/>
        <w:spacing w:after="0" w:line="276" w:lineRule="auto"/>
        <w:rPr>
          <w:sz w:val="20"/>
          <w:szCs w:val="20"/>
          <w:color w:val="auto"/>
        </w:rPr>
      </w:pPr>
      <w:r>
        <w:rPr>
          <w:rFonts w:ascii="Arial" w:cs="Arial" w:eastAsia="Arial" w:hAnsi="Arial"/>
          <w:sz w:val="12"/>
          <w:szCs w:val="12"/>
          <w:color w:val="auto"/>
        </w:rPr>
        <w:t>The information required by this Item is incorporated by reference from our Proxy Statement to be filed in connection with our 2020 Annual Meeting of Stockholders within 120 days after the end of the fiscal year ended December 31, 2019.</w:t>
      </w:r>
    </w:p>
    <w:p>
      <w:pPr>
        <w:spacing w:after="0" w:line="18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14. Principal Accounting Fees and Services</w:t>
      </w:r>
    </w:p>
    <w:p>
      <w:pPr>
        <w:spacing w:after="0" w:line="82" w:lineRule="exact"/>
        <w:rPr>
          <w:sz w:val="20"/>
          <w:szCs w:val="20"/>
          <w:color w:val="auto"/>
        </w:rPr>
      </w:pPr>
    </w:p>
    <w:p>
      <w:pPr>
        <w:ind w:firstLine="602"/>
        <w:spacing w:after="0" w:line="276" w:lineRule="auto"/>
        <w:rPr>
          <w:sz w:val="20"/>
          <w:szCs w:val="20"/>
          <w:color w:val="auto"/>
        </w:rPr>
      </w:pPr>
      <w:r>
        <w:rPr>
          <w:rFonts w:ascii="Arial" w:cs="Arial" w:eastAsia="Arial" w:hAnsi="Arial"/>
          <w:sz w:val="12"/>
          <w:szCs w:val="12"/>
          <w:color w:val="auto"/>
        </w:rPr>
        <w:t>The information required by this Item is incorporated by reference from our Proxy Statement to be filed in connection with our 2020 Annual Meeting of Stockholders within 120 days after the end of the fiscal year ended December 31, 2019.</w:t>
      </w:r>
    </w:p>
    <w:p>
      <w:pPr>
        <w:spacing w:after="0" w:line="115" w:lineRule="exact"/>
        <w:rPr>
          <w:sz w:val="20"/>
          <w:szCs w:val="20"/>
          <w:color w:val="auto"/>
        </w:rPr>
      </w:pPr>
    </w:p>
    <w:p>
      <w:pPr>
        <w:jc w:val="center"/>
        <w:ind w:right="-319"/>
        <w:spacing w:after="0"/>
        <w:rPr>
          <w:sz w:val="20"/>
          <w:szCs w:val="20"/>
          <w:color w:val="auto"/>
        </w:rPr>
      </w:pPr>
      <w:r>
        <w:rPr>
          <w:rFonts w:ascii="Arial" w:cs="Arial" w:eastAsia="Arial" w:hAnsi="Arial"/>
          <w:sz w:val="12"/>
          <w:szCs w:val="12"/>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17740" cy="3683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ectPr>
          <w:pgSz w:w="11900" w:h="16838" w:orient="portrait"/>
          <w:cols w:equalWidth="0" w:num="1">
            <w:col w:w="11140"/>
          </w:cols>
          <w:pgMar w:left="220" w:top="271" w:right="539" w:bottom="1440" w:gutter="0" w:footer="0" w:header="0"/>
        </w:sectPr>
      </w:pPr>
    </w:p>
    <w:bookmarkStart w:id="111" w:name="page112"/>
    <w:bookmarkEnd w:id="111"/>
    <w:p>
      <w:pPr>
        <w:spacing w:after="0"/>
        <w:rPr>
          <w:sz w:val="20"/>
          <w:szCs w:val="20"/>
          <w:color w:val="auto"/>
        </w:rPr>
      </w:pPr>
      <w:r>
        <w:rPr>
          <w:rFonts w:ascii="Arial" w:cs="Arial" w:eastAsia="Arial" w:hAnsi="Arial"/>
          <w:sz w:val="12"/>
          <w:szCs w:val="12"/>
          <w:b w:val="1"/>
          <w:bCs w:val="1"/>
          <w:color w:val="auto"/>
        </w:rPr>
        <w:t>PART IV</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15. Exhibits, Financial Statement Schedules</w:t>
      </w:r>
    </w:p>
    <w:p>
      <w:pPr>
        <w:spacing w:after="0" w:line="82" w:lineRule="exact"/>
        <w:rPr>
          <w:sz w:val="20"/>
          <w:szCs w:val="20"/>
          <w:color w:val="auto"/>
        </w:rPr>
      </w:pPr>
    </w:p>
    <w:p>
      <w:pPr>
        <w:ind w:left="1180" w:hanging="593"/>
        <w:spacing w:after="0"/>
        <w:tabs>
          <w:tab w:leader="none" w:pos="1180" w:val="left"/>
        </w:tabs>
        <w:numPr>
          <w:ilvl w:val="0"/>
          <w:numId w:val="45"/>
        </w:numPr>
        <w:rPr>
          <w:rFonts w:ascii="Arial" w:cs="Arial" w:eastAsia="Arial" w:hAnsi="Arial"/>
          <w:sz w:val="12"/>
          <w:szCs w:val="12"/>
          <w:color w:val="auto"/>
        </w:rPr>
      </w:pPr>
      <w:r>
        <w:rPr>
          <w:rFonts w:ascii="Arial" w:cs="Arial" w:eastAsia="Arial" w:hAnsi="Arial"/>
          <w:sz w:val="12"/>
          <w:szCs w:val="12"/>
          <w:color w:val="auto"/>
        </w:rPr>
        <w:t>The following documents are filed as part of this Annual Report on Form 10-K:</w:t>
      </w:r>
    </w:p>
    <w:p>
      <w:pPr>
        <w:spacing w:after="0" w:line="78" w:lineRule="exact"/>
        <w:rPr>
          <w:sz w:val="20"/>
          <w:szCs w:val="20"/>
          <w:color w:val="auto"/>
        </w:rPr>
      </w:pPr>
    </w:p>
    <w:p>
      <w:pPr>
        <w:ind w:left="1780" w:hanging="590"/>
        <w:spacing w:after="0"/>
        <w:tabs>
          <w:tab w:leader="none" w:pos="1780" w:val="left"/>
        </w:tabs>
        <w:numPr>
          <w:ilvl w:val="0"/>
          <w:numId w:val="46"/>
        </w:numPr>
        <w:rPr>
          <w:rFonts w:ascii="Arial" w:cs="Arial" w:eastAsia="Arial" w:hAnsi="Arial"/>
          <w:sz w:val="12"/>
          <w:szCs w:val="12"/>
          <w:color w:val="auto"/>
        </w:rPr>
      </w:pPr>
      <w:r>
        <w:rPr>
          <w:rFonts w:ascii="Arial" w:cs="Arial" w:eastAsia="Arial" w:hAnsi="Arial"/>
          <w:sz w:val="12"/>
          <w:szCs w:val="12"/>
          <w:color w:val="auto"/>
        </w:rPr>
        <w:t>Consolidated Financial Statements</w:t>
      </w:r>
    </w:p>
    <w:p>
      <w:pPr>
        <w:spacing w:after="0" w:line="78" w:lineRule="exact"/>
        <w:rPr>
          <w:sz w:val="20"/>
          <w:szCs w:val="20"/>
          <w:color w:val="auto"/>
        </w:rPr>
      </w:pPr>
    </w:p>
    <w:p>
      <w:pPr>
        <w:ind w:left="1200"/>
        <w:spacing w:after="0"/>
        <w:rPr>
          <w:sz w:val="20"/>
          <w:szCs w:val="20"/>
          <w:color w:val="auto"/>
        </w:rPr>
      </w:pPr>
      <w:r>
        <w:rPr>
          <w:rFonts w:ascii="Arial" w:cs="Arial" w:eastAsia="Arial" w:hAnsi="Arial"/>
          <w:sz w:val="12"/>
          <w:szCs w:val="12"/>
          <w:color w:val="auto"/>
        </w:rPr>
        <w:t>The financial statements filed as part of this Annual Report on Form 10-K are listed in the “Index to Consolidated Financial Statements” under Part II, Item 8 of this Annual Report on Form 10-K.</w:t>
      </w:r>
    </w:p>
    <w:p>
      <w:pPr>
        <w:spacing w:after="0" w:line="78" w:lineRule="exact"/>
        <w:rPr>
          <w:sz w:val="20"/>
          <w:szCs w:val="20"/>
          <w:color w:val="auto"/>
        </w:rPr>
      </w:pPr>
    </w:p>
    <w:p>
      <w:pPr>
        <w:ind w:left="1780" w:hanging="590"/>
        <w:spacing w:after="0"/>
        <w:tabs>
          <w:tab w:leader="none" w:pos="1780" w:val="left"/>
        </w:tabs>
        <w:numPr>
          <w:ilvl w:val="0"/>
          <w:numId w:val="47"/>
        </w:numPr>
        <w:rPr>
          <w:rFonts w:ascii="Arial" w:cs="Arial" w:eastAsia="Arial" w:hAnsi="Arial"/>
          <w:sz w:val="12"/>
          <w:szCs w:val="12"/>
          <w:color w:val="auto"/>
        </w:rPr>
      </w:pPr>
      <w:r>
        <w:rPr>
          <w:rFonts w:ascii="Arial" w:cs="Arial" w:eastAsia="Arial" w:hAnsi="Arial"/>
          <w:sz w:val="12"/>
          <w:szCs w:val="12"/>
          <w:color w:val="auto"/>
        </w:rPr>
        <w:t>Financial Statement Schedules</w:t>
      </w:r>
    </w:p>
    <w:p>
      <w:pPr>
        <w:spacing w:after="0" w:line="78" w:lineRule="exact"/>
        <w:rPr>
          <w:rFonts w:ascii="Arial" w:cs="Arial" w:eastAsia="Arial" w:hAnsi="Arial"/>
          <w:sz w:val="12"/>
          <w:szCs w:val="12"/>
          <w:color w:val="auto"/>
        </w:rPr>
      </w:pPr>
    </w:p>
    <w:p>
      <w:pPr>
        <w:ind w:left="1800"/>
        <w:spacing w:after="0"/>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1"/>
          <w:szCs w:val="11"/>
          <w:color w:val="auto"/>
        </w:rPr>
        <w:t>Appendix A, Schedule II – Consolidated Valuation and Qualifying Accounts</w:t>
      </w:r>
    </w:p>
    <w:p>
      <w:pPr>
        <w:spacing w:after="0" w:line="78" w:lineRule="exact"/>
        <w:rPr>
          <w:sz w:val="20"/>
          <w:szCs w:val="20"/>
          <w:color w:val="auto"/>
        </w:rPr>
      </w:pPr>
    </w:p>
    <w:p>
      <w:pPr>
        <w:ind w:left="1200"/>
        <w:spacing w:after="0" w:line="276" w:lineRule="auto"/>
        <w:rPr>
          <w:sz w:val="20"/>
          <w:szCs w:val="20"/>
          <w:color w:val="auto"/>
        </w:rPr>
      </w:pPr>
      <w:r>
        <w:rPr>
          <w:rFonts w:ascii="Arial" w:cs="Arial" w:eastAsia="Arial" w:hAnsi="Arial"/>
          <w:sz w:val="12"/>
          <w:szCs w:val="12"/>
          <w:color w:val="auto"/>
        </w:rPr>
        <w:t>Schedules not listed above are omitted as the required information is inapplicable or the information is presented in the consolidated financial statements or notes to the consolidated financial statements under Part II, Item 8 of this Annual Report on Form 10-K.</w:t>
      </w:r>
    </w:p>
    <w:p>
      <w:pPr>
        <w:spacing w:after="0" w:line="43" w:lineRule="exact"/>
        <w:rPr>
          <w:sz w:val="20"/>
          <w:szCs w:val="20"/>
          <w:color w:val="auto"/>
        </w:rPr>
      </w:pPr>
    </w:p>
    <w:p>
      <w:pPr>
        <w:ind w:left="1780" w:hanging="590"/>
        <w:spacing w:after="0"/>
        <w:tabs>
          <w:tab w:leader="none" w:pos="1780" w:val="left"/>
        </w:tabs>
        <w:numPr>
          <w:ilvl w:val="0"/>
          <w:numId w:val="48"/>
        </w:numPr>
        <w:rPr>
          <w:rFonts w:ascii="Arial" w:cs="Arial" w:eastAsia="Arial" w:hAnsi="Arial"/>
          <w:sz w:val="12"/>
          <w:szCs w:val="12"/>
          <w:color w:val="auto"/>
        </w:rPr>
      </w:pPr>
      <w:r>
        <w:rPr>
          <w:rFonts w:ascii="Arial" w:cs="Arial" w:eastAsia="Arial" w:hAnsi="Arial"/>
          <w:sz w:val="12"/>
          <w:szCs w:val="12"/>
          <w:color w:val="auto"/>
        </w:rPr>
        <w:t>Exhibits.</w:t>
      </w:r>
    </w:p>
    <w:p>
      <w:pPr>
        <w:spacing w:after="0" w:line="78" w:lineRule="exact"/>
        <w:rPr>
          <w:sz w:val="20"/>
          <w:szCs w:val="20"/>
          <w:color w:val="auto"/>
        </w:rPr>
      </w:pPr>
    </w:p>
    <w:p>
      <w:pPr>
        <w:ind w:left="1200" w:right="20"/>
        <w:spacing w:after="0" w:line="276" w:lineRule="auto"/>
        <w:rPr>
          <w:sz w:val="20"/>
          <w:szCs w:val="20"/>
          <w:color w:val="auto"/>
        </w:rPr>
      </w:pPr>
      <w:r>
        <w:rPr>
          <w:rFonts w:ascii="Arial" w:cs="Arial" w:eastAsia="Arial" w:hAnsi="Arial"/>
          <w:sz w:val="12"/>
          <w:szCs w:val="12"/>
          <w:color w:val="auto"/>
        </w:rPr>
        <w:t>The exhibits listed below are filed as part of this Annual Report. References under the caption “Incorporated by Reference” to exhibits or other filings indicate that the exhibit or other filing has been filed, that the indexed exhibit and the exhibit referred to are the same and that the exhibit referred to is incorporated by reference.</w:t>
      </w:r>
    </w:p>
    <w:p>
      <w:pPr>
        <w:spacing w:after="0" w:line="115" w:lineRule="exact"/>
        <w:rPr>
          <w:sz w:val="20"/>
          <w:szCs w:val="20"/>
          <w:color w:val="auto"/>
        </w:rPr>
      </w:pPr>
    </w:p>
    <w:p>
      <w:pPr>
        <w:jc w:val="center"/>
        <w:ind w:right="-79"/>
        <w:spacing w:after="0"/>
        <w:rPr>
          <w:sz w:val="20"/>
          <w:szCs w:val="20"/>
          <w:color w:val="auto"/>
        </w:rPr>
      </w:pPr>
      <w:r>
        <w:rPr>
          <w:rFonts w:ascii="Arial" w:cs="Arial" w:eastAsia="Arial" w:hAnsi="Arial"/>
          <w:sz w:val="12"/>
          <w:szCs w:val="12"/>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17740" cy="3683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ectPr>
          <w:pgSz w:w="11900" w:h="16838" w:orient="portrait"/>
          <w:cols w:equalWidth="0" w:num="1">
            <w:col w:w="11400"/>
          </w:cols>
          <w:pgMar w:left="220" w:top="271" w:right="279" w:bottom="1440" w:gutter="0" w:footer="0" w:header="0"/>
        </w:sectPr>
      </w:pPr>
    </w:p>
    <w:bookmarkStart w:id="112" w:name="page113"/>
    <w:bookmarkEnd w:id="112"/>
    <w:tbl>
      <w:tblPr>
        <w:tblLayout w:type="fixed"/>
        <w:tblInd w:w="0" w:type="dxa"/>
        <w:tblCellMar>
          <w:top w:w="0" w:type="dxa"/>
          <w:left w:w="0" w:type="dxa"/>
          <w:bottom w:w="0" w:type="dxa"/>
          <w:right w:w="0" w:type="dxa"/>
        </w:tblCellMar>
      </w:tblPr>
      <w:tr>
        <w:trPr>
          <w:trHeight w:val="157"/>
        </w:trPr>
        <w:tc>
          <w:tcPr>
            <w:tcW w:w="2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20" w:type="dxa"/>
            <w:vAlign w:val="bottom"/>
            <w:gridSpan w:val="8"/>
          </w:tcPr>
          <w:p>
            <w:pPr>
              <w:jc w:val="center"/>
              <w:spacing w:after="0"/>
              <w:rPr>
                <w:sz w:val="20"/>
                <w:szCs w:val="20"/>
                <w:color w:val="auto"/>
              </w:rPr>
            </w:pPr>
            <w:r>
              <w:rPr>
                <w:rFonts w:ascii="Arial" w:cs="Arial" w:eastAsia="Arial" w:hAnsi="Arial"/>
                <w:sz w:val="12"/>
                <w:szCs w:val="12"/>
                <w:b w:val="1"/>
                <w:bCs w:val="1"/>
                <w:color w:val="auto"/>
              </w:rPr>
              <w:t>EXHIBIT INDEX</w:t>
            </w:r>
          </w:p>
        </w:tc>
        <w:tc>
          <w:tcPr>
            <w:tcW w:w="9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8"/>
        </w:trPr>
        <w:tc>
          <w:tcPr>
            <w:tcW w:w="280" w:type="dxa"/>
            <w:vAlign w:val="bottom"/>
          </w:tcPr>
          <w:p>
            <w:pPr>
              <w:spacing w:after="0"/>
              <w:rPr>
                <w:sz w:val="24"/>
                <w:szCs w:val="24"/>
                <w:color w:val="auto"/>
              </w:rPr>
            </w:pPr>
          </w:p>
        </w:tc>
        <w:tc>
          <w:tcPr>
            <w:tcW w:w="860" w:type="dxa"/>
            <w:vAlign w:val="bottom"/>
            <w:gridSpan w:val="2"/>
            <w:vMerge w:val="restart"/>
          </w:tcPr>
          <w:p>
            <w:pPr>
              <w:jc w:val="center"/>
              <w:ind w:right="400"/>
              <w:spacing w:after="0"/>
              <w:rPr>
                <w:sz w:val="20"/>
                <w:szCs w:val="20"/>
                <w:color w:val="auto"/>
              </w:rPr>
            </w:pPr>
            <w:r>
              <w:rPr>
                <w:rFonts w:ascii="Arial" w:cs="Arial" w:eastAsia="Arial" w:hAnsi="Arial"/>
                <w:sz w:val="12"/>
                <w:szCs w:val="12"/>
                <w:b w:val="1"/>
                <w:bCs w:val="1"/>
                <w:color w:val="auto"/>
                <w:w w:val="94"/>
              </w:rPr>
              <w:t>Exhibit</w:t>
            </w: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4"/>
          </w:tcPr>
          <w:p>
            <w:pPr>
              <w:ind w:left="20"/>
              <w:spacing w:after="0"/>
              <w:rPr>
                <w:sz w:val="20"/>
                <w:szCs w:val="20"/>
                <w:color w:val="auto"/>
              </w:rPr>
            </w:pPr>
            <w:r>
              <w:rPr>
                <w:rFonts w:ascii="Arial" w:cs="Arial" w:eastAsia="Arial" w:hAnsi="Arial"/>
                <w:sz w:val="12"/>
                <w:szCs w:val="12"/>
                <w:b w:val="1"/>
                <w:bCs w:val="1"/>
                <w:color w:val="auto"/>
                <w:w w:val="99"/>
              </w:rPr>
              <w:t>Incorporated by Reference</w:t>
            </w:r>
          </w:p>
        </w:tc>
        <w:tc>
          <w:tcPr>
            <w:tcW w:w="15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280" w:type="dxa"/>
            <w:vAlign w:val="bottom"/>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2900" w:type="dxa"/>
            <w:vAlign w:val="bottom"/>
            <w:gridSpan w:val="11"/>
            <w:vMerge w:val="restart"/>
          </w:tcPr>
          <w:p>
            <w:pPr>
              <w:ind w:left="340"/>
              <w:spacing w:after="0"/>
              <w:rPr>
                <w:sz w:val="20"/>
                <w:szCs w:val="20"/>
                <w:color w:val="auto"/>
              </w:rPr>
            </w:pPr>
            <w:r>
              <w:rPr>
                <w:rFonts w:ascii="Arial" w:cs="Arial" w:eastAsia="Arial" w:hAnsi="Arial"/>
                <w:sz w:val="12"/>
                <w:szCs w:val="12"/>
                <w:b w:val="1"/>
                <w:bCs w:val="1"/>
                <w:color w:val="auto"/>
              </w:rPr>
              <w:t>Description</w:t>
            </w:r>
          </w:p>
        </w:tc>
        <w:tc>
          <w:tcPr>
            <w:tcW w:w="760" w:type="dxa"/>
            <w:vAlign w:val="bottom"/>
            <w:gridSpan w:val="2"/>
            <w:vMerge w:val="restart"/>
          </w:tcPr>
          <w:p>
            <w:pPr>
              <w:jc w:val="center"/>
              <w:ind w:right="160"/>
              <w:spacing w:after="0"/>
              <w:rPr>
                <w:sz w:val="20"/>
                <w:szCs w:val="20"/>
                <w:color w:val="auto"/>
              </w:rPr>
            </w:pPr>
            <w:r>
              <w:rPr>
                <w:rFonts w:ascii="Arial" w:cs="Arial" w:eastAsia="Arial" w:hAnsi="Arial"/>
                <w:sz w:val="12"/>
                <w:szCs w:val="12"/>
                <w:b w:val="1"/>
                <w:bCs w:val="1"/>
                <w:color w:val="auto"/>
                <w:w w:val="93"/>
              </w:rPr>
              <w:t>Form</w:t>
            </w:r>
          </w:p>
        </w:tc>
        <w:tc>
          <w:tcPr>
            <w:tcW w:w="940" w:type="dxa"/>
            <w:vAlign w:val="bottom"/>
            <w:vMerge w:val="restart"/>
          </w:tcPr>
          <w:p>
            <w:pPr>
              <w:jc w:val="center"/>
              <w:ind w:left="320"/>
              <w:spacing w:after="0"/>
              <w:rPr>
                <w:sz w:val="20"/>
                <w:szCs w:val="20"/>
                <w:color w:val="auto"/>
              </w:rPr>
            </w:pPr>
            <w:r>
              <w:rPr>
                <w:rFonts w:ascii="Arial" w:cs="Arial" w:eastAsia="Arial" w:hAnsi="Arial"/>
                <w:sz w:val="12"/>
                <w:szCs w:val="12"/>
                <w:b w:val="1"/>
                <w:bCs w:val="1"/>
                <w:color w:val="auto"/>
                <w:w w:val="92"/>
              </w:rPr>
              <w:t>File No.</w:t>
            </w:r>
          </w:p>
        </w:tc>
        <w:tc>
          <w:tcPr>
            <w:tcW w:w="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gridSpan w:val="2"/>
            <w:vMerge w:val="restart"/>
          </w:tcPr>
          <w:p>
            <w:pPr>
              <w:ind w:left="260"/>
              <w:spacing w:after="0"/>
              <w:rPr>
                <w:sz w:val="20"/>
                <w:szCs w:val="20"/>
                <w:color w:val="auto"/>
              </w:rPr>
            </w:pPr>
            <w:r>
              <w:rPr>
                <w:rFonts w:ascii="Arial" w:cs="Arial" w:eastAsia="Arial" w:hAnsi="Arial"/>
                <w:sz w:val="12"/>
                <w:szCs w:val="12"/>
                <w:b w:val="1"/>
                <w:bCs w:val="1"/>
                <w:color w:val="auto"/>
              </w:rPr>
              <w:t>Exhibit</w:t>
            </w:r>
          </w:p>
        </w:tc>
        <w:tc>
          <w:tcPr>
            <w:tcW w:w="158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4"/>
              </w:rPr>
              <w:t>Filing Date</w:t>
            </w:r>
          </w:p>
        </w:tc>
        <w:tc>
          <w:tcPr>
            <w:tcW w:w="0" w:type="dxa"/>
            <w:vAlign w:val="bottom"/>
          </w:tcPr>
          <w:p>
            <w:pPr>
              <w:spacing w:after="0"/>
              <w:rPr>
                <w:sz w:val="1"/>
                <w:szCs w:val="1"/>
                <w:color w:val="auto"/>
              </w:rPr>
            </w:pPr>
          </w:p>
        </w:tc>
      </w:tr>
      <w:tr>
        <w:trPr>
          <w:trHeight w:val="94"/>
        </w:trPr>
        <w:tc>
          <w:tcPr>
            <w:tcW w:w="280" w:type="dxa"/>
            <w:vAlign w:val="bottom"/>
          </w:tcPr>
          <w:p>
            <w:pPr>
              <w:spacing w:after="0"/>
              <w:rPr>
                <w:sz w:val="8"/>
                <w:szCs w:val="8"/>
                <w:color w:val="auto"/>
              </w:rPr>
            </w:pPr>
          </w:p>
        </w:tc>
        <w:tc>
          <w:tcPr>
            <w:tcW w:w="740" w:type="dxa"/>
            <w:vAlign w:val="bottom"/>
            <w:vMerge w:val="restart"/>
          </w:tcPr>
          <w:p>
            <w:pPr>
              <w:jc w:val="center"/>
              <w:ind w:right="220"/>
              <w:spacing w:after="0"/>
              <w:rPr>
                <w:sz w:val="20"/>
                <w:szCs w:val="20"/>
                <w:color w:val="auto"/>
              </w:rPr>
            </w:pPr>
            <w:r>
              <w:rPr>
                <w:rFonts w:ascii="Arial" w:cs="Arial" w:eastAsia="Arial" w:hAnsi="Arial"/>
                <w:sz w:val="12"/>
                <w:szCs w:val="12"/>
                <w:b w:val="1"/>
                <w:bCs w:val="1"/>
                <w:color w:val="auto"/>
                <w:w w:val="92"/>
              </w:rPr>
              <w:t>Number</w:t>
            </w:r>
          </w:p>
        </w:tc>
        <w:tc>
          <w:tcPr>
            <w:tcW w:w="120" w:type="dxa"/>
            <w:vAlign w:val="bottom"/>
            <w:vMerge w:val="restart"/>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2900" w:type="dxa"/>
            <w:vAlign w:val="bottom"/>
            <w:gridSpan w:val="11"/>
            <w:vMerge w:val="continue"/>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940" w:type="dxa"/>
            <w:vAlign w:val="bottom"/>
            <w:vMerge w:val="continue"/>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gridSpan w:val="2"/>
            <w:vMerge w:val="continue"/>
          </w:tcPr>
          <w:p>
            <w:pPr>
              <w:spacing w:after="0"/>
              <w:rPr>
                <w:sz w:val="8"/>
                <w:szCs w:val="8"/>
                <w:color w:val="auto"/>
              </w:rPr>
            </w:pPr>
          </w:p>
        </w:tc>
        <w:tc>
          <w:tcPr>
            <w:tcW w:w="15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8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15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74"/>
        </w:trPr>
        <w:tc>
          <w:tcPr>
            <w:tcW w:w="280" w:type="dxa"/>
            <w:vAlign w:val="bottom"/>
            <w:vMerge w:val="restart"/>
          </w:tcPr>
          <w:p>
            <w:pPr>
              <w:jc w:val="right"/>
              <w:spacing w:after="0"/>
              <w:rPr>
                <w:sz w:val="20"/>
                <w:szCs w:val="20"/>
                <w:color w:val="auto"/>
              </w:rPr>
            </w:pPr>
            <w:r>
              <w:rPr>
                <w:rFonts w:ascii="Arial" w:cs="Arial" w:eastAsia="Arial" w:hAnsi="Arial"/>
                <w:sz w:val="12"/>
                <w:szCs w:val="12"/>
                <w:color w:val="auto"/>
              </w:rPr>
              <w:t>2.1</w:t>
            </w: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40" w:type="dxa"/>
            <w:vAlign w:val="bottom"/>
            <w:tcBorders>
              <w:bottom w:val="single" w:sz="8" w:color="0000EE"/>
            </w:tcBorders>
            <w:gridSpan w:val="12"/>
          </w:tcPr>
          <w:p>
            <w:pPr>
              <w:spacing w:after="0"/>
              <w:rPr>
                <w:rFonts w:ascii="Arial" w:cs="Arial" w:eastAsia="Arial" w:hAnsi="Arial"/>
                <w:sz w:val="12"/>
                <w:szCs w:val="12"/>
                <w:color w:val="0000EE"/>
                <w:w w:val="93"/>
              </w:rPr>
            </w:pPr>
            <w:hyperlink r:id="rId145">
              <w:r>
                <w:rPr>
                  <w:rFonts w:ascii="Arial" w:cs="Arial" w:eastAsia="Arial" w:hAnsi="Arial"/>
                  <w:sz w:val="12"/>
                  <w:szCs w:val="12"/>
                  <w:color w:val="0000EE"/>
                  <w:w w:val="93"/>
                </w:rPr>
                <w:t>Merger Agreement, dated as of June 21, 2018, by and among Gores Holdings II, Inc.,</w:t>
              </w:r>
            </w:hyperlink>
          </w:p>
        </w:tc>
        <w:tc>
          <w:tcPr>
            <w:tcW w:w="140" w:type="dxa"/>
            <w:vAlign w:val="bottom"/>
            <w:gridSpan w:val="4"/>
          </w:tcPr>
          <w:p>
            <w:pPr>
              <w:spacing w:after="0"/>
              <w:rPr>
                <w:sz w:val="15"/>
                <w:szCs w:val="15"/>
                <w:color w:val="auto"/>
              </w:rPr>
            </w:pPr>
          </w:p>
        </w:tc>
        <w:tc>
          <w:tcPr>
            <w:tcW w:w="760" w:type="dxa"/>
            <w:vAlign w:val="bottom"/>
            <w:gridSpan w:val="2"/>
          </w:tcPr>
          <w:p>
            <w:pPr>
              <w:jc w:val="center"/>
              <w:ind w:right="140"/>
              <w:spacing w:after="0"/>
              <w:rPr>
                <w:sz w:val="20"/>
                <w:szCs w:val="20"/>
                <w:color w:val="auto"/>
              </w:rPr>
            </w:pPr>
            <w:r>
              <w:rPr>
                <w:rFonts w:ascii="Arial" w:cs="Arial" w:eastAsia="Arial" w:hAnsi="Arial"/>
                <w:sz w:val="12"/>
                <w:szCs w:val="12"/>
                <w:color w:val="auto"/>
                <w:w w:val="96"/>
              </w:rPr>
              <w:t>8-K</w:t>
            </w:r>
          </w:p>
        </w:tc>
        <w:tc>
          <w:tcPr>
            <w:tcW w:w="940" w:type="dxa"/>
            <w:vAlign w:val="bottom"/>
          </w:tcPr>
          <w:p>
            <w:pPr>
              <w:jc w:val="center"/>
              <w:ind w:left="320"/>
              <w:spacing w:after="0"/>
              <w:rPr>
                <w:sz w:val="20"/>
                <w:szCs w:val="20"/>
                <w:color w:val="auto"/>
              </w:rPr>
            </w:pPr>
            <w:r>
              <w:rPr>
                <w:rFonts w:ascii="Arial" w:cs="Arial" w:eastAsia="Arial" w:hAnsi="Arial"/>
                <w:sz w:val="12"/>
                <w:szCs w:val="12"/>
                <w:color w:val="auto"/>
                <w:w w:val="90"/>
              </w:rPr>
              <w:t>001-37979</w:t>
            </w:r>
          </w:p>
        </w:tc>
        <w:tc>
          <w:tcPr>
            <w:tcW w:w="1420" w:type="dxa"/>
            <w:vAlign w:val="bottom"/>
            <w:gridSpan w:val="3"/>
          </w:tcPr>
          <w:p>
            <w:pPr>
              <w:jc w:val="center"/>
              <w:ind w:left="460"/>
              <w:spacing w:after="0"/>
              <w:rPr>
                <w:sz w:val="20"/>
                <w:szCs w:val="20"/>
                <w:color w:val="auto"/>
              </w:rPr>
            </w:pPr>
            <w:r>
              <w:rPr>
                <w:rFonts w:ascii="Arial" w:cs="Arial" w:eastAsia="Arial" w:hAnsi="Arial"/>
                <w:sz w:val="12"/>
                <w:szCs w:val="12"/>
                <w:color w:val="auto"/>
                <w:w w:val="83"/>
              </w:rPr>
              <w:t>2.1</w:t>
            </w:r>
          </w:p>
        </w:tc>
        <w:tc>
          <w:tcPr>
            <w:tcW w:w="140" w:type="dxa"/>
            <w:vAlign w:val="bottom"/>
          </w:tcPr>
          <w:p>
            <w:pPr>
              <w:spacing w:after="0"/>
              <w:rPr>
                <w:sz w:val="15"/>
                <w:szCs w:val="15"/>
                <w:color w:val="auto"/>
              </w:rPr>
            </w:pPr>
          </w:p>
        </w:tc>
        <w:tc>
          <w:tcPr>
            <w:tcW w:w="1580" w:type="dxa"/>
            <w:vAlign w:val="bottom"/>
          </w:tcPr>
          <w:p>
            <w:pPr>
              <w:jc w:val="center"/>
              <w:spacing w:after="0"/>
              <w:rPr>
                <w:sz w:val="20"/>
                <w:szCs w:val="20"/>
                <w:color w:val="auto"/>
              </w:rPr>
            </w:pPr>
            <w:r>
              <w:rPr>
                <w:rFonts w:ascii="Arial" w:cs="Arial" w:eastAsia="Arial" w:hAnsi="Arial"/>
                <w:sz w:val="12"/>
                <w:szCs w:val="12"/>
                <w:color w:val="auto"/>
                <w:w w:val="86"/>
              </w:rPr>
              <w:t>June 21, 2018</w:t>
            </w:r>
          </w:p>
        </w:tc>
        <w:tc>
          <w:tcPr>
            <w:tcW w:w="0" w:type="dxa"/>
            <w:vAlign w:val="bottom"/>
          </w:tcPr>
          <w:p>
            <w:pPr>
              <w:spacing w:after="0"/>
              <w:rPr>
                <w:sz w:val="1"/>
                <w:szCs w:val="1"/>
                <w:color w:val="auto"/>
              </w:rPr>
            </w:pPr>
          </w:p>
        </w:tc>
      </w:tr>
      <w:tr>
        <w:trPr>
          <w:trHeight w:val="70"/>
        </w:trPr>
        <w:tc>
          <w:tcPr>
            <w:tcW w:w="28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120" w:type="dxa"/>
            <w:vAlign w:val="bottom"/>
          </w:tcPr>
          <w:p>
            <w:pPr>
              <w:spacing w:after="0"/>
              <w:rPr>
                <w:sz w:val="6"/>
                <w:szCs w:val="6"/>
                <w:color w:val="auto"/>
              </w:rPr>
            </w:pPr>
          </w:p>
        </w:tc>
        <w:tc>
          <w:tcPr>
            <w:tcW w:w="4260" w:type="dxa"/>
            <w:vAlign w:val="bottom"/>
            <w:gridSpan w:val="13"/>
            <w:vMerge w:val="restart"/>
          </w:tcPr>
          <w:p>
            <w:pPr>
              <w:spacing w:after="0" w:line="124" w:lineRule="exact"/>
              <w:rPr>
                <w:rFonts w:ascii="Arial" w:cs="Arial" w:eastAsia="Arial" w:hAnsi="Arial"/>
                <w:sz w:val="12"/>
                <w:szCs w:val="12"/>
                <w:color w:val="0000EE"/>
                <w:w w:val="99"/>
              </w:rPr>
            </w:pPr>
            <w:hyperlink r:id="rId145">
              <w:r>
                <w:rPr>
                  <w:rFonts w:ascii="Arial" w:cs="Arial" w:eastAsia="Arial" w:hAnsi="Arial"/>
                  <w:sz w:val="12"/>
                  <w:szCs w:val="12"/>
                  <w:color w:val="0000EE"/>
                  <w:w w:val="99"/>
                </w:rPr>
                <w:t>AM Merger Sub I, Inc., AM Merger Sub II, LLC, Greenlight Holding II Corporation</w:t>
              </w:r>
            </w:hyperlink>
          </w:p>
        </w:tc>
        <w:tc>
          <w:tcPr>
            <w:tcW w:w="120" w:type="dxa"/>
            <w:vAlign w:val="bottom"/>
            <w:gridSpan w:val="3"/>
            <w:vMerge w:val="restart"/>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940" w:type="dxa"/>
            <w:vAlign w:val="bottom"/>
          </w:tcPr>
          <w:p>
            <w:pPr>
              <w:spacing w:after="0"/>
              <w:rPr>
                <w:sz w:val="6"/>
                <w:szCs w:val="6"/>
                <w:color w:val="auto"/>
              </w:rPr>
            </w:pPr>
          </w:p>
        </w:tc>
        <w:tc>
          <w:tcPr>
            <w:tcW w:w="380" w:type="dxa"/>
            <w:vAlign w:val="bottom"/>
          </w:tcPr>
          <w:p>
            <w:pPr>
              <w:spacing w:after="0"/>
              <w:rPr>
                <w:sz w:val="6"/>
                <w:szCs w:val="6"/>
                <w:color w:val="auto"/>
              </w:rPr>
            </w:pPr>
          </w:p>
        </w:tc>
        <w:tc>
          <w:tcPr>
            <w:tcW w:w="1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5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9"/>
        </w:trPr>
        <w:tc>
          <w:tcPr>
            <w:tcW w:w="280" w:type="dxa"/>
            <w:vAlign w:val="bottom"/>
          </w:tcPr>
          <w:p>
            <w:pPr>
              <w:spacing w:after="0"/>
              <w:rPr>
                <w:sz w:val="4"/>
                <w:szCs w:val="4"/>
                <w:color w:val="auto"/>
              </w:rPr>
            </w:pPr>
          </w:p>
        </w:tc>
        <w:tc>
          <w:tcPr>
            <w:tcW w:w="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60" w:type="dxa"/>
            <w:vAlign w:val="bottom"/>
            <w:tcBorders>
              <w:bottom w:val="single" w:sz="8" w:color="0000EE"/>
            </w:tcBorders>
            <w:gridSpan w:val="13"/>
            <w:vMerge w:val="continue"/>
          </w:tcPr>
          <w:p>
            <w:pPr>
              <w:spacing w:after="0"/>
              <w:rPr>
                <w:sz w:val="4"/>
                <w:szCs w:val="4"/>
                <w:color w:val="auto"/>
              </w:rPr>
            </w:pPr>
          </w:p>
        </w:tc>
        <w:tc>
          <w:tcPr>
            <w:tcW w:w="120" w:type="dxa"/>
            <w:vAlign w:val="bottom"/>
            <w:gridSpan w:val="3"/>
            <w:vMerge w:val="continue"/>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40" w:type="dxa"/>
            <w:vAlign w:val="bottom"/>
          </w:tcPr>
          <w:p>
            <w:pPr>
              <w:spacing w:after="0"/>
              <w:rPr>
                <w:sz w:val="4"/>
                <w:szCs w:val="4"/>
                <w:color w:val="auto"/>
              </w:rPr>
            </w:pPr>
          </w:p>
        </w:tc>
        <w:tc>
          <w:tcPr>
            <w:tcW w:w="380" w:type="dxa"/>
            <w:vAlign w:val="bottom"/>
          </w:tcPr>
          <w:p>
            <w:pPr>
              <w:spacing w:after="0"/>
              <w:rPr>
                <w:sz w:val="4"/>
                <w:szCs w:val="4"/>
                <w:color w:val="auto"/>
              </w:rPr>
            </w:pPr>
          </w:p>
        </w:tc>
        <w:tc>
          <w:tcPr>
            <w:tcW w:w="140" w:type="dxa"/>
            <w:vAlign w:val="bottom"/>
          </w:tcPr>
          <w:p>
            <w:pPr>
              <w:spacing w:after="0"/>
              <w:rPr>
                <w:sz w:val="4"/>
                <w:szCs w:val="4"/>
                <w:color w:val="auto"/>
              </w:rPr>
            </w:pPr>
          </w:p>
        </w:tc>
        <w:tc>
          <w:tcPr>
            <w:tcW w:w="9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5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4"/>
        </w:trPr>
        <w:tc>
          <w:tcPr>
            <w:tcW w:w="2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380" w:type="dxa"/>
            <w:vAlign w:val="bottom"/>
            <w:gridSpan w:val="16"/>
          </w:tcPr>
          <w:p>
            <w:pPr>
              <w:spacing w:after="0" w:line="124" w:lineRule="exact"/>
              <w:rPr>
                <w:rFonts w:ascii="Arial" w:cs="Arial" w:eastAsia="Arial" w:hAnsi="Arial"/>
                <w:sz w:val="12"/>
                <w:szCs w:val="12"/>
                <w:color w:val="0000EE"/>
                <w:w w:val="97"/>
              </w:rPr>
            </w:pPr>
            <w:hyperlink r:id="rId145">
              <w:r>
                <w:rPr>
                  <w:rFonts w:ascii="Arial" w:cs="Arial" w:eastAsia="Arial" w:hAnsi="Arial"/>
                  <w:sz w:val="12"/>
                  <w:szCs w:val="12"/>
                  <w:color w:val="0000EE"/>
                  <w:w w:val="97"/>
                </w:rPr>
                <w:t>and PE Greenlight Holdings, LLC, in its capacity as the Stockholder Representative</w:t>
              </w:r>
              <w:r>
                <w:rPr>
                  <w:rFonts w:ascii="Arial" w:cs="Arial" w:eastAsia="Arial" w:hAnsi="Arial"/>
                  <w:sz w:val="12"/>
                  <w:szCs w:val="12"/>
                  <w:color w:val="000000"/>
                  <w:w w:val="97"/>
                </w:rPr>
                <w:t>.</w:t>
              </w:r>
            </w:hyperlink>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2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80" w:type="dxa"/>
            <w:vAlign w:val="bottom"/>
          </w:tcPr>
          <w:p>
            <w:pPr>
              <w:jc w:val="right"/>
              <w:spacing w:after="0"/>
              <w:rPr>
                <w:sz w:val="20"/>
                <w:szCs w:val="20"/>
                <w:color w:val="auto"/>
              </w:rPr>
            </w:pPr>
            <w:r>
              <w:rPr>
                <w:rFonts w:ascii="Arial" w:cs="Arial" w:eastAsia="Arial" w:hAnsi="Arial"/>
                <w:sz w:val="12"/>
                <w:szCs w:val="12"/>
                <w:color w:val="auto"/>
              </w:rPr>
              <w:t>2.2</w:t>
            </w: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20" w:type="dxa"/>
            <w:vAlign w:val="bottom"/>
            <w:tcBorders>
              <w:bottom w:val="single" w:sz="8" w:color="0000EE"/>
            </w:tcBorders>
            <w:gridSpan w:val="11"/>
          </w:tcPr>
          <w:p>
            <w:pPr>
              <w:spacing w:after="0"/>
              <w:rPr>
                <w:rFonts w:ascii="Arial" w:cs="Arial" w:eastAsia="Arial" w:hAnsi="Arial"/>
                <w:sz w:val="12"/>
                <w:szCs w:val="12"/>
                <w:color w:val="0000EE"/>
                <w:w w:val="92"/>
              </w:rPr>
            </w:pPr>
            <w:hyperlink r:id="rId146">
              <w:r>
                <w:rPr>
                  <w:rFonts w:ascii="Arial" w:cs="Arial" w:eastAsia="Arial" w:hAnsi="Arial"/>
                  <w:sz w:val="12"/>
                  <w:szCs w:val="12"/>
                  <w:color w:val="0000EE"/>
                  <w:w w:val="92"/>
                </w:rPr>
                <w:t>Amendment No. 1 to Agreement and Plan of Merger, dated as of August 23, 2018, by</w:t>
              </w:r>
            </w:hyperlink>
          </w:p>
        </w:tc>
        <w:tc>
          <w:tcPr>
            <w:tcW w:w="160" w:type="dxa"/>
            <w:vAlign w:val="bottom"/>
            <w:gridSpan w:val="5"/>
          </w:tcPr>
          <w:p>
            <w:pPr>
              <w:spacing w:after="0"/>
              <w:rPr>
                <w:sz w:val="16"/>
                <w:szCs w:val="16"/>
                <w:color w:val="auto"/>
              </w:rPr>
            </w:pPr>
          </w:p>
        </w:tc>
        <w:tc>
          <w:tcPr>
            <w:tcW w:w="760" w:type="dxa"/>
            <w:vAlign w:val="bottom"/>
            <w:gridSpan w:val="2"/>
          </w:tcPr>
          <w:p>
            <w:pPr>
              <w:jc w:val="center"/>
              <w:ind w:right="140"/>
              <w:spacing w:after="0"/>
              <w:rPr>
                <w:sz w:val="20"/>
                <w:szCs w:val="20"/>
                <w:color w:val="auto"/>
              </w:rPr>
            </w:pPr>
            <w:r>
              <w:rPr>
                <w:rFonts w:ascii="Arial" w:cs="Arial" w:eastAsia="Arial" w:hAnsi="Arial"/>
                <w:sz w:val="12"/>
                <w:szCs w:val="12"/>
                <w:color w:val="auto"/>
                <w:w w:val="96"/>
              </w:rPr>
              <w:t>8-K</w:t>
            </w:r>
          </w:p>
        </w:tc>
        <w:tc>
          <w:tcPr>
            <w:tcW w:w="940" w:type="dxa"/>
            <w:vAlign w:val="bottom"/>
          </w:tcPr>
          <w:p>
            <w:pPr>
              <w:jc w:val="center"/>
              <w:ind w:left="320"/>
              <w:spacing w:after="0"/>
              <w:rPr>
                <w:sz w:val="20"/>
                <w:szCs w:val="20"/>
                <w:color w:val="auto"/>
              </w:rPr>
            </w:pPr>
            <w:r>
              <w:rPr>
                <w:rFonts w:ascii="Arial" w:cs="Arial" w:eastAsia="Arial" w:hAnsi="Arial"/>
                <w:sz w:val="12"/>
                <w:szCs w:val="12"/>
                <w:color w:val="auto"/>
                <w:w w:val="90"/>
              </w:rPr>
              <w:t>001-37979</w:t>
            </w:r>
          </w:p>
        </w:tc>
        <w:tc>
          <w:tcPr>
            <w:tcW w:w="1420" w:type="dxa"/>
            <w:vAlign w:val="bottom"/>
            <w:gridSpan w:val="3"/>
          </w:tcPr>
          <w:p>
            <w:pPr>
              <w:jc w:val="center"/>
              <w:ind w:left="460"/>
              <w:spacing w:after="0"/>
              <w:rPr>
                <w:sz w:val="20"/>
                <w:szCs w:val="20"/>
                <w:color w:val="auto"/>
              </w:rPr>
            </w:pPr>
            <w:r>
              <w:rPr>
                <w:rFonts w:ascii="Arial" w:cs="Arial" w:eastAsia="Arial" w:hAnsi="Arial"/>
                <w:sz w:val="12"/>
                <w:szCs w:val="12"/>
                <w:color w:val="auto"/>
                <w:w w:val="83"/>
              </w:rPr>
              <w:t>2.2</w:t>
            </w:r>
          </w:p>
        </w:tc>
        <w:tc>
          <w:tcPr>
            <w:tcW w:w="140" w:type="dxa"/>
            <w:vAlign w:val="bottom"/>
          </w:tcPr>
          <w:p>
            <w:pPr>
              <w:spacing w:after="0"/>
              <w:rPr>
                <w:sz w:val="16"/>
                <w:szCs w:val="16"/>
                <w:color w:val="auto"/>
              </w:rPr>
            </w:pPr>
          </w:p>
        </w:tc>
        <w:tc>
          <w:tcPr>
            <w:tcW w:w="1580" w:type="dxa"/>
            <w:vAlign w:val="bottom"/>
          </w:tcPr>
          <w:p>
            <w:pPr>
              <w:jc w:val="center"/>
              <w:spacing w:after="0"/>
              <w:rPr>
                <w:sz w:val="20"/>
                <w:szCs w:val="20"/>
                <w:color w:val="auto"/>
              </w:rPr>
            </w:pPr>
            <w:r>
              <w:rPr>
                <w:rFonts w:ascii="Arial" w:cs="Arial" w:eastAsia="Arial" w:hAnsi="Arial"/>
                <w:sz w:val="12"/>
                <w:szCs w:val="12"/>
                <w:color w:val="auto"/>
                <w:w w:val="90"/>
              </w:rPr>
              <w:t>Aug. 24, 2018</w:t>
            </w:r>
          </w:p>
        </w:tc>
        <w:tc>
          <w:tcPr>
            <w:tcW w:w="0" w:type="dxa"/>
            <w:vAlign w:val="bottom"/>
          </w:tcPr>
          <w:p>
            <w:pPr>
              <w:spacing w:after="0"/>
              <w:rPr>
                <w:sz w:val="1"/>
                <w:szCs w:val="1"/>
                <w:color w:val="auto"/>
              </w:rPr>
            </w:pPr>
          </w:p>
        </w:tc>
      </w:tr>
      <w:tr>
        <w:trPr>
          <w:trHeight w:val="124"/>
        </w:trPr>
        <w:tc>
          <w:tcPr>
            <w:tcW w:w="2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40" w:type="dxa"/>
            <w:vAlign w:val="bottom"/>
            <w:tcBorders>
              <w:bottom w:val="single" w:sz="8" w:color="0000EE"/>
            </w:tcBorders>
            <w:gridSpan w:val="12"/>
          </w:tcPr>
          <w:p>
            <w:pPr>
              <w:spacing w:after="0" w:line="124" w:lineRule="exact"/>
              <w:rPr>
                <w:rFonts w:ascii="Arial" w:cs="Arial" w:eastAsia="Arial" w:hAnsi="Arial"/>
                <w:sz w:val="12"/>
                <w:szCs w:val="12"/>
                <w:color w:val="0000EE"/>
                <w:w w:val="96"/>
              </w:rPr>
            </w:pPr>
            <w:hyperlink r:id="rId146">
              <w:r>
                <w:rPr>
                  <w:rFonts w:ascii="Arial" w:cs="Arial" w:eastAsia="Arial" w:hAnsi="Arial"/>
                  <w:sz w:val="12"/>
                  <w:szCs w:val="12"/>
                  <w:color w:val="0000EE"/>
                  <w:w w:val="96"/>
                </w:rPr>
                <w:t>and among Gores Holdings II, Inc., AM Merger Sub I, Inc., AM Merger Sub II, LLC,</w:t>
              </w:r>
            </w:hyperlink>
          </w:p>
        </w:tc>
        <w:tc>
          <w:tcPr>
            <w:tcW w:w="140" w:type="dxa"/>
            <w:vAlign w:val="bottom"/>
            <w:gridSpan w:val="4"/>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80" w:type="dxa"/>
            <w:vAlign w:val="bottom"/>
            <w:tcBorders>
              <w:bottom w:val="single" w:sz="8" w:color="0000EE"/>
            </w:tcBorders>
            <w:gridSpan w:val="14"/>
          </w:tcPr>
          <w:p>
            <w:pPr>
              <w:spacing w:after="0" w:line="124" w:lineRule="exact"/>
              <w:rPr>
                <w:rFonts w:ascii="Arial" w:cs="Arial" w:eastAsia="Arial" w:hAnsi="Arial"/>
                <w:sz w:val="12"/>
                <w:szCs w:val="12"/>
                <w:color w:val="0000EE"/>
                <w:w w:val="94"/>
              </w:rPr>
            </w:pPr>
            <w:hyperlink r:id="rId146">
              <w:r>
                <w:rPr>
                  <w:rFonts w:ascii="Arial" w:cs="Arial" w:eastAsia="Arial" w:hAnsi="Arial"/>
                  <w:sz w:val="12"/>
                  <w:szCs w:val="12"/>
                  <w:color w:val="0000EE"/>
                  <w:w w:val="94"/>
                </w:rPr>
                <w:t>Greenlight Holding II Corporation and PE Greenlight Holdings, LLC, in its capacity as</w:t>
              </w:r>
            </w:hyperlink>
          </w:p>
        </w:tc>
        <w:tc>
          <w:tcPr>
            <w:tcW w:w="100" w:type="dxa"/>
            <w:vAlign w:val="bottom"/>
            <w:gridSpan w:val="2"/>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380" w:type="dxa"/>
            <w:vAlign w:val="bottom"/>
            <w:gridSpan w:val="16"/>
          </w:tcPr>
          <w:p>
            <w:pPr>
              <w:spacing w:after="0" w:line="124" w:lineRule="exact"/>
              <w:rPr>
                <w:rFonts w:ascii="Arial" w:cs="Arial" w:eastAsia="Arial" w:hAnsi="Arial"/>
                <w:sz w:val="12"/>
                <w:szCs w:val="12"/>
                <w:color w:val="0000EE"/>
              </w:rPr>
            </w:pPr>
            <w:hyperlink r:id="rId146">
              <w:r>
                <w:rPr>
                  <w:rFonts w:ascii="Arial" w:cs="Arial" w:eastAsia="Arial" w:hAnsi="Arial"/>
                  <w:sz w:val="12"/>
                  <w:szCs w:val="12"/>
                  <w:color w:val="0000EE"/>
                </w:rPr>
                <w:t>the Stockholder Representative</w:t>
              </w:r>
              <w:r>
                <w:rPr>
                  <w:rFonts w:ascii="Arial" w:cs="Arial" w:eastAsia="Arial" w:hAnsi="Arial"/>
                  <w:sz w:val="12"/>
                  <w:szCs w:val="12"/>
                  <w:color w:val="000000"/>
                </w:rPr>
                <w:t>.</w:t>
              </w:r>
            </w:hyperlink>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20" w:type="dxa"/>
            <w:vAlign w:val="bottom"/>
            <w:tcBorders>
              <w:left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80" w:type="dxa"/>
            <w:vAlign w:val="bottom"/>
          </w:tcPr>
          <w:p>
            <w:pPr>
              <w:jc w:val="right"/>
              <w:spacing w:after="0"/>
              <w:rPr>
                <w:sz w:val="20"/>
                <w:szCs w:val="20"/>
                <w:color w:val="auto"/>
              </w:rPr>
            </w:pPr>
            <w:r>
              <w:rPr>
                <w:rFonts w:ascii="Arial" w:cs="Arial" w:eastAsia="Arial" w:hAnsi="Arial"/>
                <w:sz w:val="12"/>
                <w:szCs w:val="12"/>
                <w:color w:val="auto"/>
              </w:rPr>
              <w:t>3.1</w:t>
            </w: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40" w:type="dxa"/>
            <w:vAlign w:val="bottom"/>
            <w:tcBorders>
              <w:bottom w:val="single" w:sz="8" w:color="0000EE"/>
            </w:tcBorders>
            <w:gridSpan w:val="12"/>
          </w:tcPr>
          <w:p>
            <w:pPr>
              <w:spacing w:after="0"/>
              <w:rPr>
                <w:rFonts w:ascii="Arial" w:cs="Arial" w:eastAsia="Arial" w:hAnsi="Arial"/>
                <w:sz w:val="12"/>
                <w:szCs w:val="12"/>
                <w:color w:val="0000EE"/>
                <w:w w:val="97"/>
              </w:rPr>
            </w:pPr>
            <w:hyperlink r:id="rId147">
              <w:r>
                <w:rPr>
                  <w:rFonts w:ascii="Arial" w:cs="Arial" w:eastAsia="Arial" w:hAnsi="Arial"/>
                  <w:sz w:val="12"/>
                  <w:szCs w:val="12"/>
                  <w:color w:val="0000EE"/>
                  <w:w w:val="97"/>
                </w:rPr>
                <w:t>Second  Amended  and  Restated  Certificate  of  Incorporation  of  Verra  Mobility</w:t>
              </w:r>
            </w:hyperlink>
          </w:p>
        </w:tc>
        <w:tc>
          <w:tcPr>
            <w:tcW w:w="140" w:type="dxa"/>
            <w:vAlign w:val="bottom"/>
            <w:gridSpan w:val="4"/>
          </w:tcPr>
          <w:p>
            <w:pPr>
              <w:spacing w:after="0"/>
              <w:rPr>
                <w:sz w:val="16"/>
                <w:szCs w:val="16"/>
                <w:color w:val="auto"/>
              </w:rPr>
            </w:pPr>
          </w:p>
        </w:tc>
        <w:tc>
          <w:tcPr>
            <w:tcW w:w="760" w:type="dxa"/>
            <w:vAlign w:val="bottom"/>
            <w:gridSpan w:val="2"/>
          </w:tcPr>
          <w:p>
            <w:pPr>
              <w:jc w:val="center"/>
              <w:ind w:right="140"/>
              <w:spacing w:after="0"/>
              <w:rPr>
                <w:sz w:val="20"/>
                <w:szCs w:val="20"/>
                <w:color w:val="auto"/>
              </w:rPr>
            </w:pPr>
            <w:r>
              <w:rPr>
                <w:rFonts w:ascii="Arial" w:cs="Arial" w:eastAsia="Arial" w:hAnsi="Arial"/>
                <w:sz w:val="12"/>
                <w:szCs w:val="12"/>
                <w:color w:val="auto"/>
                <w:w w:val="96"/>
              </w:rPr>
              <w:t>8-K</w:t>
            </w:r>
          </w:p>
        </w:tc>
        <w:tc>
          <w:tcPr>
            <w:tcW w:w="940" w:type="dxa"/>
            <w:vAlign w:val="bottom"/>
          </w:tcPr>
          <w:p>
            <w:pPr>
              <w:jc w:val="center"/>
              <w:ind w:left="320"/>
              <w:spacing w:after="0"/>
              <w:rPr>
                <w:sz w:val="20"/>
                <w:szCs w:val="20"/>
                <w:color w:val="auto"/>
              </w:rPr>
            </w:pPr>
            <w:r>
              <w:rPr>
                <w:rFonts w:ascii="Arial" w:cs="Arial" w:eastAsia="Arial" w:hAnsi="Arial"/>
                <w:sz w:val="12"/>
                <w:szCs w:val="12"/>
                <w:color w:val="auto"/>
                <w:w w:val="90"/>
              </w:rPr>
              <w:t>001-37979</w:t>
            </w:r>
          </w:p>
        </w:tc>
        <w:tc>
          <w:tcPr>
            <w:tcW w:w="1420" w:type="dxa"/>
            <w:vAlign w:val="bottom"/>
            <w:gridSpan w:val="3"/>
          </w:tcPr>
          <w:p>
            <w:pPr>
              <w:jc w:val="center"/>
              <w:ind w:left="460"/>
              <w:spacing w:after="0"/>
              <w:rPr>
                <w:sz w:val="20"/>
                <w:szCs w:val="20"/>
                <w:color w:val="auto"/>
              </w:rPr>
            </w:pPr>
            <w:r>
              <w:rPr>
                <w:rFonts w:ascii="Arial" w:cs="Arial" w:eastAsia="Arial" w:hAnsi="Arial"/>
                <w:sz w:val="12"/>
                <w:szCs w:val="12"/>
                <w:color w:val="auto"/>
                <w:w w:val="83"/>
              </w:rPr>
              <w:t>3.1</w:t>
            </w:r>
          </w:p>
        </w:tc>
        <w:tc>
          <w:tcPr>
            <w:tcW w:w="140" w:type="dxa"/>
            <w:vAlign w:val="bottom"/>
          </w:tcPr>
          <w:p>
            <w:pPr>
              <w:spacing w:after="0"/>
              <w:rPr>
                <w:sz w:val="16"/>
                <w:szCs w:val="16"/>
                <w:color w:val="auto"/>
              </w:rPr>
            </w:pPr>
          </w:p>
        </w:tc>
        <w:tc>
          <w:tcPr>
            <w:tcW w:w="1580" w:type="dxa"/>
            <w:vAlign w:val="bottom"/>
          </w:tcPr>
          <w:p>
            <w:pPr>
              <w:jc w:val="center"/>
              <w:spacing w:after="0"/>
              <w:rPr>
                <w:sz w:val="20"/>
                <w:szCs w:val="20"/>
                <w:color w:val="auto"/>
              </w:rPr>
            </w:pPr>
            <w:r>
              <w:rPr>
                <w:rFonts w:ascii="Arial" w:cs="Arial" w:eastAsia="Arial" w:hAnsi="Arial"/>
                <w:sz w:val="12"/>
                <w:szCs w:val="12"/>
                <w:color w:val="auto"/>
                <w:w w:val="91"/>
              </w:rPr>
              <w:t>Oct. 22, 2018</w:t>
            </w:r>
          </w:p>
        </w:tc>
        <w:tc>
          <w:tcPr>
            <w:tcW w:w="0" w:type="dxa"/>
            <w:vAlign w:val="bottom"/>
          </w:tcPr>
          <w:p>
            <w:pPr>
              <w:spacing w:after="0"/>
              <w:rPr>
                <w:sz w:val="1"/>
                <w:szCs w:val="1"/>
                <w:color w:val="auto"/>
              </w:rPr>
            </w:pPr>
          </w:p>
        </w:tc>
      </w:tr>
      <w:tr>
        <w:trPr>
          <w:trHeight w:val="124"/>
        </w:trPr>
        <w:tc>
          <w:tcPr>
            <w:tcW w:w="2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380" w:type="dxa"/>
            <w:vAlign w:val="bottom"/>
            <w:gridSpan w:val="16"/>
          </w:tcPr>
          <w:p>
            <w:pPr>
              <w:spacing w:after="0" w:line="124" w:lineRule="exact"/>
              <w:rPr>
                <w:rFonts w:ascii="Arial" w:cs="Arial" w:eastAsia="Arial" w:hAnsi="Arial"/>
                <w:sz w:val="12"/>
                <w:szCs w:val="12"/>
                <w:color w:val="0000EE"/>
              </w:rPr>
            </w:pPr>
            <w:hyperlink r:id="rId147">
              <w:r>
                <w:rPr>
                  <w:rFonts w:ascii="Arial" w:cs="Arial" w:eastAsia="Arial" w:hAnsi="Arial"/>
                  <w:sz w:val="12"/>
                  <w:szCs w:val="12"/>
                  <w:color w:val="0000EE"/>
                </w:rPr>
                <w:t>Corporation</w:t>
              </w:r>
              <w:r>
                <w:rPr>
                  <w:rFonts w:ascii="Arial" w:cs="Arial" w:eastAsia="Arial" w:hAnsi="Arial"/>
                  <w:sz w:val="12"/>
                  <w:szCs w:val="12"/>
                  <w:color w:val="000000"/>
                </w:rPr>
                <w:t>.</w:t>
              </w:r>
            </w:hyperlink>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80" w:type="dxa"/>
            <w:vAlign w:val="bottom"/>
          </w:tcPr>
          <w:p>
            <w:pPr>
              <w:jc w:val="right"/>
              <w:spacing w:after="0"/>
              <w:rPr>
                <w:sz w:val="20"/>
                <w:szCs w:val="20"/>
                <w:color w:val="auto"/>
              </w:rPr>
            </w:pPr>
            <w:r>
              <w:rPr>
                <w:rFonts w:ascii="Arial" w:cs="Arial" w:eastAsia="Arial" w:hAnsi="Arial"/>
                <w:sz w:val="12"/>
                <w:szCs w:val="12"/>
                <w:color w:val="auto"/>
              </w:rPr>
              <w:t>3.2</w:t>
            </w: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380" w:type="dxa"/>
            <w:vAlign w:val="bottom"/>
            <w:gridSpan w:val="16"/>
          </w:tcPr>
          <w:p>
            <w:pPr>
              <w:spacing w:after="0"/>
              <w:rPr>
                <w:rFonts w:ascii="Arial" w:cs="Arial" w:eastAsia="Arial" w:hAnsi="Arial"/>
                <w:sz w:val="12"/>
                <w:szCs w:val="12"/>
                <w:color w:val="0000EE"/>
              </w:rPr>
            </w:pPr>
            <w:hyperlink r:id="rId148">
              <w:r>
                <w:rPr>
                  <w:rFonts w:ascii="Arial" w:cs="Arial" w:eastAsia="Arial" w:hAnsi="Arial"/>
                  <w:sz w:val="12"/>
                  <w:szCs w:val="12"/>
                  <w:color w:val="0000EE"/>
                </w:rPr>
                <w:t>Amended and Restated Bylaws of Verra Mobility Corporation</w:t>
              </w:r>
            </w:hyperlink>
            <w:r>
              <w:rPr>
                <w:rFonts w:ascii="Arial" w:cs="Arial" w:eastAsia="Arial" w:hAnsi="Arial"/>
                <w:sz w:val="12"/>
                <w:szCs w:val="12"/>
                <w:color w:val="000000"/>
              </w:rPr>
              <w:t>.</w:t>
            </w:r>
          </w:p>
        </w:tc>
        <w:tc>
          <w:tcPr>
            <w:tcW w:w="760" w:type="dxa"/>
            <w:vAlign w:val="bottom"/>
            <w:gridSpan w:val="2"/>
          </w:tcPr>
          <w:p>
            <w:pPr>
              <w:jc w:val="center"/>
              <w:ind w:right="140"/>
              <w:spacing w:after="0"/>
              <w:rPr>
                <w:sz w:val="20"/>
                <w:szCs w:val="20"/>
                <w:color w:val="auto"/>
              </w:rPr>
            </w:pPr>
            <w:r>
              <w:rPr>
                <w:rFonts w:ascii="Arial" w:cs="Arial" w:eastAsia="Arial" w:hAnsi="Arial"/>
                <w:sz w:val="12"/>
                <w:szCs w:val="12"/>
                <w:color w:val="auto"/>
                <w:w w:val="96"/>
              </w:rPr>
              <w:t>8-K</w:t>
            </w:r>
          </w:p>
        </w:tc>
        <w:tc>
          <w:tcPr>
            <w:tcW w:w="940" w:type="dxa"/>
            <w:vAlign w:val="bottom"/>
          </w:tcPr>
          <w:p>
            <w:pPr>
              <w:jc w:val="center"/>
              <w:ind w:left="320"/>
              <w:spacing w:after="0"/>
              <w:rPr>
                <w:sz w:val="20"/>
                <w:szCs w:val="20"/>
                <w:color w:val="auto"/>
              </w:rPr>
            </w:pPr>
            <w:r>
              <w:rPr>
                <w:rFonts w:ascii="Arial" w:cs="Arial" w:eastAsia="Arial" w:hAnsi="Arial"/>
                <w:sz w:val="12"/>
                <w:szCs w:val="12"/>
                <w:color w:val="auto"/>
                <w:w w:val="90"/>
              </w:rPr>
              <w:t>001-37979</w:t>
            </w:r>
          </w:p>
        </w:tc>
        <w:tc>
          <w:tcPr>
            <w:tcW w:w="1420" w:type="dxa"/>
            <w:vAlign w:val="bottom"/>
            <w:gridSpan w:val="3"/>
          </w:tcPr>
          <w:p>
            <w:pPr>
              <w:jc w:val="center"/>
              <w:ind w:left="460"/>
              <w:spacing w:after="0"/>
              <w:rPr>
                <w:sz w:val="20"/>
                <w:szCs w:val="20"/>
                <w:color w:val="auto"/>
              </w:rPr>
            </w:pPr>
            <w:r>
              <w:rPr>
                <w:rFonts w:ascii="Arial" w:cs="Arial" w:eastAsia="Arial" w:hAnsi="Arial"/>
                <w:sz w:val="12"/>
                <w:szCs w:val="12"/>
                <w:color w:val="auto"/>
                <w:w w:val="83"/>
              </w:rPr>
              <w:t>3.2</w:t>
            </w:r>
          </w:p>
        </w:tc>
        <w:tc>
          <w:tcPr>
            <w:tcW w:w="140" w:type="dxa"/>
            <w:vAlign w:val="bottom"/>
          </w:tcPr>
          <w:p>
            <w:pPr>
              <w:spacing w:after="0"/>
              <w:rPr>
                <w:sz w:val="16"/>
                <w:szCs w:val="16"/>
                <w:color w:val="auto"/>
              </w:rPr>
            </w:pPr>
          </w:p>
        </w:tc>
        <w:tc>
          <w:tcPr>
            <w:tcW w:w="1580" w:type="dxa"/>
            <w:vAlign w:val="bottom"/>
          </w:tcPr>
          <w:p>
            <w:pPr>
              <w:jc w:val="center"/>
              <w:spacing w:after="0"/>
              <w:rPr>
                <w:sz w:val="20"/>
                <w:szCs w:val="20"/>
                <w:color w:val="auto"/>
              </w:rPr>
            </w:pPr>
            <w:r>
              <w:rPr>
                <w:rFonts w:ascii="Arial" w:cs="Arial" w:eastAsia="Arial" w:hAnsi="Arial"/>
                <w:sz w:val="12"/>
                <w:szCs w:val="12"/>
                <w:color w:val="auto"/>
                <w:w w:val="91"/>
              </w:rPr>
              <w:t>Oct. 22, 2018</w:t>
            </w:r>
          </w:p>
        </w:tc>
        <w:tc>
          <w:tcPr>
            <w:tcW w:w="0" w:type="dxa"/>
            <w:vAlign w:val="bottom"/>
          </w:tcPr>
          <w:p>
            <w:pPr>
              <w:spacing w:after="0"/>
              <w:rPr>
                <w:sz w:val="1"/>
                <w:szCs w:val="1"/>
                <w:color w:val="auto"/>
              </w:rPr>
            </w:pPr>
          </w:p>
        </w:tc>
      </w:tr>
      <w:tr>
        <w:trPr>
          <w:trHeight w:val="187"/>
        </w:trPr>
        <w:tc>
          <w:tcPr>
            <w:tcW w:w="280" w:type="dxa"/>
            <w:vAlign w:val="bottom"/>
          </w:tcPr>
          <w:p>
            <w:pPr>
              <w:jc w:val="right"/>
              <w:spacing w:after="0"/>
              <w:rPr>
                <w:sz w:val="20"/>
                <w:szCs w:val="20"/>
                <w:color w:val="auto"/>
              </w:rPr>
            </w:pPr>
            <w:r>
              <w:rPr>
                <w:rFonts w:ascii="Arial" w:cs="Arial" w:eastAsia="Arial" w:hAnsi="Arial"/>
                <w:sz w:val="12"/>
                <w:szCs w:val="12"/>
                <w:color w:val="auto"/>
              </w:rPr>
              <w:t>4.1</w:t>
            </w: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80" w:type="dxa"/>
            <w:vAlign w:val="bottom"/>
            <w:tcBorders>
              <w:top w:val="single" w:sz="8" w:color="0000EE"/>
            </w:tcBorders>
            <w:gridSpan w:val="8"/>
          </w:tcPr>
          <w:p>
            <w:pPr>
              <w:spacing w:after="0"/>
              <w:rPr>
                <w:rFonts w:ascii="Arial" w:cs="Arial" w:eastAsia="Arial" w:hAnsi="Arial"/>
                <w:sz w:val="12"/>
                <w:szCs w:val="12"/>
                <w:color w:val="0000EE"/>
              </w:rPr>
            </w:pPr>
            <w:hyperlink r:id="rId149">
              <w:r>
                <w:rPr>
                  <w:rFonts w:ascii="Arial" w:cs="Arial" w:eastAsia="Arial" w:hAnsi="Arial"/>
                  <w:sz w:val="12"/>
                  <w:szCs w:val="12"/>
                  <w:color w:val="0000EE"/>
                </w:rPr>
                <w:t>Specimen Class A Common Stock Certificate</w:t>
              </w:r>
            </w:hyperlink>
            <w:r>
              <w:rPr>
                <w:rFonts w:ascii="Arial" w:cs="Arial" w:eastAsia="Arial" w:hAnsi="Arial"/>
                <w:sz w:val="12"/>
                <w:szCs w:val="12"/>
                <w:color w:val="000000"/>
              </w:rPr>
              <w:t>.</w:t>
            </w:r>
          </w:p>
        </w:tc>
        <w:tc>
          <w:tcPr>
            <w:tcW w:w="1400" w:type="dxa"/>
            <w:vAlign w:val="bottom"/>
            <w:gridSpan w:val="8"/>
          </w:tcPr>
          <w:p>
            <w:pPr>
              <w:spacing w:after="0"/>
              <w:rPr>
                <w:sz w:val="16"/>
                <w:szCs w:val="16"/>
                <w:color w:val="auto"/>
              </w:rPr>
            </w:pPr>
          </w:p>
        </w:tc>
        <w:tc>
          <w:tcPr>
            <w:tcW w:w="760" w:type="dxa"/>
            <w:vAlign w:val="bottom"/>
            <w:gridSpan w:val="2"/>
          </w:tcPr>
          <w:p>
            <w:pPr>
              <w:jc w:val="center"/>
              <w:ind w:right="160"/>
              <w:spacing w:after="0"/>
              <w:rPr>
                <w:sz w:val="20"/>
                <w:szCs w:val="20"/>
                <w:color w:val="auto"/>
              </w:rPr>
            </w:pPr>
            <w:r>
              <w:rPr>
                <w:rFonts w:ascii="Arial" w:cs="Arial" w:eastAsia="Arial" w:hAnsi="Arial"/>
                <w:sz w:val="12"/>
                <w:szCs w:val="12"/>
                <w:color w:val="auto"/>
                <w:w w:val="85"/>
              </w:rPr>
              <w:t>S-1</w:t>
            </w:r>
          </w:p>
        </w:tc>
        <w:tc>
          <w:tcPr>
            <w:tcW w:w="940" w:type="dxa"/>
            <w:vAlign w:val="bottom"/>
          </w:tcPr>
          <w:p>
            <w:pPr>
              <w:jc w:val="center"/>
              <w:ind w:left="320"/>
              <w:spacing w:after="0"/>
              <w:rPr>
                <w:sz w:val="20"/>
                <w:szCs w:val="20"/>
                <w:color w:val="auto"/>
              </w:rPr>
            </w:pPr>
            <w:r>
              <w:rPr>
                <w:rFonts w:ascii="Arial" w:cs="Arial" w:eastAsia="Arial" w:hAnsi="Arial"/>
                <w:sz w:val="12"/>
                <w:szCs w:val="12"/>
                <w:color w:val="auto"/>
                <w:w w:val="90"/>
              </w:rPr>
              <w:t>333-21503</w:t>
            </w:r>
          </w:p>
        </w:tc>
        <w:tc>
          <w:tcPr>
            <w:tcW w:w="1420" w:type="dxa"/>
            <w:vAlign w:val="bottom"/>
            <w:gridSpan w:val="3"/>
          </w:tcPr>
          <w:p>
            <w:pPr>
              <w:jc w:val="center"/>
              <w:ind w:left="460"/>
              <w:spacing w:after="0"/>
              <w:rPr>
                <w:sz w:val="20"/>
                <w:szCs w:val="20"/>
                <w:color w:val="auto"/>
              </w:rPr>
            </w:pPr>
            <w:r>
              <w:rPr>
                <w:rFonts w:ascii="Arial" w:cs="Arial" w:eastAsia="Arial" w:hAnsi="Arial"/>
                <w:sz w:val="12"/>
                <w:szCs w:val="12"/>
                <w:color w:val="auto"/>
                <w:w w:val="83"/>
              </w:rPr>
              <w:t>4.2</w:t>
            </w:r>
          </w:p>
        </w:tc>
        <w:tc>
          <w:tcPr>
            <w:tcW w:w="140" w:type="dxa"/>
            <w:vAlign w:val="bottom"/>
          </w:tcPr>
          <w:p>
            <w:pPr>
              <w:spacing w:after="0"/>
              <w:rPr>
                <w:sz w:val="16"/>
                <w:szCs w:val="16"/>
                <w:color w:val="auto"/>
              </w:rPr>
            </w:pPr>
          </w:p>
        </w:tc>
        <w:tc>
          <w:tcPr>
            <w:tcW w:w="1580" w:type="dxa"/>
            <w:vAlign w:val="bottom"/>
          </w:tcPr>
          <w:p>
            <w:pPr>
              <w:jc w:val="center"/>
              <w:spacing w:after="0"/>
              <w:rPr>
                <w:sz w:val="20"/>
                <w:szCs w:val="20"/>
                <w:color w:val="auto"/>
              </w:rPr>
            </w:pPr>
            <w:r>
              <w:rPr>
                <w:rFonts w:ascii="Arial" w:cs="Arial" w:eastAsia="Arial" w:hAnsi="Arial"/>
                <w:sz w:val="12"/>
                <w:szCs w:val="12"/>
                <w:color w:val="auto"/>
                <w:w w:val="91"/>
              </w:rPr>
              <w:t>Dec. 9, 2016</w:t>
            </w:r>
          </w:p>
        </w:tc>
        <w:tc>
          <w:tcPr>
            <w:tcW w:w="0" w:type="dxa"/>
            <w:vAlign w:val="bottom"/>
          </w:tcPr>
          <w:p>
            <w:pPr>
              <w:spacing w:after="0"/>
              <w:rPr>
                <w:sz w:val="1"/>
                <w:szCs w:val="1"/>
                <w:color w:val="auto"/>
              </w:rPr>
            </w:pPr>
          </w:p>
        </w:tc>
      </w:tr>
      <w:tr>
        <w:trPr>
          <w:trHeight w:val="187"/>
        </w:trPr>
        <w:tc>
          <w:tcPr>
            <w:tcW w:w="280" w:type="dxa"/>
            <w:vAlign w:val="bottom"/>
          </w:tcPr>
          <w:p>
            <w:pPr>
              <w:jc w:val="right"/>
              <w:spacing w:after="0"/>
              <w:rPr>
                <w:sz w:val="20"/>
                <w:szCs w:val="20"/>
                <w:color w:val="auto"/>
              </w:rPr>
            </w:pPr>
            <w:r>
              <w:rPr>
                <w:rFonts w:ascii="Arial" w:cs="Arial" w:eastAsia="Arial" w:hAnsi="Arial"/>
                <w:sz w:val="12"/>
                <w:szCs w:val="12"/>
                <w:color w:val="auto"/>
              </w:rPr>
              <w:t>4.2</w:t>
            </w: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0" w:type="dxa"/>
            <w:vAlign w:val="bottom"/>
            <w:tcBorders>
              <w:top w:val="single" w:sz="8" w:color="0000EE"/>
            </w:tcBorders>
            <w:gridSpan w:val="6"/>
          </w:tcPr>
          <w:p>
            <w:pPr>
              <w:spacing w:after="0"/>
              <w:rPr>
                <w:rFonts w:ascii="Arial" w:cs="Arial" w:eastAsia="Arial" w:hAnsi="Arial"/>
                <w:sz w:val="12"/>
                <w:szCs w:val="12"/>
                <w:color w:val="0000EE"/>
              </w:rPr>
            </w:pPr>
            <w:hyperlink r:id="rId150">
              <w:r>
                <w:rPr>
                  <w:rFonts w:ascii="Arial" w:cs="Arial" w:eastAsia="Arial" w:hAnsi="Arial"/>
                  <w:sz w:val="12"/>
                  <w:szCs w:val="12"/>
                  <w:color w:val="0000EE"/>
                </w:rPr>
                <w:t>Specimen Warrant Certificate</w:t>
              </w:r>
            </w:hyperlink>
            <w:r>
              <w:rPr>
                <w:rFonts w:ascii="Arial" w:cs="Arial" w:eastAsia="Arial" w:hAnsi="Arial"/>
                <w:sz w:val="12"/>
                <w:szCs w:val="12"/>
                <w:color w:val="000000"/>
              </w:rPr>
              <w:t>.</w:t>
            </w:r>
          </w:p>
        </w:tc>
        <w:tc>
          <w:tcPr>
            <w:tcW w:w="2180" w:type="dxa"/>
            <w:vAlign w:val="bottom"/>
            <w:gridSpan w:val="10"/>
          </w:tcPr>
          <w:p>
            <w:pPr>
              <w:spacing w:after="0"/>
              <w:rPr>
                <w:sz w:val="16"/>
                <w:szCs w:val="16"/>
                <w:color w:val="auto"/>
              </w:rPr>
            </w:pPr>
          </w:p>
        </w:tc>
        <w:tc>
          <w:tcPr>
            <w:tcW w:w="760" w:type="dxa"/>
            <w:vAlign w:val="bottom"/>
            <w:gridSpan w:val="2"/>
          </w:tcPr>
          <w:p>
            <w:pPr>
              <w:jc w:val="center"/>
              <w:ind w:right="160"/>
              <w:spacing w:after="0"/>
              <w:rPr>
                <w:sz w:val="20"/>
                <w:szCs w:val="20"/>
                <w:color w:val="auto"/>
              </w:rPr>
            </w:pPr>
            <w:r>
              <w:rPr>
                <w:rFonts w:ascii="Arial" w:cs="Arial" w:eastAsia="Arial" w:hAnsi="Arial"/>
                <w:sz w:val="12"/>
                <w:szCs w:val="12"/>
                <w:color w:val="auto"/>
                <w:w w:val="85"/>
              </w:rPr>
              <w:t>S-1</w:t>
            </w:r>
          </w:p>
        </w:tc>
        <w:tc>
          <w:tcPr>
            <w:tcW w:w="940" w:type="dxa"/>
            <w:vAlign w:val="bottom"/>
          </w:tcPr>
          <w:p>
            <w:pPr>
              <w:jc w:val="center"/>
              <w:ind w:left="320"/>
              <w:spacing w:after="0"/>
              <w:rPr>
                <w:sz w:val="20"/>
                <w:szCs w:val="20"/>
                <w:color w:val="auto"/>
              </w:rPr>
            </w:pPr>
            <w:r>
              <w:rPr>
                <w:rFonts w:ascii="Arial" w:cs="Arial" w:eastAsia="Arial" w:hAnsi="Arial"/>
                <w:sz w:val="12"/>
                <w:szCs w:val="12"/>
                <w:color w:val="auto"/>
                <w:w w:val="90"/>
              </w:rPr>
              <w:t>333-21503</w:t>
            </w:r>
          </w:p>
        </w:tc>
        <w:tc>
          <w:tcPr>
            <w:tcW w:w="1420" w:type="dxa"/>
            <w:vAlign w:val="bottom"/>
            <w:gridSpan w:val="3"/>
          </w:tcPr>
          <w:p>
            <w:pPr>
              <w:jc w:val="center"/>
              <w:ind w:left="460"/>
              <w:spacing w:after="0"/>
              <w:rPr>
                <w:sz w:val="20"/>
                <w:szCs w:val="20"/>
                <w:color w:val="auto"/>
              </w:rPr>
            </w:pPr>
            <w:r>
              <w:rPr>
                <w:rFonts w:ascii="Arial" w:cs="Arial" w:eastAsia="Arial" w:hAnsi="Arial"/>
                <w:sz w:val="12"/>
                <w:szCs w:val="12"/>
                <w:color w:val="auto"/>
                <w:w w:val="83"/>
              </w:rPr>
              <w:t>4.3</w:t>
            </w:r>
          </w:p>
        </w:tc>
        <w:tc>
          <w:tcPr>
            <w:tcW w:w="140" w:type="dxa"/>
            <w:vAlign w:val="bottom"/>
          </w:tcPr>
          <w:p>
            <w:pPr>
              <w:spacing w:after="0"/>
              <w:rPr>
                <w:sz w:val="16"/>
                <w:szCs w:val="16"/>
                <w:color w:val="auto"/>
              </w:rPr>
            </w:pPr>
          </w:p>
        </w:tc>
        <w:tc>
          <w:tcPr>
            <w:tcW w:w="1580" w:type="dxa"/>
            <w:vAlign w:val="bottom"/>
          </w:tcPr>
          <w:p>
            <w:pPr>
              <w:jc w:val="center"/>
              <w:spacing w:after="0"/>
              <w:rPr>
                <w:sz w:val="20"/>
                <w:szCs w:val="20"/>
                <w:color w:val="auto"/>
              </w:rPr>
            </w:pPr>
            <w:r>
              <w:rPr>
                <w:rFonts w:ascii="Arial" w:cs="Arial" w:eastAsia="Arial" w:hAnsi="Arial"/>
                <w:sz w:val="12"/>
                <w:szCs w:val="12"/>
                <w:color w:val="auto"/>
                <w:w w:val="91"/>
              </w:rPr>
              <w:t>Dec. 9, 2016</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80" w:type="dxa"/>
            <w:vAlign w:val="bottom"/>
          </w:tcPr>
          <w:p>
            <w:pPr>
              <w:jc w:val="right"/>
              <w:spacing w:after="0"/>
              <w:rPr>
                <w:sz w:val="20"/>
                <w:szCs w:val="20"/>
                <w:color w:val="auto"/>
              </w:rPr>
            </w:pPr>
            <w:r>
              <w:rPr>
                <w:rFonts w:ascii="Arial" w:cs="Arial" w:eastAsia="Arial" w:hAnsi="Arial"/>
                <w:sz w:val="12"/>
                <w:szCs w:val="12"/>
                <w:color w:val="auto"/>
              </w:rPr>
              <w:t>4.3</w:t>
            </w: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20" w:type="dxa"/>
            <w:vAlign w:val="bottom"/>
            <w:tcBorders>
              <w:bottom w:val="single" w:sz="8" w:color="0000EE"/>
            </w:tcBorders>
            <w:gridSpan w:val="11"/>
          </w:tcPr>
          <w:p>
            <w:pPr>
              <w:spacing w:after="0"/>
              <w:rPr>
                <w:rFonts w:ascii="Arial" w:cs="Arial" w:eastAsia="Arial" w:hAnsi="Arial"/>
                <w:sz w:val="12"/>
                <w:szCs w:val="12"/>
                <w:color w:val="0000EE"/>
                <w:w w:val="92"/>
              </w:rPr>
            </w:pPr>
            <w:hyperlink r:id="rId151">
              <w:r>
                <w:rPr>
                  <w:rFonts w:ascii="Arial" w:cs="Arial" w:eastAsia="Arial" w:hAnsi="Arial"/>
                  <w:sz w:val="12"/>
                  <w:szCs w:val="12"/>
                  <w:color w:val="0000EE"/>
                  <w:w w:val="92"/>
                </w:rPr>
                <w:t>Warrant Agreement, dated January 12, 2017, between the Registrant and Continental</w:t>
              </w:r>
            </w:hyperlink>
          </w:p>
        </w:tc>
        <w:tc>
          <w:tcPr>
            <w:tcW w:w="160" w:type="dxa"/>
            <w:vAlign w:val="bottom"/>
            <w:gridSpan w:val="5"/>
          </w:tcPr>
          <w:p>
            <w:pPr>
              <w:spacing w:after="0"/>
              <w:rPr>
                <w:sz w:val="16"/>
                <w:szCs w:val="16"/>
                <w:color w:val="auto"/>
              </w:rPr>
            </w:pPr>
          </w:p>
        </w:tc>
        <w:tc>
          <w:tcPr>
            <w:tcW w:w="760" w:type="dxa"/>
            <w:vAlign w:val="bottom"/>
            <w:gridSpan w:val="2"/>
          </w:tcPr>
          <w:p>
            <w:pPr>
              <w:jc w:val="center"/>
              <w:ind w:right="140"/>
              <w:spacing w:after="0"/>
              <w:rPr>
                <w:sz w:val="20"/>
                <w:szCs w:val="20"/>
                <w:color w:val="auto"/>
              </w:rPr>
            </w:pPr>
            <w:r>
              <w:rPr>
                <w:rFonts w:ascii="Arial" w:cs="Arial" w:eastAsia="Arial" w:hAnsi="Arial"/>
                <w:sz w:val="12"/>
                <w:szCs w:val="12"/>
                <w:color w:val="auto"/>
                <w:w w:val="96"/>
              </w:rPr>
              <w:t>8-K</w:t>
            </w:r>
          </w:p>
        </w:tc>
        <w:tc>
          <w:tcPr>
            <w:tcW w:w="940" w:type="dxa"/>
            <w:vAlign w:val="bottom"/>
          </w:tcPr>
          <w:p>
            <w:pPr>
              <w:jc w:val="center"/>
              <w:ind w:left="320"/>
              <w:spacing w:after="0"/>
              <w:rPr>
                <w:sz w:val="20"/>
                <w:szCs w:val="20"/>
                <w:color w:val="auto"/>
              </w:rPr>
            </w:pPr>
            <w:r>
              <w:rPr>
                <w:rFonts w:ascii="Arial" w:cs="Arial" w:eastAsia="Arial" w:hAnsi="Arial"/>
                <w:sz w:val="12"/>
                <w:szCs w:val="12"/>
                <w:color w:val="auto"/>
                <w:w w:val="90"/>
              </w:rPr>
              <w:t>001-37979</w:t>
            </w:r>
          </w:p>
        </w:tc>
        <w:tc>
          <w:tcPr>
            <w:tcW w:w="1420" w:type="dxa"/>
            <w:vAlign w:val="bottom"/>
            <w:gridSpan w:val="3"/>
          </w:tcPr>
          <w:p>
            <w:pPr>
              <w:jc w:val="center"/>
              <w:ind w:left="460"/>
              <w:spacing w:after="0"/>
              <w:rPr>
                <w:sz w:val="20"/>
                <w:szCs w:val="20"/>
                <w:color w:val="auto"/>
              </w:rPr>
            </w:pPr>
            <w:r>
              <w:rPr>
                <w:rFonts w:ascii="Arial" w:cs="Arial" w:eastAsia="Arial" w:hAnsi="Arial"/>
                <w:sz w:val="12"/>
                <w:szCs w:val="12"/>
                <w:color w:val="auto"/>
                <w:w w:val="83"/>
              </w:rPr>
              <w:t>4.1</w:t>
            </w:r>
          </w:p>
        </w:tc>
        <w:tc>
          <w:tcPr>
            <w:tcW w:w="140" w:type="dxa"/>
            <w:vAlign w:val="bottom"/>
          </w:tcPr>
          <w:p>
            <w:pPr>
              <w:spacing w:after="0"/>
              <w:rPr>
                <w:sz w:val="16"/>
                <w:szCs w:val="16"/>
                <w:color w:val="auto"/>
              </w:rPr>
            </w:pPr>
          </w:p>
        </w:tc>
        <w:tc>
          <w:tcPr>
            <w:tcW w:w="1580" w:type="dxa"/>
            <w:vAlign w:val="bottom"/>
          </w:tcPr>
          <w:p>
            <w:pPr>
              <w:jc w:val="center"/>
              <w:spacing w:after="0"/>
              <w:rPr>
                <w:sz w:val="20"/>
                <w:szCs w:val="20"/>
                <w:color w:val="auto"/>
              </w:rPr>
            </w:pPr>
            <w:r>
              <w:rPr>
                <w:rFonts w:ascii="Arial" w:cs="Arial" w:eastAsia="Arial" w:hAnsi="Arial"/>
                <w:sz w:val="12"/>
                <w:szCs w:val="12"/>
                <w:color w:val="auto"/>
                <w:w w:val="87"/>
              </w:rPr>
              <w:t>Jan. 19, 2017</w:t>
            </w:r>
          </w:p>
        </w:tc>
        <w:tc>
          <w:tcPr>
            <w:tcW w:w="0" w:type="dxa"/>
            <w:vAlign w:val="bottom"/>
          </w:tcPr>
          <w:p>
            <w:pPr>
              <w:spacing w:after="0"/>
              <w:rPr>
                <w:sz w:val="1"/>
                <w:szCs w:val="1"/>
                <w:color w:val="auto"/>
              </w:rPr>
            </w:pPr>
          </w:p>
        </w:tc>
      </w:tr>
      <w:tr>
        <w:trPr>
          <w:trHeight w:val="124"/>
        </w:trPr>
        <w:tc>
          <w:tcPr>
            <w:tcW w:w="2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380" w:type="dxa"/>
            <w:vAlign w:val="bottom"/>
            <w:gridSpan w:val="16"/>
          </w:tcPr>
          <w:p>
            <w:pPr>
              <w:spacing w:after="0" w:line="124" w:lineRule="exact"/>
              <w:rPr>
                <w:rFonts w:ascii="Arial" w:cs="Arial" w:eastAsia="Arial" w:hAnsi="Arial"/>
                <w:sz w:val="12"/>
                <w:szCs w:val="12"/>
                <w:color w:val="0000EE"/>
              </w:rPr>
            </w:pPr>
            <w:hyperlink r:id="rId151">
              <w:r>
                <w:rPr>
                  <w:rFonts w:ascii="Arial" w:cs="Arial" w:eastAsia="Arial" w:hAnsi="Arial"/>
                  <w:sz w:val="12"/>
                  <w:szCs w:val="12"/>
                  <w:color w:val="0000EE"/>
                </w:rPr>
                <w:t>Stock Transfer &amp; Trust Company, as warrant agent</w:t>
              </w:r>
              <w:r>
                <w:rPr>
                  <w:rFonts w:ascii="Arial" w:cs="Arial" w:eastAsia="Arial" w:hAnsi="Arial"/>
                  <w:sz w:val="12"/>
                  <w:szCs w:val="12"/>
                  <w:color w:val="000000"/>
                </w:rPr>
                <w:t>.</w:t>
              </w:r>
            </w:hyperlink>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960" w:type="dxa"/>
            <w:vAlign w:val="bottom"/>
            <w:tcBorders>
              <w:left w:val="single" w:sz="8" w:color="0000EE"/>
            </w:tcBorders>
            <w:gridSpan w:val="2"/>
            <w:shd w:val="clear" w:color="auto" w:fill="0000EE"/>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80" w:type="dxa"/>
            <w:vAlign w:val="bottom"/>
          </w:tcPr>
          <w:p>
            <w:pPr>
              <w:jc w:val="right"/>
              <w:spacing w:after="0"/>
              <w:rPr>
                <w:sz w:val="20"/>
                <w:szCs w:val="20"/>
                <w:color w:val="auto"/>
              </w:rPr>
            </w:pPr>
            <w:r>
              <w:rPr>
                <w:rFonts w:ascii="Arial" w:cs="Arial" w:eastAsia="Arial" w:hAnsi="Arial"/>
                <w:sz w:val="12"/>
                <w:szCs w:val="12"/>
                <w:color w:val="auto"/>
              </w:rPr>
              <w:t>4.4</w:t>
            </w: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60" w:type="dxa"/>
            <w:vAlign w:val="bottom"/>
            <w:tcBorders>
              <w:bottom w:val="single" w:sz="8" w:color="0000EE"/>
            </w:tcBorders>
            <w:gridSpan w:val="13"/>
          </w:tcPr>
          <w:p>
            <w:pPr>
              <w:spacing w:after="0"/>
              <w:rPr>
                <w:rFonts w:ascii="Arial" w:cs="Arial" w:eastAsia="Arial" w:hAnsi="Arial"/>
                <w:sz w:val="12"/>
                <w:szCs w:val="12"/>
                <w:color w:val="0000EE"/>
                <w:w w:val="94"/>
              </w:rPr>
            </w:pPr>
            <w:hyperlink w:anchor="page121">
              <w:r>
                <w:rPr>
                  <w:rFonts w:ascii="Arial" w:cs="Arial" w:eastAsia="Arial" w:hAnsi="Arial"/>
                  <w:sz w:val="12"/>
                  <w:szCs w:val="12"/>
                  <w:color w:val="0000EE"/>
                  <w:w w:val="94"/>
                </w:rPr>
                <w:t>First Amendment to Warrant Agreement, dated January 15, 2020, by and among the</w:t>
              </w:r>
            </w:hyperlink>
          </w:p>
        </w:tc>
        <w:tc>
          <w:tcPr>
            <w:tcW w:w="120" w:type="dxa"/>
            <w:vAlign w:val="bottom"/>
            <w:gridSpan w:val="3"/>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4"/>
        </w:trPr>
        <w:tc>
          <w:tcPr>
            <w:tcW w:w="2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20" w:type="dxa"/>
            <w:vAlign w:val="bottom"/>
            <w:tcBorders>
              <w:bottom w:val="single" w:sz="8" w:color="0000EE"/>
            </w:tcBorders>
            <w:gridSpan w:val="11"/>
          </w:tcPr>
          <w:p>
            <w:pPr>
              <w:spacing w:after="0" w:line="124" w:lineRule="exact"/>
              <w:rPr>
                <w:rFonts w:ascii="Arial" w:cs="Arial" w:eastAsia="Arial" w:hAnsi="Arial"/>
                <w:sz w:val="12"/>
                <w:szCs w:val="12"/>
                <w:color w:val="0000EE"/>
                <w:w w:val="91"/>
              </w:rPr>
            </w:pPr>
            <w:hyperlink w:anchor="page121">
              <w:r>
                <w:rPr>
                  <w:rFonts w:ascii="Arial" w:cs="Arial" w:eastAsia="Arial" w:hAnsi="Arial"/>
                  <w:sz w:val="12"/>
                  <w:szCs w:val="12"/>
                  <w:color w:val="0000EE"/>
                  <w:w w:val="91"/>
                </w:rPr>
                <w:t>Registrant, Continental Stock Transfer &amp; Trust Company and American Stock Transfer</w:t>
              </w:r>
            </w:hyperlink>
          </w:p>
        </w:tc>
        <w:tc>
          <w:tcPr>
            <w:tcW w:w="160" w:type="dxa"/>
            <w:vAlign w:val="bottom"/>
            <w:gridSpan w:val="5"/>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380" w:type="dxa"/>
            <w:vAlign w:val="bottom"/>
            <w:gridSpan w:val="16"/>
          </w:tcPr>
          <w:p>
            <w:pPr>
              <w:spacing w:after="0" w:line="124" w:lineRule="exact"/>
              <w:rPr>
                <w:rFonts w:ascii="Arial" w:cs="Arial" w:eastAsia="Arial" w:hAnsi="Arial"/>
                <w:sz w:val="12"/>
                <w:szCs w:val="12"/>
                <w:color w:val="0000EE"/>
              </w:rPr>
            </w:pPr>
            <w:hyperlink w:anchor="page121">
              <w:r>
                <w:rPr>
                  <w:rFonts w:ascii="Arial" w:cs="Arial" w:eastAsia="Arial" w:hAnsi="Arial"/>
                  <w:sz w:val="12"/>
                  <w:szCs w:val="12"/>
                  <w:color w:val="0000EE"/>
                </w:rPr>
                <w:t>&amp; Trust Company</w:t>
              </w:r>
              <w:r>
                <w:rPr>
                  <w:rFonts w:ascii="Arial" w:cs="Arial" w:eastAsia="Arial" w:hAnsi="Arial"/>
                  <w:sz w:val="12"/>
                  <w:szCs w:val="12"/>
                  <w:color w:val="000000"/>
                </w:rPr>
                <w:t>.</w:t>
              </w:r>
            </w:hyperlink>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260" w:type="dxa"/>
            <w:vAlign w:val="bottom"/>
            <w:gridSpan w:val="4"/>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80" w:type="dxa"/>
            <w:vAlign w:val="bottom"/>
          </w:tcPr>
          <w:p>
            <w:pPr>
              <w:jc w:val="right"/>
              <w:spacing w:after="0"/>
              <w:rPr>
                <w:sz w:val="20"/>
                <w:szCs w:val="20"/>
                <w:color w:val="auto"/>
              </w:rPr>
            </w:pPr>
            <w:r>
              <w:rPr>
                <w:rFonts w:ascii="Arial" w:cs="Arial" w:eastAsia="Arial" w:hAnsi="Arial"/>
                <w:sz w:val="12"/>
                <w:szCs w:val="12"/>
                <w:color w:val="auto"/>
              </w:rPr>
              <w:t>4.5</w:t>
            </w: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40" w:type="dxa"/>
            <w:vAlign w:val="bottom"/>
            <w:tcBorders>
              <w:bottom w:val="single" w:sz="8" w:color="0000EE"/>
            </w:tcBorders>
            <w:gridSpan w:val="12"/>
          </w:tcPr>
          <w:p>
            <w:pPr>
              <w:spacing w:after="0"/>
              <w:rPr>
                <w:rFonts w:ascii="Arial" w:cs="Arial" w:eastAsia="Arial" w:hAnsi="Arial"/>
                <w:sz w:val="12"/>
                <w:szCs w:val="12"/>
                <w:color w:val="0000EE"/>
                <w:w w:val="93"/>
              </w:rPr>
            </w:pPr>
            <w:hyperlink w:anchor="page126">
              <w:r>
                <w:rPr>
                  <w:rFonts w:ascii="Arial" w:cs="Arial" w:eastAsia="Arial" w:hAnsi="Arial"/>
                  <w:sz w:val="12"/>
                  <w:szCs w:val="12"/>
                  <w:color w:val="0000EE"/>
                  <w:w w:val="93"/>
                </w:rPr>
                <w:t>Description of Verra Mobility Corporation’s Securities Registered Pursuant to Section</w:t>
              </w:r>
            </w:hyperlink>
          </w:p>
        </w:tc>
        <w:tc>
          <w:tcPr>
            <w:tcW w:w="140" w:type="dxa"/>
            <w:vAlign w:val="bottom"/>
            <w:gridSpan w:val="4"/>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4"/>
        </w:trPr>
        <w:tc>
          <w:tcPr>
            <w:tcW w:w="2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380" w:type="dxa"/>
            <w:vAlign w:val="bottom"/>
            <w:gridSpan w:val="16"/>
          </w:tcPr>
          <w:p>
            <w:pPr>
              <w:spacing w:after="0" w:line="124" w:lineRule="exact"/>
              <w:rPr>
                <w:rFonts w:ascii="Arial" w:cs="Arial" w:eastAsia="Arial" w:hAnsi="Arial"/>
                <w:sz w:val="12"/>
                <w:szCs w:val="12"/>
                <w:color w:val="0000EE"/>
              </w:rPr>
            </w:pPr>
            <w:hyperlink w:anchor="page126">
              <w:r>
                <w:rPr>
                  <w:rFonts w:ascii="Arial" w:cs="Arial" w:eastAsia="Arial" w:hAnsi="Arial"/>
                  <w:sz w:val="12"/>
                  <w:szCs w:val="12"/>
                  <w:color w:val="0000EE"/>
                </w:rPr>
                <w:t>12 of the Exchange Act</w:t>
              </w:r>
              <w:r>
                <w:rPr>
                  <w:rFonts w:ascii="Arial" w:cs="Arial" w:eastAsia="Arial" w:hAnsi="Arial"/>
                  <w:sz w:val="12"/>
                  <w:szCs w:val="12"/>
                  <w:color w:val="000000"/>
                </w:rPr>
                <w:t>.</w:t>
              </w:r>
            </w:hyperlink>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gridSpan w:val="3"/>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260" w:type="dxa"/>
            <w:vAlign w:val="bottom"/>
            <w:gridSpan w:val="4"/>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80" w:type="dxa"/>
            <w:vAlign w:val="bottom"/>
          </w:tcPr>
          <w:p>
            <w:pPr>
              <w:jc w:val="right"/>
              <w:spacing w:after="0"/>
              <w:rPr>
                <w:sz w:val="20"/>
                <w:szCs w:val="20"/>
                <w:color w:val="auto"/>
              </w:rPr>
            </w:pPr>
            <w:r>
              <w:rPr>
                <w:rFonts w:ascii="Arial" w:cs="Arial" w:eastAsia="Arial" w:hAnsi="Arial"/>
                <w:sz w:val="12"/>
                <w:szCs w:val="12"/>
                <w:color w:val="auto"/>
              </w:rPr>
              <w:t>10.1</w:t>
            </w: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380" w:type="dxa"/>
            <w:vAlign w:val="bottom"/>
            <w:gridSpan w:val="16"/>
          </w:tcPr>
          <w:p>
            <w:pPr>
              <w:spacing w:after="0"/>
              <w:rPr>
                <w:rFonts w:ascii="Arial" w:cs="Arial" w:eastAsia="Arial" w:hAnsi="Arial"/>
                <w:sz w:val="12"/>
                <w:szCs w:val="12"/>
                <w:color w:val="0000EE"/>
              </w:rPr>
            </w:pPr>
            <w:hyperlink r:id="rId152">
              <w:r>
                <w:rPr>
                  <w:rFonts w:ascii="Arial" w:cs="Arial" w:eastAsia="Arial" w:hAnsi="Arial"/>
                  <w:sz w:val="12"/>
                  <w:szCs w:val="12"/>
                  <w:color w:val="0000EE"/>
                </w:rPr>
                <w:t>Form of Indemnity Agreement</w:t>
              </w:r>
            </w:hyperlink>
            <w:r>
              <w:rPr>
                <w:rFonts w:ascii="Arial" w:cs="Arial" w:eastAsia="Arial" w:hAnsi="Arial"/>
                <w:sz w:val="12"/>
                <w:szCs w:val="12"/>
                <w:color w:val="000000"/>
              </w:rPr>
              <w:t>.</w:t>
            </w:r>
          </w:p>
        </w:tc>
        <w:tc>
          <w:tcPr>
            <w:tcW w:w="760" w:type="dxa"/>
            <w:vAlign w:val="bottom"/>
            <w:gridSpan w:val="2"/>
          </w:tcPr>
          <w:p>
            <w:pPr>
              <w:jc w:val="center"/>
              <w:ind w:right="160"/>
              <w:spacing w:after="0"/>
              <w:rPr>
                <w:sz w:val="20"/>
                <w:szCs w:val="20"/>
                <w:color w:val="auto"/>
              </w:rPr>
            </w:pPr>
            <w:r>
              <w:rPr>
                <w:rFonts w:ascii="Arial" w:cs="Arial" w:eastAsia="Arial" w:hAnsi="Arial"/>
                <w:sz w:val="12"/>
                <w:szCs w:val="12"/>
                <w:color w:val="auto"/>
                <w:w w:val="85"/>
              </w:rPr>
              <w:t>S-1</w:t>
            </w:r>
          </w:p>
        </w:tc>
        <w:tc>
          <w:tcPr>
            <w:tcW w:w="940" w:type="dxa"/>
            <w:vAlign w:val="bottom"/>
          </w:tcPr>
          <w:p>
            <w:pPr>
              <w:jc w:val="center"/>
              <w:ind w:left="320"/>
              <w:spacing w:after="0"/>
              <w:rPr>
                <w:sz w:val="20"/>
                <w:szCs w:val="20"/>
                <w:color w:val="auto"/>
              </w:rPr>
            </w:pPr>
            <w:r>
              <w:rPr>
                <w:rFonts w:ascii="Arial" w:cs="Arial" w:eastAsia="Arial" w:hAnsi="Arial"/>
                <w:sz w:val="12"/>
                <w:szCs w:val="12"/>
                <w:color w:val="auto"/>
                <w:w w:val="90"/>
              </w:rPr>
              <w:t>333-21503</w:t>
            </w:r>
          </w:p>
        </w:tc>
        <w:tc>
          <w:tcPr>
            <w:tcW w:w="1420" w:type="dxa"/>
            <w:vAlign w:val="bottom"/>
            <w:gridSpan w:val="3"/>
          </w:tcPr>
          <w:p>
            <w:pPr>
              <w:jc w:val="center"/>
              <w:ind w:left="460"/>
              <w:spacing w:after="0"/>
              <w:rPr>
                <w:sz w:val="20"/>
                <w:szCs w:val="20"/>
                <w:color w:val="auto"/>
              </w:rPr>
            </w:pPr>
            <w:r>
              <w:rPr>
                <w:rFonts w:ascii="Arial" w:cs="Arial" w:eastAsia="Arial" w:hAnsi="Arial"/>
                <w:sz w:val="12"/>
                <w:szCs w:val="12"/>
                <w:color w:val="auto"/>
                <w:w w:val="93"/>
              </w:rPr>
              <w:t>10.7</w:t>
            </w:r>
          </w:p>
        </w:tc>
        <w:tc>
          <w:tcPr>
            <w:tcW w:w="140" w:type="dxa"/>
            <w:vAlign w:val="bottom"/>
          </w:tcPr>
          <w:p>
            <w:pPr>
              <w:spacing w:after="0"/>
              <w:rPr>
                <w:sz w:val="16"/>
                <w:szCs w:val="16"/>
                <w:color w:val="auto"/>
              </w:rPr>
            </w:pPr>
          </w:p>
        </w:tc>
        <w:tc>
          <w:tcPr>
            <w:tcW w:w="1580" w:type="dxa"/>
            <w:vAlign w:val="bottom"/>
          </w:tcPr>
          <w:p>
            <w:pPr>
              <w:jc w:val="center"/>
              <w:spacing w:after="0"/>
              <w:rPr>
                <w:sz w:val="20"/>
                <w:szCs w:val="20"/>
                <w:color w:val="auto"/>
              </w:rPr>
            </w:pPr>
            <w:r>
              <w:rPr>
                <w:rFonts w:ascii="Arial" w:cs="Arial" w:eastAsia="Arial" w:hAnsi="Arial"/>
                <w:sz w:val="12"/>
                <w:szCs w:val="12"/>
                <w:color w:val="auto"/>
                <w:w w:val="91"/>
              </w:rPr>
              <w:t>Dec. 9, 2016</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gridSpan w:val="5"/>
            <w:shd w:val="clear" w:color="auto" w:fill="0000EE"/>
          </w:tcPr>
          <w:p>
            <w:pPr>
              <w:spacing w:after="0" w:line="20" w:lineRule="exact"/>
              <w:rPr>
                <w:sz w:val="1"/>
                <w:szCs w:val="1"/>
                <w:color w:val="auto"/>
              </w:rPr>
            </w:pPr>
          </w:p>
        </w:tc>
        <w:tc>
          <w:tcPr>
            <w:tcW w:w="2260" w:type="dxa"/>
            <w:vAlign w:val="bottom"/>
            <w:gridSpan w:val="4"/>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80" w:type="dxa"/>
            <w:vAlign w:val="bottom"/>
          </w:tcPr>
          <w:p>
            <w:pPr>
              <w:jc w:val="right"/>
              <w:spacing w:after="0"/>
              <w:rPr>
                <w:sz w:val="20"/>
                <w:szCs w:val="20"/>
                <w:color w:val="auto"/>
              </w:rPr>
            </w:pPr>
            <w:r>
              <w:rPr>
                <w:rFonts w:ascii="Arial" w:cs="Arial" w:eastAsia="Arial" w:hAnsi="Arial"/>
                <w:sz w:val="12"/>
                <w:szCs w:val="12"/>
                <w:color w:val="auto"/>
              </w:rPr>
              <w:t>10.2</w:t>
            </w: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40" w:type="dxa"/>
            <w:vAlign w:val="bottom"/>
            <w:tcBorders>
              <w:bottom w:val="single" w:sz="8" w:color="0000EE"/>
            </w:tcBorders>
            <w:gridSpan w:val="12"/>
          </w:tcPr>
          <w:p>
            <w:pPr>
              <w:spacing w:after="0"/>
              <w:rPr>
                <w:rFonts w:ascii="Arial" w:cs="Arial" w:eastAsia="Arial" w:hAnsi="Arial"/>
                <w:sz w:val="12"/>
                <w:szCs w:val="12"/>
                <w:color w:val="0000EE"/>
                <w:w w:val="90"/>
              </w:rPr>
            </w:pPr>
            <w:hyperlink r:id="rId153">
              <w:r>
                <w:rPr>
                  <w:rFonts w:ascii="Arial" w:cs="Arial" w:eastAsia="Arial" w:hAnsi="Arial"/>
                  <w:sz w:val="12"/>
                  <w:szCs w:val="12"/>
                  <w:color w:val="0000EE"/>
                  <w:w w:val="90"/>
                </w:rPr>
                <w:t>Amended and Restated Registration Rights Agreement dated October 17, 2018, by and</w:t>
              </w:r>
            </w:hyperlink>
          </w:p>
        </w:tc>
        <w:tc>
          <w:tcPr>
            <w:tcW w:w="140" w:type="dxa"/>
            <w:vAlign w:val="bottom"/>
            <w:gridSpan w:val="4"/>
          </w:tcPr>
          <w:p>
            <w:pPr>
              <w:spacing w:after="0"/>
              <w:rPr>
                <w:sz w:val="16"/>
                <w:szCs w:val="16"/>
                <w:color w:val="auto"/>
              </w:rPr>
            </w:pPr>
          </w:p>
        </w:tc>
        <w:tc>
          <w:tcPr>
            <w:tcW w:w="760" w:type="dxa"/>
            <w:vAlign w:val="bottom"/>
            <w:gridSpan w:val="2"/>
          </w:tcPr>
          <w:p>
            <w:pPr>
              <w:jc w:val="center"/>
              <w:ind w:right="140"/>
              <w:spacing w:after="0"/>
              <w:rPr>
                <w:sz w:val="20"/>
                <w:szCs w:val="20"/>
                <w:color w:val="auto"/>
              </w:rPr>
            </w:pPr>
            <w:r>
              <w:rPr>
                <w:rFonts w:ascii="Arial" w:cs="Arial" w:eastAsia="Arial" w:hAnsi="Arial"/>
                <w:sz w:val="12"/>
                <w:szCs w:val="12"/>
                <w:color w:val="auto"/>
                <w:w w:val="96"/>
              </w:rPr>
              <w:t>8-K</w:t>
            </w:r>
          </w:p>
        </w:tc>
        <w:tc>
          <w:tcPr>
            <w:tcW w:w="940" w:type="dxa"/>
            <w:vAlign w:val="bottom"/>
          </w:tcPr>
          <w:p>
            <w:pPr>
              <w:jc w:val="center"/>
              <w:ind w:left="320"/>
              <w:spacing w:after="0"/>
              <w:rPr>
                <w:sz w:val="20"/>
                <w:szCs w:val="20"/>
                <w:color w:val="auto"/>
              </w:rPr>
            </w:pPr>
            <w:r>
              <w:rPr>
                <w:rFonts w:ascii="Arial" w:cs="Arial" w:eastAsia="Arial" w:hAnsi="Arial"/>
                <w:sz w:val="12"/>
                <w:szCs w:val="12"/>
                <w:color w:val="auto"/>
                <w:w w:val="90"/>
              </w:rPr>
              <w:t>001-37979</w:t>
            </w:r>
          </w:p>
        </w:tc>
        <w:tc>
          <w:tcPr>
            <w:tcW w:w="1420" w:type="dxa"/>
            <w:vAlign w:val="bottom"/>
            <w:gridSpan w:val="3"/>
          </w:tcPr>
          <w:p>
            <w:pPr>
              <w:jc w:val="center"/>
              <w:ind w:left="460"/>
              <w:spacing w:after="0"/>
              <w:rPr>
                <w:sz w:val="20"/>
                <w:szCs w:val="20"/>
                <w:color w:val="auto"/>
              </w:rPr>
            </w:pPr>
            <w:r>
              <w:rPr>
                <w:rFonts w:ascii="Arial" w:cs="Arial" w:eastAsia="Arial" w:hAnsi="Arial"/>
                <w:sz w:val="12"/>
                <w:szCs w:val="12"/>
                <w:color w:val="auto"/>
                <w:w w:val="93"/>
              </w:rPr>
              <w:t>10.2</w:t>
            </w:r>
          </w:p>
        </w:tc>
        <w:tc>
          <w:tcPr>
            <w:tcW w:w="140" w:type="dxa"/>
            <w:vAlign w:val="bottom"/>
          </w:tcPr>
          <w:p>
            <w:pPr>
              <w:spacing w:after="0"/>
              <w:rPr>
                <w:sz w:val="16"/>
                <w:szCs w:val="16"/>
                <w:color w:val="auto"/>
              </w:rPr>
            </w:pPr>
          </w:p>
        </w:tc>
        <w:tc>
          <w:tcPr>
            <w:tcW w:w="1580" w:type="dxa"/>
            <w:vAlign w:val="bottom"/>
          </w:tcPr>
          <w:p>
            <w:pPr>
              <w:jc w:val="center"/>
              <w:spacing w:after="0"/>
              <w:rPr>
                <w:sz w:val="20"/>
                <w:szCs w:val="20"/>
                <w:color w:val="auto"/>
              </w:rPr>
            </w:pPr>
            <w:r>
              <w:rPr>
                <w:rFonts w:ascii="Arial" w:cs="Arial" w:eastAsia="Arial" w:hAnsi="Arial"/>
                <w:sz w:val="12"/>
                <w:szCs w:val="12"/>
                <w:color w:val="auto"/>
                <w:w w:val="91"/>
              </w:rPr>
              <w:t>Oct. 22, 2018</w:t>
            </w:r>
          </w:p>
        </w:tc>
        <w:tc>
          <w:tcPr>
            <w:tcW w:w="0" w:type="dxa"/>
            <w:vAlign w:val="bottom"/>
          </w:tcPr>
          <w:p>
            <w:pPr>
              <w:spacing w:after="0"/>
              <w:rPr>
                <w:sz w:val="1"/>
                <w:szCs w:val="1"/>
                <w:color w:val="auto"/>
              </w:rPr>
            </w:pPr>
          </w:p>
        </w:tc>
      </w:tr>
      <w:tr>
        <w:trPr>
          <w:trHeight w:val="124"/>
        </w:trPr>
        <w:tc>
          <w:tcPr>
            <w:tcW w:w="2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20" w:type="dxa"/>
            <w:vAlign w:val="bottom"/>
            <w:tcBorders>
              <w:bottom w:val="single" w:sz="8" w:color="0000EE"/>
            </w:tcBorders>
            <w:gridSpan w:val="11"/>
          </w:tcPr>
          <w:p>
            <w:pPr>
              <w:spacing w:after="0" w:line="124" w:lineRule="exact"/>
              <w:rPr>
                <w:rFonts w:ascii="Arial" w:cs="Arial" w:eastAsia="Arial" w:hAnsi="Arial"/>
                <w:sz w:val="12"/>
                <w:szCs w:val="12"/>
                <w:color w:val="0000EE"/>
                <w:w w:val="99"/>
              </w:rPr>
            </w:pPr>
            <w:hyperlink r:id="rId153">
              <w:r>
                <w:rPr>
                  <w:rFonts w:ascii="Arial" w:cs="Arial" w:eastAsia="Arial" w:hAnsi="Arial"/>
                  <w:sz w:val="12"/>
                  <w:szCs w:val="12"/>
                  <w:color w:val="0000EE"/>
                  <w:w w:val="99"/>
                </w:rPr>
                <w:t>among Verra Mobility Corporation, Gores Sponsor II LLC, Randall Bort, William</w:t>
              </w:r>
            </w:hyperlink>
          </w:p>
        </w:tc>
        <w:tc>
          <w:tcPr>
            <w:tcW w:w="160" w:type="dxa"/>
            <w:vAlign w:val="bottom"/>
            <w:gridSpan w:val="5"/>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380" w:type="dxa"/>
            <w:vAlign w:val="bottom"/>
            <w:gridSpan w:val="16"/>
          </w:tcPr>
          <w:p>
            <w:pPr>
              <w:spacing w:after="0" w:line="124" w:lineRule="exact"/>
              <w:rPr>
                <w:rFonts w:ascii="Arial" w:cs="Arial" w:eastAsia="Arial" w:hAnsi="Arial"/>
                <w:sz w:val="12"/>
                <w:szCs w:val="12"/>
                <w:color w:val="0000EE"/>
              </w:rPr>
            </w:pPr>
            <w:hyperlink r:id="rId153">
              <w:r>
                <w:rPr>
                  <w:rFonts w:ascii="Arial" w:cs="Arial" w:eastAsia="Arial" w:hAnsi="Arial"/>
                  <w:sz w:val="12"/>
                  <w:szCs w:val="12"/>
                  <w:color w:val="0000EE"/>
                </w:rPr>
                <w:t>Patton, Jeffrey Rea and the stockholders of Greenlight Holding II Corporation</w:t>
              </w:r>
              <w:r>
                <w:rPr>
                  <w:rFonts w:ascii="Arial" w:cs="Arial" w:eastAsia="Arial" w:hAnsi="Arial"/>
                  <w:sz w:val="12"/>
                  <w:szCs w:val="12"/>
                  <w:color w:val="000000"/>
                </w:rPr>
                <w:t>.</w:t>
              </w:r>
            </w:hyperlink>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58"/>
        </w:trPr>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jc w:val="right"/>
              <w:ind w:right="260"/>
              <w:spacing w:after="0"/>
              <w:rPr>
                <w:sz w:val="20"/>
                <w:szCs w:val="20"/>
                <w:color w:val="auto"/>
              </w:rPr>
            </w:pPr>
            <w:r>
              <w:rPr>
                <w:rFonts w:ascii="Arial" w:cs="Arial" w:eastAsia="Arial" w:hAnsi="Arial"/>
                <w:sz w:val="12"/>
                <w:szCs w:val="12"/>
                <w:color w:val="auto"/>
              </w:rPr>
              <w:t>112</w:t>
            </w: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33020</wp:posOffset>
            </wp:positionV>
            <wp:extent cx="7317740" cy="3683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4">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-161290</wp:posOffset>
            </wp:positionH>
            <wp:positionV relativeFrom="paragraph">
              <wp:posOffset>-84455</wp:posOffset>
            </wp:positionV>
            <wp:extent cx="629285" cy="571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5">
                      <a:extLst>
                        <a:ext uri="{28A0092B-C50C-407E-A947-70E740481C1C}"/>
                      </a:extLst>
                    </a:blip>
                    <a:srcRect/>
                    <a:stretch>
                      <a:fillRect/>
                    </a:stretch>
                  </pic:blipFill>
                  <pic:spPr bwMode="auto">
                    <a:xfrm>
                      <a:off x="0" y="0"/>
                      <a:ext cx="629285" cy="571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1"/>
          <w:szCs w:val="11"/>
          <w:b w:val="1"/>
          <w:bCs w:val="1"/>
          <w:color w:val="auto"/>
        </w:rPr>
        <w:t>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-161290</wp:posOffset>
            </wp:positionH>
            <wp:positionV relativeFrom="paragraph">
              <wp:posOffset>11430</wp:posOffset>
            </wp:positionV>
            <wp:extent cx="629285" cy="571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6">
                      <a:extLst>
                        <a:ext uri="{28A0092B-C50C-407E-A947-70E740481C1C}"/>
                      </a:extLst>
                    </a:blip>
                    <a:srcRect/>
                    <a:stretch>
                      <a:fillRect/>
                    </a:stretch>
                  </pic:blipFill>
                  <pic:spPr bwMode="auto">
                    <a:xfrm>
                      <a:off x="0" y="0"/>
                      <a:ext cx="629285"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200"/>
        <w:spacing w:after="0"/>
        <w:rPr>
          <w:sz w:val="20"/>
          <w:szCs w:val="20"/>
          <w:color w:val="auto"/>
        </w:rPr>
      </w:pPr>
      <w:r>
        <w:rPr>
          <w:rFonts w:ascii="Arial" w:cs="Arial" w:eastAsia="Arial" w:hAnsi="Arial"/>
          <w:sz w:val="12"/>
          <w:szCs w:val="12"/>
          <w:color w:val="auto"/>
        </w:rPr>
        <w:t>X</w:t>
      </w:r>
    </w:p>
    <w:p>
      <w:pPr>
        <w:spacing w:after="0" w:line="357" w:lineRule="exact"/>
        <w:rPr>
          <w:sz w:val="20"/>
          <w:szCs w:val="20"/>
          <w:color w:val="auto"/>
        </w:rPr>
      </w:pPr>
    </w:p>
    <w:p>
      <w:pPr>
        <w:ind w:left="200"/>
        <w:spacing w:after="0"/>
        <w:rPr>
          <w:sz w:val="20"/>
          <w:szCs w:val="20"/>
          <w:color w:val="auto"/>
        </w:rPr>
      </w:pPr>
      <w:r>
        <w:rPr>
          <w:rFonts w:ascii="Arial" w:cs="Arial" w:eastAsia="Arial" w:hAnsi="Arial"/>
          <w:sz w:val="12"/>
          <w:szCs w:val="12"/>
          <w:color w:val="auto"/>
        </w:rPr>
        <w:t>X</w:t>
      </w:r>
    </w:p>
    <w:p>
      <w:pPr>
        <w:sectPr>
          <w:pgSz w:w="11900" w:h="16838" w:orient="portrait"/>
          <w:cols w:equalWidth="0" w:num="2">
            <w:col w:w="10360" w:space="380"/>
            <w:col w:w="480"/>
          </w:cols>
          <w:pgMar w:left="220" w:top="271" w:right="459" w:bottom="1440" w:gutter="0" w:footer="0" w:header="0"/>
        </w:sectPr>
      </w:pPr>
    </w:p>
    <w:bookmarkStart w:id="113" w:name="page114"/>
    <w:bookmarkEnd w:id="113"/>
    <w:p>
      <w:pPr>
        <w:spacing w:after="0" w:line="144" w:lineRule="exact"/>
        <w:rPr>
          <w:sz w:val="20"/>
          <w:szCs w:val="20"/>
          <w:color w:val="auto"/>
        </w:rPr>
      </w:pPr>
    </w:p>
    <w:p>
      <w:pPr>
        <w:ind w:left="320"/>
        <w:spacing w:after="0"/>
        <w:rPr>
          <w:sz w:val="20"/>
          <w:szCs w:val="20"/>
          <w:color w:val="auto"/>
        </w:rPr>
      </w:pPr>
      <w:r>
        <w:rPr>
          <w:rFonts w:ascii="Arial" w:cs="Arial" w:eastAsia="Arial" w:hAnsi="Arial"/>
          <w:sz w:val="11"/>
          <w:szCs w:val="11"/>
          <w:b w:val="1"/>
          <w:bCs w:val="1"/>
          <w:color w:val="auto"/>
        </w:rPr>
        <w:t>Exhibit</w:t>
      </w:r>
    </w:p>
    <w:p>
      <w:pPr>
        <w:spacing w:after="0" w:line="30"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657860" cy="571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7">
                      <a:extLst>
                        <a:ext uri="{28A0092B-C50C-407E-A947-70E740481C1C}"/>
                      </a:extLst>
                    </a:blip>
                    <a:srcRect/>
                    <a:stretch>
                      <a:fillRect/>
                    </a:stretch>
                  </pic:blipFill>
                  <pic:spPr bwMode="auto">
                    <a:xfrm>
                      <a:off x="0" y="0"/>
                      <a:ext cx="657860" cy="5715"/>
                    </a:xfrm>
                    <a:prstGeom prst="rect">
                      <a:avLst/>
                    </a:prstGeom>
                    <a:noFill/>
                  </pic:spPr>
                </pic:pic>
              </a:graphicData>
            </a:graphic>
          </wp:anchor>
        </w:drawing>
      </w:r>
    </w:p>
    <w:p>
      <w:pPr>
        <w:spacing w:after="0" w:line="58" w:lineRule="exact"/>
        <w:rPr>
          <w:sz w:val="20"/>
          <w:szCs w:val="20"/>
          <w:color w:val="auto"/>
        </w:rPr>
      </w:pPr>
    </w:p>
    <w:p>
      <w:pPr>
        <w:ind w:left="60"/>
        <w:spacing w:after="0"/>
        <w:rPr>
          <w:sz w:val="20"/>
          <w:szCs w:val="20"/>
          <w:color w:val="auto"/>
        </w:rPr>
      </w:pPr>
      <w:r>
        <w:rPr>
          <w:rFonts w:ascii="Arial" w:cs="Arial" w:eastAsia="Arial" w:hAnsi="Arial"/>
          <w:sz w:val="12"/>
          <w:szCs w:val="12"/>
          <w:color w:val="auto"/>
        </w:rPr>
        <w:t>10.3</w:t>
      </w:r>
    </w:p>
    <w:p>
      <w:pPr>
        <w:spacing w:after="0" w:line="213" w:lineRule="exact"/>
        <w:rPr>
          <w:sz w:val="20"/>
          <w:szCs w:val="20"/>
          <w:color w:val="auto"/>
        </w:rPr>
      </w:pPr>
    </w:p>
    <w:p>
      <w:pPr>
        <w:ind w:left="60"/>
        <w:spacing w:after="0"/>
        <w:rPr>
          <w:sz w:val="20"/>
          <w:szCs w:val="20"/>
          <w:color w:val="auto"/>
        </w:rPr>
      </w:pPr>
      <w:r>
        <w:rPr>
          <w:rFonts w:ascii="Arial" w:cs="Arial" w:eastAsia="Arial" w:hAnsi="Arial"/>
          <w:sz w:val="12"/>
          <w:szCs w:val="12"/>
          <w:color w:val="auto"/>
        </w:rPr>
        <w:t>10.4</w:t>
      </w:r>
    </w:p>
    <w:p>
      <w:pPr>
        <w:spacing w:after="0" w:line="200" w:lineRule="exact"/>
        <w:rPr>
          <w:sz w:val="20"/>
          <w:szCs w:val="20"/>
          <w:color w:val="auto"/>
        </w:rPr>
      </w:pPr>
    </w:p>
    <w:p>
      <w:pPr>
        <w:spacing w:after="0" w:line="302" w:lineRule="exact"/>
        <w:rPr>
          <w:sz w:val="20"/>
          <w:szCs w:val="20"/>
          <w:color w:val="auto"/>
        </w:rPr>
      </w:pPr>
    </w:p>
    <w:p>
      <w:pPr>
        <w:ind w:left="60"/>
        <w:spacing w:after="0"/>
        <w:rPr>
          <w:sz w:val="20"/>
          <w:szCs w:val="20"/>
          <w:color w:val="auto"/>
        </w:rPr>
      </w:pPr>
      <w:r>
        <w:rPr>
          <w:rFonts w:ascii="Arial" w:cs="Arial" w:eastAsia="Arial" w:hAnsi="Arial"/>
          <w:sz w:val="12"/>
          <w:szCs w:val="12"/>
          <w:color w:val="auto"/>
        </w:rPr>
        <w:t>10.5</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7"/>
        </w:trPr>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gridSpan w:val="4"/>
          </w:tcPr>
          <w:p>
            <w:pPr>
              <w:ind w:left="20"/>
              <w:spacing w:after="0"/>
              <w:rPr>
                <w:sz w:val="20"/>
                <w:szCs w:val="20"/>
                <w:color w:val="auto"/>
              </w:rPr>
            </w:pPr>
            <w:r>
              <w:rPr>
                <w:rFonts w:ascii="Arial" w:cs="Arial" w:eastAsia="Arial" w:hAnsi="Arial"/>
                <w:sz w:val="12"/>
                <w:szCs w:val="12"/>
                <w:b w:val="1"/>
                <w:bCs w:val="1"/>
                <w:color w:val="auto"/>
                <w:w w:val="99"/>
              </w:rPr>
              <w:t>Incorporated by Reference</w:t>
            </w:r>
          </w:p>
        </w:tc>
        <w:tc>
          <w:tcPr>
            <w:tcW w:w="15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5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580" w:type="dxa"/>
            <w:vAlign w:val="bottom"/>
            <w:gridSpan w:val="5"/>
            <w:vMerge w:val="restart"/>
          </w:tcPr>
          <w:p>
            <w:pPr>
              <w:ind w:left="1020"/>
              <w:spacing w:after="0"/>
              <w:rPr>
                <w:sz w:val="20"/>
                <w:szCs w:val="20"/>
                <w:color w:val="auto"/>
              </w:rPr>
            </w:pPr>
            <w:r>
              <w:rPr>
                <w:rFonts w:ascii="Arial" w:cs="Arial" w:eastAsia="Arial" w:hAnsi="Arial"/>
                <w:sz w:val="12"/>
                <w:szCs w:val="12"/>
                <w:b w:val="1"/>
                <w:bCs w:val="1"/>
                <w:color w:val="auto"/>
              </w:rPr>
              <w:t>Description</w:t>
            </w:r>
          </w:p>
        </w:tc>
        <w:tc>
          <w:tcPr>
            <w:tcW w:w="760" w:type="dxa"/>
            <w:vAlign w:val="bottom"/>
            <w:gridSpan w:val="2"/>
            <w:vMerge w:val="restart"/>
          </w:tcPr>
          <w:p>
            <w:pPr>
              <w:jc w:val="center"/>
              <w:ind w:right="160"/>
              <w:spacing w:after="0"/>
              <w:rPr>
                <w:sz w:val="20"/>
                <w:szCs w:val="20"/>
                <w:color w:val="auto"/>
              </w:rPr>
            </w:pPr>
            <w:r>
              <w:rPr>
                <w:rFonts w:ascii="Arial" w:cs="Arial" w:eastAsia="Arial" w:hAnsi="Arial"/>
                <w:sz w:val="12"/>
                <w:szCs w:val="12"/>
                <w:b w:val="1"/>
                <w:bCs w:val="1"/>
                <w:color w:val="auto"/>
                <w:w w:val="93"/>
              </w:rPr>
              <w:t>Form</w:t>
            </w:r>
          </w:p>
        </w:tc>
        <w:tc>
          <w:tcPr>
            <w:tcW w:w="940" w:type="dxa"/>
            <w:vAlign w:val="bottom"/>
            <w:vMerge w:val="restart"/>
          </w:tcPr>
          <w:p>
            <w:pPr>
              <w:jc w:val="center"/>
              <w:ind w:left="320"/>
              <w:spacing w:after="0"/>
              <w:rPr>
                <w:sz w:val="20"/>
                <w:szCs w:val="20"/>
                <w:color w:val="auto"/>
              </w:rPr>
            </w:pPr>
            <w:r>
              <w:rPr>
                <w:rFonts w:ascii="Arial" w:cs="Arial" w:eastAsia="Arial" w:hAnsi="Arial"/>
                <w:sz w:val="12"/>
                <w:szCs w:val="12"/>
                <w:b w:val="1"/>
                <w:bCs w:val="1"/>
                <w:color w:val="auto"/>
                <w:w w:val="92"/>
              </w:rPr>
              <w:t>File No.</w:t>
            </w: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gridSpan w:val="2"/>
            <w:vMerge w:val="restart"/>
          </w:tcPr>
          <w:p>
            <w:pPr>
              <w:jc w:val="center"/>
              <w:ind w:right="140"/>
              <w:spacing w:after="0"/>
              <w:rPr>
                <w:sz w:val="20"/>
                <w:szCs w:val="20"/>
                <w:color w:val="auto"/>
              </w:rPr>
            </w:pPr>
            <w:r>
              <w:rPr>
                <w:rFonts w:ascii="Arial" w:cs="Arial" w:eastAsia="Arial" w:hAnsi="Arial"/>
                <w:sz w:val="12"/>
                <w:szCs w:val="12"/>
                <w:b w:val="1"/>
                <w:bCs w:val="1"/>
                <w:color w:val="auto"/>
                <w:w w:val="94"/>
              </w:rPr>
              <w:t>Exhibit</w:t>
            </w:r>
          </w:p>
        </w:tc>
        <w:tc>
          <w:tcPr>
            <w:tcW w:w="1700" w:type="dxa"/>
            <w:vAlign w:val="bottom"/>
            <w:gridSpan w:val="2"/>
            <w:vMerge w:val="restart"/>
          </w:tcPr>
          <w:p>
            <w:pPr>
              <w:jc w:val="center"/>
              <w:ind w:right="120"/>
              <w:spacing w:after="0"/>
              <w:rPr>
                <w:sz w:val="20"/>
                <w:szCs w:val="20"/>
                <w:color w:val="auto"/>
              </w:rPr>
            </w:pPr>
            <w:r>
              <w:rPr>
                <w:rFonts w:ascii="Arial" w:cs="Arial" w:eastAsia="Arial" w:hAnsi="Arial"/>
                <w:sz w:val="12"/>
                <w:szCs w:val="12"/>
                <w:b w:val="1"/>
                <w:bCs w:val="1"/>
                <w:color w:val="auto"/>
                <w:w w:val="94"/>
              </w:rPr>
              <w:t>Filing Date</w:t>
            </w:r>
          </w:p>
        </w:tc>
        <w:tc>
          <w:tcPr>
            <w:tcW w:w="1000" w:type="dxa"/>
            <w:vAlign w:val="bottom"/>
          </w:tcPr>
          <w:p>
            <w:pPr>
              <w:jc w:val="center"/>
              <w:spacing w:after="0" w:line="121" w:lineRule="exact"/>
              <w:rPr>
                <w:sz w:val="20"/>
                <w:szCs w:val="20"/>
                <w:color w:val="auto"/>
              </w:rPr>
            </w:pPr>
            <w:r>
              <w:rPr>
                <w:rFonts w:ascii="Arial" w:cs="Arial" w:eastAsia="Arial" w:hAnsi="Arial"/>
                <w:sz w:val="12"/>
                <w:szCs w:val="12"/>
                <w:b w:val="1"/>
                <w:bCs w:val="1"/>
                <w:color w:val="auto"/>
                <w:w w:val="92"/>
              </w:rPr>
              <w:t>Filed</w:t>
            </w:r>
          </w:p>
        </w:tc>
        <w:tc>
          <w:tcPr>
            <w:tcW w:w="0" w:type="dxa"/>
            <w:vAlign w:val="bottom"/>
          </w:tcPr>
          <w:p>
            <w:pPr>
              <w:spacing w:after="0"/>
              <w:rPr>
                <w:sz w:val="1"/>
                <w:szCs w:val="1"/>
                <w:color w:val="auto"/>
              </w:rPr>
            </w:pPr>
          </w:p>
        </w:tc>
      </w:tr>
      <w:tr>
        <w:trPr>
          <w:trHeight w:val="85"/>
        </w:trPr>
        <w:tc>
          <w:tcPr>
            <w:tcW w:w="500" w:type="dxa"/>
            <w:vAlign w:val="bottom"/>
          </w:tcPr>
          <w:p>
            <w:pPr>
              <w:spacing w:after="0"/>
              <w:rPr>
                <w:sz w:val="7"/>
                <w:szCs w:val="7"/>
                <w:color w:val="auto"/>
              </w:rPr>
            </w:pPr>
          </w:p>
        </w:tc>
        <w:tc>
          <w:tcPr>
            <w:tcW w:w="300" w:type="dxa"/>
            <w:vAlign w:val="bottom"/>
          </w:tcPr>
          <w:p>
            <w:pPr>
              <w:spacing w:after="0"/>
              <w:rPr>
                <w:sz w:val="7"/>
                <w:szCs w:val="7"/>
                <w:color w:val="auto"/>
              </w:rPr>
            </w:pPr>
          </w:p>
        </w:tc>
        <w:tc>
          <w:tcPr>
            <w:tcW w:w="3580" w:type="dxa"/>
            <w:vAlign w:val="bottom"/>
            <w:gridSpan w:val="5"/>
            <w:vMerge w:val="continue"/>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940" w:type="dxa"/>
            <w:vAlign w:val="bottom"/>
            <w:vMerge w:val="continue"/>
          </w:tcPr>
          <w:p>
            <w:pPr>
              <w:spacing w:after="0"/>
              <w:rPr>
                <w:sz w:val="7"/>
                <w:szCs w:val="7"/>
                <w:color w:val="auto"/>
              </w:rPr>
            </w:pPr>
          </w:p>
        </w:tc>
        <w:tc>
          <w:tcPr>
            <w:tcW w:w="3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gridSpan w:val="2"/>
            <w:vMerge w:val="continue"/>
          </w:tcPr>
          <w:p>
            <w:pPr>
              <w:spacing w:after="0"/>
              <w:rPr>
                <w:sz w:val="7"/>
                <w:szCs w:val="7"/>
                <w:color w:val="auto"/>
              </w:rPr>
            </w:pPr>
          </w:p>
        </w:tc>
        <w:tc>
          <w:tcPr>
            <w:tcW w:w="1700" w:type="dxa"/>
            <w:vAlign w:val="bottom"/>
            <w:gridSpan w:val="2"/>
            <w:vMerge w:val="continue"/>
          </w:tcPr>
          <w:p>
            <w:pPr>
              <w:spacing w:after="0"/>
              <w:rPr>
                <w:sz w:val="7"/>
                <w:szCs w:val="7"/>
                <w:color w:val="auto"/>
              </w:rPr>
            </w:pPr>
          </w:p>
        </w:tc>
        <w:tc>
          <w:tcPr>
            <w:tcW w:w="100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4"/>
              </w:rPr>
              <w:t>Herewith</w:t>
            </w:r>
          </w:p>
        </w:tc>
        <w:tc>
          <w:tcPr>
            <w:tcW w:w="0" w:type="dxa"/>
            <w:vAlign w:val="bottom"/>
          </w:tcPr>
          <w:p>
            <w:pPr>
              <w:spacing w:after="0"/>
              <w:rPr>
                <w:sz w:val="1"/>
                <w:szCs w:val="1"/>
                <w:color w:val="auto"/>
              </w:rPr>
            </w:pPr>
          </w:p>
        </w:tc>
      </w:tr>
      <w:tr>
        <w:trPr>
          <w:trHeight w:val="72"/>
        </w:trPr>
        <w:tc>
          <w:tcPr>
            <w:tcW w:w="50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440" w:type="dxa"/>
            <w:vAlign w:val="bottom"/>
            <w:tcBorders>
              <w:bottom w:val="single" w:sz="8" w:color="auto"/>
            </w:tcBorders>
          </w:tcPr>
          <w:p>
            <w:pPr>
              <w:spacing w:after="0"/>
              <w:rPr>
                <w:sz w:val="6"/>
                <w:szCs w:val="6"/>
                <w:color w:val="auto"/>
              </w:rPr>
            </w:pPr>
          </w:p>
        </w:tc>
        <w:tc>
          <w:tcPr>
            <w:tcW w:w="19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158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9"/>
        </w:trPr>
        <w:tc>
          <w:tcPr>
            <w:tcW w:w="4220" w:type="dxa"/>
            <w:vAlign w:val="bottom"/>
            <w:tcBorders>
              <w:bottom w:val="single" w:sz="8" w:color="0000EE"/>
            </w:tcBorders>
            <w:gridSpan w:val="4"/>
          </w:tcPr>
          <w:p>
            <w:pPr>
              <w:spacing w:after="0"/>
              <w:rPr>
                <w:rFonts w:ascii="Arial" w:cs="Arial" w:eastAsia="Arial" w:hAnsi="Arial"/>
                <w:sz w:val="12"/>
                <w:szCs w:val="12"/>
                <w:color w:val="0000EE"/>
                <w:w w:val="97"/>
              </w:rPr>
            </w:pPr>
            <w:hyperlink r:id="rId158">
              <w:r>
                <w:rPr>
                  <w:rFonts w:ascii="Arial" w:cs="Arial" w:eastAsia="Arial" w:hAnsi="Arial"/>
                  <w:sz w:val="12"/>
                  <w:szCs w:val="12"/>
                  <w:color w:val="0000EE"/>
                  <w:w w:val="97"/>
                </w:rPr>
                <w:t>Investor Rights Agreement dated October 17, 2018, by and among Verra Mobility</w:t>
              </w:r>
            </w:hyperlink>
          </w:p>
        </w:tc>
        <w:tc>
          <w:tcPr>
            <w:tcW w:w="160" w:type="dxa"/>
            <w:vAlign w:val="bottom"/>
            <w:gridSpan w:val="3"/>
          </w:tcPr>
          <w:p>
            <w:pPr>
              <w:spacing w:after="0"/>
              <w:rPr>
                <w:sz w:val="14"/>
                <w:szCs w:val="14"/>
                <w:color w:val="auto"/>
              </w:rPr>
            </w:pPr>
          </w:p>
        </w:tc>
        <w:tc>
          <w:tcPr>
            <w:tcW w:w="760" w:type="dxa"/>
            <w:vAlign w:val="bottom"/>
            <w:gridSpan w:val="2"/>
          </w:tcPr>
          <w:p>
            <w:pPr>
              <w:jc w:val="center"/>
              <w:ind w:right="140"/>
              <w:spacing w:after="0"/>
              <w:rPr>
                <w:sz w:val="20"/>
                <w:szCs w:val="20"/>
                <w:color w:val="auto"/>
              </w:rPr>
            </w:pPr>
            <w:r>
              <w:rPr>
                <w:rFonts w:ascii="Arial" w:cs="Arial" w:eastAsia="Arial" w:hAnsi="Arial"/>
                <w:sz w:val="12"/>
                <w:szCs w:val="12"/>
                <w:color w:val="auto"/>
                <w:w w:val="96"/>
              </w:rPr>
              <w:t>8-K</w:t>
            </w:r>
          </w:p>
        </w:tc>
        <w:tc>
          <w:tcPr>
            <w:tcW w:w="940" w:type="dxa"/>
            <w:vAlign w:val="bottom"/>
          </w:tcPr>
          <w:p>
            <w:pPr>
              <w:jc w:val="center"/>
              <w:ind w:left="320"/>
              <w:spacing w:after="0"/>
              <w:rPr>
                <w:sz w:val="20"/>
                <w:szCs w:val="20"/>
                <w:color w:val="auto"/>
              </w:rPr>
            </w:pPr>
            <w:r>
              <w:rPr>
                <w:rFonts w:ascii="Arial" w:cs="Arial" w:eastAsia="Arial" w:hAnsi="Arial"/>
                <w:sz w:val="12"/>
                <w:szCs w:val="12"/>
                <w:color w:val="auto"/>
                <w:w w:val="90"/>
              </w:rPr>
              <w:t>001-37979</w:t>
            </w:r>
          </w:p>
        </w:tc>
        <w:tc>
          <w:tcPr>
            <w:tcW w:w="1420" w:type="dxa"/>
            <w:vAlign w:val="bottom"/>
            <w:gridSpan w:val="3"/>
          </w:tcPr>
          <w:p>
            <w:pPr>
              <w:jc w:val="center"/>
              <w:ind w:left="460"/>
              <w:spacing w:after="0"/>
              <w:rPr>
                <w:sz w:val="20"/>
                <w:szCs w:val="20"/>
                <w:color w:val="auto"/>
              </w:rPr>
            </w:pPr>
            <w:r>
              <w:rPr>
                <w:rFonts w:ascii="Arial" w:cs="Arial" w:eastAsia="Arial" w:hAnsi="Arial"/>
                <w:sz w:val="12"/>
                <w:szCs w:val="12"/>
                <w:color w:val="auto"/>
                <w:w w:val="93"/>
              </w:rPr>
              <w:t>10.3</w:t>
            </w:r>
          </w:p>
        </w:tc>
        <w:tc>
          <w:tcPr>
            <w:tcW w:w="140" w:type="dxa"/>
            <w:vAlign w:val="bottom"/>
          </w:tcPr>
          <w:p>
            <w:pPr>
              <w:spacing w:after="0"/>
              <w:rPr>
                <w:sz w:val="14"/>
                <w:szCs w:val="14"/>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2"/>
                <w:szCs w:val="12"/>
                <w:color w:val="auto"/>
                <w:w w:val="91"/>
              </w:rPr>
              <w:t>Oct. 22, 2018</w:t>
            </w: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4380" w:type="dxa"/>
            <w:vAlign w:val="bottom"/>
            <w:gridSpan w:val="7"/>
          </w:tcPr>
          <w:p>
            <w:pPr>
              <w:spacing w:after="0" w:line="124" w:lineRule="exact"/>
              <w:rPr>
                <w:rFonts w:ascii="Arial" w:cs="Arial" w:eastAsia="Arial" w:hAnsi="Arial"/>
                <w:sz w:val="12"/>
                <w:szCs w:val="12"/>
                <w:color w:val="0000EE"/>
              </w:rPr>
            </w:pPr>
            <w:hyperlink r:id="rId158">
              <w:r>
                <w:rPr>
                  <w:rFonts w:ascii="Arial" w:cs="Arial" w:eastAsia="Arial" w:hAnsi="Arial"/>
                  <w:sz w:val="12"/>
                  <w:szCs w:val="12"/>
                  <w:color w:val="0000EE"/>
                </w:rPr>
                <w:t>Corporation and PE Greenlight Holdings, LLC</w:t>
              </w:r>
              <w:r>
                <w:rPr>
                  <w:rFonts w:ascii="Arial" w:cs="Arial" w:eastAsia="Arial" w:hAnsi="Arial"/>
                  <w:sz w:val="12"/>
                  <w:szCs w:val="12"/>
                  <w:color w:val="000000"/>
                </w:rPr>
                <w:t>.</w:t>
              </w:r>
            </w:hyperlink>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4240" w:type="dxa"/>
            <w:vAlign w:val="bottom"/>
            <w:tcBorders>
              <w:bottom w:val="single" w:sz="8" w:color="0000EE"/>
            </w:tcBorders>
            <w:gridSpan w:val="5"/>
          </w:tcPr>
          <w:p>
            <w:pPr>
              <w:spacing w:after="0"/>
              <w:rPr>
                <w:rFonts w:ascii="Arial" w:cs="Arial" w:eastAsia="Arial" w:hAnsi="Arial"/>
                <w:sz w:val="12"/>
                <w:szCs w:val="12"/>
                <w:color w:val="0000EE"/>
                <w:w w:val="97"/>
              </w:rPr>
            </w:pPr>
            <w:hyperlink r:id="rId159">
              <w:r>
                <w:rPr>
                  <w:rFonts w:ascii="Arial" w:cs="Arial" w:eastAsia="Arial" w:hAnsi="Arial"/>
                  <w:sz w:val="12"/>
                  <w:szCs w:val="12"/>
                  <w:color w:val="0000EE"/>
                  <w:w w:val="97"/>
                </w:rPr>
                <w:t>Tax Receivable Agreement dated October 17, 2018, by and among Verra Mobility</w:t>
              </w:r>
            </w:hyperlink>
          </w:p>
        </w:tc>
        <w:tc>
          <w:tcPr>
            <w:tcW w:w="140" w:type="dxa"/>
            <w:vAlign w:val="bottom"/>
            <w:gridSpan w:val="2"/>
          </w:tcPr>
          <w:p>
            <w:pPr>
              <w:spacing w:after="0"/>
              <w:rPr>
                <w:sz w:val="16"/>
                <w:szCs w:val="16"/>
                <w:color w:val="auto"/>
              </w:rPr>
            </w:pPr>
          </w:p>
        </w:tc>
        <w:tc>
          <w:tcPr>
            <w:tcW w:w="760" w:type="dxa"/>
            <w:vAlign w:val="bottom"/>
            <w:gridSpan w:val="2"/>
          </w:tcPr>
          <w:p>
            <w:pPr>
              <w:jc w:val="center"/>
              <w:ind w:right="140"/>
              <w:spacing w:after="0"/>
              <w:rPr>
                <w:sz w:val="20"/>
                <w:szCs w:val="20"/>
                <w:color w:val="auto"/>
              </w:rPr>
            </w:pPr>
            <w:r>
              <w:rPr>
                <w:rFonts w:ascii="Arial" w:cs="Arial" w:eastAsia="Arial" w:hAnsi="Arial"/>
                <w:sz w:val="12"/>
                <w:szCs w:val="12"/>
                <w:color w:val="auto"/>
                <w:w w:val="96"/>
              </w:rPr>
              <w:t>8-K</w:t>
            </w:r>
          </w:p>
        </w:tc>
        <w:tc>
          <w:tcPr>
            <w:tcW w:w="940" w:type="dxa"/>
            <w:vAlign w:val="bottom"/>
          </w:tcPr>
          <w:p>
            <w:pPr>
              <w:jc w:val="center"/>
              <w:ind w:left="320"/>
              <w:spacing w:after="0"/>
              <w:rPr>
                <w:sz w:val="20"/>
                <w:szCs w:val="20"/>
                <w:color w:val="auto"/>
              </w:rPr>
            </w:pPr>
            <w:r>
              <w:rPr>
                <w:rFonts w:ascii="Arial" w:cs="Arial" w:eastAsia="Arial" w:hAnsi="Arial"/>
                <w:sz w:val="12"/>
                <w:szCs w:val="12"/>
                <w:color w:val="auto"/>
                <w:w w:val="90"/>
              </w:rPr>
              <w:t>001-37979</w:t>
            </w:r>
          </w:p>
        </w:tc>
        <w:tc>
          <w:tcPr>
            <w:tcW w:w="1420" w:type="dxa"/>
            <w:vAlign w:val="bottom"/>
            <w:gridSpan w:val="3"/>
          </w:tcPr>
          <w:p>
            <w:pPr>
              <w:jc w:val="center"/>
              <w:ind w:left="460"/>
              <w:spacing w:after="0"/>
              <w:rPr>
                <w:sz w:val="20"/>
                <w:szCs w:val="20"/>
                <w:color w:val="auto"/>
              </w:rPr>
            </w:pPr>
            <w:r>
              <w:rPr>
                <w:rFonts w:ascii="Arial" w:cs="Arial" w:eastAsia="Arial" w:hAnsi="Arial"/>
                <w:sz w:val="12"/>
                <w:szCs w:val="12"/>
                <w:color w:val="auto"/>
                <w:w w:val="93"/>
              </w:rPr>
              <w:t>10.4</w:t>
            </w:r>
          </w:p>
        </w:tc>
        <w:tc>
          <w:tcPr>
            <w:tcW w:w="140" w:type="dxa"/>
            <w:vAlign w:val="bottom"/>
          </w:tcPr>
          <w:p>
            <w:pPr>
              <w:spacing w:after="0"/>
              <w:rPr>
                <w:sz w:val="16"/>
                <w:szCs w:val="16"/>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2"/>
                <w:szCs w:val="12"/>
                <w:color w:val="auto"/>
                <w:w w:val="91"/>
              </w:rPr>
              <w:t>Oct. 22, 2018</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4"/>
        </w:trPr>
        <w:tc>
          <w:tcPr>
            <w:tcW w:w="4240" w:type="dxa"/>
            <w:vAlign w:val="bottom"/>
            <w:tcBorders>
              <w:bottom w:val="single" w:sz="8" w:color="0000EE"/>
            </w:tcBorders>
            <w:gridSpan w:val="5"/>
          </w:tcPr>
          <w:p>
            <w:pPr>
              <w:spacing w:after="0" w:line="124" w:lineRule="exact"/>
              <w:rPr>
                <w:rFonts w:ascii="Arial" w:cs="Arial" w:eastAsia="Arial" w:hAnsi="Arial"/>
                <w:sz w:val="12"/>
                <w:szCs w:val="12"/>
                <w:color w:val="0000EE"/>
                <w:w w:val="94"/>
              </w:rPr>
            </w:pPr>
            <w:hyperlink r:id="rId159">
              <w:r>
                <w:rPr>
                  <w:rFonts w:ascii="Arial" w:cs="Arial" w:eastAsia="Arial" w:hAnsi="Arial"/>
                  <w:sz w:val="12"/>
                  <w:szCs w:val="12"/>
                  <w:color w:val="0000EE"/>
                  <w:w w:val="94"/>
                </w:rPr>
                <w:t>Corporation, the persons identified as “Stockholders” on Schedule 1 thereto, and PE</w:t>
              </w:r>
            </w:hyperlink>
          </w:p>
        </w:tc>
        <w:tc>
          <w:tcPr>
            <w:tcW w:w="140" w:type="dxa"/>
            <w:vAlign w:val="bottom"/>
            <w:gridSpan w:val="2"/>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4220" w:type="dxa"/>
            <w:vAlign w:val="bottom"/>
            <w:tcBorders>
              <w:bottom w:val="single" w:sz="8" w:color="0000EE"/>
            </w:tcBorders>
            <w:gridSpan w:val="4"/>
          </w:tcPr>
          <w:p>
            <w:pPr>
              <w:spacing w:after="0" w:line="124" w:lineRule="exact"/>
              <w:rPr>
                <w:rFonts w:ascii="Arial" w:cs="Arial" w:eastAsia="Arial" w:hAnsi="Arial"/>
                <w:sz w:val="12"/>
                <w:szCs w:val="12"/>
                <w:color w:val="0000EE"/>
                <w:w w:val="96"/>
              </w:rPr>
            </w:pPr>
            <w:hyperlink r:id="rId159">
              <w:r>
                <w:rPr>
                  <w:rFonts w:ascii="Arial" w:cs="Arial" w:eastAsia="Arial" w:hAnsi="Arial"/>
                  <w:sz w:val="12"/>
                  <w:szCs w:val="12"/>
                  <w:color w:val="0000EE"/>
                  <w:w w:val="96"/>
                </w:rPr>
                <w:t>Greenlight Holdings, LLC, solely in its capacity as the stockholders’ representative</w:t>
              </w:r>
            </w:hyperlink>
          </w:p>
        </w:tc>
        <w:tc>
          <w:tcPr>
            <w:tcW w:w="160" w:type="dxa"/>
            <w:vAlign w:val="bottom"/>
            <w:gridSpan w:val="3"/>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4380" w:type="dxa"/>
            <w:vAlign w:val="bottom"/>
            <w:gridSpan w:val="7"/>
          </w:tcPr>
          <w:p>
            <w:pPr>
              <w:spacing w:after="0" w:line="124" w:lineRule="exact"/>
              <w:rPr>
                <w:rFonts w:ascii="Arial" w:cs="Arial" w:eastAsia="Arial" w:hAnsi="Arial"/>
                <w:sz w:val="12"/>
                <w:szCs w:val="12"/>
                <w:color w:val="0000EE"/>
              </w:rPr>
            </w:pPr>
            <w:hyperlink r:id="rId159">
              <w:r>
                <w:rPr>
                  <w:rFonts w:ascii="Arial" w:cs="Arial" w:eastAsia="Arial" w:hAnsi="Arial"/>
                  <w:sz w:val="12"/>
                  <w:szCs w:val="12"/>
                  <w:color w:val="0000EE"/>
                </w:rPr>
                <w:t>thereunder</w:t>
              </w:r>
              <w:r>
                <w:rPr>
                  <w:rFonts w:ascii="Arial" w:cs="Arial" w:eastAsia="Arial" w:hAnsi="Arial"/>
                  <w:sz w:val="12"/>
                  <w:szCs w:val="12"/>
                  <w:color w:val="000000"/>
                </w:rPr>
                <w:t>.</w:t>
              </w:r>
            </w:hyperlink>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2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4260" w:type="dxa"/>
            <w:vAlign w:val="bottom"/>
            <w:tcBorders>
              <w:bottom w:val="single" w:sz="8" w:color="0000EE"/>
            </w:tcBorders>
            <w:gridSpan w:val="6"/>
          </w:tcPr>
          <w:p>
            <w:pPr>
              <w:spacing w:after="0"/>
              <w:rPr>
                <w:rFonts w:ascii="Arial" w:cs="Arial" w:eastAsia="Arial" w:hAnsi="Arial"/>
                <w:sz w:val="12"/>
                <w:szCs w:val="12"/>
                <w:color w:val="0000EE"/>
                <w:w w:val="92"/>
              </w:rPr>
            </w:pPr>
            <w:hyperlink r:id="rId160">
              <w:r>
                <w:rPr>
                  <w:rFonts w:ascii="Arial" w:cs="Arial" w:eastAsia="Arial" w:hAnsi="Arial"/>
                  <w:sz w:val="12"/>
                  <w:szCs w:val="12"/>
                  <w:color w:val="0000EE"/>
                  <w:w w:val="92"/>
                </w:rPr>
                <w:t>Revolving Credit Agreement dated as of March 1, 2018, among Greenlight Acquisition</w:t>
              </w:r>
            </w:hyperlink>
          </w:p>
        </w:tc>
        <w:tc>
          <w:tcPr>
            <w:tcW w:w="120" w:type="dxa"/>
            <w:vAlign w:val="bottom"/>
          </w:tcPr>
          <w:p>
            <w:pPr>
              <w:spacing w:after="0"/>
              <w:rPr>
                <w:sz w:val="16"/>
                <w:szCs w:val="16"/>
                <w:color w:val="auto"/>
              </w:rPr>
            </w:pPr>
          </w:p>
        </w:tc>
        <w:tc>
          <w:tcPr>
            <w:tcW w:w="760" w:type="dxa"/>
            <w:vAlign w:val="bottom"/>
            <w:gridSpan w:val="2"/>
          </w:tcPr>
          <w:p>
            <w:pPr>
              <w:jc w:val="center"/>
              <w:ind w:right="140"/>
              <w:spacing w:after="0"/>
              <w:rPr>
                <w:sz w:val="20"/>
                <w:szCs w:val="20"/>
                <w:color w:val="auto"/>
              </w:rPr>
            </w:pPr>
            <w:r>
              <w:rPr>
                <w:rFonts w:ascii="Arial" w:cs="Arial" w:eastAsia="Arial" w:hAnsi="Arial"/>
                <w:sz w:val="12"/>
                <w:szCs w:val="12"/>
                <w:color w:val="auto"/>
                <w:w w:val="96"/>
              </w:rPr>
              <w:t>8-K</w:t>
            </w:r>
          </w:p>
        </w:tc>
        <w:tc>
          <w:tcPr>
            <w:tcW w:w="940" w:type="dxa"/>
            <w:vAlign w:val="bottom"/>
          </w:tcPr>
          <w:p>
            <w:pPr>
              <w:jc w:val="center"/>
              <w:ind w:left="320"/>
              <w:spacing w:after="0"/>
              <w:rPr>
                <w:sz w:val="20"/>
                <w:szCs w:val="20"/>
                <w:color w:val="auto"/>
              </w:rPr>
            </w:pPr>
            <w:r>
              <w:rPr>
                <w:rFonts w:ascii="Arial" w:cs="Arial" w:eastAsia="Arial" w:hAnsi="Arial"/>
                <w:sz w:val="12"/>
                <w:szCs w:val="12"/>
                <w:color w:val="auto"/>
                <w:w w:val="90"/>
              </w:rPr>
              <w:t>001-37979</w:t>
            </w:r>
          </w:p>
        </w:tc>
        <w:tc>
          <w:tcPr>
            <w:tcW w:w="1420" w:type="dxa"/>
            <w:vAlign w:val="bottom"/>
            <w:gridSpan w:val="3"/>
          </w:tcPr>
          <w:p>
            <w:pPr>
              <w:jc w:val="center"/>
              <w:ind w:left="460"/>
              <w:spacing w:after="0"/>
              <w:rPr>
                <w:sz w:val="20"/>
                <w:szCs w:val="20"/>
                <w:color w:val="auto"/>
              </w:rPr>
            </w:pPr>
            <w:r>
              <w:rPr>
                <w:rFonts w:ascii="Arial" w:cs="Arial" w:eastAsia="Arial" w:hAnsi="Arial"/>
                <w:sz w:val="12"/>
                <w:szCs w:val="12"/>
                <w:color w:val="auto"/>
                <w:w w:val="93"/>
              </w:rPr>
              <w:t>10.5</w:t>
            </w:r>
          </w:p>
        </w:tc>
        <w:tc>
          <w:tcPr>
            <w:tcW w:w="140" w:type="dxa"/>
            <w:vAlign w:val="bottom"/>
          </w:tcPr>
          <w:p>
            <w:pPr>
              <w:spacing w:after="0"/>
              <w:rPr>
                <w:sz w:val="16"/>
                <w:szCs w:val="16"/>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2"/>
                <w:szCs w:val="12"/>
                <w:color w:val="auto"/>
                <w:w w:val="91"/>
              </w:rPr>
              <w:t>Oct. 22, 2018</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4"/>
        </w:trPr>
        <w:tc>
          <w:tcPr>
            <w:tcW w:w="4220" w:type="dxa"/>
            <w:vAlign w:val="bottom"/>
            <w:tcBorders>
              <w:bottom w:val="single" w:sz="8" w:color="0000EE"/>
            </w:tcBorders>
            <w:gridSpan w:val="4"/>
          </w:tcPr>
          <w:p>
            <w:pPr>
              <w:spacing w:after="0" w:line="124" w:lineRule="exact"/>
              <w:rPr>
                <w:rFonts w:ascii="Arial" w:cs="Arial" w:eastAsia="Arial" w:hAnsi="Arial"/>
                <w:sz w:val="12"/>
                <w:szCs w:val="12"/>
                <w:color w:val="0000EE"/>
                <w:w w:val="96"/>
              </w:rPr>
            </w:pPr>
            <w:hyperlink r:id="rId160">
              <w:r>
                <w:rPr>
                  <w:rFonts w:ascii="Arial" w:cs="Arial" w:eastAsia="Arial" w:hAnsi="Arial"/>
                  <w:sz w:val="12"/>
                  <w:szCs w:val="12"/>
                  <w:color w:val="0000EE"/>
                  <w:w w:val="96"/>
                </w:rPr>
                <w:t>Corporation, ATS Consolidated Inc., each of the other borrowers party thereto, the</w:t>
              </w:r>
            </w:hyperlink>
          </w:p>
        </w:tc>
        <w:tc>
          <w:tcPr>
            <w:tcW w:w="160" w:type="dxa"/>
            <w:vAlign w:val="bottom"/>
            <w:gridSpan w:val="3"/>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4260" w:type="dxa"/>
            <w:vAlign w:val="bottom"/>
            <w:tcBorders>
              <w:bottom w:val="single" w:sz="8" w:color="0000EE"/>
            </w:tcBorders>
            <w:gridSpan w:val="6"/>
          </w:tcPr>
          <w:p>
            <w:pPr>
              <w:spacing w:after="0" w:line="124" w:lineRule="exact"/>
              <w:rPr>
                <w:rFonts w:ascii="Arial" w:cs="Arial" w:eastAsia="Arial" w:hAnsi="Arial"/>
                <w:sz w:val="12"/>
                <w:szCs w:val="12"/>
                <w:color w:val="0000EE"/>
              </w:rPr>
            </w:pPr>
            <w:hyperlink r:id="rId160">
              <w:r>
                <w:rPr>
                  <w:rFonts w:ascii="Arial" w:cs="Arial" w:eastAsia="Arial" w:hAnsi="Arial"/>
                  <w:sz w:val="12"/>
                  <w:szCs w:val="12"/>
                  <w:color w:val="0000EE"/>
                </w:rPr>
                <w:t>lenders party thereto and Bank of America, N.A. as Administrative Agent and</w:t>
              </w:r>
            </w:hyperlink>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4380" w:type="dxa"/>
            <w:vAlign w:val="bottom"/>
            <w:gridSpan w:val="7"/>
          </w:tcPr>
          <w:p>
            <w:pPr>
              <w:spacing w:after="0" w:line="124" w:lineRule="exact"/>
              <w:rPr>
                <w:rFonts w:ascii="Arial" w:cs="Arial" w:eastAsia="Arial" w:hAnsi="Arial"/>
                <w:sz w:val="12"/>
                <w:szCs w:val="12"/>
                <w:color w:val="0000EE"/>
              </w:rPr>
            </w:pPr>
            <w:hyperlink r:id="rId160">
              <w:r>
                <w:rPr>
                  <w:rFonts w:ascii="Arial" w:cs="Arial" w:eastAsia="Arial" w:hAnsi="Arial"/>
                  <w:sz w:val="12"/>
                  <w:szCs w:val="12"/>
                  <w:color w:val="0000EE"/>
                </w:rPr>
                <w:t>Collateral Agent</w:t>
              </w:r>
              <w:r>
                <w:rPr>
                  <w:rFonts w:ascii="Arial" w:cs="Arial" w:eastAsia="Arial" w:hAnsi="Arial"/>
                  <w:sz w:val="12"/>
                  <w:szCs w:val="12"/>
                  <w:color w:val="000000"/>
                </w:rPr>
                <w:t>.</w:t>
              </w:r>
            </w:hyperlink>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0" w:lineRule="exact"/>
        <w:rPr>
          <w:sz w:val="20"/>
          <w:szCs w:val="20"/>
          <w:color w:val="auto"/>
        </w:rPr>
      </w:pPr>
    </w:p>
    <w:p>
      <w:pPr>
        <w:sectPr>
          <w:pgSz w:w="11900" w:h="16838" w:orient="portrait"/>
          <w:cols w:equalWidth="0" w:num="2">
            <w:col w:w="720" w:space="420"/>
            <w:col w:w="10340"/>
          </w:cols>
          <w:pgMar w:left="220" w:top="271" w:right="199" w:bottom="1440" w:gutter="0" w:footer="0" w:header="0"/>
        </w:sectPr>
      </w:pPr>
    </w:p>
    <w:tbl>
      <w:tblPr>
        <w:tblLayout w:type="fixed"/>
        <w:tblInd w:w="0" w:type="dxa"/>
        <w:tblCellMar>
          <w:top w:w="0" w:type="dxa"/>
          <w:left w:w="0" w:type="dxa"/>
          <w:bottom w:w="0" w:type="dxa"/>
          <w:right w:w="0" w:type="dxa"/>
        </w:tblCellMar>
      </w:tblPr>
      <w:tr>
        <w:trPr>
          <w:trHeight w:val="138"/>
        </w:trPr>
        <w:tc>
          <w:tcPr>
            <w:tcW w:w="1140" w:type="dxa"/>
            <w:vAlign w:val="bottom"/>
          </w:tcPr>
          <w:p>
            <w:pPr>
              <w:jc w:val="right"/>
              <w:ind w:right="820"/>
              <w:spacing w:after="0"/>
              <w:rPr>
                <w:sz w:val="20"/>
                <w:szCs w:val="20"/>
                <w:color w:val="auto"/>
              </w:rPr>
            </w:pPr>
            <w:r>
              <w:rPr>
                <w:rFonts w:ascii="Arial" w:cs="Arial" w:eastAsia="Arial" w:hAnsi="Arial"/>
                <w:sz w:val="12"/>
                <w:szCs w:val="12"/>
                <w:color w:val="auto"/>
              </w:rPr>
              <w:t>10.6</w:t>
            </w:r>
          </w:p>
        </w:tc>
        <w:tc>
          <w:tcPr>
            <w:tcW w:w="4220" w:type="dxa"/>
            <w:vAlign w:val="bottom"/>
            <w:tcBorders>
              <w:bottom w:val="single" w:sz="8" w:color="0000EE"/>
            </w:tcBorders>
            <w:gridSpan w:val="3"/>
          </w:tcPr>
          <w:p>
            <w:pPr>
              <w:spacing w:after="0"/>
              <w:rPr>
                <w:rFonts w:ascii="Arial" w:cs="Arial" w:eastAsia="Arial" w:hAnsi="Arial"/>
                <w:sz w:val="12"/>
                <w:szCs w:val="12"/>
                <w:color w:val="0000EE"/>
                <w:w w:val="92"/>
              </w:rPr>
            </w:pPr>
            <w:hyperlink r:id="rId161">
              <w:r>
                <w:rPr>
                  <w:rFonts w:ascii="Arial" w:cs="Arial" w:eastAsia="Arial" w:hAnsi="Arial"/>
                  <w:sz w:val="12"/>
                  <w:szCs w:val="12"/>
                  <w:color w:val="0000EE"/>
                  <w:w w:val="92"/>
                </w:rPr>
                <w:t>First Lien Term Loan Credit Agreement dated as of March 1, 2018, among Greenlight</w:t>
              </w:r>
            </w:hyperlink>
          </w:p>
        </w:tc>
        <w:tc>
          <w:tcPr>
            <w:tcW w:w="140" w:type="dxa"/>
            <w:vAlign w:val="bottom"/>
            <w:gridSpan w:val="4"/>
          </w:tcPr>
          <w:p>
            <w:pPr>
              <w:spacing w:after="0"/>
              <w:rPr>
                <w:sz w:val="12"/>
                <w:szCs w:val="12"/>
                <w:color w:val="auto"/>
              </w:rPr>
            </w:pPr>
          </w:p>
        </w:tc>
        <w:tc>
          <w:tcPr>
            <w:tcW w:w="800" w:type="dxa"/>
            <w:vAlign w:val="bottom"/>
          </w:tcPr>
          <w:p>
            <w:pPr>
              <w:ind w:left="240"/>
              <w:spacing w:after="0"/>
              <w:rPr>
                <w:sz w:val="20"/>
                <w:szCs w:val="20"/>
                <w:color w:val="auto"/>
              </w:rPr>
            </w:pPr>
            <w:r>
              <w:rPr>
                <w:rFonts w:ascii="Arial" w:cs="Arial" w:eastAsia="Arial" w:hAnsi="Arial"/>
                <w:sz w:val="12"/>
                <w:szCs w:val="12"/>
                <w:color w:val="auto"/>
              </w:rPr>
              <w:t>8-K</w:t>
            </w:r>
          </w:p>
        </w:tc>
        <w:tc>
          <w:tcPr>
            <w:tcW w:w="1340" w:type="dxa"/>
            <w:vAlign w:val="bottom"/>
          </w:tcPr>
          <w:p>
            <w:pPr>
              <w:jc w:val="right"/>
              <w:ind w:right="380"/>
              <w:spacing w:after="0"/>
              <w:rPr>
                <w:sz w:val="20"/>
                <w:szCs w:val="20"/>
                <w:color w:val="auto"/>
              </w:rPr>
            </w:pPr>
            <w:r>
              <w:rPr>
                <w:rFonts w:ascii="Arial" w:cs="Arial" w:eastAsia="Arial" w:hAnsi="Arial"/>
                <w:sz w:val="12"/>
                <w:szCs w:val="12"/>
                <w:color w:val="auto"/>
              </w:rPr>
              <w:t>001-37979</w:t>
            </w:r>
          </w:p>
        </w:tc>
        <w:tc>
          <w:tcPr>
            <w:tcW w:w="1120" w:type="dxa"/>
            <w:vAlign w:val="bottom"/>
          </w:tcPr>
          <w:p>
            <w:pPr>
              <w:jc w:val="right"/>
              <w:ind w:right="400"/>
              <w:spacing w:after="0"/>
              <w:rPr>
                <w:sz w:val="20"/>
                <w:szCs w:val="20"/>
                <w:color w:val="auto"/>
              </w:rPr>
            </w:pPr>
            <w:r>
              <w:rPr>
                <w:rFonts w:ascii="Arial" w:cs="Arial" w:eastAsia="Arial" w:hAnsi="Arial"/>
                <w:sz w:val="12"/>
                <w:szCs w:val="12"/>
                <w:color w:val="auto"/>
              </w:rPr>
              <w:t>10.6</w:t>
            </w:r>
          </w:p>
        </w:tc>
        <w:tc>
          <w:tcPr>
            <w:tcW w:w="2720" w:type="dxa"/>
            <w:vAlign w:val="bottom"/>
          </w:tcPr>
          <w:p>
            <w:pPr>
              <w:ind w:left="480"/>
              <w:spacing w:after="0"/>
              <w:rPr>
                <w:sz w:val="20"/>
                <w:szCs w:val="20"/>
                <w:color w:val="auto"/>
              </w:rPr>
            </w:pPr>
            <w:r>
              <w:rPr>
                <w:rFonts w:ascii="Arial" w:cs="Arial" w:eastAsia="Arial" w:hAnsi="Arial"/>
                <w:sz w:val="12"/>
                <w:szCs w:val="12"/>
                <w:color w:val="auto"/>
              </w:rPr>
              <w:t>Oct. 22, 2018</w:t>
            </w:r>
          </w:p>
        </w:tc>
      </w:tr>
      <w:tr>
        <w:trPr>
          <w:trHeight w:val="124"/>
        </w:trPr>
        <w:tc>
          <w:tcPr>
            <w:tcW w:w="1140" w:type="dxa"/>
            <w:vAlign w:val="bottom"/>
          </w:tcPr>
          <w:p>
            <w:pPr>
              <w:spacing w:after="0"/>
              <w:rPr>
                <w:sz w:val="10"/>
                <w:szCs w:val="10"/>
                <w:color w:val="auto"/>
              </w:rPr>
            </w:pPr>
          </w:p>
        </w:tc>
        <w:tc>
          <w:tcPr>
            <w:tcW w:w="4280" w:type="dxa"/>
            <w:vAlign w:val="bottom"/>
            <w:tcBorders>
              <w:bottom w:val="single" w:sz="8" w:color="0000EE"/>
            </w:tcBorders>
            <w:gridSpan w:val="6"/>
          </w:tcPr>
          <w:p>
            <w:pPr>
              <w:spacing w:after="0" w:line="124" w:lineRule="exact"/>
              <w:rPr>
                <w:rFonts w:ascii="Arial" w:cs="Arial" w:eastAsia="Arial" w:hAnsi="Arial"/>
                <w:sz w:val="12"/>
                <w:szCs w:val="12"/>
                <w:color w:val="0000EE"/>
                <w:w w:val="99"/>
              </w:rPr>
            </w:pPr>
            <w:hyperlink r:id="rId161">
              <w:r>
                <w:rPr>
                  <w:rFonts w:ascii="Arial" w:cs="Arial" w:eastAsia="Arial" w:hAnsi="Arial"/>
                  <w:sz w:val="12"/>
                  <w:szCs w:val="12"/>
                  <w:color w:val="0000EE"/>
                  <w:w w:val="99"/>
                </w:rPr>
                <w:t>Acquisition Corporation, ATS Consolidated, Inc., American Traffic Solutions, Inc.,</w:t>
              </w:r>
            </w:hyperlink>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720" w:type="dxa"/>
            <w:vAlign w:val="bottom"/>
          </w:tcPr>
          <w:p>
            <w:pPr>
              <w:spacing w:after="0"/>
              <w:rPr>
                <w:sz w:val="10"/>
                <w:szCs w:val="10"/>
                <w:color w:val="auto"/>
              </w:rPr>
            </w:pPr>
          </w:p>
        </w:tc>
      </w:tr>
      <w:tr>
        <w:trPr>
          <w:trHeight w:val="124"/>
        </w:trPr>
        <w:tc>
          <w:tcPr>
            <w:tcW w:w="1140" w:type="dxa"/>
            <w:vAlign w:val="bottom"/>
          </w:tcPr>
          <w:p>
            <w:pPr>
              <w:spacing w:after="0"/>
              <w:rPr>
                <w:sz w:val="10"/>
                <w:szCs w:val="10"/>
                <w:color w:val="auto"/>
              </w:rPr>
            </w:pPr>
          </w:p>
        </w:tc>
        <w:tc>
          <w:tcPr>
            <w:tcW w:w="4260" w:type="dxa"/>
            <w:vAlign w:val="bottom"/>
            <w:tcBorders>
              <w:bottom w:val="single" w:sz="8" w:color="0000EE"/>
            </w:tcBorders>
            <w:gridSpan w:val="5"/>
          </w:tcPr>
          <w:p>
            <w:pPr>
              <w:spacing w:after="0" w:line="124" w:lineRule="exact"/>
              <w:rPr>
                <w:rFonts w:ascii="Arial" w:cs="Arial" w:eastAsia="Arial" w:hAnsi="Arial"/>
                <w:sz w:val="12"/>
                <w:szCs w:val="12"/>
                <w:color w:val="0000EE"/>
                <w:w w:val="93"/>
              </w:rPr>
            </w:pPr>
            <w:hyperlink r:id="rId161">
              <w:r>
                <w:rPr>
                  <w:rFonts w:ascii="Arial" w:cs="Arial" w:eastAsia="Arial" w:hAnsi="Arial"/>
                  <w:sz w:val="12"/>
                  <w:szCs w:val="12"/>
                  <w:color w:val="0000EE"/>
                  <w:w w:val="93"/>
                </w:rPr>
                <w:t>Lasercraft, Inc., the lenders party thereto and Bank of America, N.A. as Administrative</w:t>
              </w:r>
            </w:hyperlink>
          </w:p>
        </w:tc>
        <w:tc>
          <w:tcPr>
            <w:tcW w:w="100" w:type="dxa"/>
            <w:vAlign w:val="bottom"/>
            <w:gridSpan w:val="2"/>
          </w:tcPr>
          <w:p>
            <w:pPr>
              <w:spacing w:after="0"/>
              <w:rPr>
                <w:sz w:val="10"/>
                <w:szCs w:val="10"/>
                <w:color w:val="auto"/>
              </w:rPr>
            </w:pPr>
          </w:p>
        </w:tc>
        <w:tc>
          <w:tcPr>
            <w:tcW w:w="8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720" w:type="dxa"/>
            <w:vAlign w:val="bottom"/>
          </w:tcPr>
          <w:p>
            <w:pPr>
              <w:spacing w:after="0"/>
              <w:rPr>
                <w:sz w:val="10"/>
                <w:szCs w:val="10"/>
                <w:color w:val="auto"/>
              </w:rPr>
            </w:pPr>
          </w:p>
        </w:tc>
      </w:tr>
      <w:tr>
        <w:trPr>
          <w:trHeight w:val="124"/>
        </w:trPr>
        <w:tc>
          <w:tcPr>
            <w:tcW w:w="1140" w:type="dxa"/>
            <w:vAlign w:val="bottom"/>
          </w:tcPr>
          <w:p>
            <w:pPr>
              <w:spacing w:after="0"/>
              <w:rPr>
                <w:sz w:val="10"/>
                <w:szCs w:val="10"/>
                <w:color w:val="auto"/>
              </w:rPr>
            </w:pPr>
          </w:p>
        </w:tc>
        <w:tc>
          <w:tcPr>
            <w:tcW w:w="4360" w:type="dxa"/>
            <w:vAlign w:val="bottom"/>
            <w:gridSpan w:val="7"/>
          </w:tcPr>
          <w:p>
            <w:pPr>
              <w:spacing w:after="0" w:line="124" w:lineRule="exact"/>
              <w:rPr>
                <w:rFonts w:ascii="Arial" w:cs="Arial" w:eastAsia="Arial" w:hAnsi="Arial"/>
                <w:sz w:val="12"/>
                <w:szCs w:val="12"/>
                <w:color w:val="0000EE"/>
              </w:rPr>
            </w:pPr>
            <w:hyperlink r:id="rId161">
              <w:r>
                <w:rPr>
                  <w:rFonts w:ascii="Arial" w:cs="Arial" w:eastAsia="Arial" w:hAnsi="Arial"/>
                  <w:sz w:val="12"/>
                  <w:szCs w:val="12"/>
                  <w:color w:val="0000EE"/>
                </w:rPr>
                <w:t>Agent and Collateral Agent</w:t>
              </w:r>
              <w:r>
                <w:rPr>
                  <w:rFonts w:ascii="Arial" w:cs="Arial" w:eastAsia="Arial" w:hAnsi="Arial"/>
                  <w:sz w:val="12"/>
                  <w:szCs w:val="12"/>
                  <w:color w:val="000000"/>
                </w:rPr>
                <w:t>.</w:t>
              </w:r>
            </w:hyperlink>
          </w:p>
        </w:tc>
        <w:tc>
          <w:tcPr>
            <w:tcW w:w="8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720" w:type="dxa"/>
            <w:vAlign w:val="bottom"/>
          </w:tcPr>
          <w:p>
            <w:pPr>
              <w:spacing w:after="0"/>
              <w:rPr>
                <w:sz w:val="10"/>
                <w:szCs w:val="10"/>
                <w:color w:val="auto"/>
              </w:rPr>
            </w:pPr>
          </w:p>
        </w:tc>
      </w:tr>
      <w:tr>
        <w:trPr>
          <w:trHeight w:val="20"/>
        </w:trPr>
        <w:tc>
          <w:tcPr>
            <w:tcW w:w="1140" w:type="dxa"/>
            <w:vAlign w:val="bottom"/>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r>
      <w:tr>
        <w:trPr>
          <w:trHeight w:val="187"/>
        </w:trPr>
        <w:tc>
          <w:tcPr>
            <w:tcW w:w="1140" w:type="dxa"/>
            <w:vAlign w:val="bottom"/>
          </w:tcPr>
          <w:p>
            <w:pPr>
              <w:jc w:val="right"/>
              <w:ind w:right="820"/>
              <w:spacing w:after="0"/>
              <w:rPr>
                <w:sz w:val="20"/>
                <w:szCs w:val="20"/>
                <w:color w:val="auto"/>
              </w:rPr>
            </w:pPr>
            <w:r>
              <w:rPr>
                <w:rFonts w:ascii="Arial" w:cs="Arial" w:eastAsia="Arial" w:hAnsi="Arial"/>
                <w:sz w:val="12"/>
                <w:szCs w:val="12"/>
                <w:color w:val="auto"/>
              </w:rPr>
              <w:t>10.7</w:t>
            </w:r>
          </w:p>
        </w:tc>
        <w:tc>
          <w:tcPr>
            <w:tcW w:w="4220" w:type="dxa"/>
            <w:vAlign w:val="bottom"/>
            <w:tcBorders>
              <w:bottom w:val="single" w:sz="8" w:color="0000EE"/>
            </w:tcBorders>
            <w:gridSpan w:val="3"/>
          </w:tcPr>
          <w:p>
            <w:pPr>
              <w:spacing w:after="0"/>
              <w:rPr>
                <w:rFonts w:ascii="Arial" w:cs="Arial" w:eastAsia="Arial" w:hAnsi="Arial"/>
                <w:sz w:val="12"/>
                <w:szCs w:val="12"/>
                <w:color w:val="0000EE"/>
                <w:w w:val="94"/>
              </w:rPr>
            </w:pPr>
            <w:hyperlink r:id="rId162">
              <w:r>
                <w:rPr>
                  <w:rFonts w:ascii="Arial" w:cs="Arial" w:eastAsia="Arial" w:hAnsi="Arial"/>
                  <w:sz w:val="12"/>
                  <w:szCs w:val="12"/>
                  <w:color w:val="0000EE"/>
                  <w:w w:val="94"/>
                </w:rPr>
                <w:t>Amendment No. 1 to Revolving Credit Agreement dated as of July 24, 2018, among</w:t>
              </w:r>
            </w:hyperlink>
          </w:p>
        </w:tc>
        <w:tc>
          <w:tcPr>
            <w:tcW w:w="140" w:type="dxa"/>
            <w:vAlign w:val="bottom"/>
            <w:gridSpan w:val="4"/>
          </w:tcPr>
          <w:p>
            <w:pPr>
              <w:spacing w:after="0"/>
              <w:rPr>
                <w:sz w:val="16"/>
                <w:szCs w:val="16"/>
                <w:color w:val="auto"/>
              </w:rPr>
            </w:pPr>
          </w:p>
        </w:tc>
        <w:tc>
          <w:tcPr>
            <w:tcW w:w="800" w:type="dxa"/>
            <w:vAlign w:val="bottom"/>
          </w:tcPr>
          <w:p>
            <w:pPr>
              <w:ind w:left="240"/>
              <w:spacing w:after="0"/>
              <w:rPr>
                <w:sz w:val="20"/>
                <w:szCs w:val="20"/>
                <w:color w:val="auto"/>
              </w:rPr>
            </w:pPr>
            <w:r>
              <w:rPr>
                <w:rFonts w:ascii="Arial" w:cs="Arial" w:eastAsia="Arial" w:hAnsi="Arial"/>
                <w:sz w:val="12"/>
                <w:szCs w:val="12"/>
                <w:color w:val="auto"/>
              </w:rPr>
              <w:t>8-K</w:t>
            </w:r>
          </w:p>
        </w:tc>
        <w:tc>
          <w:tcPr>
            <w:tcW w:w="1340" w:type="dxa"/>
            <w:vAlign w:val="bottom"/>
          </w:tcPr>
          <w:p>
            <w:pPr>
              <w:jc w:val="right"/>
              <w:ind w:right="380"/>
              <w:spacing w:after="0"/>
              <w:rPr>
                <w:sz w:val="20"/>
                <w:szCs w:val="20"/>
                <w:color w:val="auto"/>
              </w:rPr>
            </w:pPr>
            <w:r>
              <w:rPr>
                <w:rFonts w:ascii="Arial" w:cs="Arial" w:eastAsia="Arial" w:hAnsi="Arial"/>
                <w:sz w:val="12"/>
                <w:szCs w:val="12"/>
                <w:color w:val="auto"/>
              </w:rPr>
              <w:t>001-37979</w:t>
            </w:r>
          </w:p>
        </w:tc>
        <w:tc>
          <w:tcPr>
            <w:tcW w:w="1120" w:type="dxa"/>
            <w:vAlign w:val="bottom"/>
          </w:tcPr>
          <w:p>
            <w:pPr>
              <w:jc w:val="right"/>
              <w:ind w:right="400"/>
              <w:spacing w:after="0"/>
              <w:rPr>
                <w:sz w:val="20"/>
                <w:szCs w:val="20"/>
                <w:color w:val="auto"/>
              </w:rPr>
            </w:pPr>
            <w:r>
              <w:rPr>
                <w:rFonts w:ascii="Arial" w:cs="Arial" w:eastAsia="Arial" w:hAnsi="Arial"/>
                <w:sz w:val="12"/>
                <w:szCs w:val="12"/>
                <w:color w:val="auto"/>
              </w:rPr>
              <w:t>10.7</w:t>
            </w:r>
          </w:p>
        </w:tc>
        <w:tc>
          <w:tcPr>
            <w:tcW w:w="2720" w:type="dxa"/>
            <w:vAlign w:val="bottom"/>
          </w:tcPr>
          <w:p>
            <w:pPr>
              <w:ind w:left="480"/>
              <w:spacing w:after="0"/>
              <w:rPr>
                <w:sz w:val="20"/>
                <w:szCs w:val="20"/>
                <w:color w:val="auto"/>
              </w:rPr>
            </w:pPr>
            <w:r>
              <w:rPr>
                <w:rFonts w:ascii="Arial" w:cs="Arial" w:eastAsia="Arial" w:hAnsi="Arial"/>
                <w:sz w:val="12"/>
                <w:szCs w:val="12"/>
                <w:color w:val="auto"/>
              </w:rPr>
              <w:t>Oct. 22, 2018</w:t>
            </w:r>
          </w:p>
        </w:tc>
      </w:tr>
      <w:tr>
        <w:trPr>
          <w:trHeight w:val="124"/>
        </w:trPr>
        <w:tc>
          <w:tcPr>
            <w:tcW w:w="1140" w:type="dxa"/>
            <w:vAlign w:val="bottom"/>
          </w:tcPr>
          <w:p>
            <w:pPr>
              <w:spacing w:after="0"/>
              <w:rPr>
                <w:sz w:val="10"/>
                <w:szCs w:val="10"/>
                <w:color w:val="auto"/>
              </w:rPr>
            </w:pPr>
          </w:p>
        </w:tc>
        <w:tc>
          <w:tcPr>
            <w:tcW w:w="4280" w:type="dxa"/>
            <w:vAlign w:val="bottom"/>
            <w:tcBorders>
              <w:bottom w:val="single" w:sz="8" w:color="0000EE"/>
            </w:tcBorders>
            <w:gridSpan w:val="6"/>
          </w:tcPr>
          <w:p>
            <w:pPr>
              <w:spacing w:after="0" w:line="124" w:lineRule="exact"/>
              <w:rPr>
                <w:rFonts w:ascii="Arial" w:cs="Arial" w:eastAsia="Arial" w:hAnsi="Arial"/>
                <w:sz w:val="12"/>
                <w:szCs w:val="12"/>
                <w:color w:val="0000EE"/>
                <w:w w:val="98"/>
              </w:rPr>
            </w:pPr>
            <w:hyperlink r:id="rId162">
              <w:r>
                <w:rPr>
                  <w:rFonts w:ascii="Arial" w:cs="Arial" w:eastAsia="Arial" w:hAnsi="Arial"/>
                  <w:sz w:val="12"/>
                  <w:szCs w:val="12"/>
                  <w:color w:val="0000EE"/>
                  <w:w w:val="98"/>
                </w:rPr>
                <w:t>Greenlight Acquisition Corporation, Verra Mobility Corporation (formerly known as</w:t>
              </w:r>
            </w:hyperlink>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720" w:type="dxa"/>
            <w:vAlign w:val="bottom"/>
          </w:tcPr>
          <w:p>
            <w:pPr>
              <w:spacing w:after="0"/>
              <w:rPr>
                <w:sz w:val="10"/>
                <w:szCs w:val="10"/>
                <w:color w:val="auto"/>
              </w:rPr>
            </w:pPr>
          </w:p>
        </w:tc>
      </w:tr>
      <w:tr>
        <w:trPr>
          <w:trHeight w:val="124"/>
        </w:trPr>
        <w:tc>
          <w:tcPr>
            <w:tcW w:w="1140" w:type="dxa"/>
            <w:vAlign w:val="bottom"/>
          </w:tcPr>
          <w:p>
            <w:pPr>
              <w:spacing w:after="0"/>
              <w:rPr>
                <w:sz w:val="10"/>
                <w:szCs w:val="10"/>
                <w:color w:val="auto"/>
              </w:rPr>
            </w:pPr>
          </w:p>
        </w:tc>
        <w:tc>
          <w:tcPr>
            <w:tcW w:w="4240" w:type="dxa"/>
            <w:vAlign w:val="bottom"/>
            <w:tcBorders>
              <w:bottom w:val="single" w:sz="8" w:color="0000EE"/>
            </w:tcBorders>
            <w:gridSpan w:val="4"/>
          </w:tcPr>
          <w:p>
            <w:pPr>
              <w:spacing w:after="0" w:line="124" w:lineRule="exact"/>
              <w:rPr>
                <w:rFonts w:ascii="Arial" w:cs="Arial" w:eastAsia="Arial" w:hAnsi="Arial"/>
                <w:sz w:val="12"/>
                <w:szCs w:val="12"/>
                <w:color w:val="0000EE"/>
                <w:w w:val="95"/>
              </w:rPr>
            </w:pPr>
            <w:hyperlink r:id="rId162">
              <w:r>
                <w:rPr>
                  <w:rFonts w:ascii="Arial" w:cs="Arial" w:eastAsia="Arial" w:hAnsi="Arial"/>
                  <w:sz w:val="12"/>
                  <w:szCs w:val="12"/>
                  <w:color w:val="0000EE"/>
                  <w:w w:val="95"/>
                </w:rPr>
                <w:t>ATS Consolidated Inc.), each of the other borrowers party thereto, the lenders party</w:t>
              </w:r>
            </w:hyperlink>
          </w:p>
        </w:tc>
        <w:tc>
          <w:tcPr>
            <w:tcW w:w="120" w:type="dxa"/>
            <w:vAlign w:val="bottom"/>
            <w:gridSpan w:val="3"/>
          </w:tcPr>
          <w:p>
            <w:pPr>
              <w:spacing w:after="0"/>
              <w:rPr>
                <w:sz w:val="10"/>
                <w:szCs w:val="10"/>
                <w:color w:val="auto"/>
              </w:rPr>
            </w:pPr>
          </w:p>
        </w:tc>
        <w:tc>
          <w:tcPr>
            <w:tcW w:w="8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720" w:type="dxa"/>
            <w:vAlign w:val="bottom"/>
          </w:tcPr>
          <w:p>
            <w:pPr>
              <w:spacing w:after="0"/>
              <w:rPr>
                <w:sz w:val="10"/>
                <w:szCs w:val="10"/>
                <w:color w:val="auto"/>
              </w:rPr>
            </w:pPr>
          </w:p>
        </w:tc>
      </w:tr>
      <w:tr>
        <w:trPr>
          <w:trHeight w:val="124"/>
        </w:trPr>
        <w:tc>
          <w:tcPr>
            <w:tcW w:w="1140" w:type="dxa"/>
            <w:vAlign w:val="bottom"/>
          </w:tcPr>
          <w:p>
            <w:pPr>
              <w:spacing w:after="0"/>
              <w:rPr>
                <w:sz w:val="10"/>
                <w:szCs w:val="10"/>
                <w:color w:val="auto"/>
              </w:rPr>
            </w:pPr>
          </w:p>
        </w:tc>
        <w:tc>
          <w:tcPr>
            <w:tcW w:w="4360" w:type="dxa"/>
            <w:vAlign w:val="bottom"/>
            <w:gridSpan w:val="7"/>
          </w:tcPr>
          <w:p>
            <w:pPr>
              <w:spacing w:after="0" w:line="124" w:lineRule="exact"/>
              <w:rPr>
                <w:rFonts w:ascii="Arial" w:cs="Arial" w:eastAsia="Arial" w:hAnsi="Arial"/>
                <w:sz w:val="12"/>
                <w:szCs w:val="12"/>
                <w:color w:val="0000EE"/>
              </w:rPr>
            </w:pPr>
            <w:hyperlink r:id="rId162">
              <w:r>
                <w:rPr>
                  <w:rFonts w:ascii="Arial" w:cs="Arial" w:eastAsia="Arial" w:hAnsi="Arial"/>
                  <w:sz w:val="12"/>
                  <w:szCs w:val="12"/>
                  <w:color w:val="0000EE"/>
                </w:rPr>
                <w:t>thereto and Bank of America, N.A. as Administrative Agent and Collateral Agent</w:t>
              </w:r>
              <w:r>
                <w:rPr>
                  <w:rFonts w:ascii="Arial" w:cs="Arial" w:eastAsia="Arial" w:hAnsi="Arial"/>
                  <w:sz w:val="12"/>
                  <w:szCs w:val="12"/>
                  <w:color w:val="000000"/>
                </w:rPr>
                <w:t>.</w:t>
              </w:r>
            </w:hyperlink>
          </w:p>
        </w:tc>
        <w:tc>
          <w:tcPr>
            <w:tcW w:w="8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720" w:type="dxa"/>
            <w:vAlign w:val="bottom"/>
          </w:tcPr>
          <w:p>
            <w:pPr>
              <w:spacing w:after="0"/>
              <w:rPr>
                <w:sz w:val="10"/>
                <w:szCs w:val="10"/>
                <w:color w:val="auto"/>
              </w:rPr>
            </w:pPr>
          </w:p>
        </w:tc>
      </w:tr>
      <w:tr>
        <w:trPr>
          <w:trHeight w:val="20"/>
        </w:trPr>
        <w:tc>
          <w:tcPr>
            <w:tcW w:w="1140" w:type="dxa"/>
            <w:vAlign w:val="bottom"/>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2600" w:type="dxa"/>
            <w:vAlign w:val="bottom"/>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r>
      <w:tr>
        <w:trPr>
          <w:trHeight w:val="187"/>
        </w:trPr>
        <w:tc>
          <w:tcPr>
            <w:tcW w:w="1140" w:type="dxa"/>
            <w:vAlign w:val="bottom"/>
          </w:tcPr>
          <w:p>
            <w:pPr>
              <w:jc w:val="right"/>
              <w:ind w:right="820"/>
              <w:spacing w:after="0"/>
              <w:rPr>
                <w:sz w:val="20"/>
                <w:szCs w:val="20"/>
                <w:color w:val="auto"/>
              </w:rPr>
            </w:pPr>
            <w:r>
              <w:rPr>
                <w:rFonts w:ascii="Arial" w:cs="Arial" w:eastAsia="Arial" w:hAnsi="Arial"/>
                <w:sz w:val="12"/>
                <w:szCs w:val="12"/>
                <w:color w:val="auto"/>
              </w:rPr>
              <w:t>10.8</w:t>
            </w:r>
          </w:p>
        </w:tc>
        <w:tc>
          <w:tcPr>
            <w:tcW w:w="4260" w:type="dxa"/>
            <w:vAlign w:val="bottom"/>
            <w:tcBorders>
              <w:bottom w:val="single" w:sz="8" w:color="0000EE"/>
            </w:tcBorders>
            <w:gridSpan w:val="5"/>
          </w:tcPr>
          <w:p>
            <w:pPr>
              <w:spacing w:after="0"/>
              <w:rPr>
                <w:rFonts w:ascii="Arial" w:cs="Arial" w:eastAsia="Arial" w:hAnsi="Arial"/>
                <w:sz w:val="12"/>
                <w:szCs w:val="12"/>
                <w:color w:val="0000EE"/>
                <w:w w:val="98"/>
              </w:rPr>
            </w:pPr>
            <w:hyperlink r:id="rId163">
              <w:r>
                <w:rPr>
                  <w:rFonts w:ascii="Arial" w:cs="Arial" w:eastAsia="Arial" w:hAnsi="Arial"/>
                  <w:sz w:val="12"/>
                  <w:szCs w:val="12"/>
                  <w:color w:val="0000EE"/>
                  <w:w w:val="98"/>
                </w:rPr>
                <w:t>Amendment No. 1 to First Lien Term Loan Credit Agreement dated as of July 24,</w:t>
              </w:r>
            </w:hyperlink>
          </w:p>
        </w:tc>
        <w:tc>
          <w:tcPr>
            <w:tcW w:w="100" w:type="dxa"/>
            <w:vAlign w:val="bottom"/>
            <w:gridSpan w:val="2"/>
          </w:tcPr>
          <w:p>
            <w:pPr>
              <w:spacing w:after="0"/>
              <w:rPr>
                <w:sz w:val="16"/>
                <w:szCs w:val="16"/>
                <w:color w:val="auto"/>
              </w:rPr>
            </w:pPr>
          </w:p>
        </w:tc>
        <w:tc>
          <w:tcPr>
            <w:tcW w:w="800" w:type="dxa"/>
            <w:vAlign w:val="bottom"/>
          </w:tcPr>
          <w:p>
            <w:pPr>
              <w:ind w:left="240"/>
              <w:spacing w:after="0"/>
              <w:rPr>
                <w:sz w:val="20"/>
                <w:szCs w:val="20"/>
                <w:color w:val="auto"/>
              </w:rPr>
            </w:pPr>
            <w:r>
              <w:rPr>
                <w:rFonts w:ascii="Arial" w:cs="Arial" w:eastAsia="Arial" w:hAnsi="Arial"/>
                <w:sz w:val="12"/>
                <w:szCs w:val="12"/>
                <w:color w:val="auto"/>
              </w:rPr>
              <w:t>8-K</w:t>
            </w:r>
          </w:p>
        </w:tc>
        <w:tc>
          <w:tcPr>
            <w:tcW w:w="1340" w:type="dxa"/>
            <w:vAlign w:val="bottom"/>
          </w:tcPr>
          <w:p>
            <w:pPr>
              <w:jc w:val="right"/>
              <w:ind w:right="380"/>
              <w:spacing w:after="0"/>
              <w:rPr>
                <w:sz w:val="20"/>
                <w:szCs w:val="20"/>
                <w:color w:val="auto"/>
              </w:rPr>
            </w:pPr>
            <w:r>
              <w:rPr>
                <w:rFonts w:ascii="Arial" w:cs="Arial" w:eastAsia="Arial" w:hAnsi="Arial"/>
                <w:sz w:val="12"/>
                <w:szCs w:val="12"/>
                <w:color w:val="auto"/>
              </w:rPr>
              <w:t>001-37979</w:t>
            </w:r>
          </w:p>
        </w:tc>
        <w:tc>
          <w:tcPr>
            <w:tcW w:w="1120" w:type="dxa"/>
            <w:vAlign w:val="bottom"/>
          </w:tcPr>
          <w:p>
            <w:pPr>
              <w:jc w:val="right"/>
              <w:ind w:right="400"/>
              <w:spacing w:after="0"/>
              <w:rPr>
                <w:sz w:val="20"/>
                <w:szCs w:val="20"/>
                <w:color w:val="auto"/>
              </w:rPr>
            </w:pPr>
            <w:r>
              <w:rPr>
                <w:rFonts w:ascii="Arial" w:cs="Arial" w:eastAsia="Arial" w:hAnsi="Arial"/>
                <w:sz w:val="12"/>
                <w:szCs w:val="12"/>
                <w:color w:val="auto"/>
              </w:rPr>
              <w:t>10.8</w:t>
            </w:r>
          </w:p>
        </w:tc>
        <w:tc>
          <w:tcPr>
            <w:tcW w:w="2720" w:type="dxa"/>
            <w:vAlign w:val="bottom"/>
          </w:tcPr>
          <w:p>
            <w:pPr>
              <w:ind w:left="480"/>
              <w:spacing w:after="0"/>
              <w:rPr>
                <w:sz w:val="20"/>
                <w:szCs w:val="20"/>
                <w:color w:val="auto"/>
              </w:rPr>
            </w:pPr>
            <w:r>
              <w:rPr>
                <w:rFonts w:ascii="Arial" w:cs="Arial" w:eastAsia="Arial" w:hAnsi="Arial"/>
                <w:sz w:val="12"/>
                <w:szCs w:val="12"/>
                <w:color w:val="auto"/>
              </w:rPr>
              <w:t>Oct. 22, 2018</w:t>
            </w:r>
          </w:p>
        </w:tc>
      </w:tr>
      <w:tr>
        <w:trPr>
          <w:trHeight w:val="124"/>
        </w:trPr>
        <w:tc>
          <w:tcPr>
            <w:tcW w:w="1140" w:type="dxa"/>
            <w:vAlign w:val="bottom"/>
          </w:tcPr>
          <w:p>
            <w:pPr>
              <w:spacing w:after="0"/>
              <w:rPr>
                <w:sz w:val="10"/>
                <w:szCs w:val="10"/>
                <w:color w:val="auto"/>
              </w:rPr>
            </w:pPr>
          </w:p>
        </w:tc>
        <w:tc>
          <w:tcPr>
            <w:tcW w:w="4240" w:type="dxa"/>
            <w:vAlign w:val="bottom"/>
            <w:tcBorders>
              <w:bottom w:val="single" w:sz="8" w:color="0000EE"/>
            </w:tcBorders>
            <w:gridSpan w:val="4"/>
          </w:tcPr>
          <w:p>
            <w:pPr>
              <w:spacing w:after="0" w:line="124" w:lineRule="exact"/>
              <w:rPr>
                <w:rFonts w:ascii="Arial" w:cs="Arial" w:eastAsia="Arial" w:hAnsi="Arial"/>
                <w:sz w:val="12"/>
                <w:szCs w:val="12"/>
                <w:color w:val="0000EE"/>
                <w:w w:val="99"/>
              </w:rPr>
            </w:pPr>
            <w:hyperlink r:id="rId163">
              <w:r>
                <w:rPr>
                  <w:rFonts w:ascii="Arial" w:cs="Arial" w:eastAsia="Arial" w:hAnsi="Arial"/>
                  <w:sz w:val="12"/>
                  <w:szCs w:val="12"/>
                  <w:color w:val="0000EE"/>
                  <w:w w:val="99"/>
                </w:rPr>
                <w:t>2018,  among  Greenlight  Acquisition  Corporation,  Verra  Mobility  Corporation</w:t>
              </w:r>
            </w:hyperlink>
          </w:p>
        </w:tc>
        <w:tc>
          <w:tcPr>
            <w:tcW w:w="120" w:type="dxa"/>
            <w:vAlign w:val="bottom"/>
            <w:gridSpan w:val="3"/>
          </w:tcPr>
          <w:p>
            <w:pPr>
              <w:spacing w:after="0"/>
              <w:rPr>
                <w:sz w:val="10"/>
                <w:szCs w:val="10"/>
                <w:color w:val="auto"/>
              </w:rPr>
            </w:pPr>
          </w:p>
        </w:tc>
        <w:tc>
          <w:tcPr>
            <w:tcW w:w="8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720" w:type="dxa"/>
            <w:vAlign w:val="bottom"/>
          </w:tcPr>
          <w:p>
            <w:pPr>
              <w:spacing w:after="0"/>
              <w:rPr>
                <w:sz w:val="10"/>
                <w:szCs w:val="10"/>
                <w:color w:val="auto"/>
              </w:rPr>
            </w:pPr>
          </w:p>
        </w:tc>
      </w:tr>
      <w:tr>
        <w:trPr>
          <w:trHeight w:val="124"/>
        </w:trPr>
        <w:tc>
          <w:tcPr>
            <w:tcW w:w="1140" w:type="dxa"/>
            <w:vAlign w:val="bottom"/>
          </w:tcPr>
          <w:p>
            <w:pPr>
              <w:spacing w:after="0"/>
              <w:rPr>
                <w:sz w:val="10"/>
                <w:szCs w:val="10"/>
                <w:color w:val="auto"/>
              </w:rPr>
            </w:pPr>
          </w:p>
        </w:tc>
        <w:tc>
          <w:tcPr>
            <w:tcW w:w="4220" w:type="dxa"/>
            <w:vAlign w:val="bottom"/>
            <w:tcBorders>
              <w:bottom w:val="single" w:sz="8" w:color="0000EE"/>
            </w:tcBorders>
            <w:gridSpan w:val="3"/>
          </w:tcPr>
          <w:p>
            <w:pPr>
              <w:spacing w:after="0" w:line="124" w:lineRule="exact"/>
              <w:rPr>
                <w:rFonts w:ascii="Arial" w:cs="Arial" w:eastAsia="Arial" w:hAnsi="Arial"/>
                <w:sz w:val="12"/>
                <w:szCs w:val="12"/>
                <w:color w:val="0000EE"/>
              </w:rPr>
            </w:pPr>
            <w:hyperlink r:id="rId163">
              <w:r>
                <w:rPr>
                  <w:rFonts w:ascii="Arial" w:cs="Arial" w:eastAsia="Arial" w:hAnsi="Arial"/>
                  <w:sz w:val="12"/>
                  <w:szCs w:val="12"/>
                  <w:color w:val="0000EE"/>
                </w:rPr>
                <w:t>(formerly known as ATS Consolidated, Inc.), American Traffic Solutions, Inc.,</w:t>
              </w:r>
            </w:hyperlink>
          </w:p>
        </w:tc>
        <w:tc>
          <w:tcPr>
            <w:tcW w:w="140" w:type="dxa"/>
            <w:vAlign w:val="bottom"/>
            <w:gridSpan w:val="4"/>
          </w:tcPr>
          <w:p>
            <w:pPr>
              <w:spacing w:after="0"/>
              <w:rPr>
                <w:sz w:val="10"/>
                <w:szCs w:val="10"/>
                <w:color w:val="auto"/>
              </w:rPr>
            </w:pPr>
          </w:p>
        </w:tc>
        <w:tc>
          <w:tcPr>
            <w:tcW w:w="8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720" w:type="dxa"/>
            <w:vAlign w:val="bottom"/>
          </w:tcPr>
          <w:p>
            <w:pPr>
              <w:spacing w:after="0"/>
              <w:rPr>
                <w:sz w:val="10"/>
                <w:szCs w:val="10"/>
                <w:color w:val="auto"/>
              </w:rPr>
            </w:pPr>
          </w:p>
        </w:tc>
      </w:tr>
      <w:tr>
        <w:trPr>
          <w:trHeight w:val="124"/>
        </w:trPr>
        <w:tc>
          <w:tcPr>
            <w:tcW w:w="1140" w:type="dxa"/>
            <w:vAlign w:val="bottom"/>
          </w:tcPr>
          <w:p>
            <w:pPr>
              <w:spacing w:after="0"/>
              <w:rPr>
                <w:sz w:val="10"/>
                <w:szCs w:val="10"/>
                <w:color w:val="auto"/>
              </w:rPr>
            </w:pPr>
          </w:p>
        </w:tc>
        <w:tc>
          <w:tcPr>
            <w:tcW w:w="4260" w:type="dxa"/>
            <w:vAlign w:val="bottom"/>
            <w:tcBorders>
              <w:bottom w:val="single" w:sz="8" w:color="0000EE"/>
            </w:tcBorders>
            <w:gridSpan w:val="5"/>
          </w:tcPr>
          <w:p>
            <w:pPr>
              <w:spacing w:after="0" w:line="124" w:lineRule="exact"/>
              <w:rPr>
                <w:rFonts w:ascii="Arial" w:cs="Arial" w:eastAsia="Arial" w:hAnsi="Arial"/>
                <w:sz w:val="12"/>
                <w:szCs w:val="12"/>
                <w:color w:val="0000EE"/>
                <w:w w:val="93"/>
              </w:rPr>
            </w:pPr>
            <w:hyperlink r:id="rId163">
              <w:r>
                <w:rPr>
                  <w:rFonts w:ascii="Arial" w:cs="Arial" w:eastAsia="Arial" w:hAnsi="Arial"/>
                  <w:sz w:val="12"/>
                  <w:szCs w:val="12"/>
                  <w:color w:val="0000EE"/>
                  <w:w w:val="93"/>
                </w:rPr>
                <w:t>Lasercraft, Inc., the lenders party thereto and Bank of America, N.A. as Administrative</w:t>
              </w:r>
            </w:hyperlink>
          </w:p>
        </w:tc>
        <w:tc>
          <w:tcPr>
            <w:tcW w:w="100" w:type="dxa"/>
            <w:vAlign w:val="bottom"/>
            <w:gridSpan w:val="2"/>
          </w:tcPr>
          <w:p>
            <w:pPr>
              <w:spacing w:after="0"/>
              <w:rPr>
                <w:sz w:val="10"/>
                <w:szCs w:val="10"/>
                <w:color w:val="auto"/>
              </w:rPr>
            </w:pPr>
          </w:p>
        </w:tc>
        <w:tc>
          <w:tcPr>
            <w:tcW w:w="8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720" w:type="dxa"/>
            <w:vAlign w:val="bottom"/>
          </w:tcPr>
          <w:p>
            <w:pPr>
              <w:spacing w:after="0"/>
              <w:rPr>
                <w:sz w:val="10"/>
                <w:szCs w:val="10"/>
                <w:color w:val="auto"/>
              </w:rPr>
            </w:pPr>
          </w:p>
        </w:tc>
      </w:tr>
      <w:tr>
        <w:trPr>
          <w:trHeight w:val="124"/>
        </w:trPr>
        <w:tc>
          <w:tcPr>
            <w:tcW w:w="1140" w:type="dxa"/>
            <w:vAlign w:val="bottom"/>
          </w:tcPr>
          <w:p>
            <w:pPr>
              <w:spacing w:after="0"/>
              <w:rPr>
                <w:sz w:val="10"/>
                <w:szCs w:val="10"/>
                <w:color w:val="auto"/>
              </w:rPr>
            </w:pPr>
          </w:p>
        </w:tc>
        <w:tc>
          <w:tcPr>
            <w:tcW w:w="4360" w:type="dxa"/>
            <w:vAlign w:val="bottom"/>
            <w:gridSpan w:val="7"/>
          </w:tcPr>
          <w:p>
            <w:pPr>
              <w:spacing w:after="0" w:line="124" w:lineRule="exact"/>
              <w:rPr>
                <w:rFonts w:ascii="Arial" w:cs="Arial" w:eastAsia="Arial" w:hAnsi="Arial"/>
                <w:sz w:val="12"/>
                <w:szCs w:val="12"/>
                <w:color w:val="0000EE"/>
              </w:rPr>
            </w:pPr>
            <w:hyperlink r:id="rId163">
              <w:r>
                <w:rPr>
                  <w:rFonts w:ascii="Arial" w:cs="Arial" w:eastAsia="Arial" w:hAnsi="Arial"/>
                  <w:sz w:val="12"/>
                  <w:szCs w:val="12"/>
                  <w:color w:val="0000EE"/>
                </w:rPr>
                <w:t>Agent and Collateral Agent</w:t>
              </w:r>
              <w:r>
                <w:rPr>
                  <w:rFonts w:ascii="Arial" w:cs="Arial" w:eastAsia="Arial" w:hAnsi="Arial"/>
                  <w:sz w:val="12"/>
                  <w:szCs w:val="12"/>
                  <w:color w:val="000000"/>
                </w:rPr>
                <w:t>.</w:t>
              </w:r>
            </w:hyperlink>
          </w:p>
        </w:tc>
        <w:tc>
          <w:tcPr>
            <w:tcW w:w="8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720" w:type="dxa"/>
            <w:vAlign w:val="bottom"/>
          </w:tcPr>
          <w:p>
            <w:pPr>
              <w:spacing w:after="0"/>
              <w:rPr>
                <w:sz w:val="10"/>
                <w:szCs w:val="10"/>
                <w:color w:val="auto"/>
              </w:rPr>
            </w:pPr>
          </w:p>
        </w:tc>
      </w:tr>
      <w:tr>
        <w:trPr>
          <w:trHeight w:val="358"/>
        </w:trPr>
        <w:tc>
          <w:tcPr>
            <w:tcW w:w="1140" w:type="dxa"/>
            <w:vAlign w:val="bottom"/>
          </w:tcPr>
          <w:p>
            <w:pPr>
              <w:spacing w:after="0"/>
              <w:rPr>
                <w:sz w:val="24"/>
                <w:szCs w:val="24"/>
                <w:color w:val="auto"/>
              </w:rPr>
            </w:pPr>
          </w:p>
        </w:tc>
        <w:tc>
          <w:tcPr>
            <w:tcW w:w="1320" w:type="dxa"/>
            <w:vAlign w:val="bottom"/>
            <w:tcBorders>
              <w:top w:val="single" w:sz="8" w:color="0000EE"/>
            </w:tcBorders>
          </w:tcPr>
          <w:p>
            <w:pPr>
              <w:spacing w:after="0"/>
              <w:rPr>
                <w:sz w:val="24"/>
                <w:szCs w:val="24"/>
                <w:color w:val="auto"/>
              </w:rPr>
            </w:pPr>
          </w:p>
        </w:tc>
        <w:tc>
          <w:tcPr>
            <w:tcW w:w="2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jc w:val="right"/>
              <w:ind w:right="420"/>
              <w:spacing w:after="0"/>
              <w:rPr>
                <w:sz w:val="20"/>
                <w:szCs w:val="20"/>
                <w:color w:val="auto"/>
              </w:rPr>
            </w:pPr>
            <w:r>
              <w:rPr>
                <w:rFonts w:ascii="Arial" w:cs="Arial" w:eastAsia="Arial" w:hAnsi="Arial"/>
                <w:sz w:val="12"/>
                <w:szCs w:val="12"/>
                <w:color w:val="auto"/>
              </w:rPr>
              <w:t>113</w:t>
            </w:r>
          </w:p>
        </w:tc>
        <w:tc>
          <w:tcPr>
            <w:tcW w:w="1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720" w:type="dxa"/>
            <w:vAlign w:val="bottom"/>
          </w:tcPr>
          <w:p>
            <w:pPr>
              <w:spacing w:after="0"/>
              <w:rPr>
                <w:sz w:val="24"/>
                <w:szCs w:val="24"/>
                <w:color w:val="auto"/>
              </w:rPr>
            </w:pPr>
          </w:p>
        </w:tc>
      </w:tr>
      <w:tr>
        <w:trPr>
          <w:trHeight w:val="72"/>
        </w:trPr>
        <w:tc>
          <w:tcPr>
            <w:tcW w:w="1140" w:type="dxa"/>
            <w:vAlign w:val="bottom"/>
            <w:tcBorders>
              <w:bottom w:val="single" w:sz="8" w:color="9A9A9A"/>
            </w:tcBorders>
          </w:tcPr>
          <w:p>
            <w:pPr>
              <w:spacing w:after="0"/>
              <w:rPr>
                <w:sz w:val="6"/>
                <w:szCs w:val="6"/>
                <w:color w:val="auto"/>
              </w:rPr>
            </w:pPr>
          </w:p>
        </w:tc>
        <w:tc>
          <w:tcPr>
            <w:tcW w:w="1320" w:type="dxa"/>
            <w:vAlign w:val="bottom"/>
            <w:tcBorders>
              <w:bottom w:val="single" w:sz="8" w:color="9A9A9A"/>
            </w:tcBorders>
          </w:tcPr>
          <w:p>
            <w:pPr>
              <w:spacing w:after="0"/>
              <w:rPr>
                <w:sz w:val="6"/>
                <w:szCs w:val="6"/>
                <w:color w:val="auto"/>
              </w:rPr>
            </w:pPr>
          </w:p>
        </w:tc>
        <w:tc>
          <w:tcPr>
            <w:tcW w:w="260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80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1120" w:type="dxa"/>
            <w:vAlign w:val="bottom"/>
            <w:tcBorders>
              <w:bottom w:val="single" w:sz="8" w:color="9A9A9A"/>
            </w:tcBorders>
          </w:tcPr>
          <w:p>
            <w:pPr>
              <w:spacing w:after="0"/>
              <w:rPr>
                <w:sz w:val="6"/>
                <w:szCs w:val="6"/>
                <w:color w:val="auto"/>
              </w:rPr>
            </w:pPr>
          </w:p>
        </w:tc>
        <w:tc>
          <w:tcPr>
            <w:tcW w:w="272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7268845</wp:posOffset>
            </wp:positionH>
            <wp:positionV relativeFrom="paragraph">
              <wp:posOffset>-23495</wp:posOffset>
            </wp:positionV>
            <wp:extent cx="31115" cy="3683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4">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5">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480"/>
          </w:cols>
          <w:pgMar w:left="220" w:top="271" w:right="199" w:bottom="1440" w:gutter="0" w:footer="0" w:header="0"/>
          <w:type w:val="continuous"/>
        </w:sectPr>
      </w:pPr>
    </w:p>
    <w:bookmarkStart w:id="114" w:name="page115"/>
    <w:bookmarkEnd w:id="114"/>
    <w:p>
      <w:pPr>
        <w:spacing w:after="0" w:line="144" w:lineRule="exact"/>
        <w:rPr>
          <w:sz w:val="20"/>
          <w:szCs w:val="20"/>
          <w:color w:val="auto"/>
        </w:rPr>
      </w:pPr>
    </w:p>
    <w:p>
      <w:pPr>
        <w:ind w:left="260"/>
        <w:spacing w:after="0"/>
        <w:rPr>
          <w:sz w:val="20"/>
          <w:szCs w:val="20"/>
          <w:color w:val="auto"/>
        </w:rPr>
      </w:pPr>
      <w:r>
        <w:rPr>
          <w:rFonts w:ascii="Arial" w:cs="Arial" w:eastAsia="Arial" w:hAnsi="Arial"/>
          <w:sz w:val="11"/>
          <w:szCs w:val="11"/>
          <w:b w:val="1"/>
          <w:bCs w:val="1"/>
          <w:color w:val="auto"/>
        </w:rPr>
        <w:t>Exhibit</w:t>
      </w:r>
    </w:p>
    <w:p>
      <w:pPr>
        <w:spacing w:after="0" w:line="30"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wp:posOffset>
            </wp:positionH>
            <wp:positionV relativeFrom="paragraph">
              <wp:posOffset>9525</wp:posOffset>
            </wp:positionV>
            <wp:extent cx="657860" cy="571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6">
                      <a:extLst>
                        <a:ext uri="{28A0092B-C50C-407E-A947-70E740481C1C}"/>
                      </a:extLst>
                    </a:blip>
                    <a:srcRect/>
                    <a:stretch>
                      <a:fillRect/>
                    </a:stretch>
                  </pic:blipFill>
                  <pic:spPr bwMode="auto">
                    <a:xfrm>
                      <a:off x="0" y="0"/>
                      <a:ext cx="657860" cy="5715"/>
                    </a:xfrm>
                    <a:prstGeom prst="rect">
                      <a:avLst/>
                    </a:prstGeom>
                    <a:noFill/>
                  </pic:spPr>
                </pic:pic>
              </a:graphicData>
            </a:graphic>
          </wp:anchor>
        </w:drawing>
      </w:r>
    </w:p>
    <w:p>
      <w:pPr>
        <w:spacing w:after="0" w:line="58" w:lineRule="exact"/>
        <w:rPr>
          <w:sz w:val="20"/>
          <w:szCs w:val="20"/>
          <w:color w:val="auto"/>
        </w:rPr>
      </w:pPr>
    </w:p>
    <w:p>
      <w:pPr>
        <w:spacing w:after="0"/>
        <w:rPr>
          <w:sz w:val="20"/>
          <w:szCs w:val="20"/>
          <w:color w:val="auto"/>
        </w:rPr>
      </w:pPr>
      <w:r>
        <w:rPr>
          <w:rFonts w:ascii="Arial" w:cs="Arial" w:eastAsia="Arial" w:hAnsi="Arial"/>
          <w:sz w:val="12"/>
          <w:szCs w:val="12"/>
          <w:color w:val="auto"/>
        </w:rPr>
        <w:t>10.9</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2"/>
          <w:szCs w:val="12"/>
          <w:color w:val="auto"/>
        </w:rPr>
        <w:t>10.10#</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10.11#</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63500</wp:posOffset>
            </wp:positionV>
            <wp:extent cx="2682240" cy="571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7">
                      <a:extLst>
                        <a:ext uri="{28A0092B-C50C-407E-A947-70E740481C1C}"/>
                      </a:extLst>
                    </a:blip>
                    <a:srcRect/>
                    <a:stretch>
                      <a:fillRect/>
                    </a:stretch>
                  </pic:blipFill>
                  <pic:spPr bwMode="auto">
                    <a:xfrm>
                      <a:off x="0" y="0"/>
                      <a:ext cx="2682240" cy="5715"/>
                    </a:xfrm>
                    <a:prstGeom prst="rect">
                      <a:avLst/>
                    </a:prstGeom>
                    <a:noFill/>
                  </pic:spPr>
                </pic:pic>
              </a:graphicData>
            </a:graphic>
          </wp:anchor>
        </w:drawing>
      </w:r>
    </w:p>
    <w:p>
      <w:pPr>
        <w:spacing w:after="0" w:line="143" w:lineRule="exact"/>
        <w:rPr>
          <w:sz w:val="20"/>
          <w:szCs w:val="20"/>
          <w:color w:val="auto"/>
        </w:rPr>
      </w:pPr>
    </w:p>
    <w:p>
      <w:pPr>
        <w:jc w:val="both"/>
        <w:spacing w:after="0" w:line="286" w:lineRule="auto"/>
        <w:rPr>
          <w:sz w:val="20"/>
          <w:szCs w:val="20"/>
          <w:color w:val="auto"/>
        </w:rPr>
      </w:pPr>
      <w:r>
        <w:rPr>
          <w:rFonts w:ascii="Arial" w:cs="Arial" w:eastAsia="Arial" w:hAnsi="Arial"/>
          <w:sz w:val="11"/>
          <w:szCs w:val="11"/>
          <w:color w:val="auto"/>
        </w:rPr>
        <w:t>Amendment No. 2 to First Lien Term Loan Credit Agreement dated as of February 20, 2020, among Greenlight Acquisition Corporation, VM Consolidated, Inc. (formerly known as ATS Consolidated, Inc.), each of the other borrowers and subsidiary guarantors party thereto, the lenders party thereto and Bank of America, N.A. as Administrative Agent and Collateral Agent.</w:t>
      </w:r>
    </w:p>
    <w:p>
      <w:pPr>
        <w:spacing w:after="0" w:line="30" w:lineRule="exact"/>
        <w:rPr>
          <w:sz w:val="20"/>
          <w:szCs w:val="20"/>
          <w:color w:val="auto"/>
        </w:rPr>
      </w:pPr>
    </w:p>
    <w:p>
      <w:pPr>
        <w:ind w:right="240"/>
        <w:spacing w:after="0" w:line="258" w:lineRule="auto"/>
        <w:rPr>
          <w:rFonts w:ascii="Arial" w:cs="Arial" w:eastAsia="Arial" w:hAnsi="Arial"/>
          <w:sz w:val="12"/>
          <w:szCs w:val="12"/>
          <w:color w:val="0000EE"/>
        </w:rPr>
      </w:pPr>
      <w:hyperlink r:id="rId168">
        <w:r>
          <w:rPr>
            <w:rFonts w:ascii="Arial" w:cs="Arial" w:eastAsia="Arial" w:hAnsi="Arial"/>
            <w:sz w:val="12"/>
            <w:szCs w:val="12"/>
            <w:u w:val="single" w:color="auto"/>
            <w:color w:val="0000EE"/>
          </w:rPr>
          <w:t>Employee Offer Letter by and between American Traffic Solutions, Inc. and David</w:t>
        </w:r>
      </w:hyperlink>
      <w:r>
        <w:rPr>
          <w:rFonts w:ascii="Arial" w:cs="Arial" w:eastAsia="Arial" w:hAnsi="Arial"/>
          <w:sz w:val="12"/>
          <w:szCs w:val="12"/>
          <w:u w:val="single" w:color="auto"/>
          <w:color w:val="0000EE"/>
        </w:rPr>
        <w:t xml:space="preserve"> </w:t>
      </w:r>
      <w:hyperlink r:id="rId168">
        <w:r>
          <w:rPr>
            <w:rFonts w:ascii="Arial" w:cs="Arial" w:eastAsia="Arial" w:hAnsi="Arial"/>
            <w:sz w:val="12"/>
            <w:szCs w:val="12"/>
            <w:u w:val="single" w:color="auto"/>
            <w:color w:val="0000EE"/>
          </w:rPr>
          <w:t>Roberts, dated June 27, 2014</w:t>
        </w:r>
        <w:r>
          <w:rPr>
            <w:rFonts w:ascii="Arial" w:cs="Arial" w:eastAsia="Arial" w:hAnsi="Arial"/>
            <w:sz w:val="12"/>
            <w:szCs w:val="12"/>
            <w:color w:val="000000"/>
          </w:rPr>
          <w:t>.</w:t>
        </w:r>
      </w:hyperlink>
    </w:p>
    <w:p>
      <w:pPr>
        <w:spacing w:after="0" w:line="261" w:lineRule="auto"/>
        <w:rPr>
          <w:rFonts w:ascii="Arial" w:cs="Arial" w:eastAsia="Arial" w:hAnsi="Arial"/>
          <w:sz w:val="12"/>
          <w:szCs w:val="12"/>
          <w:color w:val="0000EE"/>
        </w:rPr>
      </w:pPr>
      <w:hyperlink r:id="rId169">
        <w:r>
          <w:rPr>
            <w:rFonts w:ascii="Arial" w:cs="Arial" w:eastAsia="Arial" w:hAnsi="Arial"/>
            <w:sz w:val="12"/>
            <w:szCs w:val="12"/>
            <w:u w:val="single" w:color="auto"/>
            <w:color w:val="0000EE"/>
          </w:rPr>
          <w:t>Offer Letter Revision by and between American Traffic Solutions, Inc. and David</w:t>
        </w:r>
      </w:hyperlink>
      <w:r>
        <w:rPr>
          <w:rFonts w:ascii="Arial" w:cs="Arial" w:eastAsia="Arial" w:hAnsi="Arial"/>
          <w:sz w:val="12"/>
          <w:szCs w:val="12"/>
          <w:u w:val="single" w:color="auto"/>
          <w:color w:val="0000EE"/>
        </w:rPr>
        <w:t xml:space="preserve"> </w:t>
      </w:r>
      <w:hyperlink r:id="rId169">
        <w:r>
          <w:rPr>
            <w:rFonts w:ascii="Arial" w:cs="Arial" w:eastAsia="Arial" w:hAnsi="Arial"/>
            <w:sz w:val="12"/>
            <w:szCs w:val="12"/>
            <w:u w:val="single" w:color="auto"/>
            <w:color w:val="0000EE"/>
          </w:rPr>
          <w:t>Roberts, dated as of December 22, 2014</w:t>
        </w:r>
        <w:r>
          <w:rPr>
            <w:rFonts w:ascii="Arial" w:cs="Arial" w:eastAsia="Arial" w:hAnsi="Arial"/>
            <w:sz w:val="12"/>
            <w:szCs w:val="12"/>
            <w:color w:val="000000"/>
          </w:rPr>
          <w:t>.</w:t>
        </w:r>
      </w:hyperlink>
    </w:p>
    <w:p>
      <w:pPr>
        <w:spacing w:after="0" w:line="20" w:lineRule="exact"/>
        <w:rPr>
          <w:sz w:val="20"/>
          <w:szCs w:val="20"/>
          <w:color w:val="auto"/>
        </w:rPr>
      </w:pPr>
      <w:r>
        <w:rPr>
          <w:sz w:val="20"/>
          <w:szCs w:val="20"/>
          <w:color w:val="auto"/>
        </w:rPr>
        <w:br w:type="column"/>
      </w:r>
    </w:p>
    <w:p>
      <w:pPr>
        <w:ind w:left="1720"/>
        <w:spacing w:after="0"/>
        <w:rPr>
          <w:sz w:val="20"/>
          <w:szCs w:val="20"/>
          <w:color w:val="auto"/>
        </w:rPr>
      </w:pPr>
      <w:r>
        <w:rPr>
          <w:rFonts w:ascii="Arial" w:cs="Arial" w:eastAsia="Arial" w:hAnsi="Arial"/>
          <w:sz w:val="12"/>
          <w:szCs w:val="12"/>
          <w:b w:val="1"/>
          <w:bCs w:val="1"/>
          <w:color w:val="auto"/>
        </w:rPr>
        <w:t>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12065</wp:posOffset>
            </wp:positionV>
            <wp:extent cx="3071495" cy="571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0">
                      <a:extLst>
                        <a:ext uri="{28A0092B-C50C-407E-A947-70E740481C1C}"/>
                      </a:extLst>
                    </a:blip>
                    <a:srcRect/>
                    <a:stretch>
                      <a:fillRect/>
                    </a:stretch>
                  </pic:blipFill>
                  <pic:spPr bwMode="auto">
                    <a:xfrm>
                      <a:off x="0" y="0"/>
                      <a:ext cx="3071495" cy="5715"/>
                    </a:xfrm>
                    <a:prstGeom prst="rect">
                      <a:avLst/>
                    </a:prstGeom>
                    <a:noFill/>
                  </pic:spPr>
                </pic:pic>
              </a:graphicData>
            </a:graphic>
          </wp:anchor>
        </w:drawing>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76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93"/>
              </w:rPr>
              <w:t>Form</w:t>
            </w:r>
          </w:p>
        </w:tc>
        <w:tc>
          <w:tcPr>
            <w:tcW w:w="146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92"/>
              </w:rPr>
              <w:t>File No.</w:t>
            </w:r>
          </w:p>
        </w:tc>
        <w:tc>
          <w:tcPr>
            <w:tcW w:w="1040" w:type="dxa"/>
            <w:vAlign w:val="bottom"/>
            <w:gridSpan w:val="2"/>
          </w:tcPr>
          <w:p>
            <w:pPr>
              <w:ind w:left="260"/>
              <w:spacing w:after="0"/>
              <w:rPr>
                <w:sz w:val="20"/>
                <w:szCs w:val="20"/>
                <w:color w:val="auto"/>
              </w:rPr>
            </w:pPr>
            <w:r>
              <w:rPr>
                <w:rFonts w:ascii="Arial" w:cs="Arial" w:eastAsia="Arial" w:hAnsi="Arial"/>
                <w:sz w:val="12"/>
                <w:szCs w:val="12"/>
                <w:b w:val="1"/>
                <w:bCs w:val="1"/>
                <w:color w:val="auto"/>
              </w:rPr>
              <w:t>Exhibit</w:t>
            </w:r>
          </w:p>
        </w:tc>
        <w:tc>
          <w:tcPr>
            <w:tcW w:w="1580" w:type="dxa"/>
            <w:vAlign w:val="bottom"/>
          </w:tcPr>
          <w:p>
            <w:pPr>
              <w:jc w:val="center"/>
              <w:spacing w:after="0"/>
              <w:rPr>
                <w:sz w:val="20"/>
                <w:szCs w:val="20"/>
                <w:color w:val="auto"/>
              </w:rPr>
            </w:pPr>
            <w:r>
              <w:rPr>
                <w:rFonts w:ascii="Arial" w:cs="Arial" w:eastAsia="Arial" w:hAnsi="Arial"/>
                <w:sz w:val="12"/>
                <w:szCs w:val="12"/>
                <w:b w:val="1"/>
                <w:bCs w:val="1"/>
                <w:color w:val="auto"/>
                <w:w w:val="94"/>
              </w:rPr>
              <w:t>Filing Date</w:t>
            </w:r>
          </w:p>
        </w:tc>
      </w:tr>
      <w:tr>
        <w:trPr>
          <w:trHeight w:val="72"/>
        </w:trPr>
        <w:tc>
          <w:tcPr>
            <w:tcW w:w="620" w:type="dxa"/>
            <w:vAlign w:val="bottom"/>
            <w:tcBorders>
              <w:bottom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1580" w:type="dxa"/>
            <w:vAlign w:val="bottom"/>
            <w:tcBorders>
              <w:bottom w:val="single" w:sz="8" w:color="auto"/>
            </w:tcBorders>
          </w:tcPr>
          <w:p>
            <w:pPr>
              <w:spacing w:after="0"/>
              <w:rPr>
                <w:sz w:val="6"/>
                <w:szCs w:val="6"/>
                <w:color w:val="auto"/>
              </w:rPr>
            </w:pPr>
          </w:p>
        </w:tc>
      </w:tr>
      <w:tr>
        <w:trPr>
          <w:trHeight w:val="196"/>
        </w:trPr>
        <w:tc>
          <w:tcPr>
            <w:tcW w:w="760" w:type="dxa"/>
            <w:vAlign w:val="bottom"/>
            <w:gridSpan w:val="2"/>
          </w:tcPr>
          <w:p>
            <w:pPr>
              <w:jc w:val="center"/>
              <w:ind w:right="140"/>
              <w:spacing w:after="0"/>
              <w:rPr>
                <w:sz w:val="20"/>
                <w:szCs w:val="20"/>
                <w:color w:val="auto"/>
              </w:rPr>
            </w:pPr>
            <w:r>
              <w:rPr>
                <w:rFonts w:ascii="Arial" w:cs="Arial" w:eastAsia="Arial" w:hAnsi="Arial"/>
                <w:sz w:val="12"/>
                <w:szCs w:val="12"/>
                <w:color w:val="auto"/>
                <w:w w:val="96"/>
              </w:rPr>
              <w:t>8-K</w:t>
            </w:r>
          </w:p>
        </w:tc>
        <w:tc>
          <w:tcPr>
            <w:tcW w:w="1320" w:type="dxa"/>
            <w:vAlign w:val="bottom"/>
          </w:tcPr>
          <w:p>
            <w:pPr>
              <w:jc w:val="center"/>
              <w:spacing w:after="0"/>
              <w:rPr>
                <w:sz w:val="20"/>
                <w:szCs w:val="20"/>
                <w:color w:val="auto"/>
              </w:rPr>
            </w:pPr>
            <w:r>
              <w:rPr>
                <w:rFonts w:ascii="Arial" w:cs="Arial" w:eastAsia="Arial" w:hAnsi="Arial"/>
                <w:sz w:val="12"/>
                <w:szCs w:val="12"/>
                <w:color w:val="auto"/>
                <w:w w:val="90"/>
              </w:rPr>
              <w:t>001-37979</w:t>
            </w:r>
          </w:p>
        </w:tc>
        <w:tc>
          <w:tcPr>
            <w:tcW w:w="14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Arial" w:cs="Arial" w:eastAsia="Arial" w:hAnsi="Arial"/>
                <w:sz w:val="12"/>
                <w:szCs w:val="12"/>
                <w:color w:val="auto"/>
                <w:w w:val="93"/>
              </w:rPr>
              <w:t>10.1</w:t>
            </w:r>
          </w:p>
        </w:tc>
        <w:tc>
          <w:tcPr>
            <w:tcW w:w="140" w:type="dxa"/>
            <w:vAlign w:val="bottom"/>
          </w:tcPr>
          <w:p>
            <w:pPr>
              <w:spacing w:after="0"/>
              <w:rPr>
                <w:sz w:val="17"/>
                <w:szCs w:val="17"/>
                <w:color w:val="auto"/>
              </w:rPr>
            </w:pPr>
          </w:p>
        </w:tc>
        <w:tc>
          <w:tcPr>
            <w:tcW w:w="1580" w:type="dxa"/>
            <w:vAlign w:val="bottom"/>
          </w:tcPr>
          <w:p>
            <w:pPr>
              <w:jc w:val="center"/>
              <w:spacing w:after="0"/>
              <w:rPr>
                <w:sz w:val="20"/>
                <w:szCs w:val="20"/>
                <w:color w:val="auto"/>
              </w:rPr>
            </w:pPr>
            <w:r>
              <w:rPr>
                <w:rFonts w:ascii="Arial" w:cs="Arial" w:eastAsia="Arial" w:hAnsi="Arial"/>
                <w:sz w:val="12"/>
                <w:szCs w:val="12"/>
                <w:color w:val="auto"/>
                <w:w w:val="89"/>
              </w:rPr>
              <w:t>Feb. 25, 2020</w:t>
            </w:r>
          </w:p>
        </w:tc>
      </w:tr>
      <w:tr>
        <w:trPr>
          <w:trHeight w:val="784"/>
        </w:trPr>
        <w:tc>
          <w:tcPr>
            <w:tcW w:w="760" w:type="dxa"/>
            <w:vAlign w:val="bottom"/>
            <w:gridSpan w:val="2"/>
          </w:tcPr>
          <w:p>
            <w:pPr>
              <w:jc w:val="center"/>
              <w:ind w:right="140"/>
              <w:spacing w:after="0"/>
              <w:rPr>
                <w:sz w:val="20"/>
                <w:szCs w:val="20"/>
                <w:color w:val="auto"/>
              </w:rPr>
            </w:pPr>
            <w:r>
              <w:rPr>
                <w:rFonts w:ascii="Arial" w:cs="Arial" w:eastAsia="Arial" w:hAnsi="Arial"/>
                <w:sz w:val="12"/>
                <w:szCs w:val="12"/>
                <w:color w:val="auto"/>
                <w:w w:val="96"/>
              </w:rPr>
              <w:t>8-K</w:t>
            </w:r>
          </w:p>
        </w:tc>
        <w:tc>
          <w:tcPr>
            <w:tcW w:w="1320" w:type="dxa"/>
            <w:vAlign w:val="bottom"/>
          </w:tcPr>
          <w:p>
            <w:pPr>
              <w:jc w:val="center"/>
              <w:spacing w:after="0"/>
              <w:rPr>
                <w:sz w:val="20"/>
                <w:szCs w:val="20"/>
                <w:color w:val="auto"/>
              </w:rPr>
            </w:pPr>
            <w:r>
              <w:rPr>
                <w:rFonts w:ascii="Arial" w:cs="Arial" w:eastAsia="Arial" w:hAnsi="Arial"/>
                <w:sz w:val="12"/>
                <w:szCs w:val="12"/>
                <w:color w:val="auto"/>
                <w:w w:val="90"/>
              </w:rPr>
              <w:t>001-37979</w:t>
            </w:r>
          </w:p>
        </w:tc>
        <w:tc>
          <w:tcPr>
            <w:tcW w:w="14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2"/>
                <w:szCs w:val="12"/>
                <w:color w:val="auto"/>
                <w:w w:val="93"/>
              </w:rPr>
              <w:t>10.9</w:t>
            </w:r>
          </w:p>
        </w:tc>
        <w:tc>
          <w:tcPr>
            <w:tcW w:w="140" w:type="dxa"/>
            <w:vAlign w:val="bottom"/>
          </w:tcPr>
          <w:p>
            <w:pPr>
              <w:spacing w:after="0"/>
              <w:rPr>
                <w:sz w:val="24"/>
                <w:szCs w:val="24"/>
                <w:color w:val="auto"/>
              </w:rPr>
            </w:pPr>
          </w:p>
        </w:tc>
        <w:tc>
          <w:tcPr>
            <w:tcW w:w="1580" w:type="dxa"/>
            <w:vAlign w:val="bottom"/>
          </w:tcPr>
          <w:p>
            <w:pPr>
              <w:jc w:val="center"/>
              <w:spacing w:after="0"/>
              <w:rPr>
                <w:sz w:val="20"/>
                <w:szCs w:val="20"/>
                <w:color w:val="auto"/>
              </w:rPr>
            </w:pPr>
            <w:r>
              <w:rPr>
                <w:rFonts w:ascii="Arial" w:cs="Arial" w:eastAsia="Arial" w:hAnsi="Arial"/>
                <w:sz w:val="12"/>
                <w:szCs w:val="12"/>
                <w:color w:val="auto"/>
                <w:w w:val="91"/>
              </w:rPr>
              <w:t>Oct. 22, 2018</w:t>
            </w:r>
          </w:p>
        </w:tc>
      </w:tr>
      <w:tr>
        <w:trPr>
          <w:trHeight w:val="288"/>
        </w:trPr>
        <w:tc>
          <w:tcPr>
            <w:tcW w:w="760" w:type="dxa"/>
            <w:vAlign w:val="bottom"/>
            <w:gridSpan w:val="2"/>
          </w:tcPr>
          <w:p>
            <w:pPr>
              <w:jc w:val="center"/>
              <w:ind w:right="140"/>
              <w:spacing w:after="0"/>
              <w:rPr>
                <w:sz w:val="20"/>
                <w:szCs w:val="20"/>
                <w:color w:val="auto"/>
              </w:rPr>
            </w:pPr>
            <w:r>
              <w:rPr>
                <w:rFonts w:ascii="Arial" w:cs="Arial" w:eastAsia="Arial" w:hAnsi="Arial"/>
                <w:sz w:val="12"/>
                <w:szCs w:val="12"/>
                <w:color w:val="auto"/>
                <w:w w:val="96"/>
              </w:rPr>
              <w:t>8-K</w:t>
            </w:r>
          </w:p>
        </w:tc>
        <w:tc>
          <w:tcPr>
            <w:tcW w:w="1320" w:type="dxa"/>
            <w:vAlign w:val="bottom"/>
          </w:tcPr>
          <w:p>
            <w:pPr>
              <w:jc w:val="center"/>
              <w:spacing w:after="0"/>
              <w:rPr>
                <w:sz w:val="20"/>
                <w:szCs w:val="20"/>
                <w:color w:val="auto"/>
              </w:rPr>
            </w:pPr>
            <w:r>
              <w:rPr>
                <w:rFonts w:ascii="Arial" w:cs="Arial" w:eastAsia="Arial" w:hAnsi="Arial"/>
                <w:sz w:val="12"/>
                <w:szCs w:val="12"/>
                <w:color w:val="auto"/>
                <w:w w:val="90"/>
              </w:rPr>
              <w:t>001-37979</w:t>
            </w:r>
          </w:p>
        </w:tc>
        <w:tc>
          <w:tcPr>
            <w:tcW w:w="14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2"/>
                <w:szCs w:val="12"/>
                <w:color w:val="auto"/>
                <w:w w:val="86"/>
              </w:rPr>
              <w:t>10.10</w:t>
            </w:r>
          </w:p>
        </w:tc>
        <w:tc>
          <w:tcPr>
            <w:tcW w:w="140" w:type="dxa"/>
            <w:vAlign w:val="bottom"/>
          </w:tcPr>
          <w:p>
            <w:pPr>
              <w:spacing w:after="0"/>
              <w:rPr>
                <w:sz w:val="24"/>
                <w:szCs w:val="24"/>
                <w:color w:val="auto"/>
              </w:rPr>
            </w:pPr>
          </w:p>
        </w:tc>
        <w:tc>
          <w:tcPr>
            <w:tcW w:w="1580" w:type="dxa"/>
            <w:vAlign w:val="bottom"/>
          </w:tcPr>
          <w:p>
            <w:pPr>
              <w:jc w:val="center"/>
              <w:spacing w:after="0"/>
              <w:rPr>
                <w:sz w:val="20"/>
                <w:szCs w:val="20"/>
                <w:color w:val="auto"/>
              </w:rPr>
            </w:pPr>
            <w:r>
              <w:rPr>
                <w:rFonts w:ascii="Arial" w:cs="Arial" w:eastAsia="Arial" w:hAnsi="Arial"/>
                <w:sz w:val="12"/>
                <w:szCs w:val="12"/>
                <w:color w:val="auto"/>
                <w:w w:val="91"/>
              </w:rPr>
              <w:t>Oct. 22, 2018</w:t>
            </w:r>
          </w:p>
        </w:tc>
      </w:tr>
    </w:tbl>
    <w:p>
      <w:pPr>
        <w:spacing w:after="0" w:line="20" w:lineRule="exact"/>
        <w:rPr>
          <w:sz w:val="20"/>
          <w:szCs w:val="20"/>
          <w:color w:val="auto"/>
        </w:rPr>
      </w:pPr>
      <w:r>
        <w:rPr>
          <w:sz w:val="20"/>
          <w:szCs w:val="20"/>
          <w:color w:val="auto"/>
        </w:rPr>
        <w:br w:type="column"/>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-161290</wp:posOffset>
            </wp:positionH>
            <wp:positionV relativeFrom="paragraph">
              <wp:posOffset>-84455</wp:posOffset>
            </wp:positionV>
            <wp:extent cx="629285" cy="571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71">
                      <a:extLst>
                        <a:ext uri="{28A0092B-C50C-407E-A947-70E740481C1C}"/>
                      </a:extLst>
                    </a:blip>
                    <a:srcRect/>
                    <a:stretch>
                      <a:fillRect/>
                    </a:stretch>
                  </pic:blipFill>
                  <pic:spPr bwMode="auto">
                    <a:xfrm>
                      <a:off x="0" y="0"/>
                      <a:ext cx="629285" cy="571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1"/>
          <w:szCs w:val="11"/>
          <w:b w:val="1"/>
          <w:bCs w:val="1"/>
          <w:color w:val="auto"/>
        </w:rPr>
        <w:t>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-161290</wp:posOffset>
            </wp:positionH>
            <wp:positionV relativeFrom="paragraph">
              <wp:posOffset>11430</wp:posOffset>
            </wp:positionV>
            <wp:extent cx="629285" cy="571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72">
                      <a:extLst>
                        <a:ext uri="{28A0092B-C50C-407E-A947-70E740481C1C}"/>
                      </a:extLst>
                    </a:blip>
                    <a:srcRect/>
                    <a:stretch>
                      <a:fillRect/>
                    </a:stretch>
                  </pic:blipFill>
                  <pic:spPr bwMode="auto">
                    <a:xfrm>
                      <a:off x="0" y="0"/>
                      <a:ext cx="629285" cy="5715"/>
                    </a:xfrm>
                    <a:prstGeom prst="rect">
                      <a:avLst/>
                    </a:prstGeom>
                    <a:noFill/>
                  </pic:spPr>
                </pic:pic>
              </a:graphicData>
            </a:graphic>
          </wp:anchor>
        </w:drawing>
      </w:r>
    </w:p>
    <w:p>
      <w:pPr>
        <w:spacing w:after="0" w:line="1491" w:lineRule="exact"/>
        <w:rPr>
          <w:sz w:val="20"/>
          <w:szCs w:val="20"/>
          <w:color w:val="auto"/>
        </w:rPr>
      </w:pPr>
    </w:p>
    <w:p>
      <w:pPr>
        <w:sectPr>
          <w:pgSz w:w="11900" w:h="16838" w:orient="portrait"/>
          <w:cols w:equalWidth="0" w:num="4">
            <w:col w:w="660" w:space="420"/>
            <w:col w:w="4220" w:space="160"/>
            <w:col w:w="4840" w:space="380"/>
            <w:col w:w="480"/>
          </w:cols>
          <w:pgMar w:left="280" w:top="271" w:right="459" w:bottom="1440" w:gutter="0" w:footer="0" w:header="0"/>
        </w:sectPr>
      </w:pPr>
    </w:p>
    <w:tbl>
      <w:tblPr>
        <w:tblLayout w:type="fixed"/>
        <w:tblInd w:w="0" w:type="dxa"/>
        <w:tblCellMar>
          <w:top w:w="0" w:type="dxa"/>
          <w:left w:w="0" w:type="dxa"/>
          <w:bottom w:w="0" w:type="dxa"/>
          <w:right w:w="0" w:type="dxa"/>
        </w:tblCellMar>
      </w:tblPr>
      <w:tr>
        <w:trPr>
          <w:trHeight w:val="138"/>
        </w:trPr>
        <w:tc>
          <w:tcPr>
            <w:tcW w:w="1080" w:type="dxa"/>
            <w:vAlign w:val="bottom"/>
          </w:tcPr>
          <w:p>
            <w:pPr>
              <w:jc w:val="right"/>
              <w:ind w:right="700"/>
              <w:spacing w:after="0"/>
              <w:rPr>
                <w:sz w:val="20"/>
                <w:szCs w:val="20"/>
                <w:color w:val="auto"/>
              </w:rPr>
            </w:pPr>
            <w:r>
              <w:rPr>
                <w:rFonts w:ascii="Arial" w:cs="Arial" w:eastAsia="Arial" w:hAnsi="Arial"/>
                <w:sz w:val="12"/>
                <w:szCs w:val="12"/>
                <w:color w:val="auto"/>
                <w:w w:val="81"/>
              </w:rPr>
              <w:t>10.12#</w:t>
            </w:r>
          </w:p>
        </w:tc>
        <w:tc>
          <w:tcPr>
            <w:tcW w:w="4220" w:type="dxa"/>
            <w:vAlign w:val="bottom"/>
            <w:tcBorders>
              <w:bottom w:val="single" w:sz="8" w:color="0000EE"/>
            </w:tcBorders>
            <w:gridSpan w:val="9"/>
          </w:tcPr>
          <w:p>
            <w:pPr>
              <w:spacing w:after="0"/>
              <w:rPr>
                <w:rFonts w:ascii="Arial" w:cs="Arial" w:eastAsia="Arial" w:hAnsi="Arial"/>
                <w:sz w:val="12"/>
                <w:szCs w:val="12"/>
                <w:color w:val="0000EE"/>
                <w:w w:val="95"/>
              </w:rPr>
            </w:pPr>
            <w:hyperlink r:id="rId173">
              <w:r>
                <w:rPr>
                  <w:rFonts w:ascii="Arial" w:cs="Arial" w:eastAsia="Arial" w:hAnsi="Arial"/>
                  <w:sz w:val="12"/>
                  <w:szCs w:val="12"/>
                  <w:color w:val="0000EE"/>
                  <w:w w:val="95"/>
                </w:rPr>
                <w:t>Employee Offer Letter by and between American Traffic Solutions, Inc. and Patricia</w:t>
              </w:r>
            </w:hyperlink>
          </w:p>
        </w:tc>
      </w:tr>
      <w:tr>
        <w:trPr>
          <w:trHeight w:val="124"/>
        </w:trPr>
        <w:tc>
          <w:tcPr>
            <w:tcW w:w="1080" w:type="dxa"/>
            <w:vAlign w:val="bottom"/>
          </w:tcPr>
          <w:p>
            <w:pPr>
              <w:spacing w:after="0"/>
              <w:rPr>
                <w:sz w:val="10"/>
                <w:szCs w:val="10"/>
                <w:color w:val="auto"/>
              </w:rPr>
            </w:pPr>
          </w:p>
        </w:tc>
        <w:tc>
          <w:tcPr>
            <w:tcW w:w="4220" w:type="dxa"/>
            <w:vAlign w:val="bottom"/>
            <w:gridSpan w:val="9"/>
          </w:tcPr>
          <w:p>
            <w:pPr>
              <w:spacing w:after="0" w:line="124" w:lineRule="exact"/>
              <w:rPr>
                <w:rFonts w:ascii="Arial" w:cs="Arial" w:eastAsia="Arial" w:hAnsi="Arial"/>
                <w:sz w:val="12"/>
                <w:szCs w:val="12"/>
                <w:color w:val="0000EE"/>
              </w:rPr>
            </w:pPr>
            <w:hyperlink r:id="rId173">
              <w:r>
                <w:rPr>
                  <w:rFonts w:ascii="Arial" w:cs="Arial" w:eastAsia="Arial" w:hAnsi="Arial"/>
                  <w:sz w:val="12"/>
                  <w:szCs w:val="12"/>
                  <w:color w:val="0000EE"/>
                </w:rPr>
                <w:t>Chiodo, dated May 15, 2015</w:t>
              </w:r>
              <w:r>
                <w:rPr>
                  <w:rFonts w:ascii="Arial" w:cs="Arial" w:eastAsia="Arial" w:hAnsi="Arial"/>
                  <w:sz w:val="12"/>
                  <w:szCs w:val="12"/>
                  <w:color w:val="000000"/>
                </w:rPr>
                <w:t>.</w:t>
              </w:r>
            </w:hyperlink>
          </w:p>
        </w:tc>
      </w:tr>
      <w:tr>
        <w:trPr>
          <w:trHeight w:val="20"/>
        </w:trPr>
        <w:tc>
          <w:tcPr>
            <w:tcW w:w="1080" w:type="dxa"/>
            <w:vAlign w:val="bottom"/>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187"/>
        </w:trPr>
        <w:tc>
          <w:tcPr>
            <w:tcW w:w="1080" w:type="dxa"/>
            <w:vAlign w:val="bottom"/>
          </w:tcPr>
          <w:p>
            <w:pPr>
              <w:jc w:val="right"/>
              <w:ind w:right="700"/>
              <w:spacing w:after="0"/>
              <w:rPr>
                <w:sz w:val="20"/>
                <w:szCs w:val="20"/>
                <w:color w:val="auto"/>
              </w:rPr>
            </w:pPr>
            <w:r>
              <w:rPr>
                <w:rFonts w:ascii="Arial" w:cs="Arial" w:eastAsia="Arial" w:hAnsi="Arial"/>
                <w:sz w:val="12"/>
                <w:szCs w:val="12"/>
                <w:color w:val="auto"/>
                <w:w w:val="81"/>
              </w:rPr>
              <w:t>10.13#</w:t>
            </w:r>
          </w:p>
        </w:tc>
        <w:tc>
          <w:tcPr>
            <w:tcW w:w="4220" w:type="dxa"/>
            <w:vAlign w:val="bottom"/>
            <w:tcBorders>
              <w:bottom w:val="single" w:sz="8" w:color="0000EE"/>
            </w:tcBorders>
            <w:gridSpan w:val="9"/>
          </w:tcPr>
          <w:p>
            <w:pPr>
              <w:spacing w:after="0"/>
              <w:rPr>
                <w:rFonts w:ascii="Arial" w:cs="Arial" w:eastAsia="Arial" w:hAnsi="Arial"/>
                <w:sz w:val="12"/>
                <w:szCs w:val="12"/>
                <w:color w:val="0000EE"/>
                <w:w w:val="96"/>
              </w:rPr>
            </w:pPr>
            <w:hyperlink r:id="rId174">
              <w:r>
                <w:rPr>
                  <w:rFonts w:ascii="Arial" w:cs="Arial" w:eastAsia="Arial" w:hAnsi="Arial"/>
                  <w:sz w:val="12"/>
                  <w:szCs w:val="12"/>
                  <w:color w:val="0000EE"/>
                  <w:w w:val="96"/>
                </w:rPr>
                <w:t>Offer Letter Revision by and between American Traffic Solutions, Inc. and Patricia</w:t>
              </w:r>
            </w:hyperlink>
          </w:p>
        </w:tc>
      </w:tr>
      <w:tr>
        <w:trPr>
          <w:trHeight w:val="124"/>
        </w:trPr>
        <w:tc>
          <w:tcPr>
            <w:tcW w:w="1080" w:type="dxa"/>
            <w:vAlign w:val="bottom"/>
          </w:tcPr>
          <w:p>
            <w:pPr>
              <w:spacing w:after="0"/>
              <w:rPr>
                <w:sz w:val="10"/>
                <w:szCs w:val="10"/>
                <w:color w:val="auto"/>
              </w:rPr>
            </w:pPr>
          </w:p>
        </w:tc>
        <w:tc>
          <w:tcPr>
            <w:tcW w:w="4220" w:type="dxa"/>
            <w:vAlign w:val="bottom"/>
            <w:gridSpan w:val="9"/>
          </w:tcPr>
          <w:p>
            <w:pPr>
              <w:spacing w:after="0" w:line="124" w:lineRule="exact"/>
              <w:rPr>
                <w:rFonts w:ascii="Arial" w:cs="Arial" w:eastAsia="Arial" w:hAnsi="Arial"/>
                <w:sz w:val="12"/>
                <w:szCs w:val="12"/>
                <w:color w:val="0000EE"/>
              </w:rPr>
            </w:pPr>
            <w:hyperlink r:id="rId174">
              <w:r>
                <w:rPr>
                  <w:rFonts w:ascii="Arial" w:cs="Arial" w:eastAsia="Arial" w:hAnsi="Arial"/>
                  <w:sz w:val="12"/>
                  <w:szCs w:val="12"/>
                  <w:color w:val="0000EE"/>
                </w:rPr>
                <w:t>Chiodo, dated as of June 1, 2015</w:t>
              </w:r>
              <w:r>
                <w:rPr>
                  <w:rFonts w:ascii="Arial" w:cs="Arial" w:eastAsia="Arial" w:hAnsi="Arial"/>
                  <w:sz w:val="12"/>
                  <w:szCs w:val="12"/>
                  <w:color w:val="000000"/>
                </w:rPr>
                <w:t>.</w:t>
              </w:r>
            </w:hyperlink>
          </w:p>
        </w:tc>
      </w:tr>
      <w:tr>
        <w:trPr>
          <w:trHeight w:val="20"/>
        </w:trPr>
        <w:tc>
          <w:tcPr>
            <w:tcW w:w="1080" w:type="dxa"/>
            <w:vAlign w:val="bottom"/>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187"/>
        </w:trPr>
        <w:tc>
          <w:tcPr>
            <w:tcW w:w="1080" w:type="dxa"/>
            <w:vAlign w:val="bottom"/>
          </w:tcPr>
          <w:p>
            <w:pPr>
              <w:jc w:val="right"/>
              <w:ind w:right="700"/>
              <w:spacing w:after="0"/>
              <w:rPr>
                <w:sz w:val="20"/>
                <w:szCs w:val="20"/>
                <w:color w:val="auto"/>
              </w:rPr>
            </w:pPr>
            <w:r>
              <w:rPr>
                <w:rFonts w:ascii="Arial" w:cs="Arial" w:eastAsia="Arial" w:hAnsi="Arial"/>
                <w:sz w:val="12"/>
                <w:szCs w:val="12"/>
                <w:color w:val="auto"/>
                <w:w w:val="81"/>
              </w:rPr>
              <w:t>10.14#</w:t>
            </w:r>
          </w:p>
        </w:tc>
        <w:tc>
          <w:tcPr>
            <w:tcW w:w="4220" w:type="dxa"/>
            <w:vAlign w:val="bottom"/>
            <w:tcBorders>
              <w:bottom w:val="single" w:sz="8" w:color="0000EE"/>
            </w:tcBorders>
            <w:gridSpan w:val="9"/>
          </w:tcPr>
          <w:p>
            <w:pPr>
              <w:spacing w:after="0"/>
              <w:rPr>
                <w:rFonts w:ascii="Arial" w:cs="Arial" w:eastAsia="Arial" w:hAnsi="Arial"/>
                <w:sz w:val="12"/>
                <w:szCs w:val="12"/>
                <w:color w:val="0000EE"/>
                <w:w w:val="95"/>
              </w:rPr>
            </w:pPr>
            <w:hyperlink r:id="rId175">
              <w:r>
                <w:rPr>
                  <w:rFonts w:ascii="Arial" w:cs="Arial" w:eastAsia="Arial" w:hAnsi="Arial"/>
                  <w:sz w:val="12"/>
                  <w:szCs w:val="12"/>
                  <w:color w:val="0000EE"/>
                  <w:w w:val="95"/>
                </w:rPr>
                <w:t>Employee Offer Letter by and between American Traffic Solutions, Inc. and Vincent</w:t>
              </w:r>
            </w:hyperlink>
          </w:p>
        </w:tc>
      </w:tr>
      <w:tr>
        <w:trPr>
          <w:trHeight w:val="124"/>
        </w:trPr>
        <w:tc>
          <w:tcPr>
            <w:tcW w:w="1080" w:type="dxa"/>
            <w:vAlign w:val="bottom"/>
          </w:tcPr>
          <w:p>
            <w:pPr>
              <w:spacing w:after="0"/>
              <w:rPr>
                <w:sz w:val="10"/>
                <w:szCs w:val="10"/>
                <w:color w:val="auto"/>
              </w:rPr>
            </w:pPr>
          </w:p>
        </w:tc>
        <w:tc>
          <w:tcPr>
            <w:tcW w:w="4220" w:type="dxa"/>
            <w:vAlign w:val="bottom"/>
            <w:gridSpan w:val="9"/>
          </w:tcPr>
          <w:p>
            <w:pPr>
              <w:spacing w:after="0" w:line="124" w:lineRule="exact"/>
              <w:rPr>
                <w:rFonts w:ascii="Arial" w:cs="Arial" w:eastAsia="Arial" w:hAnsi="Arial"/>
                <w:sz w:val="12"/>
                <w:szCs w:val="12"/>
                <w:color w:val="0000EE"/>
              </w:rPr>
            </w:pPr>
            <w:hyperlink r:id="rId175">
              <w:r>
                <w:rPr>
                  <w:rFonts w:ascii="Arial" w:cs="Arial" w:eastAsia="Arial" w:hAnsi="Arial"/>
                  <w:sz w:val="12"/>
                  <w:szCs w:val="12"/>
                  <w:color w:val="0000EE"/>
                </w:rPr>
                <w:t>Brigidi, dated September 30, 2014</w:t>
              </w:r>
              <w:r>
                <w:rPr>
                  <w:rFonts w:ascii="Arial" w:cs="Arial" w:eastAsia="Arial" w:hAnsi="Arial"/>
                  <w:sz w:val="12"/>
                  <w:szCs w:val="12"/>
                  <w:color w:val="000000"/>
                </w:rPr>
                <w:t>.</w:t>
              </w:r>
            </w:hyperlink>
          </w:p>
        </w:tc>
      </w:tr>
      <w:tr>
        <w:trPr>
          <w:trHeight w:val="20"/>
        </w:trPr>
        <w:tc>
          <w:tcPr>
            <w:tcW w:w="1080" w:type="dxa"/>
            <w:vAlign w:val="bottom"/>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187"/>
        </w:trPr>
        <w:tc>
          <w:tcPr>
            <w:tcW w:w="1080" w:type="dxa"/>
            <w:vAlign w:val="bottom"/>
          </w:tcPr>
          <w:p>
            <w:pPr>
              <w:jc w:val="right"/>
              <w:ind w:right="700"/>
              <w:spacing w:after="0"/>
              <w:rPr>
                <w:sz w:val="20"/>
                <w:szCs w:val="20"/>
                <w:color w:val="auto"/>
              </w:rPr>
            </w:pPr>
            <w:r>
              <w:rPr>
                <w:rFonts w:ascii="Arial" w:cs="Arial" w:eastAsia="Arial" w:hAnsi="Arial"/>
                <w:sz w:val="12"/>
                <w:szCs w:val="12"/>
                <w:color w:val="auto"/>
                <w:w w:val="81"/>
              </w:rPr>
              <w:t>10.15#</w:t>
            </w:r>
          </w:p>
        </w:tc>
        <w:tc>
          <w:tcPr>
            <w:tcW w:w="4220" w:type="dxa"/>
            <w:vAlign w:val="bottom"/>
            <w:tcBorders>
              <w:bottom w:val="single" w:sz="8" w:color="0000EE"/>
            </w:tcBorders>
            <w:gridSpan w:val="9"/>
          </w:tcPr>
          <w:p>
            <w:pPr>
              <w:spacing w:after="0"/>
              <w:rPr>
                <w:rFonts w:ascii="Arial" w:cs="Arial" w:eastAsia="Arial" w:hAnsi="Arial"/>
                <w:sz w:val="12"/>
                <w:szCs w:val="12"/>
                <w:color w:val="0000EE"/>
                <w:w w:val="92"/>
              </w:rPr>
            </w:pPr>
            <w:hyperlink r:id="rId176">
              <w:r>
                <w:rPr>
                  <w:rFonts w:ascii="Arial" w:cs="Arial" w:eastAsia="Arial" w:hAnsi="Arial"/>
                  <w:sz w:val="12"/>
                  <w:szCs w:val="12"/>
                  <w:color w:val="0000EE"/>
                  <w:w w:val="92"/>
                </w:rPr>
                <w:t>Revisions to Employment Terms by and between American Traffic Solutions, Inc. and</w:t>
              </w:r>
            </w:hyperlink>
          </w:p>
        </w:tc>
      </w:tr>
      <w:tr>
        <w:trPr>
          <w:trHeight w:val="124"/>
        </w:trPr>
        <w:tc>
          <w:tcPr>
            <w:tcW w:w="1080" w:type="dxa"/>
            <w:vAlign w:val="bottom"/>
          </w:tcPr>
          <w:p>
            <w:pPr>
              <w:spacing w:after="0"/>
              <w:rPr>
                <w:sz w:val="10"/>
                <w:szCs w:val="10"/>
                <w:color w:val="auto"/>
              </w:rPr>
            </w:pPr>
          </w:p>
        </w:tc>
        <w:tc>
          <w:tcPr>
            <w:tcW w:w="4220" w:type="dxa"/>
            <w:vAlign w:val="bottom"/>
            <w:gridSpan w:val="9"/>
          </w:tcPr>
          <w:p>
            <w:pPr>
              <w:spacing w:after="0" w:line="124" w:lineRule="exact"/>
              <w:rPr>
                <w:rFonts w:ascii="Arial" w:cs="Arial" w:eastAsia="Arial" w:hAnsi="Arial"/>
                <w:sz w:val="12"/>
                <w:szCs w:val="12"/>
                <w:color w:val="0000EE"/>
              </w:rPr>
            </w:pPr>
            <w:hyperlink r:id="rId176">
              <w:r>
                <w:rPr>
                  <w:rFonts w:ascii="Arial" w:cs="Arial" w:eastAsia="Arial" w:hAnsi="Arial"/>
                  <w:sz w:val="12"/>
                  <w:szCs w:val="12"/>
                  <w:color w:val="0000EE"/>
                </w:rPr>
                <w:t>Vincent Brigidi, dated as of February 29, 2016</w:t>
              </w:r>
              <w:r>
                <w:rPr>
                  <w:rFonts w:ascii="Arial" w:cs="Arial" w:eastAsia="Arial" w:hAnsi="Arial"/>
                  <w:sz w:val="12"/>
                  <w:szCs w:val="12"/>
                  <w:color w:val="000000"/>
                </w:rPr>
                <w:t>.</w:t>
              </w:r>
            </w:hyperlink>
          </w:p>
        </w:tc>
      </w:tr>
      <w:tr>
        <w:trPr>
          <w:trHeight w:val="20"/>
        </w:trPr>
        <w:tc>
          <w:tcPr>
            <w:tcW w:w="1080" w:type="dxa"/>
            <w:vAlign w:val="bottom"/>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700" w:type="dxa"/>
            <w:vAlign w:val="bottom"/>
            <w:gridSpan w:val="4"/>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187"/>
        </w:trPr>
        <w:tc>
          <w:tcPr>
            <w:tcW w:w="1080" w:type="dxa"/>
            <w:vAlign w:val="bottom"/>
          </w:tcPr>
          <w:p>
            <w:pPr>
              <w:jc w:val="right"/>
              <w:ind w:right="700"/>
              <w:spacing w:after="0"/>
              <w:rPr>
                <w:sz w:val="20"/>
                <w:szCs w:val="20"/>
                <w:color w:val="auto"/>
              </w:rPr>
            </w:pPr>
            <w:r>
              <w:rPr>
                <w:rFonts w:ascii="Arial" w:cs="Arial" w:eastAsia="Arial" w:hAnsi="Arial"/>
                <w:sz w:val="12"/>
                <w:szCs w:val="12"/>
                <w:color w:val="auto"/>
                <w:w w:val="81"/>
              </w:rPr>
              <w:t>10.16#</w:t>
            </w:r>
          </w:p>
        </w:tc>
        <w:tc>
          <w:tcPr>
            <w:tcW w:w="4220" w:type="dxa"/>
            <w:vAlign w:val="bottom"/>
            <w:tcBorders>
              <w:bottom w:val="single" w:sz="8" w:color="0000EE"/>
            </w:tcBorders>
            <w:gridSpan w:val="9"/>
          </w:tcPr>
          <w:p>
            <w:pPr>
              <w:spacing w:after="0"/>
              <w:rPr>
                <w:rFonts w:ascii="Arial" w:cs="Arial" w:eastAsia="Arial" w:hAnsi="Arial"/>
                <w:sz w:val="12"/>
                <w:szCs w:val="12"/>
                <w:color w:val="0000EE"/>
                <w:w w:val="91"/>
              </w:rPr>
            </w:pPr>
            <w:hyperlink r:id="rId177">
              <w:r>
                <w:rPr>
                  <w:rFonts w:ascii="Arial" w:cs="Arial" w:eastAsia="Arial" w:hAnsi="Arial"/>
                  <w:sz w:val="12"/>
                  <w:szCs w:val="12"/>
                  <w:color w:val="0000EE"/>
                  <w:w w:val="91"/>
                </w:rPr>
                <w:t>Employee Offer Letter by and between VM Consolidated, Inc. and Garrett Miller, dated</w:t>
              </w:r>
            </w:hyperlink>
          </w:p>
        </w:tc>
      </w:tr>
      <w:tr>
        <w:trPr>
          <w:trHeight w:val="124"/>
        </w:trPr>
        <w:tc>
          <w:tcPr>
            <w:tcW w:w="1080" w:type="dxa"/>
            <w:vAlign w:val="bottom"/>
          </w:tcPr>
          <w:p>
            <w:pPr>
              <w:spacing w:after="0"/>
              <w:rPr>
                <w:sz w:val="10"/>
                <w:szCs w:val="10"/>
                <w:color w:val="auto"/>
              </w:rPr>
            </w:pPr>
          </w:p>
        </w:tc>
        <w:tc>
          <w:tcPr>
            <w:tcW w:w="4220" w:type="dxa"/>
            <w:vAlign w:val="bottom"/>
            <w:gridSpan w:val="9"/>
          </w:tcPr>
          <w:p>
            <w:pPr>
              <w:spacing w:after="0" w:line="124" w:lineRule="exact"/>
              <w:rPr>
                <w:rFonts w:ascii="Arial" w:cs="Arial" w:eastAsia="Arial" w:hAnsi="Arial"/>
                <w:sz w:val="12"/>
                <w:szCs w:val="12"/>
                <w:color w:val="0000EE"/>
              </w:rPr>
            </w:pPr>
            <w:hyperlink r:id="rId177">
              <w:r>
                <w:rPr>
                  <w:rFonts w:ascii="Arial" w:cs="Arial" w:eastAsia="Arial" w:hAnsi="Arial"/>
                  <w:sz w:val="12"/>
                  <w:szCs w:val="12"/>
                  <w:color w:val="0000EE"/>
                </w:rPr>
                <w:t>as of April 24, 2019</w:t>
              </w:r>
              <w:r>
                <w:rPr>
                  <w:rFonts w:ascii="Arial" w:cs="Arial" w:eastAsia="Arial" w:hAnsi="Arial"/>
                  <w:sz w:val="12"/>
                  <w:szCs w:val="12"/>
                  <w:color w:val="000000"/>
                </w:rPr>
                <w:t>.</w:t>
              </w:r>
            </w:hyperlink>
          </w:p>
        </w:tc>
      </w:tr>
      <w:tr>
        <w:trPr>
          <w:trHeight w:val="20"/>
        </w:trPr>
        <w:tc>
          <w:tcPr>
            <w:tcW w:w="1080" w:type="dxa"/>
            <w:vAlign w:val="bottom"/>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187"/>
        </w:trPr>
        <w:tc>
          <w:tcPr>
            <w:tcW w:w="1080" w:type="dxa"/>
            <w:vAlign w:val="bottom"/>
          </w:tcPr>
          <w:p>
            <w:pPr>
              <w:jc w:val="right"/>
              <w:ind w:right="700"/>
              <w:spacing w:after="0"/>
              <w:rPr>
                <w:sz w:val="20"/>
                <w:szCs w:val="20"/>
                <w:color w:val="auto"/>
              </w:rPr>
            </w:pPr>
            <w:r>
              <w:rPr>
                <w:rFonts w:ascii="Arial" w:cs="Arial" w:eastAsia="Arial" w:hAnsi="Arial"/>
                <w:sz w:val="12"/>
                <w:szCs w:val="12"/>
                <w:color w:val="auto"/>
                <w:w w:val="81"/>
              </w:rPr>
              <w:t>10.17#</w:t>
            </w:r>
          </w:p>
        </w:tc>
        <w:tc>
          <w:tcPr>
            <w:tcW w:w="4220" w:type="dxa"/>
            <w:vAlign w:val="bottom"/>
            <w:tcBorders>
              <w:bottom w:val="single" w:sz="8" w:color="0000EE"/>
            </w:tcBorders>
            <w:gridSpan w:val="9"/>
          </w:tcPr>
          <w:p>
            <w:pPr>
              <w:spacing w:after="0"/>
              <w:rPr>
                <w:rFonts w:ascii="Arial" w:cs="Arial" w:eastAsia="Arial" w:hAnsi="Arial"/>
                <w:sz w:val="12"/>
                <w:szCs w:val="12"/>
                <w:color w:val="0000EE"/>
                <w:w w:val="93"/>
              </w:rPr>
            </w:pPr>
            <w:hyperlink w:anchor="page130">
              <w:r>
                <w:rPr>
                  <w:rFonts w:ascii="Arial" w:cs="Arial" w:eastAsia="Arial" w:hAnsi="Arial"/>
                  <w:sz w:val="12"/>
                  <w:szCs w:val="12"/>
                  <w:color w:val="0000EE"/>
                  <w:w w:val="93"/>
                </w:rPr>
                <w:t>Employee Offer Letter by and between American Traffic Solutions, Inc. and Rebecca</w:t>
              </w:r>
            </w:hyperlink>
          </w:p>
        </w:tc>
      </w:tr>
      <w:tr>
        <w:trPr>
          <w:trHeight w:val="124"/>
        </w:trPr>
        <w:tc>
          <w:tcPr>
            <w:tcW w:w="1080" w:type="dxa"/>
            <w:vAlign w:val="bottom"/>
          </w:tcPr>
          <w:p>
            <w:pPr>
              <w:spacing w:after="0"/>
              <w:rPr>
                <w:sz w:val="10"/>
                <w:szCs w:val="10"/>
                <w:color w:val="auto"/>
              </w:rPr>
            </w:pPr>
          </w:p>
        </w:tc>
        <w:tc>
          <w:tcPr>
            <w:tcW w:w="4220" w:type="dxa"/>
            <w:vAlign w:val="bottom"/>
            <w:gridSpan w:val="9"/>
          </w:tcPr>
          <w:p>
            <w:pPr>
              <w:spacing w:after="0" w:line="124" w:lineRule="exact"/>
              <w:rPr>
                <w:rFonts w:ascii="Arial" w:cs="Arial" w:eastAsia="Arial" w:hAnsi="Arial"/>
                <w:sz w:val="12"/>
                <w:szCs w:val="12"/>
                <w:color w:val="0000EE"/>
              </w:rPr>
            </w:pPr>
            <w:hyperlink w:anchor="page130">
              <w:r>
                <w:rPr>
                  <w:rFonts w:ascii="Arial" w:cs="Arial" w:eastAsia="Arial" w:hAnsi="Arial"/>
                  <w:sz w:val="12"/>
                  <w:szCs w:val="12"/>
                  <w:color w:val="0000EE"/>
                </w:rPr>
                <w:t>Collins, dated as of April 21, 2016</w:t>
              </w:r>
              <w:r>
                <w:rPr>
                  <w:rFonts w:ascii="Arial" w:cs="Arial" w:eastAsia="Arial" w:hAnsi="Arial"/>
                  <w:sz w:val="12"/>
                  <w:szCs w:val="12"/>
                  <w:color w:val="000000"/>
                </w:rPr>
                <w:t>.</w:t>
              </w:r>
            </w:hyperlink>
          </w:p>
        </w:tc>
      </w:tr>
      <w:tr>
        <w:trPr>
          <w:trHeight w:val="20"/>
        </w:trPr>
        <w:tc>
          <w:tcPr>
            <w:tcW w:w="1080" w:type="dxa"/>
            <w:vAlign w:val="bottom"/>
          </w:tcPr>
          <w:p>
            <w:pPr>
              <w:spacing w:after="0" w:line="20" w:lineRule="exact"/>
              <w:rPr>
                <w:sz w:val="1"/>
                <w:szCs w:val="1"/>
                <w:color w:val="auto"/>
              </w:rPr>
            </w:pPr>
          </w:p>
        </w:tc>
        <w:tc>
          <w:tcPr>
            <w:tcW w:w="1660" w:type="dxa"/>
            <w:vAlign w:val="bottom"/>
            <w:gridSpan w:val="5"/>
            <w:shd w:val="clear" w:color="auto" w:fill="0000EE"/>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187"/>
        </w:trPr>
        <w:tc>
          <w:tcPr>
            <w:tcW w:w="1080" w:type="dxa"/>
            <w:vAlign w:val="bottom"/>
          </w:tcPr>
          <w:p>
            <w:pPr>
              <w:jc w:val="right"/>
              <w:ind w:right="700"/>
              <w:spacing w:after="0"/>
              <w:rPr>
                <w:sz w:val="20"/>
                <w:szCs w:val="20"/>
                <w:color w:val="auto"/>
              </w:rPr>
            </w:pPr>
            <w:r>
              <w:rPr>
                <w:rFonts w:ascii="Arial" w:cs="Arial" w:eastAsia="Arial" w:hAnsi="Arial"/>
                <w:sz w:val="12"/>
                <w:szCs w:val="12"/>
                <w:color w:val="auto"/>
                <w:w w:val="81"/>
              </w:rPr>
              <w:t>10.18#</w:t>
            </w:r>
          </w:p>
        </w:tc>
        <w:tc>
          <w:tcPr>
            <w:tcW w:w="4220" w:type="dxa"/>
            <w:vAlign w:val="bottom"/>
            <w:gridSpan w:val="9"/>
          </w:tcPr>
          <w:p>
            <w:pPr>
              <w:spacing w:after="0"/>
              <w:rPr>
                <w:rFonts w:ascii="Arial" w:cs="Arial" w:eastAsia="Arial" w:hAnsi="Arial"/>
                <w:sz w:val="12"/>
                <w:szCs w:val="12"/>
                <w:color w:val="0000EE"/>
              </w:rPr>
            </w:pPr>
            <w:hyperlink r:id="rId178">
              <w:r>
                <w:rPr>
                  <w:rFonts w:ascii="Arial" w:cs="Arial" w:eastAsia="Arial" w:hAnsi="Arial"/>
                  <w:sz w:val="12"/>
                  <w:szCs w:val="12"/>
                  <w:color w:val="0000EE"/>
                </w:rPr>
                <w:t>Verra Mobility Corporation 2018 Equity Incentive Plan</w:t>
              </w:r>
            </w:hyperlink>
            <w:r>
              <w:rPr>
                <w:rFonts w:ascii="Arial" w:cs="Arial" w:eastAsia="Arial" w:hAnsi="Arial"/>
                <w:sz w:val="12"/>
                <w:szCs w:val="12"/>
                <w:color w:val="000000"/>
              </w:rPr>
              <w:t>.</w:t>
            </w:r>
          </w:p>
        </w:tc>
      </w:tr>
      <w:tr>
        <w:trPr>
          <w:trHeight w:val="20"/>
        </w:trPr>
        <w:tc>
          <w:tcPr>
            <w:tcW w:w="1080" w:type="dxa"/>
            <w:vAlign w:val="bottom"/>
          </w:tcPr>
          <w:p>
            <w:pPr>
              <w:spacing w:after="0" w:line="20" w:lineRule="exact"/>
              <w:rPr>
                <w:sz w:val="1"/>
                <w:szCs w:val="1"/>
                <w:color w:val="auto"/>
              </w:rPr>
            </w:pPr>
          </w:p>
        </w:tc>
        <w:tc>
          <w:tcPr>
            <w:tcW w:w="2400" w:type="dxa"/>
            <w:vAlign w:val="bottom"/>
            <w:gridSpan w:val="7"/>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187"/>
        </w:trPr>
        <w:tc>
          <w:tcPr>
            <w:tcW w:w="1080" w:type="dxa"/>
            <w:vAlign w:val="bottom"/>
          </w:tcPr>
          <w:p>
            <w:pPr>
              <w:jc w:val="right"/>
              <w:ind w:right="700"/>
              <w:spacing w:after="0"/>
              <w:rPr>
                <w:sz w:val="20"/>
                <w:szCs w:val="20"/>
                <w:color w:val="auto"/>
              </w:rPr>
            </w:pPr>
            <w:r>
              <w:rPr>
                <w:rFonts w:ascii="Arial" w:cs="Arial" w:eastAsia="Arial" w:hAnsi="Arial"/>
                <w:sz w:val="12"/>
                <w:szCs w:val="12"/>
                <w:color w:val="auto"/>
                <w:w w:val="81"/>
              </w:rPr>
              <w:t>10.19#</w:t>
            </w:r>
          </w:p>
        </w:tc>
        <w:tc>
          <w:tcPr>
            <w:tcW w:w="4220" w:type="dxa"/>
            <w:vAlign w:val="bottom"/>
            <w:tcBorders>
              <w:bottom w:val="single" w:sz="8" w:color="0000EE"/>
            </w:tcBorders>
            <w:gridSpan w:val="9"/>
          </w:tcPr>
          <w:p>
            <w:pPr>
              <w:spacing w:after="0"/>
              <w:rPr>
                <w:rFonts w:ascii="Arial" w:cs="Arial" w:eastAsia="Arial" w:hAnsi="Arial"/>
                <w:sz w:val="12"/>
                <w:szCs w:val="12"/>
                <w:color w:val="0000EE"/>
                <w:w w:val="98"/>
              </w:rPr>
            </w:pPr>
            <w:hyperlink r:id="rId179">
              <w:r>
                <w:rPr>
                  <w:rFonts w:ascii="Arial" w:cs="Arial" w:eastAsia="Arial" w:hAnsi="Arial"/>
                  <w:sz w:val="12"/>
                  <w:szCs w:val="12"/>
                  <w:color w:val="0000EE"/>
                  <w:w w:val="98"/>
                </w:rPr>
                <w:t>Form of Notice of Grant of Restricted Stock Unit and Agreement under the Verra</w:t>
              </w:r>
            </w:hyperlink>
          </w:p>
        </w:tc>
      </w:tr>
      <w:tr>
        <w:trPr>
          <w:trHeight w:val="124"/>
        </w:trPr>
        <w:tc>
          <w:tcPr>
            <w:tcW w:w="1080" w:type="dxa"/>
            <w:vAlign w:val="bottom"/>
          </w:tcPr>
          <w:p>
            <w:pPr>
              <w:spacing w:after="0"/>
              <w:rPr>
                <w:sz w:val="10"/>
                <w:szCs w:val="10"/>
                <w:color w:val="auto"/>
              </w:rPr>
            </w:pPr>
          </w:p>
        </w:tc>
        <w:tc>
          <w:tcPr>
            <w:tcW w:w="2400" w:type="dxa"/>
            <w:vAlign w:val="bottom"/>
            <w:tcBorders>
              <w:bottom w:val="single" w:sz="8" w:color="0000EE"/>
            </w:tcBorders>
            <w:gridSpan w:val="7"/>
          </w:tcPr>
          <w:p>
            <w:pPr>
              <w:spacing w:after="0" w:line="124" w:lineRule="exact"/>
              <w:rPr>
                <w:rFonts w:ascii="Arial" w:cs="Arial" w:eastAsia="Arial" w:hAnsi="Arial"/>
                <w:sz w:val="12"/>
                <w:szCs w:val="12"/>
                <w:color w:val="0000EE"/>
                <w:w w:val="93"/>
              </w:rPr>
            </w:pPr>
            <w:hyperlink r:id="rId179">
              <w:r>
                <w:rPr>
                  <w:rFonts w:ascii="Arial" w:cs="Arial" w:eastAsia="Arial" w:hAnsi="Arial"/>
                  <w:sz w:val="12"/>
                  <w:szCs w:val="12"/>
                  <w:color w:val="0000EE"/>
                  <w:w w:val="93"/>
                </w:rPr>
                <w:t>Mobility Corporation 2018 Equity Incentive Plan.</w:t>
              </w:r>
            </w:hyperlink>
          </w:p>
        </w:tc>
        <w:tc>
          <w:tcPr>
            <w:tcW w:w="1820" w:type="dxa"/>
            <w:vAlign w:val="bottom"/>
            <w:gridSpan w:val="2"/>
          </w:tcPr>
          <w:p>
            <w:pPr>
              <w:spacing w:after="0"/>
              <w:rPr>
                <w:sz w:val="10"/>
                <w:szCs w:val="10"/>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3"/>
        </w:trPr>
        <w:tc>
          <w:tcPr>
            <w:tcW w:w="680" w:type="dxa"/>
            <w:vAlign w:val="bottom"/>
          </w:tcPr>
          <w:p>
            <w:pPr>
              <w:jc w:val="center"/>
              <w:ind w:right="240"/>
              <w:spacing w:after="0"/>
              <w:rPr>
                <w:sz w:val="20"/>
                <w:szCs w:val="20"/>
                <w:color w:val="auto"/>
              </w:rPr>
            </w:pPr>
            <w:r>
              <w:rPr>
                <w:rFonts w:ascii="Arial" w:cs="Arial" w:eastAsia="Arial" w:hAnsi="Arial"/>
                <w:sz w:val="12"/>
                <w:szCs w:val="12"/>
                <w:color w:val="auto"/>
                <w:w w:val="96"/>
              </w:rPr>
              <w:t>8-K</w:t>
            </w:r>
          </w:p>
        </w:tc>
        <w:tc>
          <w:tcPr>
            <w:tcW w:w="1300" w:type="dxa"/>
            <w:vAlign w:val="bottom"/>
          </w:tcPr>
          <w:p>
            <w:pPr>
              <w:jc w:val="right"/>
              <w:ind w:right="360"/>
              <w:spacing w:after="0"/>
              <w:rPr>
                <w:sz w:val="20"/>
                <w:szCs w:val="20"/>
                <w:color w:val="auto"/>
              </w:rPr>
            </w:pPr>
            <w:r>
              <w:rPr>
                <w:rFonts w:ascii="Arial" w:cs="Arial" w:eastAsia="Arial" w:hAnsi="Arial"/>
                <w:sz w:val="12"/>
                <w:szCs w:val="12"/>
                <w:color w:val="auto"/>
              </w:rPr>
              <w:t>001-37979</w:t>
            </w:r>
          </w:p>
        </w:tc>
        <w:tc>
          <w:tcPr>
            <w:tcW w:w="1140" w:type="dxa"/>
            <w:vAlign w:val="bottom"/>
          </w:tcPr>
          <w:p>
            <w:pPr>
              <w:jc w:val="center"/>
              <w:spacing w:after="0"/>
              <w:rPr>
                <w:sz w:val="20"/>
                <w:szCs w:val="20"/>
                <w:color w:val="auto"/>
              </w:rPr>
            </w:pPr>
            <w:r>
              <w:rPr>
                <w:rFonts w:ascii="Arial" w:cs="Arial" w:eastAsia="Arial" w:hAnsi="Arial"/>
                <w:sz w:val="12"/>
                <w:szCs w:val="12"/>
                <w:color w:val="auto"/>
                <w:w w:val="86"/>
              </w:rPr>
              <w:t>10.11</w:t>
            </w:r>
          </w:p>
        </w:tc>
        <w:tc>
          <w:tcPr>
            <w:tcW w:w="1180" w:type="dxa"/>
            <w:vAlign w:val="bottom"/>
          </w:tcPr>
          <w:p>
            <w:pPr>
              <w:jc w:val="center"/>
              <w:ind w:left="380"/>
              <w:spacing w:after="0"/>
              <w:rPr>
                <w:sz w:val="20"/>
                <w:szCs w:val="20"/>
                <w:color w:val="auto"/>
              </w:rPr>
            </w:pPr>
            <w:r>
              <w:rPr>
                <w:rFonts w:ascii="Arial" w:cs="Arial" w:eastAsia="Arial" w:hAnsi="Arial"/>
                <w:sz w:val="12"/>
                <w:szCs w:val="12"/>
                <w:color w:val="auto"/>
                <w:w w:val="91"/>
              </w:rPr>
              <w:t>Oct. 22, 2018</w:t>
            </w:r>
          </w:p>
        </w:tc>
      </w:tr>
      <w:tr>
        <w:trPr>
          <w:trHeight w:val="351"/>
        </w:trPr>
        <w:tc>
          <w:tcPr>
            <w:tcW w:w="680" w:type="dxa"/>
            <w:vAlign w:val="bottom"/>
          </w:tcPr>
          <w:p>
            <w:pPr>
              <w:jc w:val="center"/>
              <w:ind w:right="240"/>
              <w:spacing w:after="0"/>
              <w:rPr>
                <w:sz w:val="20"/>
                <w:szCs w:val="20"/>
                <w:color w:val="auto"/>
              </w:rPr>
            </w:pPr>
            <w:r>
              <w:rPr>
                <w:rFonts w:ascii="Arial" w:cs="Arial" w:eastAsia="Arial" w:hAnsi="Arial"/>
                <w:sz w:val="12"/>
                <w:szCs w:val="12"/>
                <w:color w:val="auto"/>
                <w:w w:val="96"/>
              </w:rPr>
              <w:t>8-K</w:t>
            </w:r>
          </w:p>
        </w:tc>
        <w:tc>
          <w:tcPr>
            <w:tcW w:w="1300" w:type="dxa"/>
            <w:vAlign w:val="bottom"/>
          </w:tcPr>
          <w:p>
            <w:pPr>
              <w:jc w:val="right"/>
              <w:ind w:right="360"/>
              <w:spacing w:after="0"/>
              <w:rPr>
                <w:sz w:val="20"/>
                <w:szCs w:val="20"/>
                <w:color w:val="auto"/>
              </w:rPr>
            </w:pPr>
            <w:r>
              <w:rPr>
                <w:rFonts w:ascii="Arial" w:cs="Arial" w:eastAsia="Arial" w:hAnsi="Arial"/>
                <w:sz w:val="12"/>
                <w:szCs w:val="12"/>
                <w:color w:val="auto"/>
              </w:rPr>
              <w:t>001-37979</w:t>
            </w:r>
          </w:p>
        </w:tc>
        <w:tc>
          <w:tcPr>
            <w:tcW w:w="1140" w:type="dxa"/>
            <w:vAlign w:val="bottom"/>
          </w:tcPr>
          <w:p>
            <w:pPr>
              <w:jc w:val="center"/>
              <w:spacing w:after="0"/>
              <w:rPr>
                <w:sz w:val="20"/>
                <w:szCs w:val="20"/>
                <w:color w:val="auto"/>
              </w:rPr>
            </w:pPr>
            <w:r>
              <w:rPr>
                <w:rFonts w:ascii="Arial" w:cs="Arial" w:eastAsia="Arial" w:hAnsi="Arial"/>
                <w:sz w:val="12"/>
                <w:szCs w:val="12"/>
                <w:color w:val="auto"/>
                <w:w w:val="86"/>
              </w:rPr>
              <w:t>10.12</w:t>
            </w:r>
          </w:p>
        </w:tc>
        <w:tc>
          <w:tcPr>
            <w:tcW w:w="1180" w:type="dxa"/>
            <w:vAlign w:val="bottom"/>
          </w:tcPr>
          <w:p>
            <w:pPr>
              <w:jc w:val="center"/>
              <w:ind w:left="380"/>
              <w:spacing w:after="0"/>
              <w:rPr>
                <w:sz w:val="20"/>
                <w:szCs w:val="20"/>
                <w:color w:val="auto"/>
              </w:rPr>
            </w:pPr>
            <w:r>
              <w:rPr>
                <w:rFonts w:ascii="Arial" w:cs="Arial" w:eastAsia="Arial" w:hAnsi="Arial"/>
                <w:sz w:val="12"/>
                <w:szCs w:val="12"/>
                <w:color w:val="auto"/>
                <w:w w:val="91"/>
              </w:rPr>
              <w:t>Oct. 22, 2018</w:t>
            </w:r>
          </w:p>
        </w:tc>
      </w:tr>
      <w:tr>
        <w:trPr>
          <w:trHeight w:val="351"/>
        </w:trPr>
        <w:tc>
          <w:tcPr>
            <w:tcW w:w="680" w:type="dxa"/>
            <w:vAlign w:val="bottom"/>
          </w:tcPr>
          <w:p>
            <w:pPr>
              <w:jc w:val="center"/>
              <w:ind w:right="240"/>
              <w:spacing w:after="0"/>
              <w:rPr>
                <w:sz w:val="20"/>
                <w:szCs w:val="20"/>
                <w:color w:val="auto"/>
              </w:rPr>
            </w:pPr>
            <w:r>
              <w:rPr>
                <w:rFonts w:ascii="Arial" w:cs="Arial" w:eastAsia="Arial" w:hAnsi="Arial"/>
                <w:sz w:val="12"/>
                <w:szCs w:val="12"/>
                <w:color w:val="auto"/>
                <w:w w:val="96"/>
              </w:rPr>
              <w:t>8-K</w:t>
            </w:r>
          </w:p>
        </w:tc>
        <w:tc>
          <w:tcPr>
            <w:tcW w:w="1300" w:type="dxa"/>
            <w:vAlign w:val="bottom"/>
          </w:tcPr>
          <w:p>
            <w:pPr>
              <w:jc w:val="right"/>
              <w:ind w:right="360"/>
              <w:spacing w:after="0"/>
              <w:rPr>
                <w:sz w:val="20"/>
                <w:szCs w:val="20"/>
                <w:color w:val="auto"/>
              </w:rPr>
            </w:pPr>
            <w:r>
              <w:rPr>
                <w:rFonts w:ascii="Arial" w:cs="Arial" w:eastAsia="Arial" w:hAnsi="Arial"/>
                <w:sz w:val="12"/>
                <w:szCs w:val="12"/>
                <w:color w:val="auto"/>
              </w:rPr>
              <w:t>001-37979</w:t>
            </w:r>
          </w:p>
        </w:tc>
        <w:tc>
          <w:tcPr>
            <w:tcW w:w="1140" w:type="dxa"/>
            <w:vAlign w:val="bottom"/>
          </w:tcPr>
          <w:p>
            <w:pPr>
              <w:jc w:val="center"/>
              <w:spacing w:after="0"/>
              <w:rPr>
                <w:sz w:val="20"/>
                <w:szCs w:val="20"/>
                <w:color w:val="auto"/>
              </w:rPr>
            </w:pPr>
            <w:r>
              <w:rPr>
                <w:rFonts w:ascii="Arial" w:cs="Arial" w:eastAsia="Arial" w:hAnsi="Arial"/>
                <w:sz w:val="12"/>
                <w:szCs w:val="12"/>
                <w:color w:val="auto"/>
                <w:w w:val="86"/>
              </w:rPr>
              <w:t>10.13</w:t>
            </w:r>
          </w:p>
        </w:tc>
        <w:tc>
          <w:tcPr>
            <w:tcW w:w="1180" w:type="dxa"/>
            <w:vAlign w:val="bottom"/>
          </w:tcPr>
          <w:p>
            <w:pPr>
              <w:jc w:val="center"/>
              <w:ind w:left="380"/>
              <w:spacing w:after="0"/>
              <w:rPr>
                <w:sz w:val="20"/>
                <w:szCs w:val="20"/>
                <w:color w:val="auto"/>
              </w:rPr>
            </w:pPr>
            <w:r>
              <w:rPr>
                <w:rFonts w:ascii="Arial" w:cs="Arial" w:eastAsia="Arial" w:hAnsi="Arial"/>
                <w:sz w:val="12"/>
                <w:szCs w:val="12"/>
                <w:color w:val="auto"/>
                <w:w w:val="91"/>
              </w:rPr>
              <w:t>Oct. 22, 2018</w:t>
            </w:r>
          </w:p>
        </w:tc>
      </w:tr>
      <w:tr>
        <w:trPr>
          <w:trHeight w:val="351"/>
        </w:trPr>
        <w:tc>
          <w:tcPr>
            <w:tcW w:w="680" w:type="dxa"/>
            <w:vAlign w:val="bottom"/>
          </w:tcPr>
          <w:p>
            <w:pPr>
              <w:jc w:val="center"/>
              <w:ind w:right="240"/>
              <w:spacing w:after="0"/>
              <w:rPr>
                <w:sz w:val="20"/>
                <w:szCs w:val="20"/>
                <w:color w:val="auto"/>
              </w:rPr>
            </w:pPr>
            <w:r>
              <w:rPr>
                <w:rFonts w:ascii="Arial" w:cs="Arial" w:eastAsia="Arial" w:hAnsi="Arial"/>
                <w:sz w:val="12"/>
                <w:szCs w:val="12"/>
                <w:color w:val="auto"/>
                <w:w w:val="96"/>
              </w:rPr>
              <w:t>8-K</w:t>
            </w:r>
          </w:p>
        </w:tc>
        <w:tc>
          <w:tcPr>
            <w:tcW w:w="1300" w:type="dxa"/>
            <w:vAlign w:val="bottom"/>
          </w:tcPr>
          <w:p>
            <w:pPr>
              <w:jc w:val="right"/>
              <w:ind w:right="360"/>
              <w:spacing w:after="0"/>
              <w:rPr>
                <w:sz w:val="20"/>
                <w:szCs w:val="20"/>
                <w:color w:val="auto"/>
              </w:rPr>
            </w:pPr>
            <w:r>
              <w:rPr>
                <w:rFonts w:ascii="Arial" w:cs="Arial" w:eastAsia="Arial" w:hAnsi="Arial"/>
                <w:sz w:val="12"/>
                <w:szCs w:val="12"/>
                <w:color w:val="auto"/>
              </w:rPr>
              <w:t>001-37979</w:t>
            </w:r>
          </w:p>
        </w:tc>
        <w:tc>
          <w:tcPr>
            <w:tcW w:w="1140" w:type="dxa"/>
            <w:vAlign w:val="bottom"/>
          </w:tcPr>
          <w:p>
            <w:pPr>
              <w:jc w:val="center"/>
              <w:spacing w:after="0"/>
              <w:rPr>
                <w:sz w:val="20"/>
                <w:szCs w:val="20"/>
                <w:color w:val="auto"/>
              </w:rPr>
            </w:pPr>
            <w:r>
              <w:rPr>
                <w:rFonts w:ascii="Arial" w:cs="Arial" w:eastAsia="Arial" w:hAnsi="Arial"/>
                <w:sz w:val="12"/>
                <w:szCs w:val="12"/>
                <w:color w:val="auto"/>
                <w:w w:val="86"/>
              </w:rPr>
              <w:t>10.14</w:t>
            </w:r>
          </w:p>
        </w:tc>
        <w:tc>
          <w:tcPr>
            <w:tcW w:w="1180" w:type="dxa"/>
            <w:vAlign w:val="bottom"/>
          </w:tcPr>
          <w:p>
            <w:pPr>
              <w:jc w:val="center"/>
              <w:ind w:left="380"/>
              <w:spacing w:after="0"/>
              <w:rPr>
                <w:sz w:val="20"/>
                <w:szCs w:val="20"/>
                <w:color w:val="auto"/>
              </w:rPr>
            </w:pPr>
            <w:r>
              <w:rPr>
                <w:rFonts w:ascii="Arial" w:cs="Arial" w:eastAsia="Arial" w:hAnsi="Arial"/>
                <w:sz w:val="12"/>
                <w:szCs w:val="12"/>
                <w:color w:val="auto"/>
                <w:w w:val="91"/>
              </w:rPr>
              <w:t>Oct. 22, 2018</w:t>
            </w:r>
          </w:p>
        </w:tc>
      </w:tr>
      <w:tr>
        <w:trPr>
          <w:trHeight w:val="351"/>
        </w:trPr>
        <w:tc>
          <w:tcPr>
            <w:tcW w:w="680" w:type="dxa"/>
            <w:vAlign w:val="bottom"/>
          </w:tcPr>
          <w:p>
            <w:pPr>
              <w:jc w:val="center"/>
              <w:ind w:right="260"/>
              <w:spacing w:after="0"/>
              <w:rPr>
                <w:sz w:val="20"/>
                <w:szCs w:val="20"/>
                <w:color w:val="auto"/>
              </w:rPr>
            </w:pPr>
            <w:r>
              <w:rPr>
                <w:rFonts w:ascii="Arial" w:cs="Arial" w:eastAsia="Arial" w:hAnsi="Arial"/>
                <w:sz w:val="12"/>
                <w:szCs w:val="12"/>
                <w:color w:val="auto"/>
                <w:w w:val="89"/>
              </w:rPr>
              <w:t>10-Q</w:t>
            </w:r>
          </w:p>
        </w:tc>
        <w:tc>
          <w:tcPr>
            <w:tcW w:w="1300" w:type="dxa"/>
            <w:vAlign w:val="bottom"/>
          </w:tcPr>
          <w:p>
            <w:pPr>
              <w:jc w:val="right"/>
              <w:ind w:right="360"/>
              <w:spacing w:after="0"/>
              <w:rPr>
                <w:sz w:val="20"/>
                <w:szCs w:val="20"/>
                <w:color w:val="auto"/>
              </w:rPr>
            </w:pPr>
            <w:r>
              <w:rPr>
                <w:rFonts w:ascii="Arial" w:cs="Arial" w:eastAsia="Arial" w:hAnsi="Arial"/>
                <w:sz w:val="12"/>
                <w:szCs w:val="12"/>
                <w:color w:val="auto"/>
              </w:rPr>
              <w:t>001-37979</w:t>
            </w:r>
          </w:p>
        </w:tc>
        <w:tc>
          <w:tcPr>
            <w:tcW w:w="1140" w:type="dxa"/>
            <w:vAlign w:val="bottom"/>
          </w:tcPr>
          <w:p>
            <w:pPr>
              <w:jc w:val="center"/>
              <w:spacing w:after="0"/>
              <w:rPr>
                <w:sz w:val="20"/>
                <w:szCs w:val="20"/>
                <w:color w:val="auto"/>
              </w:rPr>
            </w:pPr>
            <w:r>
              <w:rPr>
                <w:rFonts w:ascii="Arial" w:cs="Arial" w:eastAsia="Arial" w:hAnsi="Arial"/>
                <w:sz w:val="12"/>
                <w:szCs w:val="12"/>
                <w:color w:val="auto"/>
                <w:w w:val="93"/>
              </w:rPr>
              <w:t>10.1</w:t>
            </w:r>
          </w:p>
        </w:tc>
        <w:tc>
          <w:tcPr>
            <w:tcW w:w="1180" w:type="dxa"/>
            <w:vAlign w:val="bottom"/>
          </w:tcPr>
          <w:p>
            <w:pPr>
              <w:jc w:val="center"/>
              <w:ind w:left="380"/>
              <w:spacing w:after="0"/>
              <w:rPr>
                <w:sz w:val="20"/>
                <w:szCs w:val="20"/>
                <w:color w:val="auto"/>
              </w:rPr>
            </w:pPr>
            <w:r>
              <w:rPr>
                <w:rFonts w:ascii="Arial" w:cs="Arial" w:eastAsia="Arial" w:hAnsi="Arial"/>
                <w:sz w:val="12"/>
                <w:szCs w:val="12"/>
                <w:color w:val="auto"/>
                <w:w w:val="91"/>
              </w:rPr>
              <w:t>August 6, 2019</w:t>
            </w:r>
          </w:p>
        </w:tc>
      </w:tr>
      <w:tr>
        <w:trPr>
          <w:trHeight w:val="703"/>
        </w:trPr>
        <w:tc>
          <w:tcPr>
            <w:tcW w:w="680" w:type="dxa"/>
            <w:vAlign w:val="bottom"/>
          </w:tcPr>
          <w:p>
            <w:pPr>
              <w:jc w:val="center"/>
              <w:ind w:right="240"/>
              <w:spacing w:after="0"/>
              <w:rPr>
                <w:sz w:val="20"/>
                <w:szCs w:val="20"/>
                <w:color w:val="auto"/>
              </w:rPr>
            </w:pPr>
            <w:r>
              <w:rPr>
                <w:rFonts w:ascii="Arial" w:cs="Arial" w:eastAsia="Arial" w:hAnsi="Arial"/>
                <w:sz w:val="12"/>
                <w:szCs w:val="12"/>
                <w:color w:val="auto"/>
                <w:w w:val="96"/>
              </w:rPr>
              <w:t>8-K</w:t>
            </w:r>
          </w:p>
        </w:tc>
        <w:tc>
          <w:tcPr>
            <w:tcW w:w="1300" w:type="dxa"/>
            <w:vAlign w:val="bottom"/>
          </w:tcPr>
          <w:p>
            <w:pPr>
              <w:jc w:val="right"/>
              <w:ind w:right="360"/>
              <w:spacing w:after="0"/>
              <w:rPr>
                <w:sz w:val="20"/>
                <w:szCs w:val="20"/>
                <w:color w:val="auto"/>
              </w:rPr>
            </w:pPr>
            <w:r>
              <w:rPr>
                <w:rFonts w:ascii="Arial" w:cs="Arial" w:eastAsia="Arial" w:hAnsi="Arial"/>
                <w:sz w:val="12"/>
                <w:szCs w:val="12"/>
                <w:color w:val="auto"/>
              </w:rPr>
              <w:t>001-37979</w:t>
            </w:r>
          </w:p>
        </w:tc>
        <w:tc>
          <w:tcPr>
            <w:tcW w:w="1140" w:type="dxa"/>
            <w:vAlign w:val="bottom"/>
          </w:tcPr>
          <w:p>
            <w:pPr>
              <w:jc w:val="center"/>
              <w:spacing w:after="0"/>
              <w:rPr>
                <w:sz w:val="20"/>
                <w:szCs w:val="20"/>
                <w:color w:val="auto"/>
              </w:rPr>
            </w:pPr>
            <w:r>
              <w:rPr>
                <w:rFonts w:ascii="Arial" w:cs="Arial" w:eastAsia="Arial" w:hAnsi="Arial"/>
                <w:sz w:val="12"/>
                <w:szCs w:val="12"/>
                <w:color w:val="auto"/>
                <w:w w:val="86"/>
              </w:rPr>
              <w:t>10.17</w:t>
            </w:r>
          </w:p>
        </w:tc>
        <w:tc>
          <w:tcPr>
            <w:tcW w:w="1180" w:type="dxa"/>
            <w:vAlign w:val="bottom"/>
          </w:tcPr>
          <w:p>
            <w:pPr>
              <w:jc w:val="center"/>
              <w:ind w:left="380"/>
              <w:spacing w:after="0"/>
              <w:rPr>
                <w:sz w:val="20"/>
                <w:szCs w:val="20"/>
                <w:color w:val="auto"/>
              </w:rPr>
            </w:pPr>
            <w:r>
              <w:rPr>
                <w:rFonts w:ascii="Arial" w:cs="Arial" w:eastAsia="Arial" w:hAnsi="Arial"/>
                <w:sz w:val="12"/>
                <w:szCs w:val="12"/>
                <w:color w:val="auto"/>
                <w:w w:val="91"/>
              </w:rPr>
              <w:t>Oct. 22, 2018</w:t>
            </w:r>
          </w:p>
        </w:tc>
      </w:tr>
      <w:tr>
        <w:trPr>
          <w:trHeight w:val="207"/>
        </w:trPr>
        <w:tc>
          <w:tcPr>
            <w:tcW w:w="680" w:type="dxa"/>
            <w:vAlign w:val="bottom"/>
          </w:tcPr>
          <w:p>
            <w:pPr>
              <w:jc w:val="center"/>
              <w:ind w:right="240"/>
              <w:spacing w:after="0"/>
              <w:rPr>
                <w:sz w:val="20"/>
                <w:szCs w:val="20"/>
                <w:color w:val="auto"/>
              </w:rPr>
            </w:pPr>
            <w:r>
              <w:rPr>
                <w:rFonts w:ascii="Arial" w:cs="Arial" w:eastAsia="Arial" w:hAnsi="Arial"/>
                <w:sz w:val="12"/>
                <w:szCs w:val="12"/>
                <w:color w:val="auto"/>
                <w:w w:val="96"/>
              </w:rPr>
              <w:t>8-K</w:t>
            </w:r>
          </w:p>
        </w:tc>
        <w:tc>
          <w:tcPr>
            <w:tcW w:w="1300" w:type="dxa"/>
            <w:vAlign w:val="bottom"/>
          </w:tcPr>
          <w:p>
            <w:pPr>
              <w:jc w:val="right"/>
              <w:ind w:right="360"/>
              <w:spacing w:after="0"/>
              <w:rPr>
                <w:sz w:val="20"/>
                <w:szCs w:val="20"/>
                <w:color w:val="auto"/>
              </w:rPr>
            </w:pPr>
            <w:r>
              <w:rPr>
                <w:rFonts w:ascii="Arial" w:cs="Arial" w:eastAsia="Arial" w:hAnsi="Arial"/>
                <w:sz w:val="12"/>
                <w:szCs w:val="12"/>
                <w:color w:val="auto"/>
              </w:rPr>
              <w:t>001-37979</w:t>
            </w:r>
          </w:p>
        </w:tc>
        <w:tc>
          <w:tcPr>
            <w:tcW w:w="1140" w:type="dxa"/>
            <w:vAlign w:val="bottom"/>
          </w:tcPr>
          <w:p>
            <w:pPr>
              <w:jc w:val="center"/>
              <w:spacing w:after="0"/>
              <w:rPr>
                <w:sz w:val="20"/>
                <w:szCs w:val="20"/>
                <w:color w:val="auto"/>
              </w:rPr>
            </w:pPr>
            <w:r>
              <w:rPr>
                <w:rFonts w:ascii="Arial" w:cs="Arial" w:eastAsia="Arial" w:hAnsi="Arial"/>
                <w:sz w:val="12"/>
                <w:szCs w:val="12"/>
                <w:color w:val="auto"/>
                <w:w w:val="86"/>
              </w:rPr>
              <w:t>10.18</w:t>
            </w:r>
          </w:p>
        </w:tc>
        <w:tc>
          <w:tcPr>
            <w:tcW w:w="1180" w:type="dxa"/>
            <w:vAlign w:val="bottom"/>
          </w:tcPr>
          <w:p>
            <w:pPr>
              <w:jc w:val="center"/>
              <w:ind w:left="380"/>
              <w:spacing w:after="0"/>
              <w:rPr>
                <w:sz w:val="20"/>
                <w:szCs w:val="20"/>
                <w:color w:val="auto"/>
              </w:rPr>
            </w:pPr>
            <w:r>
              <w:rPr>
                <w:rFonts w:ascii="Arial" w:cs="Arial" w:eastAsia="Arial" w:hAnsi="Arial"/>
                <w:sz w:val="12"/>
                <w:szCs w:val="12"/>
                <w:color w:val="auto"/>
                <w:w w:val="91"/>
              </w:rPr>
              <w:t>Oct. 22, 2018</w:t>
            </w:r>
          </w:p>
        </w:tc>
      </w:tr>
      <w:tr>
        <w:trPr>
          <w:trHeight w:val="495"/>
        </w:trPr>
        <w:tc>
          <w:tcPr>
            <w:tcW w:w="680" w:type="dxa"/>
            <w:vAlign w:val="bottom"/>
          </w:tcPr>
          <w:p>
            <w:pPr>
              <w:jc w:val="right"/>
              <w:ind w:right="440"/>
              <w:spacing w:after="0"/>
              <w:rPr>
                <w:sz w:val="20"/>
                <w:szCs w:val="20"/>
                <w:color w:val="auto"/>
              </w:rPr>
            </w:pPr>
            <w:r>
              <w:rPr>
                <w:rFonts w:ascii="Arial" w:cs="Arial" w:eastAsia="Arial" w:hAnsi="Arial"/>
                <w:sz w:val="12"/>
                <w:szCs w:val="12"/>
                <w:color w:val="auto"/>
                <w:w w:val="79"/>
              </w:rPr>
              <w:t>114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-3598545</wp:posOffset>
            </wp:positionH>
            <wp:positionV relativeFrom="paragraph">
              <wp:posOffset>33020</wp:posOffset>
            </wp:positionV>
            <wp:extent cx="7317740" cy="3683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80">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1"/>
          <w:szCs w:val="11"/>
          <w:color w:val="auto"/>
        </w:rPr>
        <w:t>X</w:t>
      </w:r>
    </w:p>
    <w:p>
      <w:pPr>
        <w:sectPr>
          <w:pgSz w:w="11900" w:h="16838" w:orient="portrait"/>
          <w:cols w:equalWidth="0" w:num="3">
            <w:col w:w="5300" w:space="280"/>
            <w:col w:w="4580" w:space="720"/>
            <w:col w:w="280"/>
          </w:cols>
          <w:pgMar w:left="280" w:top="271" w:right="459" w:bottom="1440" w:gutter="0" w:footer="0" w:header="0"/>
          <w:type w:val="continuous"/>
        </w:sectPr>
      </w:pPr>
    </w:p>
    <w:bookmarkStart w:id="115" w:name="page116"/>
    <w:bookmarkEnd w:id="115"/>
    <w:p>
      <w:pPr>
        <w:spacing w:after="0" w:line="144" w:lineRule="exact"/>
        <w:rPr>
          <w:sz w:val="20"/>
          <w:szCs w:val="20"/>
          <w:color w:val="auto"/>
        </w:rPr>
      </w:pPr>
    </w:p>
    <w:p>
      <w:pPr>
        <w:ind w:left="260"/>
        <w:spacing w:after="0"/>
        <w:rPr>
          <w:sz w:val="20"/>
          <w:szCs w:val="20"/>
          <w:color w:val="auto"/>
        </w:rPr>
      </w:pPr>
      <w:r>
        <w:rPr>
          <w:rFonts w:ascii="Arial" w:cs="Arial" w:eastAsia="Arial" w:hAnsi="Arial"/>
          <w:sz w:val="11"/>
          <w:szCs w:val="11"/>
          <w:b w:val="1"/>
          <w:bCs w:val="1"/>
          <w:color w:val="auto"/>
        </w:rPr>
        <w:t>Exhibit</w:t>
      </w:r>
    </w:p>
    <w:p>
      <w:pPr>
        <w:spacing w:after="0" w:line="30"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wp:posOffset>
            </wp:positionH>
            <wp:positionV relativeFrom="paragraph">
              <wp:posOffset>9525</wp:posOffset>
            </wp:positionV>
            <wp:extent cx="657860" cy="571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81">
                      <a:extLst>
                        <a:ext uri="{28A0092B-C50C-407E-A947-70E740481C1C}"/>
                      </a:extLst>
                    </a:blip>
                    <a:srcRect/>
                    <a:stretch>
                      <a:fillRect/>
                    </a:stretch>
                  </pic:blipFill>
                  <pic:spPr bwMode="auto">
                    <a:xfrm>
                      <a:off x="0" y="0"/>
                      <a:ext cx="657860" cy="5715"/>
                    </a:xfrm>
                    <a:prstGeom prst="rect">
                      <a:avLst/>
                    </a:prstGeom>
                    <a:noFill/>
                  </pic:spPr>
                </pic:pic>
              </a:graphicData>
            </a:graphic>
          </wp:anchor>
        </w:drawing>
      </w:r>
    </w:p>
    <w:p>
      <w:pPr>
        <w:spacing w:after="0" w:line="58" w:lineRule="exact"/>
        <w:rPr>
          <w:sz w:val="20"/>
          <w:szCs w:val="20"/>
          <w:color w:val="auto"/>
        </w:rPr>
      </w:pPr>
    </w:p>
    <w:p>
      <w:pPr>
        <w:spacing w:after="0"/>
        <w:rPr>
          <w:sz w:val="20"/>
          <w:szCs w:val="20"/>
          <w:color w:val="auto"/>
        </w:rPr>
      </w:pPr>
      <w:r>
        <w:rPr>
          <w:rFonts w:ascii="Arial" w:cs="Arial" w:eastAsia="Arial" w:hAnsi="Arial"/>
          <w:sz w:val="12"/>
          <w:szCs w:val="12"/>
          <w:color w:val="auto"/>
        </w:rPr>
        <w:t>10.20#</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63500</wp:posOffset>
            </wp:positionV>
            <wp:extent cx="2682240" cy="571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82">
                      <a:extLst>
                        <a:ext uri="{28A0092B-C50C-407E-A947-70E740481C1C}"/>
                      </a:extLst>
                    </a:blip>
                    <a:srcRect/>
                    <a:stretch>
                      <a:fillRect/>
                    </a:stretch>
                  </pic:blipFill>
                  <pic:spPr bwMode="auto">
                    <a:xfrm>
                      <a:off x="0" y="0"/>
                      <a:ext cx="2682240" cy="5715"/>
                    </a:xfrm>
                    <a:prstGeom prst="rect">
                      <a:avLst/>
                    </a:prstGeom>
                    <a:noFill/>
                  </pic:spPr>
                </pic:pic>
              </a:graphicData>
            </a:graphic>
          </wp:anchor>
        </w:drawing>
      </w:r>
    </w:p>
    <w:p>
      <w:pPr>
        <w:spacing w:after="0" w:line="143" w:lineRule="exact"/>
        <w:rPr>
          <w:sz w:val="20"/>
          <w:szCs w:val="20"/>
          <w:color w:val="auto"/>
        </w:rPr>
      </w:pPr>
    </w:p>
    <w:p>
      <w:pPr>
        <w:spacing w:after="0"/>
        <w:rPr>
          <w:rFonts w:ascii="Arial" w:cs="Arial" w:eastAsia="Arial" w:hAnsi="Arial"/>
          <w:sz w:val="12"/>
          <w:szCs w:val="12"/>
          <w:u w:val="single" w:color="auto"/>
          <w:color w:val="0000EE"/>
        </w:rPr>
      </w:pPr>
      <w:hyperlink r:id="rId183">
        <w:r>
          <w:rPr>
            <w:rFonts w:ascii="Arial" w:cs="Arial" w:eastAsia="Arial" w:hAnsi="Arial"/>
            <w:sz w:val="12"/>
            <w:szCs w:val="12"/>
            <w:u w:val="single" w:color="auto"/>
            <w:color w:val="0000EE"/>
          </w:rPr>
          <w:t>Form of Notice of Grant of Restricted Stock Unit and Agreement for Non-U.S.</w:t>
        </w:r>
      </w:hyperlink>
    </w:p>
    <w:p>
      <w:pPr>
        <w:spacing w:after="0" w:line="15" w:lineRule="exact"/>
        <w:rPr>
          <w:sz w:val="20"/>
          <w:szCs w:val="20"/>
          <w:color w:val="auto"/>
        </w:rPr>
      </w:pPr>
    </w:p>
    <w:p>
      <w:pPr>
        <w:spacing w:after="0"/>
        <w:rPr>
          <w:rFonts w:ascii="Arial" w:cs="Arial" w:eastAsia="Arial" w:hAnsi="Arial"/>
          <w:sz w:val="12"/>
          <w:szCs w:val="12"/>
          <w:color w:val="0000EE"/>
        </w:rPr>
      </w:pPr>
      <w:hyperlink r:id="rId183">
        <w:r>
          <w:rPr>
            <w:rFonts w:ascii="Arial" w:cs="Arial" w:eastAsia="Arial" w:hAnsi="Arial"/>
            <w:sz w:val="12"/>
            <w:szCs w:val="12"/>
            <w:u w:val="single" w:color="auto"/>
            <w:color w:val="0000EE"/>
          </w:rPr>
          <w:t>Participants under the Verra Mobility Corporation 2018 Equity Incentive Plan</w:t>
        </w:r>
        <w:r>
          <w:rPr>
            <w:rFonts w:ascii="Arial" w:cs="Arial" w:eastAsia="Arial" w:hAnsi="Arial"/>
            <w:sz w:val="12"/>
            <w:szCs w:val="12"/>
            <w:color w:val="000000"/>
          </w:rPr>
          <w:t>.</w:t>
        </w:r>
      </w:hyperlink>
    </w:p>
    <w:p>
      <w:pPr>
        <w:spacing w:after="0" w:line="20" w:lineRule="exact"/>
        <w:rPr>
          <w:sz w:val="20"/>
          <w:szCs w:val="20"/>
          <w:color w:val="auto"/>
        </w:rPr>
      </w:pPr>
      <w:r>
        <w:rPr>
          <w:sz w:val="20"/>
          <w:szCs w:val="20"/>
          <w:color w:val="auto"/>
        </w:rPr>
        <w:br w:type="column"/>
      </w:r>
    </w:p>
    <w:p>
      <w:pPr>
        <w:ind w:left="1720"/>
        <w:spacing w:after="0"/>
        <w:rPr>
          <w:sz w:val="20"/>
          <w:szCs w:val="20"/>
          <w:color w:val="auto"/>
        </w:rPr>
      </w:pPr>
      <w:r>
        <w:rPr>
          <w:rFonts w:ascii="Arial" w:cs="Arial" w:eastAsia="Arial" w:hAnsi="Arial"/>
          <w:sz w:val="12"/>
          <w:szCs w:val="12"/>
          <w:b w:val="1"/>
          <w:bCs w:val="1"/>
          <w:color w:val="auto"/>
        </w:rPr>
        <w:t>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12065</wp:posOffset>
            </wp:positionV>
            <wp:extent cx="3071495" cy="571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84">
                      <a:extLst>
                        <a:ext uri="{28A0092B-C50C-407E-A947-70E740481C1C}"/>
                      </a:extLst>
                    </a:blip>
                    <a:srcRect/>
                    <a:stretch>
                      <a:fillRect/>
                    </a:stretch>
                  </pic:blipFill>
                  <pic:spPr bwMode="auto">
                    <a:xfrm>
                      <a:off x="0" y="0"/>
                      <a:ext cx="3071495" cy="5715"/>
                    </a:xfrm>
                    <a:prstGeom prst="rect">
                      <a:avLst/>
                    </a:prstGeom>
                    <a:noFill/>
                  </pic:spPr>
                </pic:pic>
              </a:graphicData>
            </a:graphic>
          </wp:anchor>
        </w:drawing>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76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93"/>
              </w:rPr>
              <w:t>Form</w:t>
            </w:r>
          </w:p>
        </w:tc>
        <w:tc>
          <w:tcPr>
            <w:tcW w:w="146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92"/>
              </w:rPr>
              <w:t>File No.</w:t>
            </w:r>
          </w:p>
        </w:tc>
        <w:tc>
          <w:tcPr>
            <w:tcW w:w="104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94"/>
              </w:rPr>
              <w:t>Exhibit</w:t>
            </w:r>
          </w:p>
        </w:tc>
        <w:tc>
          <w:tcPr>
            <w:tcW w:w="1580" w:type="dxa"/>
            <w:vAlign w:val="bottom"/>
          </w:tcPr>
          <w:p>
            <w:pPr>
              <w:jc w:val="center"/>
              <w:spacing w:after="0"/>
              <w:rPr>
                <w:sz w:val="20"/>
                <w:szCs w:val="20"/>
                <w:color w:val="auto"/>
              </w:rPr>
            </w:pPr>
            <w:r>
              <w:rPr>
                <w:rFonts w:ascii="Arial" w:cs="Arial" w:eastAsia="Arial" w:hAnsi="Arial"/>
                <w:sz w:val="12"/>
                <w:szCs w:val="12"/>
                <w:b w:val="1"/>
                <w:bCs w:val="1"/>
                <w:color w:val="auto"/>
                <w:w w:val="94"/>
              </w:rPr>
              <w:t>Filing Date</w:t>
            </w:r>
          </w:p>
        </w:tc>
      </w:tr>
      <w:tr>
        <w:trPr>
          <w:trHeight w:val="72"/>
        </w:trPr>
        <w:tc>
          <w:tcPr>
            <w:tcW w:w="620" w:type="dxa"/>
            <w:vAlign w:val="bottom"/>
            <w:tcBorders>
              <w:bottom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1580" w:type="dxa"/>
            <w:vAlign w:val="bottom"/>
            <w:tcBorders>
              <w:bottom w:val="single" w:sz="8" w:color="auto"/>
            </w:tcBorders>
          </w:tcPr>
          <w:p>
            <w:pPr>
              <w:spacing w:after="0"/>
              <w:rPr>
                <w:sz w:val="6"/>
                <w:szCs w:val="6"/>
                <w:color w:val="auto"/>
              </w:rPr>
            </w:pPr>
          </w:p>
        </w:tc>
      </w:tr>
      <w:tr>
        <w:trPr>
          <w:trHeight w:val="196"/>
        </w:trPr>
        <w:tc>
          <w:tcPr>
            <w:tcW w:w="760" w:type="dxa"/>
            <w:vAlign w:val="bottom"/>
            <w:gridSpan w:val="2"/>
          </w:tcPr>
          <w:p>
            <w:pPr>
              <w:jc w:val="center"/>
              <w:ind w:right="140"/>
              <w:spacing w:after="0"/>
              <w:rPr>
                <w:sz w:val="20"/>
                <w:szCs w:val="20"/>
                <w:color w:val="auto"/>
              </w:rPr>
            </w:pPr>
            <w:r>
              <w:rPr>
                <w:rFonts w:ascii="Arial" w:cs="Arial" w:eastAsia="Arial" w:hAnsi="Arial"/>
                <w:sz w:val="12"/>
                <w:szCs w:val="12"/>
                <w:color w:val="auto"/>
                <w:w w:val="96"/>
              </w:rPr>
              <w:t>8-K</w:t>
            </w:r>
          </w:p>
        </w:tc>
        <w:tc>
          <w:tcPr>
            <w:tcW w:w="1320" w:type="dxa"/>
            <w:vAlign w:val="bottom"/>
          </w:tcPr>
          <w:p>
            <w:pPr>
              <w:jc w:val="right"/>
              <w:ind w:right="340"/>
              <w:spacing w:after="0"/>
              <w:rPr>
                <w:sz w:val="20"/>
                <w:szCs w:val="20"/>
                <w:color w:val="auto"/>
              </w:rPr>
            </w:pPr>
            <w:r>
              <w:rPr>
                <w:rFonts w:ascii="Arial" w:cs="Arial" w:eastAsia="Arial" w:hAnsi="Arial"/>
                <w:sz w:val="12"/>
                <w:szCs w:val="12"/>
                <w:color w:val="auto"/>
              </w:rPr>
              <w:t>001-37979</w:t>
            </w:r>
          </w:p>
        </w:tc>
        <w:tc>
          <w:tcPr>
            <w:tcW w:w="140" w:type="dxa"/>
            <w:vAlign w:val="bottom"/>
          </w:tcPr>
          <w:p>
            <w:pPr>
              <w:spacing w:after="0"/>
              <w:rPr>
                <w:sz w:val="17"/>
                <w:szCs w:val="17"/>
                <w:color w:val="auto"/>
              </w:rPr>
            </w:pPr>
          </w:p>
        </w:tc>
        <w:tc>
          <w:tcPr>
            <w:tcW w:w="900" w:type="dxa"/>
            <w:vAlign w:val="bottom"/>
          </w:tcPr>
          <w:p>
            <w:pPr>
              <w:jc w:val="right"/>
              <w:ind w:right="260"/>
              <w:spacing w:after="0"/>
              <w:rPr>
                <w:sz w:val="20"/>
                <w:szCs w:val="20"/>
                <w:color w:val="auto"/>
              </w:rPr>
            </w:pPr>
            <w:r>
              <w:rPr>
                <w:rFonts w:ascii="Arial" w:cs="Arial" w:eastAsia="Arial" w:hAnsi="Arial"/>
                <w:sz w:val="12"/>
                <w:szCs w:val="12"/>
                <w:color w:val="auto"/>
              </w:rPr>
              <w:t>10.19</w:t>
            </w:r>
          </w:p>
        </w:tc>
        <w:tc>
          <w:tcPr>
            <w:tcW w:w="140" w:type="dxa"/>
            <w:vAlign w:val="bottom"/>
          </w:tcPr>
          <w:p>
            <w:pPr>
              <w:spacing w:after="0"/>
              <w:rPr>
                <w:sz w:val="17"/>
                <w:szCs w:val="17"/>
                <w:color w:val="auto"/>
              </w:rPr>
            </w:pPr>
          </w:p>
        </w:tc>
        <w:tc>
          <w:tcPr>
            <w:tcW w:w="1580" w:type="dxa"/>
            <w:vAlign w:val="bottom"/>
          </w:tcPr>
          <w:p>
            <w:pPr>
              <w:jc w:val="center"/>
              <w:spacing w:after="0"/>
              <w:rPr>
                <w:sz w:val="20"/>
                <w:szCs w:val="20"/>
                <w:color w:val="auto"/>
              </w:rPr>
            </w:pPr>
            <w:r>
              <w:rPr>
                <w:rFonts w:ascii="Arial" w:cs="Arial" w:eastAsia="Arial" w:hAnsi="Arial"/>
                <w:sz w:val="12"/>
                <w:szCs w:val="12"/>
                <w:color w:val="auto"/>
                <w:w w:val="91"/>
              </w:rPr>
              <w:t>Oct. 22, 2018</w:t>
            </w:r>
          </w:p>
        </w:tc>
      </w:tr>
    </w:tbl>
    <w:p>
      <w:pPr>
        <w:spacing w:after="0" w:line="20" w:lineRule="exact"/>
        <w:rPr>
          <w:sz w:val="20"/>
          <w:szCs w:val="20"/>
          <w:color w:val="auto"/>
        </w:rPr>
      </w:pPr>
      <w:r>
        <w:rPr>
          <w:sz w:val="20"/>
          <w:szCs w:val="20"/>
          <w:color w:val="auto"/>
        </w:rPr>
        <w:br w:type="column"/>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-161290</wp:posOffset>
            </wp:positionH>
            <wp:positionV relativeFrom="paragraph">
              <wp:posOffset>-84455</wp:posOffset>
            </wp:positionV>
            <wp:extent cx="629285" cy="571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85">
                      <a:extLst>
                        <a:ext uri="{28A0092B-C50C-407E-A947-70E740481C1C}"/>
                      </a:extLst>
                    </a:blip>
                    <a:srcRect/>
                    <a:stretch>
                      <a:fillRect/>
                    </a:stretch>
                  </pic:blipFill>
                  <pic:spPr bwMode="auto">
                    <a:xfrm>
                      <a:off x="0" y="0"/>
                      <a:ext cx="629285" cy="571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1"/>
          <w:szCs w:val="11"/>
          <w:b w:val="1"/>
          <w:bCs w:val="1"/>
          <w:color w:val="auto"/>
        </w:rPr>
        <w:t>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-161290</wp:posOffset>
            </wp:positionH>
            <wp:positionV relativeFrom="paragraph">
              <wp:posOffset>11430</wp:posOffset>
            </wp:positionV>
            <wp:extent cx="629285" cy="571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86">
                      <a:extLst>
                        <a:ext uri="{28A0092B-C50C-407E-A947-70E740481C1C}"/>
                      </a:extLst>
                    </a:blip>
                    <a:srcRect/>
                    <a:stretch>
                      <a:fillRect/>
                    </a:stretch>
                  </pic:blipFill>
                  <pic:spPr bwMode="auto">
                    <a:xfrm>
                      <a:off x="0" y="0"/>
                      <a:ext cx="629285" cy="5715"/>
                    </a:xfrm>
                    <a:prstGeom prst="rect">
                      <a:avLst/>
                    </a:prstGeom>
                    <a:noFill/>
                  </pic:spPr>
                </pic:pic>
              </a:graphicData>
            </a:graphic>
          </wp:anchor>
        </w:drawing>
      </w:r>
    </w:p>
    <w:p>
      <w:pPr>
        <w:spacing w:after="0" w:line="419" w:lineRule="exact"/>
        <w:rPr>
          <w:sz w:val="20"/>
          <w:szCs w:val="20"/>
          <w:color w:val="auto"/>
        </w:rPr>
      </w:pPr>
    </w:p>
    <w:p>
      <w:pPr>
        <w:sectPr>
          <w:pgSz w:w="11900" w:h="16838" w:orient="portrait"/>
          <w:cols w:equalWidth="0" w:num="4">
            <w:col w:w="660" w:space="420"/>
            <w:col w:w="4220" w:space="160"/>
            <w:col w:w="4840" w:space="380"/>
            <w:col w:w="480"/>
          </w:cols>
          <w:pgMar w:left="280" w:top="271" w:right="459" w:bottom="1440" w:gutter="0" w:footer="0" w:header="0"/>
        </w:sectPr>
      </w:pPr>
    </w:p>
    <w:tbl>
      <w:tblPr>
        <w:tblLayout w:type="fixed"/>
        <w:tblInd w:w="0" w:type="dxa"/>
        <w:tblCellMar>
          <w:top w:w="0" w:type="dxa"/>
          <w:left w:w="0" w:type="dxa"/>
          <w:bottom w:w="0" w:type="dxa"/>
          <w:right w:w="0" w:type="dxa"/>
        </w:tblCellMar>
      </w:tblPr>
      <w:tr>
        <w:trPr>
          <w:trHeight w:val="138"/>
        </w:trPr>
        <w:tc>
          <w:tcPr>
            <w:tcW w:w="1080" w:type="dxa"/>
            <w:vAlign w:val="bottom"/>
          </w:tcPr>
          <w:p>
            <w:pPr>
              <w:spacing w:after="0"/>
              <w:rPr>
                <w:sz w:val="20"/>
                <w:szCs w:val="20"/>
                <w:color w:val="auto"/>
              </w:rPr>
            </w:pPr>
            <w:r>
              <w:rPr>
                <w:rFonts w:ascii="Arial" w:cs="Arial" w:eastAsia="Arial" w:hAnsi="Arial"/>
                <w:sz w:val="12"/>
                <w:szCs w:val="12"/>
                <w:color w:val="auto"/>
              </w:rPr>
              <w:t>10.21#</w:t>
            </w:r>
          </w:p>
        </w:tc>
        <w:tc>
          <w:tcPr>
            <w:tcW w:w="4220" w:type="dxa"/>
            <w:vAlign w:val="bottom"/>
            <w:tcBorders>
              <w:bottom w:val="single" w:sz="8" w:color="0000EE"/>
            </w:tcBorders>
            <w:gridSpan w:val="11"/>
          </w:tcPr>
          <w:p>
            <w:pPr>
              <w:spacing w:after="0"/>
              <w:rPr>
                <w:rFonts w:ascii="Arial" w:cs="Arial" w:eastAsia="Arial" w:hAnsi="Arial"/>
                <w:sz w:val="12"/>
                <w:szCs w:val="12"/>
                <w:color w:val="0000EE"/>
                <w:w w:val="97"/>
              </w:rPr>
            </w:pPr>
            <w:hyperlink r:id="rId187">
              <w:r>
                <w:rPr>
                  <w:rFonts w:ascii="Arial" w:cs="Arial" w:eastAsia="Arial" w:hAnsi="Arial"/>
                  <w:sz w:val="12"/>
                  <w:szCs w:val="12"/>
                  <w:color w:val="0000EE"/>
                  <w:w w:val="97"/>
                </w:rPr>
                <w:t>Form  of  Greenlight  Holding  Corporation  2018  Participation  Plan  Termination</w:t>
              </w:r>
            </w:hyperlink>
          </w:p>
        </w:tc>
      </w:tr>
      <w:tr>
        <w:trPr>
          <w:trHeight w:val="124"/>
        </w:trPr>
        <w:tc>
          <w:tcPr>
            <w:tcW w:w="1080" w:type="dxa"/>
            <w:vAlign w:val="bottom"/>
          </w:tcPr>
          <w:p>
            <w:pPr>
              <w:spacing w:after="0"/>
              <w:rPr>
                <w:sz w:val="10"/>
                <w:szCs w:val="10"/>
                <w:color w:val="auto"/>
              </w:rPr>
            </w:pPr>
          </w:p>
        </w:tc>
        <w:tc>
          <w:tcPr>
            <w:tcW w:w="4220" w:type="dxa"/>
            <w:vAlign w:val="bottom"/>
            <w:gridSpan w:val="11"/>
          </w:tcPr>
          <w:p>
            <w:pPr>
              <w:spacing w:after="0" w:line="124" w:lineRule="exact"/>
              <w:rPr>
                <w:rFonts w:ascii="Arial" w:cs="Arial" w:eastAsia="Arial" w:hAnsi="Arial"/>
                <w:sz w:val="12"/>
                <w:szCs w:val="12"/>
                <w:color w:val="0000EE"/>
              </w:rPr>
            </w:pPr>
            <w:hyperlink r:id="rId187">
              <w:r>
                <w:rPr>
                  <w:rFonts w:ascii="Arial" w:cs="Arial" w:eastAsia="Arial" w:hAnsi="Arial"/>
                  <w:sz w:val="12"/>
                  <w:szCs w:val="12"/>
                  <w:color w:val="0000EE"/>
                </w:rPr>
                <w:t>Agreement</w:t>
              </w:r>
              <w:r>
                <w:rPr>
                  <w:rFonts w:ascii="Arial" w:cs="Arial" w:eastAsia="Arial" w:hAnsi="Arial"/>
                  <w:sz w:val="12"/>
                  <w:szCs w:val="12"/>
                  <w:color w:val="000000"/>
                </w:rPr>
                <w:t>.</w:t>
              </w:r>
            </w:hyperlink>
          </w:p>
        </w:tc>
      </w:tr>
      <w:tr>
        <w:trPr>
          <w:trHeight w:val="20"/>
        </w:trPr>
        <w:tc>
          <w:tcPr>
            <w:tcW w:w="108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87"/>
        </w:trPr>
        <w:tc>
          <w:tcPr>
            <w:tcW w:w="1080" w:type="dxa"/>
            <w:vAlign w:val="bottom"/>
          </w:tcPr>
          <w:p>
            <w:pPr>
              <w:spacing w:after="0"/>
              <w:rPr>
                <w:sz w:val="20"/>
                <w:szCs w:val="20"/>
                <w:color w:val="auto"/>
              </w:rPr>
            </w:pPr>
            <w:r>
              <w:rPr>
                <w:rFonts w:ascii="Arial" w:cs="Arial" w:eastAsia="Arial" w:hAnsi="Arial"/>
                <w:sz w:val="12"/>
                <w:szCs w:val="12"/>
                <w:color w:val="auto"/>
              </w:rPr>
              <w:t>10.22#</w:t>
            </w:r>
          </w:p>
        </w:tc>
        <w:tc>
          <w:tcPr>
            <w:tcW w:w="4220" w:type="dxa"/>
            <w:vAlign w:val="bottom"/>
            <w:gridSpan w:val="11"/>
          </w:tcPr>
          <w:p>
            <w:pPr>
              <w:spacing w:after="0"/>
              <w:rPr>
                <w:rFonts w:ascii="Arial" w:cs="Arial" w:eastAsia="Arial" w:hAnsi="Arial"/>
                <w:sz w:val="12"/>
                <w:szCs w:val="12"/>
                <w:color w:val="0000EE"/>
              </w:rPr>
            </w:pPr>
            <w:hyperlink r:id="rId188">
              <w:r>
                <w:rPr>
                  <w:rFonts w:ascii="Arial" w:cs="Arial" w:eastAsia="Arial" w:hAnsi="Arial"/>
                  <w:sz w:val="12"/>
                  <w:szCs w:val="12"/>
                  <w:color w:val="0000EE"/>
                </w:rPr>
                <w:t>Verra Mobility Corporation Annual Incentive Bonus Plan</w:t>
              </w:r>
            </w:hyperlink>
            <w:r>
              <w:rPr>
                <w:rFonts w:ascii="Arial" w:cs="Arial" w:eastAsia="Arial" w:hAnsi="Arial"/>
                <w:sz w:val="12"/>
                <w:szCs w:val="12"/>
                <w:color w:val="000000"/>
              </w:rPr>
              <w:t>.</w:t>
            </w:r>
          </w:p>
        </w:tc>
      </w:tr>
      <w:tr>
        <w:trPr>
          <w:trHeight w:val="20"/>
        </w:trPr>
        <w:tc>
          <w:tcPr>
            <w:tcW w:w="1080" w:type="dxa"/>
            <w:vAlign w:val="bottom"/>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87"/>
        </w:trPr>
        <w:tc>
          <w:tcPr>
            <w:tcW w:w="1080" w:type="dxa"/>
            <w:vAlign w:val="bottom"/>
          </w:tcPr>
          <w:p>
            <w:pPr>
              <w:spacing w:after="0"/>
              <w:rPr>
                <w:sz w:val="20"/>
                <w:szCs w:val="20"/>
                <w:color w:val="auto"/>
              </w:rPr>
            </w:pPr>
            <w:r>
              <w:rPr>
                <w:rFonts w:ascii="Arial" w:cs="Arial" w:eastAsia="Arial" w:hAnsi="Arial"/>
                <w:sz w:val="12"/>
                <w:szCs w:val="12"/>
                <w:color w:val="auto"/>
              </w:rPr>
              <w:t>10.23#</w:t>
            </w:r>
          </w:p>
        </w:tc>
        <w:tc>
          <w:tcPr>
            <w:tcW w:w="4220" w:type="dxa"/>
            <w:vAlign w:val="bottom"/>
            <w:tcBorders>
              <w:bottom w:val="single" w:sz="8" w:color="0000EE"/>
            </w:tcBorders>
            <w:gridSpan w:val="11"/>
          </w:tcPr>
          <w:p>
            <w:pPr>
              <w:spacing w:after="0"/>
              <w:rPr>
                <w:sz w:val="20"/>
                <w:szCs w:val="20"/>
                <w:color w:val="auto"/>
              </w:rPr>
            </w:pPr>
            <w:r>
              <w:rPr>
                <w:rFonts w:ascii="Arial" w:cs="Arial" w:eastAsia="Arial" w:hAnsi="Arial"/>
                <w:sz w:val="12"/>
                <w:szCs w:val="12"/>
                <w:color w:val="0000EE"/>
                <w:w w:val="95"/>
              </w:rPr>
              <w:t>Form of Notice of Grant of Restricted Stock Unit for Non-Employee Directors under</w:t>
            </w:r>
          </w:p>
        </w:tc>
      </w:tr>
      <w:tr>
        <w:trPr>
          <w:trHeight w:val="124"/>
        </w:trPr>
        <w:tc>
          <w:tcPr>
            <w:tcW w:w="1080" w:type="dxa"/>
            <w:vAlign w:val="bottom"/>
          </w:tcPr>
          <w:p>
            <w:pPr>
              <w:spacing w:after="0"/>
              <w:rPr>
                <w:sz w:val="10"/>
                <w:szCs w:val="10"/>
                <w:color w:val="auto"/>
              </w:rPr>
            </w:pPr>
          </w:p>
        </w:tc>
        <w:tc>
          <w:tcPr>
            <w:tcW w:w="4220" w:type="dxa"/>
            <w:vAlign w:val="bottom"/>
            <w:gridSpan w:val="11"/>
          </w:tcPr>
          <w:p>
            <w:pPr>
              <w:spacing w:after="0" w:line="124" w:lineRule="exact"/>
              <w:rPr>
                <w:sz w:val="20"/>
                <w:szCs w:val="20"/>
                <w:color w:val="auto"/>
              </w:rPr>
            </w:pPr>
            <w:r>
              <w:rPr>
                <w:rFonts w:ascii="Arial" w:cs="Arial" w:eastAsia="Arial" w:hAnsi="Arial"/>
                <w:sz w:val="12"/>
                <w:szCs w:val="12"/>
                <w:color w:val="0000EE"/>
              </w:rPr>
              <w:t>the Verra Mobility Corporation 2018 Equity Incentive Plan.</w:t>
            </w:r>
          </w:p>
        </w:tc>
      </w:tr>
      <w:tr>
        <w:trPr>
          <w:trHeight w:val="20"/>
        </w:trPr>
        <w:tc>
          <w:tcPr>
            <w:tcW w:w="1080" w:type="dxa"/>
            <w:vAlign w:val="bottom"/>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87"/>
        </w:trPr>
        <w:tc>
          <w:tcPr>
            <w:tcW w:w="1080" w:type="dxa"/>
            <w:vAlign w:val="bottom"/>
          </w:tcPr>
          <w:p>
            <w:pPr>
              <w:spacing w:after="0"/>
              <w:rPr>
                <w:sz w:val="20"/>
                <w:szCs w:val="20"/>
                <w:color w:val="auto"/>
              </w:rPr>
            </w:pPr>
            <w:r>
              <w:rPr>
                <w:rFonts w:ascii="Arial" w:cs="Arial" w:eastAsia="Arial" w:hAnsi="Arial"/>
                <w:sz w:val="12"/>
                <w:szCs w:val="12"/>
                <w:color w:val="auto"/>
              </w:rPr>
              <w:t>10.24#</w:t>
            </w:r>
          </w:p>
        </w:tc>
        <w:tc>
          <w:tcPr>
            <w:tcW w:w="4220" w:type="dxa"/>
            <w:vAlign w:val="bottom"/>
            <w:tcBorders>
              <w:bottom w:val="single" w:sz="8" w:color="0000EE"/>
            </w:tcBorders>
            <w:gridSpan w:val="11"/>
          </w:tcPr>
          <w:p>
            <w:pPr>
              <w:spacing w:after="0"/>
              <w:rPr>
                <w:rFonts w:ascii="Arial" w:cs="Arial" w:eastAsia="Arial" w:hAnsi="Arial"/>
                <w:sz w:val="12"/>
                <w:szCs w:val="12"/>
                <w:color w:val="0000EE"/>
                <w:w w:val="98"/>
              </w:rPr>
            </w:pPr>
            <w:hyperlink w:anchor="page133">
              <w:r>
                <w:rPr>
                  <w:rFonts w:ascii="Arial" w:cs="Arial" w:eastAsia="Arial" w:hAnsi="Arial"/>
                  <w:sz w:val="12"/>
                  <w:szCs w:val="12"/>
                  <w:color w:val="0000EE"/>
                  <w:w w:val="98"/>
                </w:rPr>
                <w:t>Form of Notice of Grant of Stock Option and Agreement under the Verra Mobility</w:t>
              </w:r>
            </w:hyperlink>
          </w:p>
        </w:tc>
      </w:tr>
      <w:tr>
        <w:trPr>
          <w:trHeight w:val="124"/>
        </w:trPr>
        <w:tc>
          <w:tcPr>
            <w:tcW w:w="1080" w:type="dxa"/>
            <w:vAlign w:val="bottom"/>
          </w:tcPr>
          <w:p>
            <w:pPr>
              <w:spacing w:after="0"/>
              <w:rPr>
                <w:sz w:val="10"/>
                <w:szCs w:val="10"/>
                <w:color w:val="auto"/>
              </w:rPr>
            </w:pPr>
          </w:p>
        </w:tc>
        <w:tc>
          <w:tcPr>
            <w:tcW w:w="4220" w:type="dxa"/>
            <w:vAlign w:val="bottom"/>
            <w:gridSpan w:val="11"/>
          </w:tcPr>
          <w:p>
            <w:pPr>
              <w:spacing w:after="0" w:line="124" w:lineRule="exact"/>
              <w:rPr>
                <w:rFonts w:ascii="Arial" w:cs="Arial" w:eastAsia="Arial" w:hAnsi="Arial"/>
                <w:sz w:val="12"/>
                <w:szCs w:val="12"/>
                <w:color w:val="0000EE"/>
              </w:rPr>
            </w:pPr>
            <w:hyperlink w:anchor="page133">
              <w:r>
                <w:rPr>
                  <w:rFonts w:ascii="Arial" w:cs="Arial" w:eastAsia="Arial" w:hAnsi="Arial"/>
                  <w:sz w:val="12"/>
                  <w:szCs w:val="12"/>
                  <w:color w:val="0000EE"/>
                </w:rPr>
                <w:t>Corporation 2018 Equity Incentive Plan</w:t>
              </w:r>
              <w:r>
                <w:rPr>
                  <w:rFonts w:ascii="Arial" w:cs="Arial" w:eastAsia="Arial" w:hAnsi="Arial"/>
                  <w:sz w:val="12"/>
                  <w:szCs w:val="12"/>
                  <w:color w:val="000000"/>
                </w:rPr>
                <w:t>.</w:t>
              </w:r>
            </w:hyperlink>
          </w:p>
        </w:tc>
      </w:tr>
      <w:tr>
        <w:trPr>
          <w:trHeight w:val="20"/>
        </w:trPr>
        <w:tc>
          <w:tcPr>
            <w:tcW w:w="1080" w:type="dxa"/>
            <w:vAlign w:val="bottom"/>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87"/>
        </w:trPr>
        <w:tc>
          <w:tcPr>
            <w:tcW w:w="1080" w:type="dxa"/>
            <w:vAlign w:val="bottom"/>
          </w:tcPr>
          <w:p>
            <w:pPr>
              <w:spacing w:after="0"/>
              <w:rPr>
                <w:sz w:val="20"/>
                <w:szCs w:val="20"/>
                <w:color w:val="auto"/>
              </w:rPr>
            </w:pPr>
            <w:r>
              <w:rPr>
                <w:rFonts w:ascii="Arial" w:cs="Arial" w:eastAsia="Arial" w:hAnsi="Arial"/>
                <w:sz w:val="12"/>
                <w:szCs w:val="12"/>
                <w:color w:val="auto"/>
              </w:rPr>
              <w:t>10.25#</w:t>
            </w:r>
          </w:p>
        </w:tc>
        <w:tc>
          <w:tcPr>
            <w:tcW w:w="4220" w:type="dxa"/>
            <w:vAlign w:val="bottom"/>
            <w:tcBorders>
              <w:bottom w:val="single" w:sz="8" w:color="0000EE"/>
            </w:tcBorders>
            <w:gridSpan w:val="11"/>
          </w:tcPr>
          <w:p>
            <w:pPr>
              <w:spacing w:after="0"/>
              <w:rPr>
                <w:rFonts w:ascii="Arial" w:cs="Arial" w:eastAsia="Arial" w:hAnsi="Arial"/>
                <w:sz w:val="12"/>
                <w:szCs w:val="12"/>
                <w:color w:val="0000EE"/>
                <w:w w:val="95"/>
              </w:rPr>
            </w:pPr>
            <w:hyperlink w:anchor="page142">
              <w:r>
                <w:rPr>
                  <w:rFonts w:ascii="Arial" w:cs="Arial" w:eastAsia="Arial" w:hAnsi="Arial"/>
                  <w:sz w:val="12"/>
                  <w:szCs w:val="12"/>
                  <w:color w:val="0000EE"/>
                  <w:w w:val="95"/>
                </w:rPr>
                <w:t>Form of Notice of Grant of Stock Option and Agreement for U.K. Participants under</w:t>
              </w:r>
            </w:hyperlink>
          </w:p>
        </w:tc>
      </w:tr>
      <w:tr>
        <w:trPr>
          <w:trHeight w:val="124"/>
        </w:trPr>
        <w:tc>
          <w:tcPr>
            <w:tcW w:w="1080" w:type="dxa"/>
            <w:vAlign w:val="bottom"/>
          </w:tcPr>
          <w:p>
            <w:pPr>
              <w:spacing w:after="0"/>
              <w:rPr>
                <w:sz w:val="10"/>
                <w:szCs w:val="10"/>
                <w:color w:val="auto"/>
              </w:rPr>
            </w:pPr>
          </w:p>
        </w:tc>
        <w:tc>
          <w:tcPr>
            <w:tcW w:w="4220" w:type="dxa"/>
            <w:vAlign w:val="bottom"/>
            <w:gridSpan w:val="11"/>
          </w:tcPr>
          <w:p>
            <w:pPr>
              <w:spacing w:after="0" w:line="124" w:lineRule="exact"/>
              <w:rPr>
                <w:rFonts w:ascii="Arial" w:cs="Arial" w:eastAsia="Arial" w:hAnsi="Arial"/>
                <w:sz w:val="12"/>
                <w:szCs w:val="12"/>
                <w:color w:val="0000EE"/>
              </w:rPr>
            </w:pPr>
            <w:hyperlink w:anchor="page142">
              <w:r>
                <w:rPr>
                  <w:rFonts w:ascii="Arial" w:cs="Arial" w:eastAsia="Arial" w:hAnsi="Arial"/>
                  <w:sz w:val="12"/>
                  <w:szCs w:val="12"/>
                  <w:color w:val="0000EE"/>
                </w:rPr>
                <w:t>the Verra Mobility Corporation 2018 Equity Incentive Plan</w:t>
              </w:r>
              <w:r>
                <w:rPr>
                  <w:rFonts w:ascii="Arial" w:cs="Arial" w:eastAsia="Arial" w:hAnsi="Arial"/>
                  <w:sz w:val="12"/>
                  <w:szCs w:val="12"/>
                  <w:color w:val="000000"/>
                </w:rPr>
                <w:t>.</w:t>
              </w:r>
            </w:hyperlink>
          </w:p>
        </w:tc>
      </w:tr>
      <w:tr>
        <w:trPr>
          <w:trHeight w:val="20"/>
        </w:trPr>
        <w:tc>
          <w:tcPr>
            <w:tcW w:w="1080" w:type="dxa"/>
            <w:vAlign w:val="bottom"/>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87"/>
        </w:trPr>
        <w:tc>
          <w:tcPr>
            <w:tcW w:w="1080" w:type="dxa"/>
            <w:vAlign w:val="bottom"/>
          </w:tcPr>
          <w:p>
            <w:pPr>
              <w:spacing w:after="0"/>
              <w:rPr>
                <w:sz w:val="20"/>
                <w:szCs w:val="20"/>
                <w:color w:val="auto"/>
              </w:rPr>
            </w:pPr>
            <w:r>
              <w:rPr>
                <w:rFonts w:ascii="Arial" w:cs="Arial" w:eastAsia="Arial" w:hAnsi="Arial"/>
                <w:sz w:val="12"/>
                <w:szCs w:val="12"/>
                <w:color w:val="auto"/>
              </w:rPr>
              <w:t>10.26#</w:t>
            </w:r>
          </w:p>
        </w:tc>
        <w:tc>
          <w:tcPr>
            <w:tcW w:w="4220" w:type="dxa"/>
            <w:vAlign w:val="bottom"/>
            <w:tcBorders>
              <w:bottom w:val="single" w:sz="8" w:color="0000EE"/>
            </w:tcBorders>
            <w:gridSpan w:val="11"/>
          </w:tcPr>
          <w:p>
            <w:pPr>
              <w:spacing w:after="0"/>
              <w:rPr>
                <w:rFonts w:ascii="Arial" w:cs="Arial" w:eastAsia="Arial" w:hAnsi="Arial"/>
                <w:sz w:val="12"/>
                <w:szCs w:val="12"/>
                <w:color w:val="0000EE"/>
                <w:w w:val="94"/>
              </w:rPr>
            </w:pPr>
            <w:hyperlink w:anchor="page153">
              <w:r>
                <w:rPr>
                  <w:rFonts w:ascii="Arial" w:cs="Arial" w:eastAsia="Arial" w:hAnsi="Arial"/>
                  <w:sz w:val="12"/>
                  <w:szCs w:val="12"/>
                  <w:color w:val="0000EE"/>
                  <w:w w:val="94"/>
                </w:rPr>
                <w:t>Form of Notice of Grant of Performance Share Unit and Agreement under the Verra</w:t>
              </w:r>
            </w:hyperlink>
          </w:p>
        </w:tc>
      </w:tr>
      <w:tr>
        <w:trPr>
          <w:trHeight w:val="124"/>
        </w:trPr>
        <w:tc>
          <w:tcPr>
            <w:tcW w:w="1080" w:type="dxa"/>
            <w:vAlign w:val="bottom"/>
          </w:tcPr>
          <w:p>
            <w:pPr>
              <w:spacing w:after="0"/>
              <w:rPr>
                <w:sz w:val="10"/>
                <w:szCs w:val="10"/>
                <w:color w:val="auto"/>
              </w:rPr>
            </w:pPr>
          </w:p>
        </w:tc>
        <w:tc>
          <w:tcPr>
            <w:tcW w:w="4220" w:type="dxa"/>
            <w:vAlign w:val="bottom"/>
            <w:gridSpan w:val="11"/>
          </w:tcPr>
          <w:p>
            <w:pPr>
              <w:spacing w:after="0" w:line="124" w:lineRule="exact"/>
              <w:rPr>
                <w:rFonts w:ascii="Arial" w:cs="Arial" w:eastAsia="Arial" w:hAnsi="Arial"/>
                <w:sz w:val="12"/>
                <w:szCs w:val="12"/>
                <w:color w:val="0000EE"/>
              </w:rPr>
            </w:pPr>
            <w:hyperlink w:anchor="page153">
              <w:r>
                <w:rPr>
                  <w:rFonts w:ascii="Arial" w:cs="Arial" w:eastAsia="Arial" w:hAnsi="Arial"/>
                  <w:sz w:val="12"/>
                  <w:szCs w:val="12"/>
                  <w:color w:val="0000EE"/>
                </w:rPr>
                <w:t>Mobility Corporation 2018 Equity Incentive Plan</w:t>
              </w:r>
              <w:r>
                <w:rPr>
                  <w:rFonts w:ascii="Arial" w:cs="Arial" w:eastAsia="Arial" w:hAnsi="Arial"/>
                  <w:sz w:val="12"/>
                  <w:szCs w:val="12"/>
                  <w:color w:val="000000"/>
                </w:rPr>
                <w:t>.</w:t>
              </w:r>
            </w:hyperlink>
          </w:p>
        </w:tc>
      </w:tr>
      <w:tr>
        <w:trPr>
          <w:trHeight w:val="187"/>
        </w:trPr>
        <w:tc>
          <w:tcPr>
            <w:tcW w:w="1080" w:type="dxa"/>
            <w:vAlign w:val="bottom"/>
          </w:tcPr>
          <w:p>
            <w:pPr>
              <w:spacing w:after="0"/>
              <w:rPr>
                <w:sz w:val="20"/>
                <w:szCs w:val="20"/>
                <w:color w:val="auto"/>
              </w:rPr>
            </w:pPr>
            <w:r>
              <w:rPr>
                <w:rFonts w:ascii="Arial" w:cs="Arial" w:eastAsia="Arial" w:hAnsi="Arial"/>
                <w:sz w:val="12"/>
                <w:szCs w:val="12"/>
                <w:color w:val="auto"/>
              </w:rPr>
              <w:t>21.1</w:t>
            </w:r>
          </w:p>
        </w:tc>
        <w:tc>
          <w:tcPr>
            <w:tcW w:w="2360" w:type="dxa"/>
            <w:vAlign w:val="bottom"/>
            <w:tcBorders>
              <w:top w:val="single" w:sz="8" w:color="0000EE"/>
            </w:tcBorders>
            <w:gridSpan w:val="5"/>
          </w:tcPr>
          <w:p>
            <w:pPr>
              <w:spacing w:after="0"/>
              <w:rPr>
                <w:rFonts w:ascii="Arial" w:cs="Arial" w:eastAsia="Arial" w:hAnsi="Arial"/>
                <w:sz w:val="12"/>
                <w:szCs w:val="12"/>
                <w:color w:val="0000EE"/>
              </w:rPr>
            </w:pPr>
            <w:hyperlink w:anchor="page168">
              <w:r>
                <w:rPr>
                  <w:rFonts w:ascii="Arial" w:cs="Arial" w:eastAsia="Arial" w:hAnsi="Arial"/>
                  <w:sz w:val="12"/>
                  <w:szCs w:val="12"/>
                  <w:color w:val="0000EE"/>
                </w:rPr>
                <w:t>List of Subsidiaries</w:t>
              </w:r>
            </w:hyperlink>
          </w:p>
        </w:tc>
        <w:tc>
          <w:tcPr>
            <w:tcW w:w="1860" w:type="dxa"/>
            <w:vAlign w:val="bottom"/>
            <w:gridSpan w:val="6"/>
          </w:tcPr>
          <w:p>
            <w:pPr>
              <w:spacing w:after="0"/>
              <w:rPr>
                <w:sz w:val="16"/>
                <w:szCs w:val="16"/>
                <w:color w:val="auto"/>
              </w:rPr>
            </w:pPr>
          </w:p>
        </w:tc>
      </w:tr>
      <w:tr>
        <w:trPr>
          <w:trHeight w:val="20"/>
        </w:trPr>
        <w:tc>
          <w:tcPr>
            <w:tcW w:w="1080" w:type="dxa"/>
            <w:vAlign w:val="bottom"/>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80" w:type="dxa"/>
            <w:vAlign w:val="bottom"/>
            <w:gridSpan w:val="5"/>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87"/>
        </w:trPr>
        <w:tc>
          <w:tcPr>
            <w:tcW w:w="1080" w:type="dxa"/>
            <w:vAlign w:val="bottom"/>
          </w:tcPr>
          <w:p>
            <w:pPr>
              <w:spacing w:after="0"/>
              <w:rPr>
                <w:sz w:val="20"/>
                <w:szCs w:val="20"/>
                <w:color w:val="auto"/>
              </w:rPr>
            </w:pPr>
            <w:r>
              <w:rPr>
                <w:rFonts w:ascii="Arial" w:cs="Arial" w:eastAsia="Arial" w:hAnsi="Arial"/>
                <w:sz w:val="12"/>
                <w:szCs w:val="12"/>
                <w:color w:val="auto"/>
              </w:rPr>
              <w:t>23.1</w:t>
            </w:r>
          </w:p>
        </w:tc>
        <w:tc>
          <w:tcPr>
            <w:tcW w:w="3920" w:type="dxa"/>
            <w:vAlign w:val="bottom"/>
            <w:tcBorders>
              <w:bottom w:val="single" w:sz="8" w:color="0000EE"/>
            </w:tcBorders>
            <w:gridSpan w:val="10"/>
          </w:tcPr>
          <w:p>
            <w:pPr>
              <w:spacing w:after="0"/>
              <w:rPr>
                <w:rFonts w:ascii="Arial" w:cs="Arial" w:eastAsia="Arial" w:hAnsi="Arial"/>
                <w:sz w:val="12"/>
                <w:szCs w:val="12"/>
                <w:color w:val="0000EE"/>
                <w:w w:val="91"/>
              </w:rPr>
            </w:pPr>
            <w:hyperlink w:anchor="page169">
              <w:r>
                <w:rPr>
                  <w:rFonts w:ascii="Arial" w:cs="Arial" w:eastAsia="Arial" w:hAnsi="Arial"/>
                  <w:sz w:val="12"/>
                  <w:szCs w:val="12"/>
                  <w:color w:val="0000EE"/>
                  <w:w w:val="91"/>
                </w:rPr>
                <w:t>Consent of Ernst &amp; Young LLP, Independent Registered Public Accounting Firm.</w:t>
              </w:r>
            </w:hyperlink>
          </w:p>
        </w:tc>
        <w:tc>
          <w:tcPr>
            <w:tcW w:w="300" w:type="dxa"/>
            <w:vAlign w:val="bottom"/>
          </w:tcPr>
          <w:p>
            <w:pPr>
              <w:spacing w:after="0"/>
              <w:rPr>
                <w:sz w:val="16"/>
                <w:szCs w:val="16"/>
                <w:color w:val="auto"/>
              </w:rPr>
            </w:pPr>
          </w:p>
        </w:tc>
      </w:tr>
      <w:tr>
        <w:trPr>
          <w:trHeight w:val="187"/>
        </w:trPr>
        <w:tc>
          <w:tcPr>
            <w:tcW w:w="1080" w:type="dxa"/>
            <w:vAlign w:val="bottom"/>
          </w:tcPr>
          <w:p>
            <w:pPr>
              <w:spacing w:after="0"/>
              <w:rPr>
                <w:sz w:val="20"/>
                <w:szCs w:val="20"/>
                <w:color w:val="auto"/>
              </w:rPr>
            </w:pPr>
            <w:r>
              <w:rPr>
                <w:rFonts w:ascii="Arial" w:cs="Arial" w:eastAsia="Arial" w:hAnsi="Arial"/>
                <w:sz w:val="12"/>
                <w:szCs w:val="12"/>
                <w:color w:val="auto"/>
              </w:rPr>
              <w:t>24.1</w:t>
            </w:r>
          </w:p>
        </w:tc>
        <w:tc>
          <w:tcPr>
            <w:tcW w:w="2880" w:type="dxa"/>
            <w:vAlign w:val="bottom"/>
            <w:tcBorders>
              <w:bottom w:val="single" w:sz="8" w:color="0000EE"/>
            </w:tcBorders>
            <w:gridSpan w:val="8"/>
          </w:tcPr>
          <w:p>
            <w:pPr>
              <w:spacing w:after="0"/>
              <w:rPr>
                <w:rFonts w:ascii="Arial" w:cs="Arial" w:eastAsia="Arial" w:hAnsi="Arial"/>
                <w:sz w:val="12"/>
                <w:szCs w:val="12"/>
                <w:color w:val="0000EE"/>
                <w:w w:val="90"/>
              </w:rPr>
            </w:pPr>
            <w:hyperlink w:anchor="page119">
              <w:r>
                <w:rPr>
                  <w:rFonts w:ascii="Arial" w:cs="Arial" w:eastAsia="Arial" w:hAnsi="Arial"/>
                  <w:sz w:val="12"/>
                  <w:szCs w:val="12"/>
                  <w:color w:val="0000EE"/>
                  <w:w w:val="90"/>
                </w:rPr>
                <w:t>Power of Attorney (included on the signature pages herein).</w:t>
              </w:r>
            </w:hyperlink>
          </w:p>
        </w:tc>
        <w:tc>
          <w:tcPr>
            <w:tcW w:w="1340" w:type="dxa"/>
            <w:vAlign w:val="bottom"/>
            <w:gridSpan w:val="3"/>
          </w:tcPr>
          <w:p>
            <w:pPr>
              <w:spacing w:after="0"/>
              <w:rPr>
                <w:sz w:val="16"/>
                <w:szCs w:val="16"/>
                <w:color w:val="auto"/>
              </w:rPr>
            </w:pPr>
          </w:p>
        </w:tc>
      </w:tr>
      <w:tr>
        <w:trPr>
          <w:trHeight w:val="187"/>
        </w:trPr>
        <w:tc>
          <w:tcPr>
            <w:tcW w:w="1080" w:type="dxa"/>
            <w:vAlign w:val="bottom"/>
          </w:tcPr>
          <w:p>
            <w:pPr>
              <w:spacing w:after="0"/>
              <w:rPr>
                <w:sz w:val="20"/>
                <w:szCs w:val="20"/>
                <w:color w:val="auto"/>
              </w:rPr>
            </w:pPr>
            <w:r>
              <w:rPr>
                <w:rFonts w:ascii="Arial" w:cs="Arial" w:eastAsia="Arial" w:hAnsi="Arial"/>
                <w:sz w:val="12"/>
                <w:szCs w:val="12"/>
                <w:color w:val="auto"/>
              </w:rPr>
              <w:t>31.1</w:t>
            </w:r>
          </w:p>
        </w:tc>
        <w:tc>
          <w:tcPr>
            <w:tcW w:w="4220" w:type="dxa"/>
            <w:vAlign w:val="bottom"/>
            <w:tcBorders>
              <w:bottom w:val="single" w:sz="8" w:color="0000EE"/>
            </w:tcBorders>
            <w:gridSpan w:val="11"/>
          </w:tcPr>
          <w:p>
            <w:pPr>
              <w:spacing w:after="0" w:line="138" w:lineRule="exact"/>
              <w:rPr>
                <w:rFonts w:ascii="Arial" w:cs="Arial" w:eastAsia="Arial" w:hAnsi="Arial"/>
                <w:sz w:val="12"/>
                <w:szCs w:val="12"/>
                <w:color w:val="0000EE"/>
                <w:w w:val="92"/>
              </w:rPr>
            </w:pPr>
            <w:hyperlink w:anchor="page170">
              <w:r>
                <w:rPr>
                  <w:rFonts w:ascii="Arial" w:cs="Arial" w:eastAsia="Arial" w:hAnsi="Arial"/>
                  <w:sz w:val="12"/>
                  <w:szCs w:val="12"/>
                  <w:color w:val="0000EE"/>
                  <w:w w:val="92"/>
                </w:rPr>
                <w:t>Certification of Principal Executive Officer Pursuant to Rules 13a</w:t>
              </w:r>
              <w:r>
                <w:rPr>
                  <w:rFonts w:ascii="MS PGothic" w:cs="MS PGothic" w:eastAsia="MS PGothic" w:hAnsi="MS PGothic"/>
                  <w:sz w:val="12"/>
                  <w:szCs w:val="12"/>
                  <w:color w:val="0000EE"/>
                  <w:w w:val="92"/>
                </w:rPr>
                <w:t>‑</w:t>
              </w:r>
              <w:r>
                <w:rPr>
                  <w:rFonts w:ascii="Arial" w:cs="Arial" w:eastAsia="Arial" w:hAnsi="Arial"/>
                  <w:sz w:val="12"/>
                  <w:szCs w:val="12"/>
                  <w:color w:val="0000EE"/>
                  <w:w w:val="92"/>
                </w:rPr>
                <w:t>14(a) and 15d</w:t>
              </w:r>
              <w:r>
                <w:rPr>
                  <w:rFonts w:ascii="MS PGothic" w:cs="MS PGothic" w:eastAsia="MS PGothic" w:hAnsi="MS PGothic"/>
                  <w:sz w:val="12"/>
                  <w:szCs w:val="12"/>
                  <w:color w:val="0000EE"/>
                  <w:w w:val="92"/>
                </w:rPr>
                <w:t>‑</w:t>
              </w:r>
              <w:r>
                <w:rPr>
                  <w:rFonts w:ascii="Arial" w:cs="Arial" w:eastAsia="Arial" w:hAnsi="Arial"/>
                  <w:sz w:val="12"/>
                  <w:szCs w:val="12"/>
                  <w:color w:val="0000EE"/>
                  <w:w w:val="92"/>
                </w:rPr>
                <w:t>14(a)</w:t>
              </w:r>
            </w:hyperlink>
          </w:p>
        </w:tc>
      </w:tr>
      <w:tr>
        <w:trPr>
          <w:trHeight w:val="124"/>
        </w:trPr>
        <w:tc>
          <w:tcPr>
            <w:tcW w:w="1080" w:type="dxa"/>
            <w:vAlign w:val="bottom"/>
          </w:tcPr>
          <w:p>
            <w:pPr>
              <w:spacing w:after="0"/>
              <w:rPr>
                <w:sz w:val="10"/>
                <w:szCs w:val="10"/>
                <w:color w:val="auto"/>
              </w:rPr>
            </w:pPr>
          </w:p>
        </w:tc>
        <w:tc>
          <w:tcPr>
            <w:tcW w:w="4220" w:type="dxa"/>
            <w:vAlign w:val="bottom"/>
            <w:tcBorders>
              <w:bottom w:val="single" w:sz="8" w:color="0000EE"/>
            </w:tcBorders>
            <w:gridSpan w:val="11"/>
          </w:tcPr>
          <w:p>
            <w:pPr>
              <w:spacing w:after="0" w:line="124" w:lineRule="exact"/>
              <w:rPr>
                <w:rFonts w:ascii="Arial" w:cs="Arial" w:eastAsia="Arial" w:hAnsi="Arial"/>
                <w:sz w:val="12"/>
                <w:szCs w:val="12"/>
                <w:color w:val="0000EE"/>
                <w:w w:val="91"/>
              </w:rPr>
            </w:pPr>
            <w:hyperlink w:anchor="page170">
              <w:r>
                <w:rPr>
                  <w:rFonts w:ascii="Arial" w:cs="Arial" w:eastAsia="Arial" w:hAnsi="Arial"/>
                  <w:sz w:val="12"/>
                  <w:szCs w:val="12"/>
                  <w:color w:val="0000EE"/>
                  <w:w w:val="91"/>
                </w:rPr>
                <w:t>under the Securities Exchange Act of 1934, as Adopted Pursuant to Section 302 of the</w:t>
              </w:r>
            </w:hyperlink>
          </w:p>
        </w:tc>
      </w:tr>
      <w:tr>
        <w:trPr>
          <w:trHeight w:val="124"/>
        </w:trPr>
        <w:tc>
          <w:tcPr>
            <w:tcW w:w="1080" w:type="dxa"/>
            <w:vAlign w:val="bottom"/>
          </w:tcPr>
          <w:p>
            <w:pPr>
              <w:spacing w:after="0"/>
              <w:rPr>
                <w:sz w:val="10"/>
                <w:szCs w:val="10"/>
                <w:color w:val="auto"/>
              </w:rPr>
            </w:pPr>
          </w:p>
        </w:tc>
        <w:tc>
          <w:tcPr>
            <w:tcW w:w="1400" w:type="dxa"/>
            <w:vAlign w:val="bottom"/>
            <w:tcBorders>
              <w:bottom w:val="single" w:sz="8" w:color="0000EE"/>
            </w:tcBorders>
            <w:gridSpan w:val="3"/>
          </w:tcPr>
          <w:p>
            <w:pPr>
              <w:spacing w:after="0" w:line="124" w:lineRule="exact"/>
              <w:rPr>
                <w:rFonts w:ascii="Arial" w:cs="Arial" w:eastAsia="Arial" w:hAnsi="Arial"/>
                <w:sz w:val="12"/>
                <w:szCs w:val="12"/>
                <w:color w:val="0000EE"/>
                <w:w w:val="89"/>
              </w:rPr>
            </w:pPr>
            <w:hyperlink w:anchor="page170">
              <w:r>
                <w:rPr>
                  <w:rFonts w:ascii="Arial" w:cs="Arial" w:eastAsia="Arial" w:hAnsi="Arial"/>
                  <w:sz w:val="12"/>
                  <w:szCs w:val="12"/>
                  <w:color w:val="0000EE"/>
                  <w:w w:val="89"/>
                </w:rPr>
                <w:t>Sarbanes-Oxley Act of 2002.</w:t>
              </w:r>
            </w:hyperlink>
          </w:p>
        </w:tc>
        <w:tc>
          <w:tcPr>
            <w:tcW w:w="2820" w:type="dxa"/>
            <w:vAlign w:val="bottom"/>
            <w:gridSpan w:val="8"/>
          </w:tcPr>
          <w:p>
            <w:pPr>
              <w:spacing w:after="0"/>
              <w:rPr>
                <w:sz w:val="10"/>
                <w:szCs w:val="10"/>
                <w:color w:val="auto"/>
              </w:rPr>
            </w:pPr>
          </w:p>
        </w:tc>
      </w:tr>
      <w:tr>
        <w:trPr>
          <w:trHeight w:val="187"/>
        </w:trPr>
        <w:tc>
          <w:tcPr>
            <w:tcW w:w="1080" w:type="dxa"/>
            <w:vAlign w:val="bottom"/>
          </w:tcPr>
          <w:p>
            <w:pPr>
              <w:spacing w:after="0"/>
              <w:rPr>
                <w:sz w:val="20"/>
                <w:szCs w:val="20"/>
                <w:color w:val="auto"/>
              </w:rPr>
            </w:pPr>
            <w:r>
              <w:rPr>
                <w:rFonts w:ascii="Arial" w:cs="Arial" w:eastAsia="Arial" w:hAnsi="Arial"/>
                <w:sz w:val="12"/>
                <w:szCs w:val="12"/>
                <w:color w:val="auto"/>
              </w:rPr>
              <w:t>31.2</w:t>
            </w:r>
          </w:p>
        </w:tc>
        <w:tc>
          <w:tcPr>
            <w:tcW w:w="4220" w:type="dxa"/>
            <w:vAlign w:val="bottom"/>
            <w:tcBorders>
              <w:bottom w:val="single" w:sz="8" w:color="0000EE"/>
            </w:tcBorders>
            <w:gridSpan w:val="11"/>
          </w:tcPr>
          <w:p>
            <w:pPr>
              <w:spacing w:after="0" w:line="138" w:lineRule="exact"/>
              <w:rPr>
                <w:rFonts w:ascii="Arial" w:cs="Arial" w:eastAsia="Arial" w:hAnsi="Arial"/>
                <w:sz w:val="12"/>
                <w:szCs w:val="12"/>
                <w:color w:val="0000EE"/>
                <w:w w:val="93"/>
              </w:rPr>
            </w:pPr>
            <w:hyperlink w:anchor="page171">
              <w:r>
                <w:rPr>
                  <w:rFonts w:ascii="Arial" w:cs="Arial" w:eastAsia="Arial" w:hAnsi="Arial"/>
                  <w:sz w:val="12"/>
                  <w:szCs w:val="12"/>
                  <w:color w:val="0000EE"/>
                  <w:w w:val="93"/>
                </w:rPr>
                <w:t>Certification of Principal Financial Officer Pursuant to Rules 13a</w:t>
              </w:r>
              <w:r>
                <w:rPr>
                  <w:rFonts w:ascii="MS PGothic" w:cs="MS PGothic" w:eastAsia="MS PGothic" w:hAnsi="MS PGothic"/>
                  <w:sz w:val="12"/>
                  <w:szCs w:val="12"/>
                  <w:color w:val="0000EE"/>
                  <w:w w:val="93"/>
                </w:rPr>
                <w:t>‑</w:t>
              </w:r>
              <w:r>
                <w:rPr>
                  <w:rFonts w:ascii="Arial" w:cs="Arial" w:eastAsia="Arial" w:hAnsi="Arial"/>
                  <w:sz w:val="12"/>
                  <w:szCs w:val="12"/>
                  <w:color w:val="0000EE"/>
                  <w:w w:val="93"/>
                </w:rPr>
                <w:t>14(a) and 15d</w:t>
              </w:r>
              <w:r>
                <w:rPr>
                  <w:rFonts w:ascii="MS PGothic" w:cs="MS PGothic" w:eastAsia="MS PGothic" w:hAnsi="MS PGothic"/>
                  <w:sz w:val="12"/>
                  <w:szCs w:val="12"/>
                  <w:color w:val="0000EE"/>
                  <w:w w:val="93"/>
                </w:rPr>
                <w:t>‑</w:t>
              </w:r>
              <w:r>
                <w:rPr>
                  <w:rFonts w:ascii="Arial" w:cs="Arial" w:eastAsia="Arial" w:hAnsi="Arial"/>
                  <w:sz w:val="12"/>
                  <w:szCs w:val="12"/>
                  <w:color w:val="0000EE"/>
                  <w:w w:val="93"/>
                </w:rPr>
                <w:t>14(a)</w:t>
              </w:r>
            </w:hyperlink>
          </w:p>
        </w:tc>
      </w:tr>
      <w:tr>
        <w:trPr>
          <w:trHeight w:val="124"/>
        </w:trPr>
        <w:tc>
          <w:tcPr>
            <w:tcW w:w="1080" w:type="dxa"/>
            <w:vAlign w:val="bottom"/>
          </w:tcPr>
          <w:p>
            <w:pPr>
              <w:spacing w:after="0"/>
              <w:rPr>
                <w:sz w:val="10"/>
                <w:szCs w:val="10"/>
                <w:color w:val="auto"/>
              </w:rPr>
            </w:pPr>
          </w:p>
        </w:tc>
        <w:tc>
          <w:tcPr>
            <w:tcW w:w="4220" w:type="dxa"/>
            <w:vAlign w:val="bottom"/>
            <w:tcBorders>
              <w:bottom w:val="single" w:sz="8" w:color="0000EE"/>
            </w:tcBorders>
            <w:gridSpan w:val="11"/>
          </w:tcPr>
          <w:p>
            <w:pPr>
              <w:spacing w:after="0" w:line="124" w:lineRule="exact"/>
              <w:rPr>
                <w:rFonts w:ascii="Arial" w:cs="Arial" w:eastAsia="Arial" w:hAnsi="Arial"/>
                <w:sz w:val="12"/>
                <w:szCs w:val="12"/>
                <w:color w:val="0000EE"/>
                <w:w w:val="91"/>
              </w:rPr>
            </w:pPr>
            <w:hyperlink w:anchor="page171">
              <w:r>
                <w:rPr>
                  <w:rFonts w:ascii="Arial" w:cs="Arial" w:eastAsia="Arial" w:hAnsi="Arial"/>
                  <w:sz w:val="12"/>
                  <w:szCs w:val="12"/>
                  <w:color w:val="0000EE"/>
                  <w:w w:val="91"/>
                </w:rPr>
                <w:t>under the Securities Exchange Act of 1934, as Adopted Pursuant to Section 302 of the</w:t>
              </w:r>
            </w:hyperlink>
          </w:p>
        </w:tc>
      </w:tr>
      <w:tr>
        <w:trPr>
          <w:trHeight w:val="124"/>
        </w:trPr>
        <w:tc>
          <w:tcPr>
            <w:tcW w:w="1080" w:type="dxa"/>
            <w:vAlign w:val="bottom"/>
          </w:tcPr>
          <w:p>
            <w:pPr>
              <w:spacing w:after="0"/>
              <w:rPr>
                <w:sz w:val="10"/>
                <w:szCs w:val="10"/>
                <w:color w:val="auto"/>
              </w:rPr>
            </w:pPr>
          </w:p>
        </w:tc>
        <w:tc>
          <w:tcPr>
            <w:tcW w:w="1400" w:type="dxa"/>
            <w:vAlign w:val="bottom"/>
            <w:tcBorders>
              <w:bottom w:val="single" w:sz="8" w:color="0000EE"/>
            </w:tcBorders>
            <w:gridSpan w:val="3"/>
          </w:tcPr>
          <w:p>
            <w:pPr>
              <w:spacing w:after="0" w:line="124" w:lineRule="exact"/>
              <w:rPr>
                <w:rFonts w:ascii="Arial" w:cs="Arial" w:eastAsia="Arial" w:hAnsi="Arial"/>
                <w:sz w:val="12"/>
                <w:szCs w:val="12"/>
                <w:color w:val="0000EE"/>
                <w:w w:val="89"/>
              </w:rPr>
            </w:pPr>
            <w:hyperlink w:anchor="page171">
              <w:r>
                <w:rPr>
                  <w:rFonts w:ascii="Arial" w:cs="Arial" w:eastAsia="Arial" w:hAnsi="Arial"/>
                  <w:sz w:val="12"/>
                  <w:szCs w:val="12"/>
                  <w:color w:val="0000EE"/>
                  <w:w w:val="89"/>
                </w:rPr>
                <w:t>Sarbanes-Oxley Act of 2002.</w:t>
              </w:r>
            </w:hyperlink>
          </w:p>
        </w:tc>
        <w:tc>
          <w:tcPr>
            <w:tcW w:w="2820" w:type="dxa"/>
            <w:vAlign w:val="bottom"/>
            <w:gridSpan w:val="8"/>
          </w:tcPr>
          <w:p>
            <w:pPr>
              <w:spacing w:after="0"/>
              <w:rPr>
                <w:sz w:val="10"/>
                <w:szCs w:val="10"/>
                <w:color w:val="auto"/>
              </w:rPr>
            </w:pPr>
          </w:p>
        </w:tc>
      </w:tr>
      <w:tr>
        <w:trPr>
          <w:trHeight w:val="187"/>
        </w:trPr>
        <w:tc>
          <w:tcPr>
            <w:tcW w:w="1080" w:type="dxa"/>
            <w:vAlign w:val="bottom"/>
          </w:tcPr>
          <w:p>
            <w:pPr>
              <w:spacing w:after="0"/>
              <w:rPr>
                <w:sz w:val="20"/>
                <w:szCs w:val="20"/>
                <w:color w:val="auto"/>
              </w:rPr>
            </w:pPr>
            <w:r>
              <w:rPr>
                <w:rFonts w:ascii="Arial" w:cs="Arial" w:eastAsia="Arial" w:hAnsi="Arial"/>
                <w:sz w:val="12"/>
                <w:szCs w:val="12"/>
                <w:color w:val="auto"/>
              </w:rPr>
              <w:t>32.1*</w:t>
            </w:r>
          </w:p>
        </w:tc>
        <w:tc>
          <w:tcPr>
            <w:tcW w:w="4220" w:type="dxa"/>
            <w:vAlign w:val="bottom"/>
            <w:tcBorders>
              <w:bottom w:val="single" w:sz="8" w:color="0000EE"/>
            </w:tcBorders>
            <w:gridSpan w:val="11"/>
          </w:tcPr>
          <w:p>
            <w:pPr>
              <w:spacing w:after="0"/>
              <w:rPr>
                <w:rFonts w:ascii="Arial" w:cs="Arial" w:eastAsia="Arial" w:hAnsi="Arial"/>
                <w:sz w:val="12"/>
                <w:szCs w:val="12"/>
                <w:color w:val="0000EE"/>
                <w:w w:val="97"/>
              </w:rPr>
            </w:pPr>
            <w:hyperlink w:anchor="page172">
              <w:r>
                <w:rPr>
                  <w:rFonts w:ascii="Arial" w:cs="Arial" w:eastAsia="Arial" w:hAnsi="Arial"/>
                  <w:sz w:val="12"/>
                  <w:szCs w:val="12"/>
                  <w:color w:val="0000EE"/>
                  <w:w w:val="97"/>
                </w:rPr>
                <w:t>Certification of Principal Executive Officer Pursuant to 18 U.S.C. Section 1350, as</w:t>
              </w:r>
            </w:hyperlink>
          </w:p>
        </w:tc>
      </w:tr>
      <w:tr>
        <w:trPr>
          <w:trHeight w:val="124"/>
        </w:trPr>
        <w:tc>
          <w:tcPr>
            <w:tcW w:w="1080" w:type="dxa"/>
            <w:vAlign w:val="bottom"/>
          </w:tcPr>
          <w:p>
            <w:pPr>
              <w:spacing w:after="0"/>
              <w:rPr>
                <w:sz w:val="10"/>
                <w:szCs w:val="10"/>
                <w:color w:val="auto"/>
              </w:rPr>
            </w:pPr>
          </w:p>
        </w:tc>
        <w:tc>
          <w:tcPr>
            <w:tcW w:w="3320" w:type="dxa"/>
            <w:vAlign w:val="bottom"/>
            <w:tcBorders>
              <w:bottom w:val="single" w:sz="8" w:color="0000EE"/>
            </w:tcBorders>
            <w:gridSpan w:val="9"/>
          </w:tcPr>
          <w:p>
            <w:pPr>
              <w:spacing w:after="0" w:line="124" w:lineRule="exact"/>
              <w:rPr>
                <w:rFonts w:ascii="Arial" w:cs="Arial" w:eastAsia="Arial" w:hAnsi="Arial"/>
                <w:sz w:val="12"/>
                <w:szCs w:val="12"/>
                <w:color w:val="0000EE"/>
                <w:w w:val="90"/>
              </w:rPr>
            </w:pPr>
            <w:hyperlink w:anchor="page172">
              <w:r>
                <w:rPr>
                  <w:rFonts w:ascii="Arial" w:cs="Arial" w:eastAsia="Arial" w:hAnsi="Arial"/>
                  <w:sz w:val="12"/>
                  <w:szCs w:val="12"/>
                  <w:color w:val="0000EE"/>
                  <w:w w:val="90"/>
                </w:rPr>
                <w:t>Adopted Pursuant to Section 906 of the Sarbanes-Oxley Act of 2002.</w:t>
              </w:r>
            </w:hyperlink>
          </w:p>
        </w:tc>
        <w:tc>
          <w:tcPr>
            <w:tcW w:w="900" w:type="dxa"/>
            <w:vAlign w:val="bottom"/>
            <w:gridSpan w:val="2"/>
          </w:tcPr>
          <w:p>
            <w:pPr>
              <w:spacing w:after="0"/>
              <w:rPr>
                <w:sz w:val="10"/>
                <w:szCs w:val="10"/>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60" w:type="dxa"/>
        <w:tblCellMar>
          <w:top w:w="0" w:type="dxa"/>
          <w:left w:w="0" w:type="dxa"/>
          <w:bottom w:w="0" w:type="dxa"/>
          <w:right w:w="0" w:type="dxa"/>
        </w:tblCellMar>
      </w:tblPr>
      <w:tr>
        <w:trPr>
          <w:trHeight w:val="153"/>
        </w:trPr>
        <w:tc>
          <w:tcPr>
            <w:tcW w:w="620" w:type="dxa"/>
            <w:vAlign w:val="bottom"/>
          </w:tcPr>
          <w:p>
            <w:pPr>
              <w:jc w:val="center"/>
              <w:ind w:right="300"/>
              <w:spacing w:after="0"/>
              <w:rPr>
                <w:sz w:val="20"/>
                <w:szCs w:val="20"/>
                <w:color w:val="auto"/>
              </w:rPr>
            </w:pPr>
            <w:r>
              <w:rPr>
                <w:rFonts w:ascii="Arial" w:cs="Arial" w:eastAsia="Arial" w:hAnsi="Arial"/>
                <w:sz w:val="12"/>
                <w:szCs w:val="12"/>
                <w:color w:val="auto"/>
                <w:w w:val="96"/>
              </w:rPr>
              <w:t>8-K</w:t>
            </w:r>
          </w:p>
        </w:tc>
        <w:tc>
          <w:tcPr>
            <w:tcW w:w="1300" w:type="dxa"/>
            <w:vAlign w:val="bottom"/>
          </w:tcPr>
          <w:p>
            <w:pPr>
              <w:jc w:val="right"/>
              <w:ind w:right="360"/>
              <w:spacing w:after="0"/>
              <w:rPr>
                <w:sz w:val="20"/>
                <w:szCs w:val="20"/>
                <w:color w:val="auto"/>
              </w:rPr>
            </w:pPr>
            <w:r>
              <w:rPr>
                <w:rFonts w:ascii="Arial" w:cs="Arial" w:eastAsia="Arial" w:hAnsi="Arial"/>
                <w:sz w:val="12"/>
                <w:szCs w:val="12"/>
                <w:color w:val="auto"/>
              </w:rPr>
              <w:t>001-37979</w:t>
            </w:r>
          </w:p>
        </w:tc>
        <w:tc>
          <w:tcPr>
            <w:tcW w:w="1140" w:type="dxa"/>
            <w:vAlign w:val="bottom"/>
          </w:tcPr>
          <w:p>
            <w:pPr>
              <w:jc w:val="center"/>
              <w:spacing w:after="0"/>
              <w:rPr>
                <w:sz w:val="20"/>
                <w:szCs w:val="20"/>
                <w:color w:val="auto"/>
              </w:rPr>
            </w:pPr>
            <w:r>
              <w:rPr>
                <w:rFonts w:ascii="Arial" w:cs="Arial" w:eastAsia="Arial" w:hAnsi="Arial"/>
                <w:sz w:val="12"/>
                <w:szCs w:val="12"/>
                <w:color w:val="auto"/>
                <w:w w:val="86"/>
              </w:rPr>
              <w:t>10.20</w:t>
            </w:r>
          </w:p>
        </w:tc>
        <w:tc>
          <w:tcPr>
            <w:tcW w:w="1180" w:type="dxa"/>
            <w:vAlign w:val="bottom"/>
          </w:tcPr>
          <w:p>
            <w:pPr>
              <w:jc w:val="center"/>
              <w:ind w:left="380"/>
              <w:spacing w:after="0"/>
              <w:rPr>
                <w:sz w:val="20"/>
                <w:szCs w:val="20"/>
                <w:color w:val="auto"/>
              </w:rPr>
            </w:pPr>
            <w:r>
              <w:rPr>
                <w:rFonts w:ascii="Arial" w:cs="Arial" w:eastAsia="Arial" w:hAnsi="Arial"/>
                <w:sz w:val="12"/>
                <w:szCs w:val="12"/>
                <w:color w:val="auto"/>
                <w:w w:val="91"/>
              </w:rPr>
              <w:t>Oct. 22, 2018</w:t>
            </w:r>
          </w:p>
        </w:tc>
      </w:tr>
      <w:tr>
        <w:trPr>
          <w:trHeight w:val="351"/>
        </w:trPr>
        <w:tc>
          <w:tcPr>
            <w:tcW w:w="620" w:type="dxa"/>
            <w:vAlign w:val="bottom"/>
          </w:tcPr>
          <w:p>
            <w:pPr>
              <w:jc w:val="center"/>
              <w:ind w:right="300"/>
              <w:spacing w:after="0"/>
              <w:rPr>
                <w:sz w:val="20"/>
                <w:szCs w:val="20"/>
                <w:color w:val="auto"/>
              </w:rPr>
            </w:pPr>
            <w:r>
              <w:rPr>
                <w:rFonts w:ascii="Arial" w:cs="Arial" w:eastAsia="Arial" w:hAnsi="Arial"/>
                <w:sz w:val="12"/>
                <w:szCs w:val="12"/>
                <w:color w:val="auto"/>
                <w:w w:val="96"/>
              </w:rPr>
              <w:t>8-K</w:t>
            </w:r>
          </w:p>
        </w:tc>
        <w:tc>
          <w:tcPr>
            <w:tcW w:w="1300" w:type="dxa"/>
            <w:vAlign w:val="bottom"/>
          </w:tcPr>
          <w:p>
            <w:pPr>
              <w:jc w:val="right"/>
              <w:ind w:right="360"/>
              <w:spacing w:after="0"/>
              <w:rPr>
                <w:sz w:val="20"/>
                <w:szCs w:val="20"/>
                <w:color w:val="auto"/>
              </w:rPr>
            </w:pPr>
            <w:r>
              <w:rPr>
                <w:rFonts w:ascii="Arial" w:cs="Arial" w:eastAsia="Arial" w:hAnsi="Arial"/>
                <w:sz w:val="12"/>
                <w:szCs w:val="12"/>
                <w:color w:val="auto"/>
              </w:rPr>
              <w:t>001-37979</w:t>
            </w:r>
          </w:p>
        </w:tc>
        <w:tc>
          <w:tcPr>
            <w:tcW w:w="1140" w:type="dxa"/>
            <w:vAlign w:val="bottom"/>
          </w:tcPr>
          <w:p>
            <w:pPr>
              <w:jc w:val="center"/>
              <w:spacing w:after="0"/>
              <w:rPr>
                <w:sz w:val="20"/>
                <w:szCs w:val="20"/>
                <w:color w:val="auto"/>
              </w:rPr>
            </w:pPr>
            <w:r>
              <w:rPr>
                <w:rFonts w:ascii="Arial" w:cs="Arial" w:eastAsia="Arial" w:hAnsi="Arial"/>
                <w:sz w:val="12"/>
                <w:szCs w:val="12"/>
                <w:color w:val="auto"/>
                <w:w w:val="93"/>
              </w:rPr>
              <w:t>10.1</w:t>
            </w:r>
          </w:p>
        </w:tc>
        <w:tc>
          <w:tcPr>
            <w:tcW w:w="1180" w:type="dxa"/>
            <w:vAlign w:val="bottom"/>
          </w:tcPr>
          <w:p>
            <w:pPr>
              <w:jc w:val="center"/>
              <w:ind w:left="380"/>
              <w:spacing w:after="0"/>
              <w:rPr>
                <w:sz w:val="20"/>
                <w:szCs w:val="20"/>
                <w:color w:val="auto"/>
              </w:rPr>
            </w:pPr>
            <w:r>
              <w:rPr>
                <w:rFonts w:ascii="Arial" w:cs="Arial" w:eastAsia="Arial" w:hAnsi="Arial"/>
                <w:sz w:val="12"/>
                <w:szCs w:val="12"/>
                <w:color w:val="auto"/>
                <w:w w:val="91"/>
              </w:rPr>
              <w:t>March 5, 2019</w:t>
            </w:r>
          </w:p>
        </w:tc>
      </w:tr>
      <w:tr>
        <w:trPr>
          <w:trHeight w:val="207"/>
        </w:trPr>
        <w:tc>
          <w:tcPr>
            <w:tcW w:w="620" w:type="dxa"/>
            <w:vAlign w:val="bottom"/>
          </w:tcPr>
          <w:p>
            <w:pPr>
              <w:jc w:val="center"/>
              <w:ind w:right="320"/>
              <w:spacing w:after="0"/>
              <w:rPr>
                <w:sz w:val="20"/>
                <w:szCs w:val="20"/>
                <w:color w:val="auto"/>
              </w:rPr>
            </w:pPr>
            <w:r>
              <w:rPr>
                <w:rFonts w:ascii="Arial" w:cs="Arial" w:eastAsia="Arial" w:hAnsi="Arial"/>
                <w:sz w:val="12"/>
                <w:szCs w:val="12"/>
                <w:color w:val="auto"/>
                <w:w w:val="94"/>
              </w:rPr>
              <w:t>10-K</w:t>
            </w:r>
          </w:p>
        </w:tc>
        <w:tc>
          <w:tcPr>
            <w:tcW w:w="1300" w:type="dxa"/>
            <w:vAlign w:val="bottom"/>
          </w:tcPr>
          <w:p>
            <w:pPr>
              <w:jc w:val="right"/>
              <w:ind w:right="360"/>
              <w:spacing w:after="0"/>
              <w:rPr>
                <w:sz w:val="20"/>
                <w:szCs w:val="20"/>
                <w:color w:val="auto"/>
              </w:rPr>
            </w:pPr>
            <w:r>
              <w:rPr>
                <w:rFonts w:ascii="Arial" w:cs="Arial" w:eastAsia="Arial" w:hAnsi="Arial"/>
                <w:sz w:val="12"/>
                <w:szCs w:val="12"/>
                <w:color w:val="auto"/>
              </w:rPr>
              <w:t>001-37979</w:t>
            </w:r>
          </w:p>
        </w:tc>
        <w:tc>
          <w:tcPr>
            <w:tcW w:w="1140" w:type="dxa"/>
            <w:vAlign w:val="bottom"/>
          </w:tcPr>
          <w:p>
            <w:pPr>
              <w:jc w:val="center"/>
              <w:spacing w:after="0"/>
              <w:rPr>
                <w:sz w:val="20"/>
                <w:szCs w:val="20"/>
                <w:color w:val="auto"/>
              </w:rPr>
            </w:pPr>
            <w:r>
              <w:rPr>
                <w:rFonts w:ascii="Arial" w:cs="Arial" w:eastAsia="Arial" w:hAnsi="Arial"/>
                <w:sz w:val="12"/>
                <w:szCs w:val="12"/>
                <w:color w:val="auto"/>
                <w:w w:val="86"/>
              </w:rPr>
              <w:t>10.30</w:t>
            </w:r>
          </w:p>
        </w:tc>
        <w:tc>
          <w:tcPr>
            <w:tcW w:w="1180" w:type="dxa"/>
            <w:vAlign w:val="bottom"/>
          </w:tcPr>
          <w:p>
            <w:pPr>
              <w:jc w:val="center"/>
              <w:ind w:left="360"/>
              <w:spacing w:after="0"/>
              <w:rPr>
                <w:sz w:val="20"/>
                <w:szCs w:val="20"/>
                <w:color w:val="auto"/>
              </w:rPr>
            </w:pPr>
            <w:r>
              <w:rPr>
                <w:rFonts w:ascii="Arial" w:cs="Arial" w:eastAsia="Arial" w:hAnsi="Arial"/>
                <w:sz w:val="12"/>
                <w:szCs w:val="12"/>
                <w:color w:val="auto"/>
                <w:w w:val="91"/>
              </w:rPr>
              <w:t>March 18, 2019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2"/>
          <w:szCs w:val="12"/>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-3598545</wp:posOffset>
            </wp:positionH>
            <wp:positionV relativeFrom="paragraph">
              <wp:posOffset>42545</wp:posOffset>
            </wp:positionV>
            <wp:extent cx="7317740" cy="3683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89">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1"/>
          <w:szCs w:val="11"/>
          <w:color w:val="auto"/>
        </w:rPr>
        <w:t>X</w:t>
      </w:r>
    </w:p>
    <w:p>
      <w:pPr>
        <w:spacing w:after="0" w:line="225" w:lineRule="exact"/>
        <w:rPr>
          <w:sz w:val="20"/>
          <w:szCs w:val="20"/>
          <w:color w:val="auto"/>
        </w:rPr>
      </w:pPr>
    </w:p>
    <w:p>
      <w:pPr>
        <w:spacing w:after="0"/>
        <w:rPr>
          <w:sz w:val="20"/>
          <w:szCs w:val="20"/>
          <w:color w:val="auto"/>
        </w:rPr>
      </w:pPr>
      <w:r>
        <w:rPr>
          <w:rFonts w:ascii="Arial" w:cs="Arial" w:eastAsia="Arial" w:hAnsi="Arial"/>
          <w:sz w:val="11"/>
          <w:szCs w:val="11"/>
          <w:color w:val="auto"/>
        </w:rPr>
        <w:t>X</w:t>
      </w:r>
    </w:p>
    <w:p>
      <w:pPr>
        <w:spacing w:after="0" w:line="225" w:lineRule="exact"/>
        <w:rPr>
          <w:sz w:val="20"/>
          <w:szCs w:val="20"/>
          <w:color w:val="auto"/>
        </w:rPr>
      </w:pPr>
    </w:p>
    <w:p>
      <w:pPr>
        <w:spacing w:after="0"/>
        <w:rPr>
          <w:sz w:val="20"/>
          <w:szCs w:val="20"/>
          <w:color w:val="auto"/>
        </w:rPr>
      </w:pPr>
      <w:r>
        <w:rPr>
          <w:rFonts w:ascii="Arial" w:cs="Arial" w:eastAsia="Arial" w:hAnsi="Arial"/>
          <w:sz w:val="11"/>
          <w:szCs w:val="11"/>
          <w:color w:val="auto"/>
        </w:rPr>
        <w:t>X</w:t>
      </w:r>
    </w:p>
    <w:p>
      <w:pPr>
        <w:spacing w:after="0" w:line="225" w:lineRule="exact"/>
        <w:rPr>
          <w:sz w:val="20"/>
          <w:szCs w:val="20"/>
          <w:color w:val="auto"/>
        </w:rPr>
      </w:pPr>
    </w:p>
    <w:p>
      <w:pPr>
        <w:spacing w:after="0"/>
        <w:rPr>
          <w:sz w:val="20"/>
          <w:szCs w:val="20"/>
          <w:color w:val="auto"/>
        </w:rPr>
      </w:pPr>
      <w:r>
        <w:rPr>
          <w:rFonts w:ascii="Arial" w:cs="Arial" w:eastAsia="Arial" w:hAnsi="Arial"/>
          <w:sz w:val="11"/>
          <w:szCs w:val="11"/>
          <w:color w:val="auto"/>
        </w:rPr>
        <w:t>X</w:t>
      </w:r>
    </w:p>
    <w:p>
      <w:pPr>
        <w:spacing w:after="0" w:line="81" w:lineRule="exact"/>
        <w:rPr>
          <w:sz w:val="20"/>
          <w:szCs w:val="20"/>
          <w:color w:val="auto"/>
        </w:rPr>
      </w:pPr>
    </w:p>
    <w:p>
      <w:pPr>
        <w:spacing w:after="0"/>
        <w:rPr>
          <w:sz w:val="20"/>
          <w:szCs w:val="20"/>
          <w:color w:val="auto"/>
        </w:rPr>
      </w:pPr>
      <w:r>
        <w:rPr>
          <w:rFonts w:ascii="Arial" w:cs="Arial" w:eastAsia="Arial" w:hAnsi="Arial"/>
          <w:sz w:val="11"/>
          <w:szCs w:val="11"/>
          <w:color w:val="auto"/>
        </w:rPr>
        <w:t>X</w:t>
      </w:r>
    </w:p>
    <w:p>
      <w:pPr>
        <w:spacing w:after="0" w:line="81" w:lineRule="exact"/>
        <w:rPr>
          <w:sz w:val="20"/>
          <w:szCs w:val="20"/>
          <w:color w:val="auto"/>
        </w:rPr>
      </w:pPr>
    </w:p>
    <w:p>
      <w:pPr>
        <w:spacing w:after="0"/>
        <w:rPr>
          <w:sz w:val="20"/>
          <w:szCs w:val="20"/>
          <w:color w:val="auto"/>
        </w:rPr>
      </w:pPr>
      <w:r>
        <w:rPr>
          <w:rFonts w:ascii="Arial" w:cs="Arial" w:eastAsia="Arial" w:hAnsi="Arial"/>
          <w:sz w:val="11"/>
          <w:szCs w:val="11"/>
          <w:color w:val="auto"/>
        </w:rPr>
        <w:t>X</w:t>
      </w:r>
    </w:p>
    <w:p>
      <w:pPr>
        <w:spacing w:after="0" w:line="81" w:lineRule="exact"/>
        <w:rPr>
          <w:sz w:val="20"/>
          <w:szCs w:val="20"/>
          <w:color w:val="auto"/>
        </w:rPr>
      </w:pPr>
    </w:p>
    <w:p>
      <w:pPr>
        <w:spacing w:after="0"/>
        <w:rPr>
          <w:sz w:val="20"/>
          <w:szCs w:val="20"/>
          <w:color w:val="auto"/>
        </w:rPr>
      </w:pPr>
      <w:r>
        <w:rPr>
          <w:rFonts w:ascii="Arial" w:cs="Arial" w:eastAsia="Arial" w:hAnsi="Arial"/>
          <w:sz w:val="11"/>
          <w:szCs w:val="11"/>
          <w:color w:val="auto"/>
        </w:rPr>
        <w:t>X</w:t>
      </w:r>
    </w:p>
    <w:p>
      <w:pPr>
        <w:spacing w:after="0" w:line="369" w:lineRule="exact"/>
        <w:rPr>
          <w:sz w:val="20"/>
          <w:szCs w:val="20"/>
          <w:color w:val="auto"/>
        </w:rPr>
      </w:pPr>
    </w:p>
    <w:p>
      <w:pPr>
        <w:spacing w:after="0"/>
        <w:rPr>
          <w:sz w:val="20"/>
          <w:szCs w:val="20"/>
          <w:color w:val="auto"/>
        </w:rPr>
      </w:pPr>
      <w:r>
        <w:rPr>
          <w:rFonts w:ascii="Arial" w:cs="Arial" w:eastAsia="Arial" w:hAnsi="Arial"/>
          <w:sz w:val="11"/>
          <w:szCs w:val="11"/>
          <w:color w:val="auto"/>
        </w:rPr>
        <w:t>X</w:t>
      </w:r>
    </w:p>
    <w:p>
      <w:pPr>
        <w:spacing w:after="0" w:line="369" w:lineRule="exact"/>
        <w:rPr>
          <w:sz w:val="20"/>
          <w:szCs w:val="20"/>
          <w:color w:val="auto"/>
        </w:rPr>
      </w:pPr>
    </w:p>
    <w:p>
      <w:pPr>
        <w:spacing w:after="0"/>
        <w:rPr>
          <w:sz w:val="20"/>
          <w:szCs w:val="20"/>
          <w:color w:val="auto"/>
        </w:rPr>
      </w:pPr>
      <w:r>
        <w:rPr>
          <w:rFonts w:ascii="Arial" w:cs="Arial" w:eastAsia="Arial" w:hAnsi="Arial"/>
          <w:sz w:val="11"/>
          <w:szCs w:val="11"/>
          <w:color w:val="auto"/>
        </w:rPr>
        <w:t>X</w:t>
      </w:r>
    </w:p>
    <w:p>
      <w:pPr>
        <w:sectPr>
          <w:pgSz w:w="11900" w:h="16838" w:orient="portrait"/>
          <w:cols w:equalWidth="0" w:num="3">
            <w:col w:w="5300" w:space="280"/>
            <w:col w:w="4580" w:space="720"/>
            <w:col w:w="280"/>
          </w:cols>
          <w:pgMar w:left="280" w:top="271" w:right="459" w:bottom="1440" w:gutter="0" w:footer="0" w:header="0"/>
          <w:type w:val="continuous"/>
        </w:sectPr>
      </w:pPr>
    </w:p>
    <w:bookmarkStart w:id="116" w:name="page117"/>
    <w:bookmarkEnd w:id="116"/>
    <w:p>
      <w:pPr>
        <w:spacing w:after="0" w:line="144" w:lineRule="exact"/>
        <w:rPr>
          <w:sz w:val="20"/>
          <w:szCs w:val="20"/>
          <w:color w:val="auto"/>
        </w:rPr>
      </w:pPr>
    </w:p>
    <w:p>
      <w:pPr>
        <w:ind w:left="328"/>
        <w:spacing w:after="0"/>
        <w:rPr>
          <w:sz w:val="20"/>
          <w:szCs w:val="20"/>
          <w:color w:val="auto"/>
        </w:rPr>
      </w:pPr>
      <w:r>
        <w:rPr>
          <w:rFonts w:ascii="Arial" w:cs="Arial" w:eastAsia="Arial" w:hAnsi="Arial"/>
          <w:sz w:val="11"/>
          <w:szCs w:val="11"/>
          <w:b w:val="1"/>
          <w:bCs w:val="1"/>
          <w:color w:val="auto"/>
        </w:rPr>
        <w:t>Exhibit</w:t>
      </w:r>
    </w:p>
    <w:p>
      <w:pPr>
        <w:spacing w:after="0" w:line="30"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657860" cy="571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90">
                      <a:extLst>
                        <a:ext uri="{28A0092B-C50C-407E-A947-70E740481C1C}"/>
                      </a:extLst>
                    </a:blip>
                    <a:srcRect/>
                    <a:stretch>
                      <a:fillRect/>
                    </a:stretch>
                  </pic:blipFill>
                  <pic:spPr bwMode="auto">
                    <a:xfrm>
                      <a:off x="0" y="0"/>
                      <a:ext cx="657860" cy="5715"/>
                    </a:xfrm>
                    <a:prstGeom prst="rect">
                      <a:avLst/>
                    </a:prstGeom>
                    <a:noFill/>
                  </pic:spPr>
                </pic:pic>
              </a:graphicData>
            </a:graphic>
          </wp:anchor>
        </w:drawing>
      </w:r>
    </w:p>
    <w:p>
      <w:pPr>
        <w:spacing w:after="0" w:line="58" w:lineRule="exact"/>
        <w:rPr>
          <w:sz w:val="20"/>
          <w:szCs w:val="20"/>
          <w:color w:val="auto"/>
        </w:rPr>
      </w:pPr>
    </w:p>
    <w:p>
      <w:pPr>
        <w:ind w:left="68"/>
        <w:spacing w:after="0"/>
        <w:rPr>
          <w:sz w:val="20"/>
          <w:szCs w:val="20"/>
          <w:color w:val="auto"/>
        </w:rPr>
      </w:pPr>
      <w:r>
        <w:rPr>
          <w:rFonts w:ascii="Arial" w:cs="Arial" w:eastAsia="Arial" w:hAnsi="Arial"/>
          <w:sz w:val="12"/>
          <w:szCs w:val="12"/>
          <w:color w:val="auto"/>
        </w:rPr>
        <w:t>32.2*</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7"/>
        </w:trPr>
        <w:tc>
          <w:tcPr>
            <w:tcW w:w="3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gridSpan w:val="4"/>
          </w:tcPr>
          <w:p>
            <w:pPr>
              <w:ind w:left="40"/>
              <w:spacing w:after="0"/>
              <w:rPr>
                <w:sz w:val="20"/>
                <w:szCs w:val="20"/>
                <w:color w:val="auto"/>
              </w:rPr>
            </w:pPr>
            <w:r>
              <w:rPr>
                <w:rFonts w:ascii="Arial" w:cs="Arial" w:eastAsia="Arial" w:hAnsi="Arial"/>
                <w:sz w:val="12"/>
                <w:szCs w:val="12"/>
                <w:b w:val="1"/>
                <w:bCs w:val="1"/>
                <w:color w:val="auto"/>
                <w:w w:val="99"/>
              </w:rPr>
              <w:t>Incorporated by Reference</w:t>
            </w:r>
          </w:p>
        </w:tc>
        <w:tc>
          <w:tcPr>
            <w:tcW w:w="15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4380" w:type="dxa"/>
            <w:vAlign w:val="bottom"/>
            <w:gridSpan w:val="4"/>
            <w:vMerge w:val="restart"/>
          </w:tcPr>
          <w:p>
            <w:pPr>
              <w:ind w:left="1820"/>
              <w:spacing w:after="0"/>
              <w:rPr>
                <w:sz w:val="20"/>
                <w:szCs w:val="20"/>
                <w:color w:val="auto"/>
              </w:rPr>
            </w:pPr>
            <w:r>
              <w:rPr>
                <w:rFonts w:ascii="Arial" w:cs="Arial" w:eastAsia="Arial" w:hAnsi="Arial"/>
                <w:sz w:val="12"/>
                <w:szCs w:val="12"/>
                <w:b w:val="1"/>
                <w:bCs w:val="1"/>
                <w:color w:val="auto"/>
              </w:rPr>
              <w:t>Description</w:t>
            </w:r>
          </w:p>
        </w:tc>
        <w:tc>
          <w:tcPr>
            <w:tcW w:w="76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Form</w:t>
            </w:r>
          </w:p>
        </w:tc>
        <w:tc>
          <w:tcPr>
            <w:tcW w:w="920" w:type="dxa"/>
            <w:vAlign w:val="bottom"/>
            <w:vMerge w:val="restart"/>
          </w:tcPr>
          <w:p>
            <w:pPr>
              <w:ind w:left="460"/>
              <w:spacing w:after="0"/>
              <w:rPr>
                <w:sz w:val="20"/>
                <w:szCs w:val="20"/>
                <w:color w:val="auto"/>
              </w:rPr>
            </w:pPr>
            <w:r>
              <w:rPr>
                <w:rFonts w:ascii="Arial" w:cs="Arial" w:eastAsia="Arial" w:hAnsi="Arial"/>
                <w:sz w:val="12"/>
                <w:szCs w:val="12"/>
                <w:b w:val="1"/>
                <w:bCs w:val="1"/>
                <w:color w:val="auto"/>
              </w:rPr>
              <w:t>File No.</w:t>
            </w: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gridSpan w:val="2"/>
            <w:vMerge w:val="restart"/>
          </w:tcPr>
          <w:p>
            <w:pPr>
              <w:ind w:left="260"/>
              <w:spacing w:after="0"/>
              <w:rPr>
                <w:sz w:val="20"/>
                <w:szCs w:val="20"/>
                <w:color w:val="auto"/>
              </w:rPr>
            </w:pPr>
            <w:r>
              <w:rPr>
                <w:rFonts w:ascii="Arial" w:cs="Arial" w:eastAsia="Arial" w:hAnsi="Arial"/>
                <w:sz w:val="12"/>
                <w:szCs w:val="12"/>
                <w:b w:val="1"/>
                <w:bCs w:val="1"/>
                <w:color w:val="auto"/>
              </w:rPr>
              <w:t>Exhibit</w:t>
            </w:r>
          </w:p>
        </w:tc>
        <w:tc>
          <w:tcPr>
            <w:tcW w:w="1700" w:type="dxa"/>
            <w:vAlign w:val="bottom"/>
            <w:gridSpan w:val="2"/>
            <w:vMerge w:val="restart"/>
          </w:tcPr>
          <w:p>
            <w:pPr>
              <w:ind w:left="500"/>
              <w:spacing w:after="0"/>
              <w:rPr>
                <w:sz w:val="20"/>
                <w:szCs w:val="20"/>
                <w:color w:val="auto"/>
              </w:rPr>
            </w:pPr>
            <w:r>
              <w:rPr>
                <w:rFonts w:ascii="Arial" w:cs="Arial" w:eastAsia="Arial" w:hAnsi="Arial"/>
                <w:sz w:val="12"/>
                <w:szCs w:val="12"/>
                <w:b w:val="1"/>
                <w:bCs w:val="1"/>
                <w:color w:val="auto"/>
              </w:rPr>
              <w:t>Filing Date</w:t>
            </w:r>
          </w:p>
        </w:tc>
        <w:tc>
          <w:tcPr>
            <w:tcW w:w="1000" w:type="dxa"/>
            <w:vAlign w:val="bottom"/>
          </w:tcPr>
          <w:p>
            <w:pPr>
              <w:jc w:val="center"/>
              <w:spacing w:after="0" w:line="121" w:lineRule="exact"/>
              <w:rPr>
                <w:sz w:val="20"/>
                <w:szCs w:val="20"/>
                <w:color w:val="auto"/>
              </w:rPr>
            </w:pPr>
            <w:r>
              <w:rPr>
                <w:rFonts w:ascii="Arial" w:cs="Arial" w:eastAsia="Arial" w:hAnsi="Arial"/>
                <w:sz w:val="12"/>
                <w:szCs w:val="12"/>
                <w:b w:val="1"/>
                <w:bCs w:val="1"/>
                <w:color w:val="auto"/>
                <w:w w:val="92"/>
              </w:rPr>
              <w:t>Filed</w:t>
            </w:r>
          </w:p>
        </w:tc>
        <w:tc>
          <w:tcPr>
            <w:tcW w:w="0" w:type="dxa"/>
            <w:vAlign w:val="bottom"/>
          </w:tcPr>
          <w:p>
            <w:pPr>
              <w:spacing w:after="0"/>
              <w:rPr>
                <w:sz w:val="1"/>
                <w:szCs w:val="1"/>
                <w:color w:val="auto"/>
              </w:rPr>
            </w:pPr>
          </w:p>
        </w:tc>
      </w:tr>
      <w:tr>
        <w:trPr>
          <w:trHeight w:val="85"/>
        </w:trPr>
        <w:tc>
          <w:tcPr>
            <w:tcW w:w="4380" w:type="dxa"/>
            <w:vAlign w:val="bottom"/>
            <w:gridSpan w:val="4"/>
            <w:vMerge w:val="continue"/>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920" w:type="dxa"/>
            <w:vAlign w:val="bottom"/>
            <w:vMerge w:val="continue"/>
          </w:tcPr>
          <w:p>
            <w:pPr>
              <w:spacing w:after="0"/>
              <w:rPr>
                <w:sz w:val="7"/>
                <w:szCs w:val="7"/>
                <w:color w:val="auto"/>
              </w:rPr>
            </w:pPr>
          </w:p>
        </w:tc>
        <w:tc>
          <w:tcPr>
            <w:tcW w:w="4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gridSpan w:val="2"/>
            <w:vMerge w:val="continue"/>
          </w:tcPr>
          <w:p>
            <w:pPr>
              <w:spacing w:after="0"/>
              <w:rPr>
                <w:sz w:val="7"/>
                <w:szCs w:val="7"/>
                <w:color w:val="auto"/>
              </w:rPr>
            </w:pPr>
          </w:p>
        </w:tc>
        <w:tc>
          <w:tcPr>
            <w:tcW w:w="1700" w:type="dxa"/>
            <w:vAlign w:val="bottom"/>
            <w:gridSpan w:val="2"/>
            <w:vMerge w:val="continue"/>
          </w:tcPr>
          <w:p>
            <w:pPr>
              <w:spacing w:after="0"/>
              <w:rPr>
                <w:sz w:val="7"/>
                <w:szCs w:val="7"/>
                <w:color w:val="auto"/>
              </w:rPr>
            </w:pPr>
          </w:p>
        </w:tc>
        <w:tc>
          <w:tcPr>
            <w:tcW w:w="100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4"/>
              </w:rPr>
              <w:t>Herewith</w:t>
            </w:r>
          </w:p>
        </w:tc>
        <w:tc>
          <w:tcPr>
            <w:tcW w:w="0" w:type="dxa"/>
            <w:vAlign w:val="bottom"/>
          </w:tcPr>
          <w:p>
            <w:pPr>
              <w:spacing w:after="0"/>
              <w:rPr>
                <w:sz w:val="1"/>
                <w:szCs w:val="1"/>
                <w:color w:val="auto"/>
              </w:rPr>
            </w:pPr>
          </w:p>
        </w:tc>
      </w:tr>
      <w:tr>
        <w:trPr>
          <w:trHeight w:val="72"/>
        </w:trPr>
        <w:tc>
          <w:tcPr>
            <w:tcW w:w="332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158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9"/>
        </w:trPr>
        <w:tc>
          <w:tcPr>
            <w:tcW w:w="4380" w:type="dxa"/>
            <w:vAlign w:val="bottom"/>
            <w:gridSpan w:val="4"/>
          </w:tcPr>
          <w:p>
            <w:pPr>
              <w:spacing w:after="0"/>
              <w:rPr>
                <w:rFonts w:ascii="Arial" w:cs="Arial" w:eastAsia="Arial" w:hAnsi="Arial"/>
                <w:sz w:val="12"/>
                <w:szCs w:val="12"/>
                <w:color w:val="0000EE"/>
              </w:rPr>
            </w:pPr>
            <w:hyperlink w:anchor="page173">
              <w:r>
                <w:rPr>
                  <w:rFonts w:ascii="Arial" w:cs="Arial" w:eastAsia="Arial" w:hAnsi="Arial"/>
                  <w:sz w:val="12"/>
                  <w:szCs w:val="12"/>
                  <w:color w:val="0000EE"/>
                </w:rPr>
                <w:t>Certification of Principal Financial Officer Pursuant to 18 U.S.C. Section 1350, as</w:t>
              </w:r>
            </w:hyperlink>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2"/>
                <w:szCs w:val="12"/>
                <w:color w:val="auto"/>
                <w:w w:val="99"/>
              </w:rPr>
              <w:t>X</w:t>
            </w:r>
          </w:p>
        </w:tc>
        <w:tc>
          <w:tcPr>
            <w:tcW w:w="0" w:type="dxa"/>
            <w:vAlign w:val="bottom"/>
          </w:tcPr>
          <w:p>
            <w:pPr>
              <w:spacing w:after="0"/>
              <w:rPr>
                <w:sz w:val="1"/>
                <w:szCs w:val="1"/>
                <w:color w:val="auto"/>
              </w:rPr>
            </w:pPr>
          </w:p>
        </w:tc>
      </w:tr>
      <w:tr>
        <w:trPr>
          <w:trHeight w:val="124"/>
        </w:trPr>
        <w:tc>
          <w:tcPr>
            <w:tcW w:w="3320" w:type="dxa"/>
            <w:vAlign w:val="bottom"/>
            <w:tcBorders>
              <w:top w:val="single" w:sz="8" w:color="0000EE"/>
              <w:bottom w:val="single" w:sz="8" w:color="0000EE"/>
            </w:tcBorders>
          </w:tcPr>
          <w:p>
            <w:pPr>
              <w:spacing w:after="0" w:line="124" w:lineRule="exact"/>
              <w:rPr>
                <w:rFonts w:ascii="Arial" w:cs="Arial" w:eastAsia="Arial" w:hAnsi="Arial"/>
                <w:sz w:val="12"/>
                <w:szCs w:val="12"/>
                <w:color w:val="0000EE"/>
                <w:w w:val="90"/>
              </w:rPr>
            </w:pPr>
            <w:hyperlink w:anchor="page173">
              <w:r>
                <w:rPr>
                  <w:rFonts w:ascii="Arial" w:cs="Arial" w:eastAsia="Arial" w:hAnsi="Arial"/>
                  <w:sz w:val="12"/>
                  <w:szCs w:val="12"/>
                  <w:color w:val="0000EE"/>
                  <w:w w:val="90"/>
                </w:rPr>
                <w:t>Adopted Pursuant to Section 906 of the Sarbanes-Oxley Act of 2002.</w:t>
              </w:r>
            </w:hyperlink>
          </w:p>
        </w:tc>
        <w:tc>
          <w:tcPr>
            <w:tcW w:w="620" w:type="dxa"/>
            <w:vAlign w:val="bottom"/>
            <w:tcBorders>
              <w:top w:val="single" w:sz="8" w:color="0000EE"/>
            </w:tcBorders>
          </w:tcPr>
          <w:p>
            <w:pPr>
              <w:spacing w:after="0"/>
              <w:rPr>
                <w:sz w:val="10"/>
                <w:szCs w:val="10"/>
                <w:color w:val="auto"/>
              </w:rPr>
            </w:pPr>
          </w:p>
        </w:tc>
        <w:tc>
          <w:tcPr>
            <w:tcW w:w="440" w:type="dxa"/>
            <w:vAlign w:val="bottom"/>
            <w:gridSpan w:val="2"/>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sectPr>
          <w:pgSz w:w="11900" w:h="16838" w:orient="portrait"/>
          <w:cols w:equalWidth="0" w:num="2">
            <w:col w:w="728" w:space="420"/>
            <w:col w:w="10340"/>
          </w:cols>
          <w:pgMar w:left="212" w:top="271" w:right="199" w:bottom="1440" w:gutter="0" w:footer="0" w:header="0"/>
        </w:sectPr>
      </w:pPr>
    </w:p>
    <w:tbl>
      <w:tblPr>
        <w:tblLayout w:type="fixed"/>
        <w:tblInd w:w="8" w:type="dxa"/>
        <w:tblCellMar>
          <w:top w:w="0" w:type="dxa"/>
          <w:left w:w="0" w:type="dxa"/>
          <w:bottom w:w="0" w:type="dxa"/>
          <w:right w:w="0" w:type="dxa"/>
        </w:tblCellMar>
      </w:tblPr>
      <w:tr>
        <w:trPr>
          <w:trHeight w:val="153"/>
        </w:trPr>
        <w:tc>
          <w:tcPr>
            <w:tcW w:w="780" w:type="dxa"/>
            <w:vAlign w:val="bottom"/>
          </w:tcPr>
          <w:p>
            <w:pPr>
              <w:spacing w:after="0"/>
              <w:rPr>
                <w:sz w:val="20"/>
                <w:szCs w:val="20"/>
                <w:color w:val="auto"/>
              </w:rPr>
            </w:pPr>
            <w:r>
              <w:rPr>
                <w:rFonts w:ascii="Arial" w:cs="Arial" w:eastAsia="Arial" w:hAnsi="Arial"/>
                <w:sz w:val="12"/>
                <w:szCs w:val="12"/>
                <w:color w:val="auto"/>
              </w:rPr>
              <w:t>101.INS</w:t>
            </w:r>
          </w:p>
        </w:tc>
        <w:tc>
          <w:tcPr>
            <w:tcW w:w="7320" w:type="dxa"/>
            <w:vAlign w:val="bottom"/>
          </w:tcPr>
          <w:p>
            <w:pPr>
              <w:ind w:left="360"/>
              <w:spacing w:after="0"/>
              <w:rPr>
                <w:sz w:val="20"/>
                <w:szCs w:val="20"/>
                <w:color w:val="auto"/>
              </w:rPr>
            </w:pPr>
            <w:r>
              <w:rPr>
                <w:rFonts w:ascii="Arial" w:cs="Arial" w:eastAsia="Arial" w:hAnsi="Arial"/>
                <w:sz w:val="12"/>
                <w:szCs w:val="12"/>
                <w:color w:val="auto"/>
              </w:rPr>
              <w:t>Inline XBRL Instance Document.</w:t>
            </w:r>
          </w:p>
        </w:tc>
        <w:tc>
          <w:tcPr>
            <w:tcW w:w="2920" w:type="dxa"/>
            <w:vAlign w:val="bottom"/>
          </w:tcPr>
          <w:p>
            <w:pPr>
              <w:ind w:left="2840"/>
              <w:spacing w:after="0"/>
              <w:rPr>
                <w:sz w:val="20"/>
                <w:szCs w:val="20"/>
                <w:color w:val="auto"/>
              </w:rPr>
            </w:pPr>
            <w:r>
              <w:rPr>
                <w:rFonts w:ascii="Arial" w:cs="Arial" w:eastAsia="Arial" w:hAnsi="Arial"/>
                <w:sz w:val="12"/>
                <w:szCs w:val="12"/>
                <w:color w:val="auto"/>
                <w:w w:val="74"/>
              </w:rPr>
              <w:t>X</w:t>
            </w:r>
          </w:p>
        </w:tc>
      </w:tr>
      <w:tr>
        <w:trPr>
          <w:trHeight w:val="207"/>
        </w:trPr>
        <w:tc>
          <w:tcPr>
            <w:tcW w:w="780" w:type="dxa"/>
            <w:vAlign w:val="bottom"/>
          </w:tcPr>
          <w:p>
            <w:pPr>
              <w:spacing w:after="0"/>
              <w:rPr>
                <w:sz w:val="20"/>
                <w:szCs w:val="20"/>
                <w:color w:val="auto"/>
              </w:rPr>
            </w:pPr>
            <w:r>
              <w:rPr>
                <w:rFonts w:ascii="Arial" w:cs="Arial" w:eastAsia="Arial" w:hAnsi="Arial"/>
                <w:sz w:val="12"/>
                <w:szCs w:val="12"/>
                <w:color w:val="auto"/>
              </w:rPr>
              <w:t>101.SCH</w:t>
            </w:r>
          </w:p>
        </w:tc>
        <w:tc>
          <w:tcPr>
            <w:tcW w:w="7320" w:type="dxa"/>
            <w:vAlign w:val="bottom"/>
          </w:tcPr>
          <w:p>
            <w:pPr>
              <w:ind w:left="360"/>
              <w:spacing w:after="0"/>
              <w:rPr>
                <w:sz w:val="20"/>
                <w:szCs w:val="20"/>
                <w:color w:val="auto"/>
              </w:rPr>
            </w:pPr>
            <w:r>
              <w:rPr>
                <w:rFonts w:ascii="Arial" w:cs="Arial" w:eastAsia="Arial" w:hAnsi="Arial"/>
                <w:sz w:val="12"/>
                <w:szCs w:val="12"/>
                <w:color w:val="auto"/>
              </w:rPr>
              <w:t>Inline XBRL Taxonomy Extension Schema Document.</w:t>
            </w:r>
          </w:p>
        </w:tc>
        <w:tc>
          <w:tcPr>
            <w:tcW w:w="2920" w:type="dxa"/>
            <w:vAlign w:val="bottom"/>
          </w:tcPr>
          <w:p>
            <w:pPr>
              <w:ind w:left="2840"/>
              <w:spacing w:after="0"/>
              <w:rPr>
                <w:sz w:val="20"/>
                <w:szCs w:val="20"/>
                <w:color w:val="auto"/>
              </w:rPr>
            </w:pPr>
            <w:r>
              <w:rPr>
                <w:rFonts w:ascii="Arial" w:cs="Arial" w:eastAsia="Arial" w:hAnsi="Arial"/>
                <w:sz w:val="12"/>
                <w:szCs w:val="12"/>
                <w:color w:val="auto"/>
                <w:w w:val="74"/>
              </w:rPr>
              <w:t>X</w:t>
            </w:r>
          </w:p>
        </w:tc>
      </w:tr>
      <w:tr>
        <w:trPr>
          <w:trHeight w:val="207"/>
        </w:trPr>
        <w:tc>
          <w:tcPr>
            <w:tcW w:w="780" w:type="dxa"/>
            <w:vAlign w:val="bottom"/>
          </w:tcPr>
          <w:p>
            <w:pPr>
              <w:spacing w:after="0"/>
              <w:rPr>
                <w:sz w:val="20"/>
                <w:szCs w:val="20"/>
                <w:color w:val="auto"/>
              </w:rPr>
            </w:pPr>
            <w:r>
              <w:rPr>
                <w:rFonts w:ascii="Arial" w:cs="Arial" w:eastAsia="Arial" w:hAnsi="Arial"/>
                <w:sz w:val="12"/>
                <w:szCs w:val="12"/>
                <w:color w:val="auto"/>
              </w:rPr>
              <w:t>101.CAL</w:t>
            </w:r>
          </w:p>
        </w:tc>
        <w:tc>
          <w:tcPr>
            <w:tcW w:w="7320" w:type="dxa"/>
            <w:vAlign w:val="bottom"/>
          </w:tcPr>
          <w:p>
            <w:pPr>
              <w:ind w:left="360"/>
              <w:spacing w:after="0"/>
              <w:rPr>
                <w:sz w:val="20"/>
                <w:szCs w:val="20"/>
                <w:color w:val="auto"/>
              </w:rPr>
            </w:pPr>
            <w:r>
              <w:rPr>
                <w:rFonts w:ascii="Arial" w:cs="Arial" w:eastAsia="Arial" w:hAnsi="Arial"/>
                <w:sz w:val="12"/>
                <w:szCs w:val="12"/>
                <w:color w:val="auto"/>
              </w:rPr>
              <w:t>Inline XBRL Taxonomy Extension Calculation Linkbase Document.</w:t>
            </w:r>
          </w:p>
        </w:tc>
        <w:tc>
          <w:tcPr>
            <w:tcW w:w="2920" w:type="dxa"/>
            <w:vAlign w:val="bottom"/>
          </w:tcPr>
          <w:p>
            <w:pPr>
              <w:ind w:left="2840"/>
              <w:spacing w:after="0"/>
              <w:rPr>
                <w:sz w:val="20"/>
                <w:szCs w:val="20"/>
                <w:color w:val="auto"/>
              </w:rPr>
            </w:pPr>
            <w:r>
              <w:rPr>
                <w:rFonts w:ascii="Arial" w:cs="Arial" w:eastAsia="Arial" w:hAnsi="Arial"/>
                <w:sz w:val="12"/>
                <w:szCs w:val="12"/>
                <w:color w:val="auto"/>
                <w:w w:val="74"/>
              </w:rPr>
              <w:t>X</w:t>
            </w:r>
          </w:p>
        </w:tc>
      </w:tr>
      <w:tr>
        <w:trPr>
          <w:trHeight w:val="207"/>
        </w:trPr>
        <w:tc>
          <w:tcPr>
            <w:tcW w:w="780" w:type="dxa"/>
            <w:vAlign w:val="bottom"/>
          </w:tcPr>
          <w:p>
            <w:pPr>
              <w:spacing w:after="0"/>
              <w:rPr>
                <w:sz w:val="20"/>
                <w:szCs w:val="20"/>
                <w:color w:val="auto"/>
              </w:rPr>
            </w:pPr>
            <w:r>
              <w:rPr>
                <w:rFonts w:ascii="Arial" w:cs="Arial" w:eastAsia="Arial" w:hAnsi="Arial"/>
                <w:sz w:val="12"/>
                <w:szCs w:val="12"/>
                <w:color w:val="auto"/>
              </w:rPr>
              <w:t>101.DEF</w:t>
            </w:r>
          </w:p>
        </w:tc>
        <w:tc>
          <w:tcPr>
            <w:tcW w:w="7320" w:type="dxa"/>
            <w:vAlign w:val="bottom"/>
          </w:tcPr>
          <w:p>
            <w:pPr>
              <w:ind w:left="360"/>
              <w:spacing w:after="0"/>
              <w:rPr>
                <w:sz w:val="20"/>
                <w:szCs w:val="20"/>
                <w:color w:val="auto"/>
              </w:rPr>
            </w:pPr>
            <w:r>
              <w:rPr>
                <w:rFonts w:ascii="Arial" w:cs="Arial" w:eastAsia="Arial" w:hAnsi="Arial"/>
                <w:sz w:val="12"/>
                <w:szCs w:val="12"/>
                <w:color w:val="auto"/>
              </w:rPr>
              <w:t>Inline XBRL Taxonomy Extension Definition Linkbase Document.</w:t>
            </w:r>
          </w:p>
        </w:tc>
        <w:tc>
          <w:tcPr>
            <w:tcW w:w="2920" w:type="dxa"/>
            <w:vAlign w:val="bottom"/>
          </w:tcPr>
          <w:p>
            <w:pPr>
              <w:ind w:left="2840"/>
              <w:spacing w:after="0"/>
              <w:rPr>
                <w:sz w:val="20"/>
                <w:szCs w:val="20"/>
                <w:color w:val="auto"/>
              </w:rPr>
            </w:pPr>
            <w:r>
              <w:rPr>
                <w:rFonts w:ascii="Arial" w:cs="Arial" w:eastAsia="Arial" w:hAnsi="Arial"/>
                <w:sz w:val="12"/>
                <w:szCs w:val="12"/>
                <w:color w:val="auto"/>
                <w:w w:val="74"/>
              </w:rPr>
              <w:t>X</w:t>
            </w:r>
          </w:p>
        </w:tc>
      </w:tr>
      <w:tr>
        <w:trPr>
          <w:trHeight w:val="207"/>
        </w:trPr>
        <w:tc>
          <w:tcPr>
            <w:tcW w:w="780" w:type="dxa"/>
            <w:vAlign w:val="bottom"/>
          </w:tcPr>
          <w:p>
            <w:pPr>
              <w:spacing w:after="0"/>
              <w:rPr>
                <w:sz w:val="20"/>
                <w:szCs w:val="20"/>
                <w:color w:val="auto"/>
              </w:rPr>
            </w:pPr>
            <w:r>
              <w:rPr>
                <w:rFonts w:ascii="Arial" w:cs="Arial" w:eastAsia="Arial" w:hAnsi="Arial"/>
                <w:sz w:val="12"/>
                <w:szCs w:val="12"/>
                <w:color w:val="auto"/>
              </w:rPr>
              <w:t>101.LAB</w:t>
            </w:r>
          </w:p>
        </w:tc>
        <w:tc>
          <w:tcPr>
            <w:tcW w:w="7320" w:type="dxa"/>
            <w:vAlign w:val="bottom"/>
          </w:tcPr>
          <w:p>
            <w:pPr>
              <w:ind w:left="360"/>
              <w:spacing w:after="0"/>
              <w:rPr>
                <w:sz w:val="20"/>
                <w:szCs w:val="20"/>
                <w:color w:val="auto"/>
              </w:rPr>
            </w:pPr>
            <w:r>
              <w:rPr>
                <w:rFonts w:ascii="Arial" w:cs="Arial" w:eastAsia="Arial" w:hAnsi="Arial"/>
                <w:sz w:val="12"/>
                <w:szCs w:val="12"/>
                <w:color w:val="auto"/>
              </w:rPr>
              <w:t>Inline XBRL Taxonomy Extension Labels Linkbase Document.</w:t>
            </w:r>
          </w:p>
        </w:tc>
        <w:tc>
          <w:tcPr>
            <w:tcW w:w="2920" w:type="dxa"/>
            <w:vAlign w:val="bottom"/>
          </w:tcPr>
          <w:p>
            <w:pPr>
              <w:ind w:left="2840"/>
              <w:spacing w:after="0"/>
              <w:rPr>
                <w:sz w:val="20"/>
                <w:szCs w:val="20"/>
                <w:color w:val="auto"/>
              </w:rPr>
            </w:pPr>
            <w:r>
              <w:rPr>
                <w:rFonts w:ascii="Arial" w:cs="Arial" w:eastAsia="Arial" w:hAnsi="Arial"/>
                <w:sz w:val="12"/>
                <w:szCs w:val="12"/>
                <w:color w:val="auto"/>
                <w:w w:val="74"/>
              </w:rPr>
              <w:t>X</w:t>
            </w:r>
          </w:p>
        </w:tc>
      </w:tr>
      <w:tr>
        <w:trPr>
          <w:trHeight w:val="207"/>
        </w:trPr>
        <w:tc>
          <w:tcPr>
            <w:tcW w:w="780" w:type="dxa"/>
            <w:vAlign w:val="bottom"/>
          </w:tcPr>
          <w:p>
            <w:pPr>
              <w:spacing w:after="0"/>
              <w:rPr>
                <w:sz w:val="20"/>
                <w:szCs w:val="20"/>
                <w:color w:val="auto"/>
              </w:rPr>
            </w:pPr>
            <w:r>
              <w:rPr>
                <w:rFonts w:ascii="Arial" w:cs="Arial" w:eastAsia="Arial" w:hAnsi="Arial"/>
                <w:sz w:val="12"/>
                <w:szCs w:val="12"/>
                <w:color w:val="auto"/>
              </w:rPr>
              <w:t>101.PRE</w:t>
            </w:r>
          </w:p>
        </w:tc>
        <w:tc>
          <w:tcPr>
            <w:tcW w:w="7320" w:type="dxa"/>
            <w:vAlign w:val="bottom"/>
          </w:tcPr>
          <w:p>
            <w:pPr>
              <w:ind w:left="360"/>
              <w:spacing w:after="0"/>
              <w:rPr>
                <w:sz w:val="20"/>
                <w:szCs w:val="20"/>
                <w:color w:val="auto"/>
              </w:rPr>
            </w:pPr>
            <w:r>
              <w:rPr>
                <w:rFonts w:ascii="Arial" w:cs="Arial" w:eastAsia="Arial" w:hAnsi="Arial"/>
                <w:sz w:val="12"/>
                <w:szCs w:val="12"/>
                <w:color w:val="auto"/>
              </w:rPr>
              <w:t>Inline XBRL Taxonomy Extension Presentation Linkbase document.</w:t>
            </w:r>
          </w:p>
        </w:tc>
        <w:tc>
          <w:tcPr>
            <w:tcW w:w="2920" w:type="dxa"/>
            <w:vAlign w:val="bottom"/>
          </w:tcPr>
          <w:p>
            <w:pPr>
              <w:ind w:left="2840"/>
              <w:spacing w:after="0"/>
              <w:rPr>
                <w:sz w:val="20"/>
                <w:szCs w:val="20"/>
                <w:color w:val="auto"/>
              </w:rPr>
            </w:pPr>
            <w:r>
              <w:rPr>
                <w:rFonts w:ascii="Arial" w:cs="Arial" w:eastAsia="Arial" w:hAnsi="Arial"/>
                <w:sz w:val="12"/>
                <w:szCs w:val="12"/>
                <w:color w:val="auto"/>
                <w:w w:val="74"/>
              </w:rPr>
              <w:t>X</w:t>
            </w:r>
          </w:p>
        </w:tc>
      </w:tr>
      <w:tr>
        <w:trPr>
          <w:trHeight w:val="198"/>
        </w:trPr>
        <w:tc>
          <w:tcPr>
            <w:tcW w:w="780" w:type="dxa"/>
            <w:vAlign w:val="bottom"/>
          </w:tcPr>
          <w:p>
            <w:pPr>
              <w:spacing w:after="0"/>
              <w:rPr>
                <w:sz w:val="20"/>
                <w:szCs w:val="20"/>
                <w:color w:val="auto"/>
              </w:rPr>
            </w:pPr>
            <w:r>
              <w:rPr>
                <w:rFonts w:ascii="Arial" w:cs="Arial" w:eastAsia="Arial" w:hAnsi="Arial"/>
                <w:sz w:val="12"/>
                <w:szCs w:val="12"/>
                <w:color w:val="auto"/>
              </w:rPr>
              <w:t>104</w:t>
            </w:r>
          </w:p>
        </w:tc>
        <w:tc>
          <w:tcPr>
            <w:tcW w:w="7320" w:type="dxa"/>
            <w:vAlign w:val="bottom"/>
          </w:tcPr>
          <w:p>
            <w:pPr>
              <w:ind w:left="360"/>
              <w:spacing w:after="0"/>
              <w:rPr>
                <w:sz w:val="20"/>
                <w:szCs w:val="20"/>
                <w:color w:val="auto"/>
              </w:rPr>
            </w:pPr>
            <w:r>
              <w:rPr>
                <w:rFonts w:ascii="Arial" w:cs="Arial" w:eastAsia="Arial" w:hAnsi="Arial"/>
                <w:sz w:val="12"/>
                <w:szCs w:val="12"/>
                <w:color w:val="auto"/>
              </w:rPr>
              <w:t>Cover Page Interactive Data File (formatted as Inline XBRL and contained in Exhibit</w:t>
            </w:r>
          </w:p>
        </w:tc>
        <w:tc>
          <w:tcPr>
            <w:tcW w:w="2920" w:type="dxa"/>
            <w:vAlign w:val="bottom"/>
          </w:tcPr>
          <w:p>
            <w:pPr>
              <w:ind w:left="2840"/>
              <w:spacing w:after="0"/>
              <w:rPr>
                <w:sz w:val="20"/>
                <w:szCs w:val="20"/>
                <w:color w:val="auto"/>
              </w:rPr>
            </w:pPr>
            <w:r>
              <w:rPr>
                <w:rFonts w:ascii="Arial" w:cs="Arial" w:eastAsia="Arial" w:hAnsi="Arial"/>
                <w:sz w:val="12"/>
                <w:szCs w:val="12"/>
                <w:color w:val="auto"/>
                <w:w w:val="74"/>
              </w:rPr>
              <w:t>X</w:t>
            </w:r>
          </w:p>
        </w:tc>
      </w:tr>
      <w:tr>
        <w:trPr>
          <w:trHeight w:val="153"/>
        </w:trPr>
        <w:tc>
          <w:tcPr>
            <w:tcW w:w="780" w:type="dxa"/>
            <w:vAlign w:val="bottom"/>
          </w:tcPr>
          <w:p>
            <w:pPr>
              <w:spacing w:after="0"/>
              <w:rPr>
                <w:sz w:val="13"/>
                <w:szCs w:val="13"/>
                <w:color w:val="auto"/>
              </w:rPr>
            </w:pPr>
          </w:p>
        </w:tc>
        <w:tc>
          <w:tcPr>
            <w:tcW w:w="7320" w:type="dxa"/>
            <w:vAlign w:val="bottom"/>
          </w:tcPr>
          <w:p>
            <w:pPr>
              <w:ind w:left="360"/>
              <w:spacing w:after="0"/>
              <w:rPr>
                <w:sz w:val="20"/>
                <w:szCs w:val="20"/>
                <w:color w:val="auto"/>
              </w:rPr>
            </w:pPr>
            <w:r>
              <w:rPr>
                <w:rFonts w:ascii="Arial" w:cs="Arial" w:eastAsia="Arial" w:hAnsi="Arial"/>
                <w:sz w:val="12"/>
                <w:szCs w:val="12"/>
                <w:color w:val="auto"/>
              </w:rPr>
              <w:t>101).</w:t>
            </w:r>
          </w:p>
        </w:tc>
        <w:tc>
          <w:tcPr>
            <w:tcW w:w="2920" w:type="dxa"/>
            <w:vAlign w:val="bottom"/>
          </w:tcPr>
          <w:p>
            <w:pPr>
              <w:spacing w:after="0"/>
              <w:rPr>
                <w:sz w:val="13"/>
                <w:szCs w:val="13"/>
                <w:color w:val="auto"/>
              </w:rPr>
            </w:pPr>
          </w:p>
        </w:tc>
      </w:tr>
    </w:tbl>
    <w:p>
      <w:pPr>
        <w:spacing w:after="0" w:line="225" w:lineRule="exact"/>
        <w:rPr>
          <w:sz w:val="20"/>
          <w:szCs w:val="20"/>
          <w:color w:val="auto"/>
        </w:rPr>
      </w:pPr>
    </w:p>
    <w:p>
      <w:pPr>
        <w:ind w:left="588" w:hanging="588"/>
        <w:spacing w:after="0"/>
        <w:tabs>
          <w:tab w:leader="none" w:pos="588" w:val="left"/>
        </w:tabs>
        <w:numPr>
          <w:ilvl w:val="0"/>
          <w:numId w:val="49"/>
        </w:numPr>
        <w:rPr>
          <w:rFonts w:ascii="Arial" w:cs="Arial" w:eastAsia="Arial" w:hAnsi="Arial"/>
          <w:sz w:val="12"/>
          <w:szCs w:val="12"/>
          <w:color w:val="auto"/>
        </w:rPr>
      </w:pPr>
      <w:r>
        <w:rPr>
          <w:rFonts w:ascii="Arial" w:cs="Arial" w:eastAsia="Arial" w:hAnsi="Arial"/>
          <w:sz w:val="12"/>
          <w:szCs w:val="12"/>
          <w:color w:val="auto"/>
        </w:rPr>
        <w:t>Management contract or compensatory plan or arrangement.</w:t>
      </w:r>
    </w:p>
    <w:p>
      <w:pPr>
        <w:spacing w:after="0" w:line="15" w:lineRule="exact"/>
        <w:rPr>
          <w:sz w:val="20"/>
          <w:szCs w:val="20"/>
          <w:color w:val="auto"/>
        </w:rPr>
      </w:pPr>
    </w:p>
    <w:p>
      <w:pPr>
        <w:ind w:left="588" w:right="120" w:hanging="588"/>
        <w:spacing w:after="0" w:line="261" w:lineRule="auto"/>
        <w:tabs>
          <w:tab w:leader="none" w:pos="588" w:val="left"/>
        </w:tabs>
        <w:numPr>
          <w:ilvl w:val="0"/>
          <w:numId w:val="50"/>
        </w:numPr>
        <w:rPr>
          <w:rFonts w:ascii="Arial" w:cs="Arial" w:eastAsia="Arial" w:hAnsi="Arial"/>
          <w:sz w:val="12"/>
          <w:szCs w:val="12"/>
          <w:color w:val="auto"/>
        </w:rPr>
      </w:pPr>
      <w:r>
        <w:rPr>
          <w:rFonts w:ascii="Arial" w:cs="Arial" w:eastAsia="Arial" w:hAnsi="Arial"/>
          <w:sz w:val="12"/>
          <w:szCs w:val="12"/>
          <w:color w:val="auto"/>
        </w:rPr>
        <w:t>This certification is deemed not filed for purposes of Section 18 of the Exchange Act or otherwise subject to the liability of that section, nor shall it be deemed incorporated by reference into any filing under the Securities Act or the Exchange Act.</w:t>
      </w:r>
    </w:p>
    <w:p>
      <w:pPr>
        <w:spacing w:after="0" w:line="218" w:lineRule="exact"/>
        <w:rPr>
          <w:sz w:val="20"/>
          <w:szCs w:val="20"/>
          <w:color w:val="auto"/>
        </w:rPr>
      </w:pPr>
    </w:p>
    <w:p>
      <w:pPr>
        <w:jc w:val="center"/>
        <w:ind w:right="9932"/>
        <w:spacing w:after="0"/>
        <w:rPr>
          <w:sz w:val="20"/>
          <w:szCs w:val="20"/>
          <w:color w:val="auto"/>
        </w:rPr>
      </w:pPr>
      <w:r>
        <w:rPr>
          <w:rFonts w:ascii="Arial" w:cs="Arial" w:eastAsia="Arial" w:hAnsi="Arial"/>
          <w:sz w:val="11"/>
          <w:szCs w:val="11"/>
          <w:b w:val="1"/>
          <w:bCs w:val="1"/>
          <w:color w:val="auto"/>
        </w:rPr>
        <w:t>Item 16. Form 10-K Summary</w:t>
      </w:r>
    </w:p>
    <w:p>
      <w:pPr>
        <w:spacing w:after="0" w:line="94" w:lineRule="exact"/>
        <w:rPr>
          <w:sz w:val="20"/>
          <w:szCs w:val="20"/>
          <w:color w:val="auto"/>
        </w:rPr>
      </w:pPr>
    </w:p>
    <w:p>
      <w:pPr>
        <w:jc w:val="center"/>
        <w:ind w:right="9992"/>
        <w:spacing w:after="0"/>
        <w:rPr>
          <w:sz w:val="20"/>
          <w:szCs w:val="20"/>
          <w:color w:val="auto"/>
        </w:rPr>
      </w:pPr>
      <w:r>
        <w:rPr>
          <w:rFonts w:ascii="Arial" w:cs="Arial" w:eastAsia="Arial" w:hAnsi="Arial"/>
          <w:sz w:val="12"/>
          <w:szCs w:val="12"/>
          <w:color w:val="auto"/>
        </w:rPr>
        <w:t>None.</w:t>
      </w:r>
    </w:p>
    <w:p>
      <w:pPr>
        <w:spacing w:after="0" w:line="150"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42545</wp:posOffset>
            </wp:positionV>
            <wp:extent cx="7317740" cy="3683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91">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ectPr>
          <w:pgSz w:w="11900" w:h="16838" w:orient="portrait"/>
          <w:cols w:equalWidth="0" w:num="1">
            <w:col w:w="11488"/>
          </w:cols>
          <w:pgMar w:left="212" w:top="271" w:right="199" w:bottom="1440" w:gutter="0" w:footer="0" w:header="0"/>
          <w:type w:val="continuous"/>
        </w:sectPr>
      </w:pPr>
    </w:p>
    <w:bookmarkStart w:id="117" w:name="page118"/>
    <w:bookmarkEnd w:id="117"/>
    <w:p>
      <w:pPr>
        <w:jc w:val="center"/>
        <w:ind w:right="20"/>
        <w:spacing w:after="0"/>
        <w:rPr>
          <w:sz w:val="20"/>
          <w:szCs w:val="20"/>
          <w:color w:val="auto"/>
        </w:rPr>
      </w:pPr>
      <w:r>
        <w:rPr>
          <w:rFonts w:ascii="Arial" w:cs="Arial" w:eastAsia="Arial" w:hAnsi="Arial"/>
          <w:sz w:val="12"/>
          <w:szCs w:val="12"/>
          <w:color w:val="auto"/>
        </w:rPr>
        <w:t>S</w:t>
      </w:r>
      <w:r>
        <w:rPr>
          <w:rFonts w:ascii="Arial" w:cs="Arial" w:eastAsia="Arial" w:hAnsi="Arial"/>
          <w:sz w:val="12"/>
          <w:szCs w:val="12"/>
          <w:b w:val="1"/>
          <w:bCs w:val="1"/>
          <w:color w:val="auto"/>
        </w:rPr>
        <w:t>IGNATURES</w:t>
      </w:r>
    </w:p>
    <w:p>
      <w:pPr>
        <w:spacing w:after="0" w:line="154" w:lineRule="exact"/>
        <w:rPr>
          <w:sz w:val="20"/>
          <w:szCs w:val="20"/>
          <w:color w:val="auto"/>
        </w:rPr>
      </w:pPr>
    </w:p>
    <w:p>
      <w:pPr>
        <w:ind w:left="600"/>
        <w:spacing w:after="0"/>
        <w:rPr>
          <w:sz w:val="20"/>
          <w:szCs w:val="20"/>
          <w:color w:val="auto"/>
        </w:rPr>
      </w:pPr>
      <w:r>
        <w:rPr>
          <w:rFonts w:ascii="Arial" w:cs="Arial" w:eastAsia="Arial" w:hAnsi="Arial"/>
          <w:sz w:val="11"/>
          <w:szCs w:val="11"/>
          <w:color w:val="auto"/>
        </w:rPr>
        <w:t>Pursuant to the requirements of Section 13 or 15(d) of the Securities Exchange Act of 1934, the registrant has duly caused this report to be signed on its behalf by the undersigned, thereunto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3340" w:type="dxa"/>
            <w:vAlign w:val="bottom"/>
          </w:tcPr>
          <w:p>
            <w:pPr>
              <w:spacing w:after="0"/>
              <w:rPr>
                <w:sz w:val="13"/>
                <w:szCs w:val="13"/>
                <w:color w:val="auto"/>
              </w:rPr>
            </w:pPr>
          </w:p>
        </w:tc>
        <w:tc>
          <w:tcPr>
            <w:tcW w:w="8140" w:type="dxa"/>
            <w:vAlign w:val="bottom"/>
            <w:gridSpan w:val="2"/>
          </w:tcPr>
          <w:p>
            <w:pPr>
              <w:ind w:left="3320"/>
              <w:spacing w:after="0"/>
              <w:rPr>
                <w:sz w:val="20"/>
                <w:szCs w:val="20"/>
                <w:color w:val="auto"/>
              </w:rPr>
            </w:pPr>
            <w:r>
              <w:rPr>
                <w:rFonts w:ascii="Arial" w:cs="Arial" w:eastAsia="Arial" w:hAnsi="Arial"/>
                <w:sz w:val="12"/>
                <w:szCs w:val="12"/>
                <w:color w:val="auto"/>
              </w:rPr>
              <w:t>VERRA MOBILITY CORPORATION</w:t>
            </w:r>
          </w:p>
        </w:tc>
      </w:tr>
      <w:tr>
        <w:trPr>
          <w:trHeight w:val="288"/>
        </w:trPr>
        <w:tc>
          <w:tcPr>
            <w:tcW w:w="3340" w:type="dxa"/>
            <w:vAlign w:val="bottom"/>
          </w:tcPr>
          <w:p>
            <w:pPr>
              <w:spacing w:after="0"/>
              <w:rPr>
                <w:sz w:val="20"/>
                <w:szCs w:val="20"/>
                <w:color w:val="auto"/>
              </w:rPr>
            </w:pPr>
            <w:r>
              <w:rPr>
                <w:rFonts w:ascii="Arial" w:cs="Arial" w:eastAsia="Arial" w:hAnsi="Arial"/>
                <w:sz w:val="12"/>
                <w:szCs w:val="12"/>
                <w:color w:val="auto"/>
              </w:rPr>
              <w:t>Date: March 02, 2020</w:t>
            </w:r>
          </w:p>
        </w:tc>
        <w:tc>
          <w:tcPr>
            <w:tcW w:w="3820" w:type="dxa"/>
            <w:vAlign w:val="bottom"/>
          </w:tcPr>
          <w:p>
            <w:pPr>
              <w:ind w:left="3320"/>
              <w:spacing w:after="0"/>
              <w:rPr>
                <w:sz w:val="20"/>
                <w:szCs w:val="20"/>
                <w:color w:val="auto"/>
              </w:rPr>
            </w:pPr>
            <w:r>
              <w:rPr>
                <w:rFonts w:ascii="Arial" w:cs="Arial" w:eastAsia="Arial" w:hAnsi="Arial"/>
                <w:sz w:val="12"/>
                <w:szCs w:val="12"/>
                <w:color w:val="auto"/>
              </w:rPr>
              <w:t>By:</w:t>
            </w:r>
          </w:p>
        </w:tc>
        <w:tc>
          <w:tcPr>
            <w:tcW w:w="432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/s/ David Roberts</w:t>
            </w:r>
          </w:p>
        </w:tc>
      </w:tr>
      <w:tr>
        <w:trPr>
          <w:trHeight w:val="124"/>
        </w:trPr>
        <w:tc>
          <w:tcPr>
            <w:tcW w:w="3340" w:type="dxa"/>
            <w:vAlign w:val="bottom"/>
          </w:tcPr>
          <w:p>
            <w:pPr>
              <w:spacing w:after="0"/>
              <w:rPr>
                <w:sz w:val="10"/>
                <w:szCs w:val="10"/>
                <w:color w:val="auto"/>
              </w:rPr>
            </w:pPr>
          </w:p>
        </w:tc>
        <w:tc>
          <w:tcPr>
            <w:tcW w:w="3820" w:type="dxa"/>
            <w:vAlign w:val="bottom"/>
          </w:tcPr>
          <w:p>
            <w:pPr>
              <w:spacing w:after="0"/>
              <w:rPr>
                <w:sz w:val="10"/>
                <w:szCs w:val="10"/>
                <w:color w:val="auto"/>
              </w:rPr>
            </w:pPr>
          </w:p>
        </w:tc>
        <w:tc>
          <w:tcPr>
            <w:tcW w:w="4320" w:type="dxa"/>
            <w:vAlign w:val="bottom"/>
          </w:tcPr>
          <w:p>
            <w:pPr>
              <w:spacing w:after="0" w:line="125" w:lineRule="exact"/>
              <w:rPr>
                <w:sz w:val="20"/>
                <w:szCs w:val="20"/>
                <w:color w:val="auto"/>
              </w:rPr>
            </w:pPr>
            <w:r>
              <w:rPr>
                <w:rFonts w:ascii="Arial" w:cs="Arial" w:eastAsia="Arial" w:hAnsi="Arial"/>
                <w:sz w:val="12"/>
                <w:szCs w:val="12"/>
                <w:color w:val="auto"/>
              </w:rPr>
              <w:t>David Roberts</w:t>
            </w:r>
          </w:p>
        </w:tc>
      </w:tr>
      <w:tr>
        <w:trPr>
          <w:trHeight w:val="144"/>
        </w:trPr>
        <w:tc>
          <w:tcPr>
            <w:tcW w:w="334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4320" w:type="dxa"/>
            <w:vAlign w:val="bottom"/>
          </w:tcPr>
          <w:p>
            <w:pPr>
              <w:spacing w:after="0"/>
              <w:rPr>
                <w:sz w:val="20"/>
                <w:szCs w:val="20"/>
                <w:color w:val="auto"/>
              </w:rPr>
            </w:pPr>
            <w:r>
              <w:rPr>
                <w:rFonts w:ascii="Arial" w:cs="Arial" w:eastAsia="Arial" w:hAnsi="Arial"/>
                <w:sz w:val="12"/>
                <w:szCs w:val="12"/>
                <w:color w:val="auto"/>
              </w:rPr>
              <w:t>President and Chief Executive Officer</w:t>
            </w:r>
          </w:p>
        </w:tc>
      </w:tr>
      <w:tr>
        <w:trPr>
          <w:trHeight w:val="153"/>
        </w:trPr>
        <w:tc>
          <w:tcPr>
            <w:tcW w:w="3340" w:type="dxa"/>
            <w:vAlign w:val="bottom"/>
          </w:tcPr>
          <w:p>
            <w:pPr>
              <w:spacing w:after="0"/>
              <w:rPr>
                <w:sz w:val="13"/>
                <w:szCs w:val="13"/>
                <w:color w:val="auto"/>
              </w:rPr>
            </w:pPr>
          </w:p>
        </w:tc>
        <w:tc>
          <w:tcPr>
            <w:tcW w:w="3820" w:type="dxa"/>
            <w:vAlign w:val="bottom"/>
          </w:tcPr>
          <w:p>
            <w:pPr>
              <w:spacing w:after="0"/>
              <w:rPr>
                <w:sz w:val="13"/>
                <w:szCs w:val="13"/>
                <w:color w:val="auto"/>
              </w:rPr>
            </w:pPr>
          </w:p>
        </w:tc>
        <w:tc>
          <w:tcPr>
            <w:tcW w:w="4320" w:type="dxa"/>
            <w:vAlign w:val="bottom"/>
          </w:tcPr>
          <w:p>
            <w:pPr>
              <w:spacing w:after="0"/>
              <w:rPr>
                <w:sz w:val="20"/>
                <w:szCs w:val="20"/>
                <w:color w:val="auto"/>
              </w:rPr>
            </w:pPr>
            <w:r>
              <w:rPr>
                <w:rFonts w:ascii="Arial" w:cs="Arial" w:eastAsia="Arial" w:hAnsi="Arial"/>
                <w:sz w:val="12"/>
                <w:szCs w:val="12"/>
                <w:color w:val="auto"/>
              </w:rPr>
              <w:t>(Principal Executive Officer)</w:t>
            </w:r>
          </w:p>
        </w:tc>
      </w:tr>
      <w:tr>
        <w:trPr>
          <w:trHeight w:val="432"/>
        </w:trPr>
        <w:tc>
          <w:tcPr>
            <w:tcW w:w="3340" w:type="dxa"/>
            <w:vAlign w:val="bottom"/>
          </w:tcPr>
          <w:p>
            <w:pPr>
              <w:spacing w:after="0"/>
              <w:rPr>
                <w:sz w:val="24"/>
                <w:szCs w:val="24"/>
                <w:color w:val="auto"/>
              </w:rPr>
            </w:pPr>
          </w:p>
        </w:tc>
        <w:tc>
          <w:tcPr>
            <w:tcW w:w="3820" w:type="dxa"/>
            <w:vAlign w:val="bottom"/>
          </w:tcPr>
          <w:p>
            <w:pPr>
              <w:jc w:val="right"/>
              <w:ind w:right="1280"/>
              <w:spacing w:after="0"/>
              <w:rPr>
                <w:sz w:val="20"/>
                <w:szCs w:val="20"/>
                <w:color w:val="auto"/>
              </w:rPr>
            </w:pPr>
            <w:r>
              <w:rPr>
                <w:rFonts w:ascii="Arial" w:cs="Arial" w:eastAsia="Arial" w:hAnsi="Arial"/>
                <w:sz w:val="12"/>
                <w:szCs w:val="12"/>
                <w:color w:val="auto"/>
              </w:rPr>
              <w:t>117</w:t>
            </w:r>
          </w:p>
        </w:tc>
        <w:tc>
          <w:tcPr>
            <w:tcW w:w="4320" w:type="dxa"/>
            <w:vAlign w:val="bottom"/>
          </w:tcPr>
          <w:p>
            <w:pPr>
              <w:spacing w:after="0"/>
              <w:rPr>
                <w:sz w:val="24"/>
                <w:szCs w:val="24"/>
                <w:color w:val="auto"/>
              </w:rPr>
            </w:pPr>
          </w:p>
        </w:tc>
      </w:tr>
      <w:tr>
        <w:trPr>
          <w:trHeight w:val="72"/>
        </w:trPr>
        <w:tc>
          <w:tcPr>
            <w:tcW w:w="3340" w:type="dxa"/>
            <w:vAlign w:val="bottom"/>
            <w:tcBorders>
              <w:bottom w:val="single" w:sz="8" w:color="9A9A9A"/>
            </w:tcBorders>
          </w:tcPr>
          <w:p>
            <w:pPr>
              <w:spacing w:after="0"/>
              <w:rPr>
                <w:sz w:val="6"/>
                <w:szCs w:val="6"/>
                <w:color w:val="auto"/>
              </w:rPr>
            </w:pPr>
          </w:p>
        </w:tc>
        <w:tc>
          <w:tcPr>
            <w:tcW w:w="3820" w:type="dxa"/>
            <w:vAlign w:val="bottom"/>
            <w:tcBorders>
              <w:bottom w:val="single" w:sz="8" w:color="9A9A9A"/>
            </w:tcBorders>
          </w:tcPr>
          <w:p>
            <w:pPr>
              <w:spacing w:after="0"/>
              <w:rPr>
                <w:sz w:val="6"/>
                <w:szCs w:val="6"/>
                <w:color w:val="auto"/>
              </w:rPr>
            </w:pPr>
          </w:p>
        </w:tc>
        <w:tc>
          <w:tcPr>
            <w:tcW w:w="432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7268845</wp:posOffset>
            </wp:positionH>
            <wp:positionV relativeFrom="paragraph">
              <wp:posOffset>-23495</wp:posOffset>
            </wp:positionV>
            <wp:extent cx="31115" cy="3683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92">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93">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480"/>
          </w:cols>
          <w:pgMar w:left="220" w:top="271" w:right="199" w:bottom="1440" w:gutter="0" w:footer="0" w:header="0"/>
        </w:sectPr>
      </w:pPr>
    </w:p>
    <w:bookmarkStart w:id="118" w:name="page119"/>
    <w:bookmarkEnd w:id="118"/>
    <w:p>
      <w:pPr>
        <w:jc w:val="center"/>
        <w:spacing w:after="0"/>
        <w:rPr>
          <w:sz w:val="20"/>
          <w:szCs w:val="20"/>
          <w:color w:val="auto"/>
        </w:rPr>
      </w:pPr>
      <w:r>
        <w:rPr>
          <w:rFonts w:ascii="Arial" w:cs="Arial" w:eastAsia="Arial" w:hAnsi="Arial"/>
          <w:sz w:val="12"/>
          <w:szCs w:val="12"/>
          <w:b w:val="1"/>
          <w:bCs w:val="1"/>
          <w:color w:val="auto"/>
        </w:rPr>
        <w:t>POWER OF ATTORNEY</w:t>
      </w:r>
    </w:p>
    <w:p>
      <w:pPr>
        <w:spacing w:after="0" w:line="154" w:lineRule="exact"/>
        <w:rPr>
          <w:sz w:val="20"/>
          <w:szCs w:val="20"/>
          <w:color w:val="auto"/>
        </w:rPr>
      </w:pPr>
    </w:p>
    <w:p>
      <w:pPr>
        <w:ind w:right="40" w:firstLine="602"/>
        <w:spacing w:after="0" w:line="257" w:lineRule="auto"/>
        <w:rPr>
          <w:sz w:val="20"/>
          <w:szCs w:val="20"/>
          <w:color w:val="auto"/>
        </w:rPr>
      </w:pPr>
      <w:r>
        <w:rPr>
          <w:rFonts w:ascii="Arial" w:cs="Arial" w:eastAsia="Arial" w:hAnsi="Arial"/>
          <w:sz w:val="12"/>
          <w:szCs w:val="12"/>
          <w:color w:val="auto"/>
        </w:rPr>
        <w:t>KNOW ALL PERSONS BY THESE PRESENTS, that each individual whose signature appears below constitutes and appoints David M. Roberts and Patricia D. Chiodo, and each of them, his or her true and lawful attorney-in-fact and agent, with full power of substitution and resubstitution, for him or her and in his or her name, place and stead, in any and all capacities, to sign any and all amendments to this Annual Report on Form 10-K, and to file the same, with all exhibits thereto and other documents in connection therewith, with the SEC, granting unto said attorneys-in-fact and agents, and each of them, full power and authority to do and perform each and every act and thing requisite and necessary to be done in and about the premises, as fully to all intents and purposes as he or she might or could do in person, hereby ratifying and confirming all that said attorneys-in-fact and agents or any of them, or his or her or their substitute or substitutes, may lawfully do or cause to be done or by virtue hereof.</w:t>
      </w:r>
    </w:p>
    <w:p>
      <w:pPr>
        <w:spacing w:after="0" w:line="126" w:lineRule="exact"/>
        <w:rPr>
          <w:sz w:val="20"/>
          <w:szCs w:val="20"/>
          <w:color w:val="auto"/>
        </w:rPr>
      </w:pPr>
    </w:p>
    <w:p>
      <w:pPr>
        <w:ind w:left="600"/>
        <w:spacing w:after="0"/>
        <w:rPr>
          <w:sz w:val="20"/>
          <w:szCs w:val="20"/>
          <w:color w:val="auto"/>
        </w:rPr>
      </w:pPr>
      <w:r>
        <w:rPr>
          <w:rFonts w:ascii="Arial" w:cs="Arial" w:eastAsia="Arial" w:hAnsi="Arial"/>
          <w:sz w:val="12"/>
          <w:szCs w:val="12"/>
          <w:color w:val="auto"/>
        </w:rPr>
        <w:t>Pursuant to the requirements of the Securities Exchange Act of 1934, this report has been signed below by the following persons on behalf of the Registrant and in the capacities and on the date indicated:</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60" w:type="dxa"/>
            <w:vAlign w:val="bottom"/>
          </w:tcPr>
          <w:p>
            <w:pPr>
              <w:spacing w:after="0"/>
              <w:rPr>
                <w:sz w:val="12"/>
                <w:szCs w:val="12"/>
                <w:color w:val="auto"/>
              </w:rPr>
            </w:pPr>
          </w:p>
        </w:tc>
        <w:tc>
          <w:tcPr>
            <w:tcW w:w="3600" w:type="dxa"/>
            <w:vAlign w:val="bottom"/>
          </w:tcPr>
          <w:p>
            <w:pPr>
              <w:jc w:val="center"/>
              <w:spacing w:after="0"/>
              <w:rPr>
                <w:sz w:val="20"/>
                <w:szCs w:val="20"/>
                <w:color w:val="auto"/>
              </w:rPr>
            </w:pPr>
            <w:r>
              <w:rPr>
                <w:rFonts w:ascii="Arial" w:cs="Arial" w:eastAsia="Arial" w:hAnsi="Arial"/>
                <w:sz w:val="11"/>
                <w:szCs w:val="11"/>
                <w:b w:val="1"/>
                <w:bCs w:val="1"/>
                <w:color w:val="auto"/>
                <w:w w:val="90"/>
              </w:rPr>
              <w:t>Signature</w:t>
            </w:r>
          </w:p>
        </w:tc>
        <w:tc>
          <w:tcPr>
            <w:tcW w:w="160" w:type="dxa"/>
            <w:vAlign w:val="bottom"/>
          </w:tcPr>
          <w:p>
            <w:pPr>
              <w:spacing w:after="0"/>
              <w:rPr>
                <w:sz w:val="12"/>
                <w:szCs w:val="12"/>
                <w:color w:val="auto"/>
              </w:rPr>
            </w:pPr>
          </w:p>
        </w:tc>
        <w:tc>
          <w:tcPr>
            <w:tcW w:w="526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89"/>
              </w:rPr>
              <w:t>Capacity in Which Signed</w:t>
            </w:r>
          </w:p>
        </w:tc>
        <w:tc>
          <w:tcPr>
            <w:tcW w:w="2400" w:type="dxa"/>
            <w:vAlign w:val="bottom"/>
          </w:tcPr>
          <w:p>
            <w:pPr>
              <w:jc w:val="center"/>
              <w:spacing w:after="0"/>
              <w:rPr>
                <w:sz w:val="20"/>
                <w:szCs w:val="20"/>
                <w:color w:val="auto"/>
              </w:rPr>
            </w:pPr>
            <w:r>
              <w:rPr>
                <w:rFonts w:ascii="Arial" w:cs="Arial" w:eastAsia="Arial" w:hAnsi="Arial"/>
                <w:sz w:val="11"/>
                <w:szCs w:val="11"/>
                <w:b w:val="1"/>
                <w:bCs w:val="1"/>
                <w:color w:val="auto"/>
                <w:w w:val="92"/>
              </w:rPr>
              <w:t>Date</w:t>
            </w:r>
          </w:p>
        </w:tc>
      </w:tr>
      <w:tr>
        <w:trPr>
          <w:trHeight w:val="22"/>
        </w:trPr>
        <w:tc>
          <w:tcPr>
            <w:tcW w:w="60" w:type="dxa"/>
            <w:vAlign w:val="bottom"/>
          </w:tcPr>
          <w:p>
            <w:pPr>
              <w:spacing w:after="0" w:line="20" w:lineRule="exact"/>
              <w:rPr>
                <w:sz w:val="1"/>
                <w:szCs w:val="1"/>
                <w:color w:val="auto"/>
              </w:rPr>
            </w:pPr>
          </w:p>
        </w:tc>
        <w:tc>
          <w:tcPr>
            <w:tcW w:w="3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r>
      <w:tr>
        <w:trPr>
          <w:trHeight w:val="277"/>
        </w:trPr>
        <w:tc>
          <w:tcPr>
            <w:tcW w:w="60" w:type="dxa"/>
            <w:vAlign w:val="bottom"/>
          </w:tcPr>
          <w:p>
            <w:pPr>
              <w:spacing w:after="0"/>
              <w:rPr>
                <w:sz w:val="24"/>
                <w:szCs w:val="24"/>
                <w:color w:val="auto"/>
              </w:rPr>
            </w:pPr>
          </w:p>
        </w:tc>
        <w:tc>
          <w:tcPr>
            <w:tcW w:w="360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1"/>
              </w:rPr>
              <w:t>/s/ David Roberts</w:t>
            </w:r>
          </w:p>
        </w:tc>
        <w:tc>
          <w:tcPr>
            <w:tcW w:w="160" w:type="dxa"/>
            <w:vAlign w:val="bottom"/>
          </w:tcPr>
          <w:p>
            <w:pPr>
              <w:spacing w:after="0"/>
              <w:rPr>
                <w:sz w:val="24"/>
                <w:szCs w:val="24"/>
                <w:color w:val="auto"/>
              </w:rPr>
            </w:pPr>
          </w:p>
        </w:tc>
        <w:tc>
          <w:tcPr>
            <w:tcW w:w="5260" w:type="dxa"/>
            <w:vAlign w:val="bottom"/>
            <w:gridSpan w:val="2"/>
          </w:tcPr>
          <w:p>
            <w:pPr>
              <w:jc w:val="center"/>
              <w:ind w:right="120"/>
              <w:spacing w:after="0"/>
              <w:rPr>
                <w:sz w:val="20"/>
                <w:szCs w:val="20"/>
                <w:color w:val="auto"/>
              </w:rPr>
            </w:pPr>
            <w:r>
              <w:rPr>
                <w:rFonts w:ascii="Arial" w:cs="Arial" w:eastAsia="Arial" w:hAnsi="Arial"/>
                <w:sz w:val="12"/>
                <w:szCs w:val="12"/>
                <w:color w:val="auto"/>
                <w:w w:val="92"/>
              </w:rPr>
              <w:t>President, Chief Executive Officer and Director</w:t>
            </w:r>
          </w:p>
        </w:tc>
        <w:tc>
          <w:tcPr>
            <w:tcW w:w="2400" w:type="dxa"/>
            <w:vAlign w:val="bottom"/>
          </w:tcPr>
          <w:p>
            <w:pPr>
              <w:jc w:val="center"/>
              <w:spacing w:after="0"/>
              <w:rPr>
                <w:sz w:val="20"/>
                <w:szCs w:val="20"/>
                <w:color w:val="auto"/>
              </w:rPr>
            </w:pPr>
            <w:r>
              <w:rPr>
                <w:rFonts w:ascii="Arial" w:cs="Arial" w:eastAsia="Arial" w:hAnsi="Arial"/>
                <w:sz w:val="12"/>
                <w:szCs w:val="12"/>
                <w:color w:val="auto"/>
                <w:w w:val="91"/>
              </w:rPr>
              <w:t>March 02, 2020</w:t>
            </w:r>
          </w:p>
        </w:tc>
      </w:tr>
      <w:tr>
        <w:trPr>
          <w:trHeight w:val="142"/>
        </w:trPr>
        <w:tc>
          <w:tcPr>
            <w:tcW w:w="60" w:type="dxa"/>
            <w:vAlign w:val="bottom"/>
          </w:tcPr>
          <w:p>
            <w:pPr>
              <w:spacing w:after="0"/>
              <w:rPr>
                <w:sz w:val="12"/>
                <w:szCs w:val="12"/>
                <w:color w:val="auto"/>
              </w:rPr>
            </w:pPr>
          </w:p>
        </w:tc>
        <w:tc>
          <w:tcPr>
            <w:tcW w:w="3600" w:type="dxa"/>
            <w:vAlign w:val="bottom"/>
          </w:tcPr>
          <w:p>
            <w:pPr>
              <w:jc w:val="center"/>
              <w:spacing w:after="0"/>
              <w:rPr>
                <w:sz w:val="20"/>
                <w:szCs w:val="20"/>
                <w:color w:val="auto"/>
              </w:rPr>
            </w:pPr>
            <w:r>
              <w:rPr>
                <w:rFonts w:ascii="Arial" w:cs="Arial" w:eastAsia="Arial" w:hAnsi="Arial"/>
                <w:sz w:val="12"/>
                <w:szCs w:val="12"/>
                <w:color w:val="auto"/>
                <w:w w:val="92"/>
              </w:rPr>
              <w:t>David Roberts</w:t>
            </w:r>
          </w:p>
        </w:tc>
        <w:tc>
          <w:tcPr>
            <w:tcW w:w="160" w:type="dxa"/>
            <w:vAlign w:val="bottom"/>
          </w:tcPr>
          <w:p>
            <w:pPr>
              <w:spacing w:after="0"/>
              <w:rPr>
                <w:sz w:val="12"/>
                <w:szCs w:val="12"/>
                <w:color w:val="auto"/>
              </w:rPr>
            </w:pPr>
          </w:p>
        </w:tc>
        <w:tc>
          <w:tcPr>
            <w:tcW w:w="5260" w:type="dxa"/>
            <w:vAlign w:val="bottom"/>
            <w:gridSpan w:val="2"/>
          </w:tcPr>
          <w:p>
            <w:pPr>
              <w:jc w:val="center"/>
              <w:ind w:right="260"/>
              <w:spacing w:after="0"/>
              <w:rPr>
                <w:sz w:val="20"/>
                <w:szCs w:val="20"/>
                <w:color w:val="auto"/>
              </w:rPr>
            </w:pPr>
            <w:r>
              <w:rPr>
                <w:rFonts w:ascii="Arial" w:cs="Arial" w:eastAsia="Arial" w:hAnsi="Arial"/>
                <w:sz w:val="12"/>
                <w:szCs w:val="12"/>
                <w:color w:val="auto"/>
                <w:w w:val="94"/>
              </w:rPr>
              <w:t>(Principal Executive Officer)</w:t>
            </w:r>
          </w:p>
        </w:tc>
        <w:tc>
          <w:tcPr>
            <w:tcW w:w="2400" w:type="dxa"/>
            <w:vAlign w:val="bottom"/>
          </w:tcPr>
          <w:p>
            <w:pPr>
              <w:spacing w:after="0"/>
              <w:rPr>
                <w:sz w:val="12"/>
                <w:szCs w:val="12"/>
                <w:color w:val="auto"/>
              </w:rPr>
            </w:pPr>
          </w:p>
        </w:tc>
      </w:tr>
      <w:tr>
        <w:trPr>
          <w:trHeight w:val="349"/>
        </w:trPr>
        <w:tc>
          <w:tcPr>
            <w:tcW w:w="60" w:type="dxa"/>
            <w:vAlign w:val="bottom"/>
          </w:tcPr>
          <w:p>
            <w:pPr>
              <w:spacing w:after="0"/>
              <w:rPr>
                <w:sz w:val="24"/>
                <w:szCs w:val="24"/>
                <w:color w:val="auto"/>
              </w:rPr>
            </w:pPr>
          </w:p>
        </w:tc>
        <w:tc>
          <w:tcPr>
            <w:tcW w:w="360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2"/>
              </w:rPr>
              <w:t>/s/ Patricia D. Chiodo</w:t>
            </w:r>
          </w:p>
        </w:tc>
        <w:tc>
          <w:tcPr>
            <w:tcW w:w="160" w:type="dxa"/>
            <w:vAlign w:val="bottom"/>
          </w:tcPr>
          <w:p>
            <w:pPr>
              <w:spacing w:after="0"/>
              <w:rPr>
                <w:sz w:val="24"/>
                <w:szCs w:val="24"/>
                <w:color w:val="auto"/>
              </w:rPr>
            </w:pPr>
          </w:p>
        </w:tc>
        <w:tc>
          <w:tcPr>
            <w:tcW w:w="5260" w:type="dxa"/>
            <w:vAlign w:val="bottom"/>
            <w:gridSpan w:val="2"/>
          </w:tcPr>
          <w:p>
            <w:pPr>
              <w:jc w:val="center"/>
              <w:ind w:right="100"/>
              <w:spacing w:after="0"/>
              <w:rPr>
                <w:sz w:val="20"/>
                <w:szCs w:val="20"/>
                <w:color w:val="auto"/>
              </w:rPr>
            </w:pPr>
            <w:r>
              <w:rPr>
                <w:rFonts w:ascii="Arial" w:cs="Arial" w:eastAsia="Arial" w:hAnsi="Arial"/>
                <w:sz w:val="12"/>
                <w:szCs w:val="12"/>
                <w:color w:val="auto"/>
                <w:w w:val="94"/>
              </w:rPr>
              <w:t>Chief Financial Officer</w:t>
            </w:r>
          </w:p>
        </w:tc>
        <w:tc>
          <w:tcPr>
            <w:tcW w:w="2400" w:type="dxa"/>
            <w:vAlign w:val="bottom"/>
          </w:tcPr>
          <w:p>
            <w:pPr>
              <w:jc w:val="center"/>
              <w:spacing w:after="0"/>
              <w:rPr>
                <w:sz w:val="20"/>
                <w:szCs w:val="20"/>
                <w:color w:val="auto"/>
              </w:rPr>
            </w:pPr>
            <w:r>
              <w:rPr>
                <w:rFonts w:ascii="Arial" w:cs="Arial" w:eastAsia="Arial" w:hAnsi="Arial"/>
                <w:sz w:val="12"/>
                <w:szCs w:val="12"/>
                <w:color w:val="auto"/>
                <w:w w:val="91"/>
              </w:rPr>
              <w:t>March 02, 2020</w:t>
            </w:r>
          </w:p>
        </w:tc>
      </w:tr>
      <w:tr>
        <w:trPr>
          <w:trHeight w:val="153"/>
        </w:trPr>
        <w:tc>
          <w:tcPr>
            <w:tcW w:w="60" w:type="dxa"/>
            <w:vAlign w:val="bottom"/>
          </w:tcPr>
          <w:p>
            <w:pPr>
              <w:spacing w:after="0"/>
              <w:rPr>
                <w:sz w:val="13"/>
                <w:szCs w:val="13"/>
                <w:color w:val="auto"/>
              </w:rPr>
            </w:pPr>
          </w:p>
        </w:tc>
        <w:tc>
          <w:tcPr>
            <w:tcW w:w="3600" w:type="dxa"/>
            <w:vAlign w:val="bottom"/>
          </w:tcPr>
          <w:p>
            <w:pPr>
              <w:jc w:val="center"/>
              <w:spacing w:after="0"/>
              <w:rPr>
                <w:sz w:val="20"/>
                <w:szCs w:val="20"/>
                <w:color w:val="auto"/>
              </w:rPr>
            </w:pPr>
            <w:r>
              <w:rPr>
                <w:rFonts w:ascii="Arial" w:cs="Arial" w:eastAsia="Arial" w:hAnsi="Arial"/>
                <w:sz w:val="12"/>
                <w:szCs w:val="12"/>
                <w:color w:val="auto"/>
                <w:w w:val="93"/>
              </w:rPr>
              <w:t>Patricia D. Chiodo</w:t>
            </w:r>
          </w:p>
        </w:tc>
        <w:tc>
          <w:tcPr>
            <w:tcW w:w="160" w:type="dxa"/>
            <w:vAlign w:val="bottom"/>
          </w:tcPr>
          <w:p>
            <w:pPr>
              <w:spacing w:after="0"/>
              <w:rPr>
                <w:sz w:val="13"/>
                <w:szCs w:val="13"/>
                <w:color w:val="auto"/>
              </w:rPr>
            </w:pPr>
          </w:p>
        </w:tc>
        <w:tc>
          <w:tcPr>
            <w:tcW w:w="5260" w:type="dxa"/>
            <w:vAlign w:val="bottom"/>
            <w:gridSpan w:val="2"/>
          </w:tcPr>
          <w:p>
            <w:pPr>
              <w:jc w:val="center"/>
              <w:ind w:right="260"/>
              <w:spacing w:after="0"/>
              <w:rPr>
                <w:sz w:val="20"/>
                <w:szCs w:val="20"/>
                <w:color w:val="auto"/>
              </w:rPr>
            </w:pPr>
            <w:r>
              <w:rPr>
                <w:rFonts w:ascii="Arial" w:cs="Arial" w:eastAsia="Arial" w:hAnsi="Arial"/>
                <w:sz w:val="12"/>
                <w:szCs w:val="12"/>
                <w:color w:val="auto"/>
                <w:w w:val="93"/>
              </w:rPr>
              <w:t>(Principal Financial and Accounting Officer)</w:t>
            </w:r>
          </w:p>
        </w:tc>
        <w:tc>
          <w:tcPr>
            <w:tcW w:w="2400" w:type="dxa"/>
            <w:vAlign w:val="bottom"/>
          </w:tcPr>
          <w:p>
            <w:pPr>
              <w:spacing w:after="0"/>
              <w:rPr>
                <w:sz w:val="13"/>
                <w:szCs w:val="13"/>
                <w:color w:val="auto"/>
              </w:rPr>
            </w:pPr>
          </w:p>
        </w:tc>
      </w:tr>
      <w:tr>
        <w:trPr>
          <w:trHeight w:val="351"/>
        </w:trPr>
        <w:tc>
          <w:tcPr>
            <w:tcW w:w="60" w:type="dxa"/>
            <w:vAlign w:val="bottom"/>
          </w:tcPr>
          <w:p>
            <w:pPr>
              <w:spacing w:after="0"/>
              <w:rPr>
                <w:sz w:val="24"/>
                <w:szCs w:val="24"/>
                <w:color w:val="auto"/>
              </w:rPr>
            </w:pPr>
          </w:p>
        </w:tc>
        <w:tc>
          <w:tcPr>
            <w:tcW w:w="360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2"/>
              </w:rPr>
              <w:t>/s/ Douglas Davis</w:t>
            </w:r>
          </w:p>
        </w:tc>
        <w:tc>
          <w:tcPr>
            <w:tcW w:w="160" w:type="dxa"/>
            <w:vAlign w:val="bottom"/>
          </w:tcPr>
          <w:p>
            <w:pPr>
              <w:spacing w:after="0"/>
              <w:rPr>
                <w:sz w:val="24"/>
                <w:szCs w:val="24"/>
                <w:color w:val="auto"/>
              </w:rPr>
            </w:pPr>
          </w:p>
        </w:tc>
        <w:tc>
          <w:tcPr>
            <w:tcW w:w="5260" w:type="dxa"/>
            <w:vAlign w:val="bottom"/>
            <w:gridSpan w:val="2"/>
          </w:tcPr>
          <w:p>
            <w:pPr>
              <w:jc w:val="center"/>
              <w:ind w:right="100"/>
              <w:spacing w:after="0"/>
              <w:rPr>
                <w:sz w:val="20"/>
                <w:szCs w:val="20"/>
                <w:color w:val="auto"/>
              </w:rPr>
            </w:pPr>
            <w:r>
              <w:rPr>
                <w:rFonts w:ascii="Arial" w:cs="Arial" w:eastAsia="Arial" w:hAnsi="Arial"/>
                <w:sz w:val="12"/>
                <w:szCs w:val="12"/>
                <w:color w:val="auto"/>
                <w:w w:val="95"/>
              </w:rPr>
              <w:t>Director</w:t>
            </w:r>
          </w:p>
        </w:tc>
        <w:tc>
          <w:tcPr>
            <w:tcW w:w="2400" w:type="dxa"/>
            <w:vAlign w:val="bottom"/>
          </w:tcPr>
          <w:p>
            <w:pPr>
              <w:jc w:val="center"/>
              <w:spacing w:after="0"/>
              <w:rPr>
                <w:sz w:val="20"/>
                <w:szCs w:val="20"/>
                <w:color w:val="auto"/>
              </w:rPr>
            </w:pPr>
            <w:r>
              <w:rPr>
                <w:rFonts w:ascii="Arial" w:cs="Arial" w:eastAsia="Arial" w:hAnsi="Arial"/>
                <w:sz w:val="12"/>
                <w:szCs w:val="12"/>
                <w:color w:val="auto"/>
                <w:w w:val="91"/>
              </w:rPr>
              <w:t>March 02, 2020</w:t>
            </w:r>
          </w:p>
        </w:tc>
      </w:tr>
      <w:tr>
        <w:trPr>
          <w:trHeight w:val="151"/>
        </w:trPr>
        <w:tc>
          <w:tcPr>
            <w:tcW w:w="60" w:type="dxa"/>
            <w:vAlign w:val="bottom"/>
          </w:tcPr>
          <w:p>
            <w:pPr>
              <w:spacing w:after="0"/>
              <w:rPr>
                <w:sz w:val="13"/>
                <w:szCs w:val="13"/>
                <w:color w:val="auto"/>
              </w:rPr>
            </w:pPr>
          </w:p>
        </w:tc>
        <w:tc>
          <w:tcPr>
            <w:tcW w:w="3600" w:type="dxa"/>
            <w:vAlign w:val="bottom"/>
          </w:tcPr>
          <w:p>
            <w:pPr>
              <w:jc w:val="center"/>
              <w:spacing w:after="0"/>
              <w:rPr>
                <w:sz w:val="20"/>
                <w:szCs w:val="20"/>
                <w:color w:val="auto"/>
              </w:rPr>
            </w:pPr>
            <w:r>
              <w:rPr>
                <w:rFonts w:ascii="Arial" w:cs="Arial" w:eastAsia="Arial" w:hAnsi="Arial"/>
                <w:sz w:val="12"/>
                <w:szCs w:val="12"/>
                <w:color w:val="auto"/>
                <w:w w:val="90"/>
              </w:rPr>
              <w:t>Douglas Davis</w:t>
            </w:r>
          </w:p>
        </w:tc>
        <w:tc>
          <w:tcPr>
            <w:tcW w:w="160" w:type="dxa"/>
            <w:vAlign w:val="bottom"/>
          </w:tcPr>
          <w:p>
            <w:pPr>
              <w:spacing w:after="0"/>
              <w:rPr>
                <w:sz w:val="13"/>
                <w:szCs w:val="13"/>
                <w:color w:val="auto"/>
              </w:rPr>
            </w:pPr>
          </w:p>
        </w:tc>
        <w:tc>
          <w:tcPr>
            <w:tcW w:w="5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0" w:type="dxa"/>
            <w:vAlign w:val="bottom"/>
          </w:tcPr>
          <w:p>
            <w:pPr>
              <w:spacing w:after="0"/>
              <w:rPr>
                <w:sz w:val="13"/>
                <w:szCs w:val="13"/>
                <w:color w:val="auto"/>
              </w:rPr>
            </w:pPr>
          </w:p>
        </w:tc>
      </w:tr>
      <w:tr>
        <w:trPr>
          <w:trHeight w:val="351"/>
        </w:trPr>
        <w:tc>
          <w:tcPr>
            <w:tcW w:w="60" w:type="dxa"/>
            <w:vAlign w:val="bottom"/>
          </w:tcPr>
          <w:p>
            <w:pPr>
              <w:spacing w:after="0"/>
              <w:rPr>
                <w:sz w:val="24"/>
                <w:szCs w:val="24"/>
                <w:color w:val="auto"/>
              </w:rPr>
            </w:pPr>
          </w:p>
        </w:tc>
        <w:tc>
          <w:tcPr>
            <w:tcW w:w="360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0"/>
              </w:rPr>
              <w:t>/s/ Jay L. Geldmacher</w:t>
            </w:r>
          </w:p>
        </w:tc>
        <w:tc>
          <w:tcPr>
            <w:tcW w:w="160" w:type="dxa"/>
            <w:vAlign w:val="bottom"/>
          </w:tcPr>
          <w:p>
            <w:pPr>
              <w:spacing w:after="0"/>
              <w:rPr>
                <w:sz w:val="24"/>
                <w:szCs w:val="24"/>
                <w:color w:val="auto"/>
              </w:rPr>
            </w:pPr>
          </w:p>
        </w:tc>
        <w:tc>
          <w:tcPr>
            <w:tcW w:w="5260" w:type="dxa"/>
            <w:vAlign w:val="bottom"/>
            <w:gridSpan w:val="2"/>
          </w:tcPr>
          <w:p>
            <w:pPr>
              <w:jc w:val="center"/>
              <w:ind w:right="100"/>
              <w:spacing w:after="0"/>
              <w:rPr>
                <w:sz w:val="20"/>
                <w:szCs w:val="20"/>
                <w:color w:val="auto"/>
              </w:rPr>
            </w:pPr>
            <w:r>
              <w:rPr>
                <w:rFonts w:ascii="Arial" w:cs="Arial" w:eastAsia="Arial" w:hAnsi="Arial"/>
                <w:sz w:val="12"/>
                <w:szCs w:val="12"/>
                <w:color w:val="auto"/>
                <w:w w:val="95"/>
              </w:rPr>
              <w:t>Director</w:t>
            </w:r>
          </w:p>
        </w:tc>
        <w:tc>
          <w:tcPr>
            <w:tcW w:w="2400" w:type="dxa"/>
            <w:vAlign w:val="bottom"/>
          </w:tcPr>
          <w:p>
            <w:pPr>
              <w:jc w:val="center"/>
              <w:spacing w:after="0"/>
              <w:rPr>
                <w:sz w:val="20"/>
                <w:szCs w:val="20"/>
                <w:color w:val="auto"/>
              </w:rPr>
            </w:pPr>
            <w:r>
              <w:rPr>
                <w:rFonts w:ascii="Arial" w:cs="Arial" w:eastAsia="Arial" w:hAnsi="Arial"/>
                <w:sz w:val="12"/>
                <w:szCs w:val="12"/>
                <w:color w:val="auto"/>
                <w:w w:val="91"/>
              </w:rPr>
              <w:t>March 02, 2020</w:t>
            </w:r>
          </w:p>
        </w:tc>
      </w:tr>
      <w:tr>
        <w:trPr>
          <w:trHeight w:val="151"/>
        </w:trPr>
        <w:tc>
          <w:tcPr>
            <w:tcW w:w="60" w:type="dxa"/>
            <w:vAlign w:val="bottom"/>
          </w:tcPr>
          <w:p>
            <w:pPr>
              <w:spacing w:after="0"/>
              <w:rPr>
                <w:sz w:val="13"/>
                <w:szCs w:val="13"/>
                <w:color w:val="auto"/>
              </w:rPr>
            </w:pPr>
          </w:p>
        </w:tc>
        <w:tc>
          <w:tcPr>
            <w:tcW w:w="3600" w:type="dxa"/>
            <w:vAlign w:val="bottom"/>
          </w:tcPr>
          <w:p>
            <w:pPr>
              <w:jc w:val="center"/>
              <w:spacing w:after="0"/>
              <w:rPr>
                <w:sz w:val="20"/>
                <w:szCs w:val="20"/>
                <w:color w:val="auto"/>
              </w:rPr>
            </w:pPr>
            <w:r>
              <w:rPr>
                <w:rFonts w:ascii="Arial" w:cs="Arial" w:eastAsia="Arial" w:hAnsi="Arial"/>
                <w:sz w:val="12"/>
                <w:szCs w:val="12"/>
                <w:color w:val="auto"/>
                <w:w w:val="89"/>
              </w:rPr>
              <w:t>Jay L. Geldmacher</w:t>
            </w:r>
          </w:p>
        </w:tc>
        <w:tc>
          <w:tcPr>
            <w:tcW w:w="160" w:type="dxa"/>
            <w:vAlign w:val="bottom"/>
          </w:tcPr>
          <w:p>
            <w:pPr>
              <w:spacing w:after="0"/>
              <w:rPr>
                <w:sz w:val="13"/>
                <w:szCs w:val="13"/>
                <w:color w:val="auto"/>
              </w:rPr>
            </w:pPr>
          </w:p>
        </w:tc>
        <w:tc>
          <w:tcPr>
            <w:tcW w:w="5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0" w:type="dxa"/>
            <w:vAlign w:val="bottom"/>
          </w:tcPr>
          <w:p>
            <w:pPr>
              <w:spacing w:after="0"/>
              <w:rPr>
                <w:sz w:val="13"/>
                <w:szCs w:val="13"/>
                <w:color w:val="auto"/>
              </w:rPr>
            </w:pPr>
          </w:p>
        </w:tc>
      </w:tr>
      <w:tr>
        <w:trPr>
          <w:trHeight w:val="351"/>
        </w:trPr>
        <w:tc>
          <w:tcPr>
            <w:tcW w:w="60" w:type="dxa"/>
            <w:vAlign w:val="bottom"/>
          </w:tcPr>
          <w:p>
            <w:pPr>
              <w:spacing w:after="0"/>
              <w:rPr>
                <w:sz w:val="24"/>
                <w:szCs w:val="24"/>
                <w:color w:val="auto"/>
              </w:rPr>
            </w:pPr>
          </w:p>
        </w:tc>
        <w:tc>
          <w:tcPr>
            <w:tcW w:w="360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5"/>
              </w:rPr>
              <w:t>/s/ Bryan Kelln</w:t>
            </w:r>
          </w:p>
        </w:tc>
        <w:tc>
          <w:tcPr>
            <w:tcW w:w="160" w:type="dxa"/>
            <w:vAlign w:val="bottom"/>
          </w:tcPr>
          <w:p>
            <w:pPr>
              <w:spacing w:after="0"/>
              <w:rPr>
                <w:sz w:val="24"/>
                <w:szCs w:val="24"/>
                <w:color w:val="auto"/>
              </w:rPr>
            </w:pPr>
          </w:p>
        </w:tc>
        <w:tc>
          <w:tcPr>
            <w:tcW w:w="5260" w:type="dxa"/>
            <w:vAlign w:val="bottom"/>
            <w:gridSpan w:val="2"/>
          </w:tcPr>
          <w:p>
            <w:pPr>
              <w:jc w:val="center"/>
              <w:ind w:right="100"/>
              <w:spacing w:after="0"/>
              <w:rPr>
                <w:sz w:val="20"/>
                <w:szCs w:val="20"/>
                <w:color w:val="auto"/>
              </w:rPr>
            </w:pPr>
            <w:r>
              <w:rPr>
                <w:rFonts w:ascii="Arial" w:cs="Arial" w:eastAsia="Arial" w:hAnsi="Arial"/>
                <w:sz w:val="12"/>
                <w:szCs w:val="12"/>
                <w:color w:val="auto"/>
                <w:w w:val="95"/>
              </w:rPr>
              <w:t>Director</w:t>
            </w:r>
          </w:p>
        </w:tc>
        <w:tc>
          <w:tcPr>
            <w:tcW w:w="2400" w:type="dxa"/>
            <w:vAlign w:val="bottom"/>
          </w:tcPr>
          <w:p>
            <w:pPr>
              <w:jc w:val="center"/>
              <w:spacing w:after="0"/>
              <w:rPr>
                <w:sz w:val="20"/>
                <w:szCs w:val="20"/>
                <w:color w:val="auto"/>
              </w:rPr>
            </w:pPr>
            <w:r>
              <w:rPr>
                <w:rFonts w:ascii="Arial" w:cs="Arial" w:eastAsia="Arial" w:hAnsi="Arial"/>
                <w:sz w:val="12"/>
                <w:szCs w:val="12"/>
                <w:color w:val="auto"/>
                <w:w w:val="91"/>
              </w:rPr>
              <w:t>March 02, 2020</w:t>
            </w:r>
          </w:p>
        </w:tc>
      </w:tr>
      <w:tr>
        <w:trPr>
          <w:trHeight w:val="151"/>
        </w:trPr>
        <w:tc>
          <w:tcPr>
            <w:tcW w:w="60" w:type="dxa"/>
            <w:vAlign w:val="bottom"/>
          </w:tcPr>
          <w:p>
            <w:pPr>
              <w:spacing w:after="0"/>
              <w:rPr>
                <w:sz w:val="13"/>
                <w:szCs w:val="13"/>
                <w:color w:val="auto"/>
              </w:rPr>
            </w:pPr>
          </w:p>
        </w:tc>
        <w:tc>
          <w:tcPr>
            <w:tcW w:w="3600" w:type="dxa"/>
            <w:vAlign w:val="bottom"/>
          </w:tcPr>
          <w:p>
            <w:pPr>
              <w:jc w:val="center"/>
              <w:spacing w:after="0"/>
              <w:rPr>
                <w:sz w:val="20"/>
                <w:szCs w:val="20"/>
                <w:color w:val="auto"/>
              </w:rPr>
            </w:pPr>
            <w:r>
              <w:rPr>
                <w:rFonts w:ascii="Arial" w:cs="Arial" w:eastAsia="Arial" w:hAnsi="Arial"/>
                <w:sz w:val="12"/>
                <w:szCs w:val="12"/>
                <w:color w:val="auto"/>
                <w:w w:val="94"/>
              </w:rPr>
              <w:t>Bryan Kelln</w:t>
            </w:r>
          </w:p>
        </w:tc>
        <w:tc>
          <w:tcPr>
            <w:tcW w:w="160" w:type="dxa"/>
            <w:vAlign w:val="bottom"/>
          </w:tcPr>
          <w:p>
            <w:pPr>
              <w:spacing w:after="0"/>
              <w:rPr>
                <w:sz w:val="13"/>
                <w:szCs w:val="13"/>
                <w:color w:val="auto"/>
              </w:rPr>
            </w:pPr>
          </w:p>
        </w:tc>
        <w:tc>
          <w:tcPr>
            <w:tcW w:w="5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0" w:type="dxa"/>
            <w:vAlign w:val="bottom"/>
          </w:tcPr>
          <w:p>
            <w:pPr>
              <w:spacing w:after="0"/>
              <w:rPr>
                <w:sz w:val="13"/>
                <w:szCs w:val="13"/>
                <w:color w:val="auto"/>
              </w:rPr>
            </w:pPr>
          </w:p>
        </w:tc>
      </w:tr>
      <w:tr>
        <w:trPr>
          <w:trHeight w:val="351"/>
        </w:trPr>
        <w:tc>
          <w:tcPr>
            <w:tcW w:w="60" w:type="dxa"/>
            <w:vAlign w:val="bottom"/>
          </w:tcPr>
          <w:p>
            <w:pPr>
              <w:spacing w:after="0"/>
              <w:rPr>
                <w:sz w:val="24"/>
                <w:szCs w:val="24"/>
                <w:color w:val="auto"/>
              </w:rPr>
            </w:pPr>
          </w:p>
        </w:tc>
        <w:tc>
          <w:tcPr>
            <w:tcW w:w="360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1"/>
              </w:rPr>
              <w:t>/s/ Jacob Kotzubei</w:t>
            </w:r>
          </w:p>
        </w:tc>
        <w:tc>
          <w:tcPr>
            <w:tcW w:w="160" w:type="dxa"/>
            <w:vAlign w:val="bottom"/>
          </w:tcPr>
          <w:p>
            <w:pPr>
              <w:spacing w:after="0"/>
              <w:rPr>
                <w:sz w:val="24"/>
                <w:szCs w:val="24"/>
                <w:color w:val="auto"/>
              </w:rPr>
            </w:pPr>
          </w:p>
        </w:tc>
        <w:tc>
          <w:tcPr>
            <w:tcW w:w="5260" w:type="dxa"/>
            <w:vAlign w:val="bottom"/>
            <w:gridSpan w:val="2"/>
          </w:tcPr>
          <w:p>
            <w:pPr>
              <w:jc w:val="center"/>
              <w:ind w:right="100"/>
              <w:spacing w:after="0"/>
              <w:rPr>
                <w:sz w:val="20"/>
                <w:szCs w:val="20"/>
                <w:color w:val="auto"/>
              </w:rPr>
            </w:pPr>
            <w:r>
              <w:rPr>
                <w:rFonts w:ascii="Arial" w:cs="Arial" w:eastAsia="Arial" w:hAnsi="Arial"/>
                <w:sz w:val="12"/>
                <w:szCs w:val="12"/>
                <w:color w:val="auto"/>
                <w:w w:val="95"/>
              </w:rPr>
              <w:t>Director</w:t>
            </w:r>
          </w:p>
        </w:tc>
        <w:tc>
          <w:tcPr>
            <w:tcW w:w="2400" w:type="dxa"/>
            <w:vAlign w:val="bottom"/>
          </w:tcPr>
          <w:p>
            <w:pPr>
              <w:jc w:val="center"/>
              <w:spacing w:after="0"/>
              <w:rPr>
                <w:sz w:val="20"/>
                <w:szCs w:val="20"/>
                <w:color w:val="auto"/>
              </w:rPr>
            </w:pPr>
            <w:r>
              <w:rPr>
                <w:rFonts w:ascii="Arial" w:cs="Arial" w:eastAsia="Arial" w:hAnsi="Arial"/>
                <w:sz w:val="12"/>
                <w:szCs w:val="12"/>
                <w:color w:val="auto"/>
                <w:w w:val="91"/>
              </w:rPr>
              <w:t>March 02, 2020</w:t>
            </w:r>
          </w:p>
        </w:tc>
      </w:tr>
      <w:tr>
        <w:trPr>
          <w:trHeight w:val="151"/>
        </w:trPr>
        <w:tc>
          <w:tcPr>
            <w:tcW w:w="60" w:type="dxa"/>
            <w:vAlign w:val="bottom"/>
          </w:tcPr>
          <w:p>
            <w:pPr>
              <w:spacing w:after="0"/>
              <w:rPr>
                <w:sz w:val="13"/>
                <w:szCs w:val="13"/>
                <w:color w:val="auto"/>
              </w:rPr>
            </w:pPr>
          </w:p>
        </w:tc>
        <w:tc>
          <w:tcPr>
            <w:tcW w:w="3600" w:type="dxa"/>
            <w:vAlign w:val="bottom"/>
          </w:tcPr>
          <w:p>
            <w:pPr>
              <w:jc w:val="center"/>
              <w:spacing w:after="0"/>
              <w:rPr>
                <w:sz w:val="20"/>
                <w:szCs w:val="20"/>
                <w:color w:val="auto"/>
              </w:rPr>
            </w:pPr>
            <w:r>
              <w:rPr>
                <w:rFonts w:ascii="Arial" w:cs="Arial" w:eastAsia="Arial" w:hAnsi="Arial"/>
                <w:sz w:val="12"/>
                <w:szCs w:val="12"/>
                <w:color w:val="auto"/>
                <w:w w:val="90"/>
              </w:rPr>
              <w:t>Jacob Kotzubei</w:t>
            </w:r>
          </w:p>
        </w:tc>
        <w:tc>
          <w:tcPr>
            <w:tcW w:w="160" w:type="dxa"/>
            <w:vAlign w:val="bottom"/>
          </w:tcPr>
          <w:p>
            <w:pPr>
              <w:spacing w:after="0"/>
              <w:rPr>
                <w:sz w:val="13"/>
                <w:szCs w:val="13"/>
                <w:color w:val="auto"/>
              </w:rPr>
            </w:pPr>
          </w:p>
        </w:tc>
        <w:tc>
          <w:tcPr>
            <w:tcW w:w="5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0" w:type="dxa"/>
            <w:vAlign w:val="bottom"/>
          </w:tcPr>
          <w:p>
            <w:pPr>
              <w:spacing w:after="0"/>
              <w:rPr>
                <w:sz w:val="13"/>
                <w:szCs w:val="13"/>
                <w:color w:val="auto"/>
              </w:rPr>
            </w:pPr>
          </w:p>
        </w:tc>
      </w:tr>
      <w:tr>
        <w:trPr>
          <w:trHeight w:val="351"/>
        </w:trPr>
        <w:tc>
          <w:tcPr>
            <w:tcW w:w="60" w:type="dxa"/>
            <w:vAlign w:val="bottom"/>
          </w:tcPr>
          <w:p>
            <w:pPr>
              <w:spacing w:after="0"/>
              <w:rPr>
                <w:sz w:val="24"/>
                <w:szCs w:val="24"/>
                <w:color w:val="auto"/>
              </w:rPr>
            </w:pPr>
          </w:p>
        </w:tc>
        <w:tc>
          <w:tcPr>
            <w:tcW w:w="360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89"/>
              </w:rPr>
              <w:t>/s/ John Rexford</w:t>
            </w:r>
          </w:p>
        </w:tc>
        <w:tc>
          <w:tcPr>
            <w:tcW w:w="160" w:type="dxa"/>
            <w:vAlign w:val="bottom"/>
          </w:tcPr>
          <w:p>
            <w:pPr>
              <w:spacing w:after="0"/>
              <w:rPr>
                <w:sz w:val="24"/>
                <w:szCs w:val="24"/>
                <w:color w:val="auto"/>
              </w:rPr>
            </w:pPr>
          </w:p>
        </w:tc>
        <w:tc>
          <w:tcPr>
            <w:tcW w:w="5260" w:type="dxa"/>
            <w:vAlign w:val="bottom"/>
            <w:gridSpan w:val="2"/>
          </w:tcPr>
          <w:p>
            <w:pPr>
              <w:jc w:val="center"/>
              <w:ind w:right="100"/>
              <w:spacing w:after="0"/>
              <w:rPr>
                <w:sz w:val="20"/>
                <w:szCs w:val="20"/>
                <w:color w:val="auto"/>
              </w:rPr>
            </w:pPr>
            <w:r>
              <w:rPr>
                <w:rFonts w:ascii="Arial" w:cs="Arial" w:eastAsia="Arial" w:hAnsi="Arial"/>
                <w:sz w:val="12"/>
                <w:szCs w:val="12"/>
                <w:color w:val="auto"/>
                <w:w w:val="95"/>
              </w:rPr>
              <w:t>Director</w:t>
            </w:r>
          </w:p>
        </w:tc>
        <w:tc>
          <w:tcPr>
            <w:tcW w:w="2400" w:type="dxa"/>
            <w:vAlign w:val="bottom"/>
          </w:tcPr>
          <w:p>
            <w:pPr>
              <w:jc w:val="center"/>
              <w:spacing w:after="0"/>
              <w:rPr>
                <w:sz w:val="20"/>
                <w:szCs w:val="20"/>
                <w:color w:val="auto"/>
              </w:rPr>
            </w:pPr>
            <w:r>
              <w:rPr>
                <w:rFonts w:ascii="Arial" w:cs="Arial" w:eastAsia="Arial" w:hAnsi="Arial"/>
                <w:sz w:val="12"/>
                <w:szCs w:val="12"/>
                <w:color w:val="auto"/>
                <w:w w:val="91"/>
              </w:rPr>
              <w:t>March 02, 2020</w:t>
            </w:r>
          </w:p>
        </w:tc>
      </w:tr>
      <w:tr>
        <w:trPr>
          <w:trHeight w:val="151"/>
        </w:trPr>
        <w:tc>
          <w:tcPr>
            <w:tcW w:w="60" w:type="dxa"/>
            <w:vAlign w:val="bottom"/>
          </w:tcPr>
          <w:p>
            <w:pPr>
              <w:spacing w:after="0"/>
              <w:rPr>
                <w:sz w:val="13"/>
                <w:szCs w:val="13"/>
                <w:color w:val="auto"/>
              </w:rPr>
            </w:pPr>
          </w:p>
        </w:tc>
        <w:tc>
          <w:tcPr>
            <w:tcW w:w="3600" w:type="dxa"/>
            <w:vAlign w:val="bottom"/>
          </w:tcPr>
          <w:p>
            <w:pPr>
              <w:jc w:val="center"/>
              <w:spacing w:after="0"/>
              <w:rPr>
                <w:sz w:val="20"/>
                <w:szCs w:val="20"/>
                <w:color w:val="auto"/>
              </w:rPr>
            </w:pPr>
            <w:r>
              <w:rPr>
                <w:rFonts w:ascii="Arial" w:cs="Arial" w:eastAsia="Arial" w:hAnsi="Arial"/>
                <w:sz w:val="12"/>
                <w:szCs w:val="12"/>
                <w:color w:val="auto"/>
                <w:w w:val="92"/>
              </w:rPr>
              <w:t>John Rexford</w:t>
            </w:r>
          </w:p>
        </w:tc>
        <w:tc>
          <w:tcPr>
            <w:tcW w:w="160" w:type="dxa"/>
            <w:vAlign w:val="bottom"/>
          </w:tcPr>
          <w:p>
            <w:pPr>
              <w:spacing w:after="0"/>
              <w:rPr>
                <w:sz w:val="13"/>
                <w:szCs w:val="13"/>
                <w:color w:val="auto"/>
              </w:rPr>
            </w:pPr>
          </w:p>
        </w:tc>
        <w:tc>
          <w:tcPr>
            <w:tcW w:w="5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0" w:type="dxa"/>
            <w:vAlign w:val="bottom"/>
          </w:tcPr>
          <w:p>
            <w:pPr>
              <w:spacing w:after="0"/>
              <w:rPr>
                <w:sz w:val="13"/>
                <w:szCs w:val="13"/>
                <w:color w:val="auto"/>
              </w:rPr>
            </w:pPr>
          </w:p>
        </w:tc>
      </w:tr>
      <w:tr>
        <w:trPr>
          <w:trHeight w:val="351"/>
        </w:trPr>
        <w:tc>
          <w:tcPr>
            <w:tcW w:w="60" w:type="dxa"/>
            <w:vAlign w:val="bottom"/>
          </w:tcPr>
          <w:p>
            <w:pPr>
              <w:spacing w:after="0"/>
              <w:rPr>
                <w:sz w:val="24"/>
                <w:szCs w:val="24"/>
                <w:color w:val="auto"/>
              </w:rPr>
            </w:pPr>
          </w:p>
        </w:tc>
        <w:tc>
          <w:tcPr>
            <w:tcW w:w="360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1"/>
              </w:rPr>
              <w:t>/s/ Cynthia Russo</w:t>
            </w:r>
          </w:p>
        </w:tc>
        <w:tc>
          <w:tcPr>
            <w:tcW w:w="160" w:type="dxa"/>
            <w:vAlign w:val="bottom"/>
          </w:tcPr>
          <w:p>
            <w:pPr>
              <w:spacing w:after="0"/>
              <w:rPr>
                <w:sz w:val="24"/>
                <w:szCs w:val="24"/>
                <w:color w:val="auto"/>
              </w:rPr>
            </w:pPr>
          </w:p>
        </w:tc>
        <w:tc>
          <w:tcPr>
            <w:tcW w:w="5260" w:type="dxa"/>
            <w:vAlign w:val="bottom"/>
            <w:gridSpan w:val="2"/>
          </w:tcPr>
          <w:p>
            <w:pPr>
              <w:jc w:val="center"/>
              <w:ind w:right="100"/>
              <w:spacing w:after="0"/>
              <w:rPr>
                <w:sz w:val="20"/>
                <w:szCs w:val="20"/>
                <w:color w:val="auto"/>
              </w:rPr>
            </w:pPr>
            <w:r>
              <w:rPr>
                <w:rFonts w:ascii="Arial" w:cs="Arial" w:eastAsia="Arial" w:hAnsi="Arial"/>
                <w:sz w:val="12"/>
                <w:szCs w:val="12"/>
                <w:color w:val="auto"/>
                <w:w w:val="95"/>
              </w:rPr>
              <w:t>Director</w:t>
            </w:r>
          </w:p>
        </w:tc>
        <w:tc>
          <w:tcPr>
            <w:tcW w:w="2400" w:type="dxa"/>
            <w:vAlign w:val="bottom"/>
          </w:tcPr>
          <w:p>
            <w:pPr>
              <w:jc w:val="center"/>
              <w:spacing w:after="0"/>
              <w:rPr>
                <w:sz w:val="20"/>
                <w:szCs w:val="20"/>
                <w:color w:val="auto"/>
              </w:rPr>
            </w:pPr>
            <w:r>
              <w:rPr>
                <w:rFonts w:ascii="Arial" w:cs="Arial" w:eastAsia="Arial" w:hAnsi="Arial"/>
                <w:sz w:val="12"/>
                <w:szCs w:val="12"/>
                <w:color w:val="auto"/>
                <w:w w:val="91"/>
              </w:rPr>
              <w:t>March 02, 2020</w:t>
            </w:r>
          </w:p>
        </w:tc>
      </w:tr>
      <w:tr>
        <w:trPr>
          <w:trHeight w:val="151"/>
        </w:trPr>
        <w:tc>
          <w:tcPr>
            <w:tcW w:w="60" w:type="dxa"/>
            <w:vAlign w:val="bottom"/>
          </w:tcPr>
          <w:p>
            <w:pPr>
              <w:spacing w:after="0"/>
              <w:rPr>
                <w:sz w:val="13"/>
                <w:szCs w:val="13"/>
                <w:color w:val="auto"/>
              </w:rPr>
            </w:pPr>
          </w:p>
        </w:tc>
        <w:tc>
          <w:tcPr>
            <w:tcW w:w="3600" w:type="dxa"/>
            <w:vAlign w:val="bottom"/>
          </w:tcPr>
          <w:p>
            <w:pPr>
              <w:jc w:val="center"/>
              <w:spacing w:after="0"/>
              <w:rPr>
                <w:sz w:val="20"/>
                <w:szCs w:val="20"/>
                <w:color w:val="auto"/>
              </w:rPr>
            </w:pPr>
            <w:r>
              <w:rPr>
                <w:rFonts w:ascii="Arial" w:cs="Arial" w:eastAsia="Arial" w:hAnsi="Arial"/>
                <w:sz w:val="12"/>
                <w:szCs w:val="12"/>
                <w:color w:val="auto"/>
                <w:w w:val="89"/>
              </w:rPr>
              <w:t>Cynthia Russo</w:t>
            </w:r>
          </w:p>
        </w:tc>
        <w:tc>
          <w:tcPr>
            <w:tcW w:w="160" w:type="dxa"/>
            <w:vAlign w:val="bottom"/>
          </w:tcPr>
          <w:p>
            <w:pPr>
              <w:spacing w:after="0"/>
              <w:rPr>
                <w:sz w:val="13"/>
                <w:szCs w:val="13"/>
                <w:color w:val="auto"/>
              </w:rPr>
            </w:pPr>
          </w:p>
        </w:tc>
        <w:tc>
          <w:tcPr>
            <w:tcW w:w="5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0" w:type="dxa"/>
            <w:vAlign w:val="bottom"/>
          </w:tcPr>
          <w:p>
            <w:pPr>
              <w:spacing w:after="0"/>
              <w:rPr>
                <w:sz w:val="13"/>
                <w:szCs w:val="13"/>
                <w:color w:val="auto"/>
              </w:rPr>
            </w:pPr>
          </w:p>
        </w:tc>
      </w:tr>
      <w:tr>
        <w:trPr>
          <w:trHeight w:val="450"/>
        </w:trPr>
        <w:tc>
          <w:tcPr>
            <w:tcW w:w="6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5320" w:type="dxa"/>
            <w:vAlign w:val="bottom"/>
            <w:gridSpan w:val="2"/>
          </w:tcPr>
          <w:p>
            <w:pPr>
              <w:jc w:val="right"/>
              <w:ind w:right="3101"/>
              <w:spacing w:after="0"/>
              <w:rPr>
                <w:sz w:val="20"/>
                <w:szCs w:val="20"/>
                <w:color w:val="auto"/>
              </w:rPr>
            </w:pPr>
            <w:r>
              <w:rPr>
                <w:rFonts w:ascii="Arial" w:cs="Arial" w:eastAsia="Arial" w:hAnsi="Arial"/>
                <w:sz w:val="12"/>
                <w:szCs w:val="12"/>
                <w:color w:val="auto"/>
              </w:rPr>
              <w:t>118</w:t>
            </w:r>
          </w:p>
        </w:tc>
        <w:tc>
          <w:tcPr>
            <w:tcW w:w="100" w:type="dxa"/>
            <w:vAlign w:val="bottom"/>
          </w:tcPr>
          <w:p>
            <w:pPr>
              <w:spacing w:after="0"/>
              <w:rPr>
                <w:sz w:val="24"/>
                <w:szCs w:val="24"/>
                <w:color w:val="auto"/>
              </w:rPr>
            </w:pPr>
          </w:p>
        </w:tc>
        <w:tc>
          <w:tcPr>
            <w:tcW w:w="2400" w:type="dxa"/>
            <w:vAlign w:val="bottom"/>
          </w:tcPr>
          <w:p>
            <w:pPr>
              <w:spacing w:after="0"/>
              <w:rPr>
                <w:sz w:val="24"/>
                <w:szCs w:val="24"/>
                <w:color w:val="auto"/>
              </w:rPr>
            </w:pPr>
          </w:p>
        </w:tc>
      </w:tr>
      <w:tr>
        <w:trPr>
          <w:trHeight w:val="72"/>
        </w:trPr>
        <w:tc>
          <w:tcPr>
            <w:tcW w:w="60" w:type="dxa"/>
            <w:vAlign w:val="bottom"/>
            <w:tcBorders>
              <w:bottom w:val="single" w:sz="8" w:color="9A9A9A"/>
            </w:tcBorders>
          </w:tcPr>
          <w:p>
            <w:pPr>
              <w:spacing w:after="0"/>
              <w:rPr>
                <w:sz w:val="6"/>
                <w:szCs w:val="6"/>
                <w:color w:val="auto"/>
              </w:rPr>
            </w:pPr>
          </w:p>
        </w:tc>
        <w:tc>
          <w:tcPr>
            <w:tcW w:w="360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516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240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7268845</wp:posOffset>
            </wp:positionH>
            <wp:positionV relativeFrom="paragraph">
              <wp:posOffset>-23495</wp:posOffset>
            </wp:positionV>
            <wp:extent cx="31115" cy="3683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94">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95">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480"/>
          </w:cols>
          <w:pgMar w:left="220" w:top="271" w:right="199" w:bottom="1440" w:gutter="0" w:footer="0" w:header="0"/>
        </w:sectPr>
      </w:pPr>
    </w:p>
    <w:bookmarkStart w:id="119" w:name="page120"/>
    <w:bookmarkEnd w:id="119"/>
    <w:p>
      <w:pPr>
        <w:jc w:val="center"/>
        <w:ind w:right="20"/>
        <w:spacing w:after="0"/>
        <w:rPr>
          <w:sz w:val="20"/>
          <w:szCs w:val="20"/>
          <w:color w:val="auto"/>
        </w:rPr>
      </w:pPr>
      <w:r>
        <w:rPr>
          <w:rFonts w:ascii="Arial" w:cs="Arial" w:eastAsia="Arial" w:hAnsi="Arial"/>
          <w:sz w:val="12"/>
          <w:szCs w:val="12"/>
          <w:b w:val="1"/>
          <w:bCs w:val="1"/>
          <w:color w:val="auto"/>
        </w:rPr>
        <w:t>Appendix A</w:t>
      </w:r>
    </w:p>
    <w:p>
      <w:pPr>
        <w:spacing w:after="0" w:line="78"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Verra Mobility Corporation</w:t>
      </w:r>
    </w:p>
    <w:p>
      <w:pPr>
        <w:spacing w:after="0" w:line="78"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Schedule II</w:t>
      </w:r>
    </w:p>
    <w:p>
      <w:pPr>
        <w:spacing w:after="0" w:line="78"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Consolidated Valuation and Qualifying Accounts for the Years Ended December 31, 2019 and 2018, the Seven Months Ended December 31, 2017 and the Five Months Ended May 31, 2017</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99"/>
        </w:trPr>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7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20" w:type="dxa"/>
            <w:vAlign w:val="bottom"/>
          </w:tcPr>
          <w:p>
            <w:pPr>
              <w:jc w:val="right"/>
              <w:ind w:right="153"/>
              <w:spacing w:after="0"/>
              <w:rPr>
                <w:sz w:val="20"/>
                <w:szCs w:val="20"/>
                <w:color w:val="auto"/>
              </w:rPr>
            </w:pPr>
            <w:r>
              <w:rPr>
                <w:rFonts w:ascii="Arial" w:cs="Arial" w:eastAsia="Arial" w:hAnsi="Arial"/>
                <w:sz w:val="8"/>
                <w:szCs w:val="8"/>
                <w:b w:val="1"/>
                <w:bCs w:val="1"/>
                <w:color w:val="auto"/>
                <w:w w:val="98"/>
              </w:rPr>
              <w:t>Balance at Beginning of</w:t>
            </w: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tcPr>
          <w:p>
            <w:pPr>
              <w:jc w:val="right"/>
              <w:ind w:right="153"/>
              <w:spacing w:after="0"/>
              <w:rPr>
                <w:sz w:val="20"/>
                <w:szCs w:val="20"/>
                <w:color w:val="auto"/>
              </w:rPr>
            </w:pPr>
            <w:r>
              <w:rPr>
                <w:rFonts w:ascii="Arial" w:cs="Arial" w:eastAsia="Arial" w:hAnsi="Arial"/>
                <w:sz w:val="8"/>
                <w:szCs w:val="8"/>
                <w:b w:val="1"/>
                <w:bCs w:val="1"/>
                <w:color w:val="auto"/>
              </w:rPr>
              <w:t>Charged/Credited to Net</w:t>
            </w:r>
          </w:p>
        </w:tc>
        <w:tc>
          <w:tcPr>
            <w:tcW w:w="260" w:type="dxa"/>
            <w:vAlign w:val="bottom"/>
          </w:tcPr>
          <w:p>
            <w:pPr>
              <w:spacing w:after="0"/>
              <w:rPr>
                <w:sz w:val="8"/>
                <w:szCs w:val="8"/>
                <w:color w:val="auto"/>
              </w:rPr>
            </w:pPr>
          </w:p>
        </w:tc>
        <w:tc>
          <w:tcPr>
            <w:tcW w:w="960" w:type="dxa"/>
            <w:vAlign w:val="bottom"/>
          </w:tcPr>
          <w:p>
            <w:pPr>
              <w:jc w:val="right"/>
              <w:ind w:right="38"/>
              <w:spacing w:after="0"/>
              <w:rPr>
                <w:sz w:val="20"/>
                <w:szCs w:val="20"/>
                <w:color w:val="auto"/>
              </w:rPr>
            </w:pPr>
            <w:r>
              <w:rPr>
                <w:rFonts w:ascii="Arial" w:cs="Arial" w:eastAsia="Arial" w:hAnsi="Arial"/>
                <w:sz w:val="8"/>
                <w:szCs w:val="8"/>
                <w:b w:val="1"/>
                <w:bCs w:val="1"/>
                <w:color w:val="auto"/>
              </w:rPr>
              <w:t>Charged to Other</w:t>
            </w: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jc w:val="right"/>
              <w:spacing w:after="0"/>
              <w:rPr>
                <w:sz w:val="20"/>
                <w:szCs w:val="20"/>
                <w:color w:val="auto"/>
              </w:rPr>
            </w:pPr>
            <w:r>
              <w:rPr>
                <w:rFonts w:ascii="Arial" w:cs="Arial" w:eastAsia="Arial" w:hAnsi="Arial"/>
                <w:sz w:val="8"/>
                <w:szCs w:val="8"/>
                <w:b w:val="1"/>
                <w:bCs w:val="1"/>
                <w:color w:val="auto"/>
              </w:rPr>
              <w:t>Charges Utilized/</w:t>
            </w: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8"/>
                <w:szCs w:val="8"/>
                <w:b w:val="1"/>
                <w:bCs w:val="1"/>
                <w:color w:val="auto"/>
                <w:w w:val="95"/>
              </w:rPr>
              <w:t>Balance at End of</w:t>
            </w:r>
          </w:p>
        </w:tc>
        <w:tc>
          <w:tcPr>
            <w:tcW w:w="0" w:type="dxa"/>
            <w:vAlign w:val="bottom"/>
          </w:tcPr>
          <w:p>
            <w:pPr>
              <w:spacing w:after="0"/>
              <w:rPr>
                <w:sz w:val="1"/>
                <w:szCs w:val="1"/>
                <w:color w:val="auto"/>
              </w:rPr>
            </w:pPr>
          </w:p>
        </w:tc>
      </w:tr>
      <w:tr>
        <w:trPr>
          <w:trHeight w:val="92"/>
        </w:trPr>
        <w:tc>
          <w:tcPr>
            <w:tcW w:w="3320" w:type="dxa"/>
            <w:vAlign w:val="bottom"/>
            <w:gridSpan w:val="3"/>
          </w:tcPr>
          <w:p>
            <w:pPr>
              <w:spacing w:after="0"/>
              <w:rPr>
                <w:sz w:val="20"/>
                <w:szCs w:val="20"/>
                <w:color w:val="auto"/>
              </w:rPr>
            </w:pPr>
            <w:r>
              <w:rPr>
                <w:rFonts w:ascii="Arial" w:cs="Arial" w:eastAsia="Arial" w:hAnsi="Arial"/>
                <w:sz w:val="8"/>
                <w:szCs w:val="8"/>
                <w:b w:val="1"/>
                <w:bCs w:val="1"/>
                <w:u w:val="single" w:color="auto"/>
                <w:color w:val="auto"/>
              </w:rPr>
              <w:t>(</w:t>
            </w:r>
            <w:r>
              <w:rPr>
                <w:rFonts w:ascii="Arial" w:cs="Arial" w:eastAsia="Arial" w:hAnsi="Arial"/>
                <w:sz w:val="8"/>
                <w:szCs w:val="8"/>
                <w:b w:val="1"/>
                <w:bCs w:val="1"/>
                <w:color w:val="auto"/>
              </w:rPr>
              <w:t>$ in thousands)</w:t>
            </w: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20" w:type="dxa"/>
            <w:vAlign w:val="bottom"/>
          </w:tcPr>
          <w:p>
            <w:pPr>
              <w:jc w:val="right"/>
              <w:ind w:right="453"/>
              <w:spacing w:after="0"/>
              <w:rPr>
                <w:sz w:val="20"/>
                <w:szCs w:val="20"/>
                <w:color w:val="auto"/>
              </w:rPr>
            </w:pPr>
            <w:r>
              <w:rPr>
                <w:rFonts w:ascii="Arial" w:cs="Arial" w:eastAsia="Arial" w:hAnsi="Arial"/>
                <w:sz w:val="8"/>
                <w:szCs w:val="8"/>
                <w:b w:val="1"/>
                <w:bCs w:val="1"/>
                <w:color w:val="auto"/>
              </w:rPr>
              <w:t>Period</w:t>
            </w:r>
          </w:p>
        </w:tc>
        <w:tc>
          <w:tcPr>
            <w:tcW w:w="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80" w:type="dxa"/>
            <w:vAlign w:val="bottom"/>
          </w:tcPr>
          <w:p>
            <w:pPr>
              <w:jc w:val="right"/>
              <w:ind w:right="353"/>
              <w:spacing w:after="0"/>
              <w:rPr>
                <w:sz w:val="20"/>
                <w:szCs w:val="20"/>
                <w:color w:val="auto"/>
              </w:rPr>
            </w:pPr>
            <w:r>
              <w:rPr>
                <w:rFonts w:ascii="Arial" w:cs="Arial" w:eastAsia="Arial" w:hAnsi="Arial"/>
                <w:sz w:val="8"/>
                <w:szCs w:val="8"/>
                <w:b w:val="1"/>
                <w:bCs w:val="1"/>
                <w:color w:val="auto"/>
              </w:rPr>
              <w:t>Income (Loss)</w:t>
            </w:r>
          </w:p>
        </w:tc>
        <w:tc>
          <w:tcPr>
            <w:tcW w:w="260" w:type="dxa"/>
            <w:vAlign w:val="bottom"/>
          </w:tcPr>
          <w:p>
            <w:pPr>
              <w:spacing w:after="0"/>
              <w:rPr>
                <w:sz w:val="7"/>
                <w:szCs w:val="7"/>
                <w:color w:val="auto"/>
              </w:rPr>
            </w:pPr>
          </w:p>
        </w:tc>
        <w:tc>
          <w:tcPr>
            <w:tcW w:w="960" w:type="dxa"/>
            <w:vAlign w:val="bottom"/>
          </w:tcPr>
          <w:p>
            <w:pPr>
              <w:jc w:val="right"/>
              <w:ind w:right="218"/>
              <w:spacing w:after="0"/>
              <w:rPr>
                <w:sz w:val="20"/>
                <w:szCs w:val="20"/>
                <w:color w:val="auto"/>
              </w:rPr>
            </w:pPr>
            <w:r>
              <w:rPr>
                <w:rFonts w:ascii="Arial" w:cs="Arial" w:eastAsia="Arial" w:hAnsi="Arial"/>
                <w:sz w:val="8"/>
                <w:szCs w:val="8"/>
                <w:b w:val="1"/>
                <w:bCs w:val="1"/>
                <w:color w:val="auto"/>
              </w:rPr>
              <w:t>Account</w:t>
            </w:r>
          </w:p>
        </w:tc>
        <w:tc>
          <w:tcPr>
            <w:tcW w:w="18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jc w:val="right"/>
              <w:ind w:right="98"/>
              <w:spacing w:after="0"/>
              <w:rPr>
                <w:sz w:val="20"/>
                <w:szCs w:val="20"/>
                <w:color w:val="auto"/>
              </w:rPr>
            </w:pPr>
            <w:r>
              <w:rPr>
                <w:rFonts w:ascii="Arial" w:cs="Arial" w:eastAsia="Arial" w:hAnsi="Arial"/>
                <w:sz w:val="8"/>
                <w:szCs w:val="8"/>
                <w:b w:val="1"/>
                <w:bCs w:val="1"/>
                <w:color w:val="auto"/>
              </w:rPr>
              <w:t>Write-offs</w:t>
            </w:r>
          </w:p>
        </w:tc>
        <w:tc>
          <w:tcPr>
            <w:tcW w:w="2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8"/>
                <w:szCs w:val="8"/>
                <w:b w:val="1"/>
                <w:bCs w:val="1"/>
                <w:color w:val="auto"/>
                <w:w w:val="96"/>
              </w:rPr>
              <w:t>Period</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Borders>
              <w:bottom w:val="single" w:sz="8" w:color="CFF2FA"/>
            </w:tcBorders>
            <w:shd w:val="clear" w:color="auto" w:fill="000000"/>
          </w:tcPr>
          <w:p>
            <w:pPr>
              <w:spacing w:after="0" w:line="20" w:lineRule="exact"/>
              <w:rPr>
                <w:sz w:val="1"/>
                <w:szCs w:val="1"/>
                <w:color w:val="auto"/>
              </w:rPr>
            </w:pPr>
          </w:p>
        </w:tc>
        <w:tc>
          <w:tcPr>
            <w:tcW w:w="2760" w:type="dxa"/>
            <w:vAlign w:val="bottom"/>
            <w:tcBorders>
              <w:bottom w:val="single" w:sz="8" w:color="CFF2FA"/>
            </w:tcBorders>
          </w:tcPr>
          <w:p>
            <w:pPr>
              <w:spacing w:after="0" w:line="20" w:lineRule="exact"/>
              <w:rPr>
                <w:sz w:val="1"/>
                <w:szCs w:val="1"/>
                <w:color w:val="auto"/>
              </w:rPr>
            </w:pPr>
          </w:p>
        </w:tc>
        <w:tc>
          <w:tcPr>
            <w:tcW w:w="1100" w:type="dxa"/>
            <w:vAlign w:val="bottom"/>
            <w:tcBorders>
              <w:bottom w:val="single" w:sz="8" w:color="CFF2FA"/>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FF2FA"/>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FF2FA"/>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FF2FA"/>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FF2FA"/>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FF2FA"/>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
        </w:trPr>
        <w:tc>
          <w:tcPr>
            <w:tcW w:w="20" w:type="dxa"/>
            <w:vAlign w:val="bottom"/>
          </w:tcPr>
          <w:p>
            <w:pPr>
              <w:spacing w:after="0"/>
              <w:rPr>
                <w:sz w:val="7"/>
                <w:szCs w:val="7"/>
                <w:color w:val="auto"/>
              </w:rPr>
            </w:pPr>
          </w:p>
        </w:tc>
        <w:tc>
          <w:tcPr>
            <w:tcW w:w="3300" w:type="dxa"/>
            <w:vAlign w:val="bottom"/>
            <w:gridSpan w:val="2"/>
            <w:shd w:val="clear" w:color="auto" w:fill="CFF2FA"/>
          </w:tcPr>
          <w:p>
            <w:pPr>
              <w:spacing w:after="0" w:line="86" w:lineRule="exact"/>
              <w:rPr>
                <w:sz w:val="20"/>
                <w:szCs w:val="20"/>
                <w:color w:val="auto"/>
              </w:rPr>
            </w:pPr>
            <w:r>
              <w:rPr>
                <w:rFonts w:ascii="Arial" w:cs="Arial" w:eastAsia="Arial" w:hAnsi="Arial"/>
                <w:sz w:val="8"/>
                <w:szCs w:val="8"/>
                <w:b w:val="1"/>
                <w:bCs w:val="1"/>
                <w:color w:val="auto"/>
              </w:rPr>
              <w:t>Allowance for Doubtful Accounts</w:t>
            </w:r>
          </w:p>
        </w:tc>
        <w:tc>
          <w:tcPr>
            <w:tcW w:w="1100" w:type="dxa"/>
            <w:vAlign w:val="bottom"/>
            <w:shd w:val="clear" w:color="auto" w:fill="CFF2FA"/>
          </w:tcPr>
          <w:p>
            <w:pPr>
              <w:spacing w:after="0"/>
              <w:rPr>
                <w:sz w:val="7"/>
                <w:szCs w:val="7"/>
                <w:color w:val="auto"/>
              </w:rPr>
            </w:pPr>
          </w:p>
        </w:tc>
        <w:tc>
          <w:tcPr>
            <w:tcW w:w="100" w:type="dxa"/>
            <w:vAlign w:val="bottom"/>
            <w:shd w:val="clear" w:color="auto" w:fill="CFF2FA"/>
          </w:tcPr>
          <w:p>
            <w:pPr>
              <w:spacing w:after="0"/>
              <w:rPr>
                <w:sz w:val="7"/>
                <w:szCs w:val="7"/>
                <w:color w:val="auto"/>
              </w:rPr>
            </w:pPr>
          </w:p>
        </w:tc>
        <w:tc>
          <w:tcPr>
            <w:tcW w:w="1120" w:type="dxa"/>
            <w:vAlign w:val="bottom"/>
            <w:shd w:val="clear" w:color="auto" w:fill="CFF2FA"/>
          </w:tcPr>
          <w:p>
            <w:pPr>
              <w:spacing w:after="0"/>
              <w:rPr>
                <w:sz w:val="7"/>
                <w:szCs w:val="7"/>
                <w:color w:val="auto"/>
              </w:rPr>
            </w:pPr>
          </w:p>
        </w:tc>
        <w:tc>
          <w:tcPr>
            <w:tcW w:w="240" w:type="dxa"/>
            <w:vAlign w:val="bottom"/>
            <w:shd w:val="clear" w:color="auto" w:fill="CFF2FA"/>
          </w:tcPr>
          <w:p>
            <w:pPr>
              <w:spacing w:after="0"/>
              <w:rPr>
                <w:sz w:val="7"/>
                <w:szCs w:val="7"/>
                <w:color w:val="auto"/>
              </w:rPr>
            </w:pPr>
          </w:p>
        </w:tc>
        <w:tc>
          <w:tcPr>
            <w:tcW w:w="120" w:type="dxa"/>
            <w:vAlign w:val="bottom"/>
            <w:shd w:val="clear" w:color="auto" w:fill="CFF2FA"/>
          </w:tcPr>
          <w:p>
            <w:pPr>
              <w:spacing w:after="0"/>
              <w:rPr>
                <w:sz w:val="7"/>
                <w:szCs w:val="7"/>
                <w:color w:val="auto"/>
              </w:rPr>
            </w:pPr>
          </w:p>
        </w:tc>
        <w:tc>
          <w:tcPr>
            <w:tcW w:w="1180" w:type="dxa"/>
            <w:vAlign w:val="bottom"/>
            <w:shd w:val="clear" w:color="auto" w:fill="CFF2FA"/>
          </w:tcPr>
          <w:p>
            <w:pPr>
              <w:spacing w:after="0"/>
              <w:rPr>
                <w:sz w:val="7"/>
                <w:szCs w:val="7"/>
                <w:color w:val="auto"/>
              </w:rPr>
            </w:pPr>
          </w:p>
        </w:tc>
        <w:tc>
          <w:tcPr>
            <w:tcW w:w="260" w:type="dxa"/>
            <w:vAlign w:val="bottom"/>
            <w:shd w:val="clear" w:color="auto" w:fill="CFF2FA"/>
          </w:tcPr>
          <w:p>
            <w:pPr>
              <w:spacing w:after="0"/>
              <w:rPr>
                <w:sz w:val="7"/>
                <w:szCs w:val="7"/>
                <w:color w:val="auto"/>
              </w:rPr>
            </w:pPr>
          </w:p>
        </w:tc>
        <w:tc>
          <w:tcPr>
            <w:tcW w:w="960" w:type="dxa"/>
            <w:vAlign w:val="bottom"/>
            <w:shd w:val="clear" w:color="auto" w:fill="CFF2FA"/>
          </w:tcPr>
          <w:p>
            <w:pPr>
              <w:spacing w:after="0"/>
              <w:rPr>
                <w:sz w:val="7"/>
                <w:szCs w:val="7"/>
                <w:color w:val="auto"/>
              </w:rPr>
            </w:pPr>
          </w:p>
        </w:tc>
        <w:tc>
          <w:tcPr>
            <w:tcW w:w="180" w:type="dxa"/>
            <w:vAlign w:val="bottom"/>
            <w:shd w:val="clear" w:color="auto" w:fill="CFF2FA"/>
          </w:tcPr>
          <w:p>
            <w:pPr>
              <w:spacing w:after="0"/>
              <w:rPr>
                <w:sz w:val="7"/>
                <w:szCs w:val="7"/>
                <w:color w:val="auto"/>
              </w:rPr>
            </w:pPr>
          </w:p>
        </w:tc>
        <w:tc>
          <w:tcPr>
            <w:tcW w:w="240" w:type="dxa"/>
            <w:vAlign w:val="bottom"/>
            <w:shd w:val="clear" w:color="auto" w:fill="CFF2FA"/>
          </w:tcPr>
          <w:p>
            <w:pPr>
              <w:spacing w:after="0"/>
              <w:rPr>
                <w:sz w:val="7"/>
                <w:szCs w:val="7"/>
                <w:color w:val="auto"/>
              </w:rPr>
            </w:pPr>
          </w:p>
        </w:tc>
        <w:tc>
          <w:tcPr>
            <w:tcW w:w="880" w:type="dxa"/>
            <w:vAlign w:val="bottom"/>
            <w:shd w:val="clear" w:color="auto" w:fill="CFF2FA"/>
          </w:tcPr>
          <w:p>
            <w:pPr>
              <w:spacing w:after="0"/>
              <w:rPr>
                <w:sz w:val="7"/>
                <w:szCs w:val="7"/>
                <w:color w:val="auto"/>
              </w:rPr>
            </w:pPr>
          </w:p>
        </w:tc>
        <w:tc>
          <w:tcPr>
            <w:tcW w:w="260" w:type="dxa"/>
            <w:vAlign w:val="bottom"/>
            <w:shd w:val="clear" w:color="auto" w:fill="CFF2FA"/>
          </w:tcPr>
          <w:p>
            <w:pPr>
              <w:spacing w:after="0"/>
              <w:rPr>
                <w:sz w:val="7"/>
                <w:szCs w:val="7"/>
                <w:color w:val="auto"/>
              </w:rPr>
            </w:pPr>
          </w:p>
        </w:tc>
        <w:tc>
          <w:tcPr>
            <w:tcW w:w="240" w:type="dxa"/>
            <w:vAlign w:val="bottom"/>
            <w:shd w:val="clear" w:color="auto" w:fill="CFF2FA"/>
          </w:tcPr>
          <w:p>
            <w:pPr>
              <w:spacing w:after="0"/>
              <w:rPr>
                <w:sz w:val="7"/>
                <w:szCs w:val="7"/>
                <w:color w:val="auto"/>
              </w:rPr>
            </w:pPr>
          </w:p>
        </w:tc>
        <w:tc>
          <w:tcPr>
            <w:tcW w:w="160" w:type="dxa"/>
            <w:vAlign w:val="bottom"/>
            <w:shd w:val="clear" w:color="auto" w:fill="CFF2FA"/>
          </w:tcPr>
          <w:p>
            <w:pPr>
              <w:spacing w:after="0"/>
              <w:rPr>
                <w:sz w:val="7"/>
                <w:szCs w:val="7"/>
                <w:color w:val="auto"/>
              </w:rPr>
            </w:pPr>
          </w:p>
        </w:tc>
        <w:tc>
          <w:tcPr>
            <w:tcW w:w="1000" w:type="dxa"/>
            <w:vAlign w:val="bottom"/>
            <w:shd w:val="clear" w:color="auto" w:fill="CFF2FA"/>
          </w:tcPr>
          <w:p>
            <w:pPr>
              <w:spacing w:after="0"/>
              <w:rPr>
                <w:sz w:val="7"/>
                <w:szCs w:val="7"/>
                <w:color w:val="auto"/>
              </w:rPr>
            </w:pPr>
          </w:p>
        </w:tc>
        <w:tc>
          <w:tcPr>
            <w:tcW w:w="120" w:type="dxa"/>
            <w:vAlign w:val="bottom"/>
            <w:shd w:val="clear" w:color="auto" w:fill="CFF2FA"/>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300" w:type="dxa"/>
            <w:vAlign w:val="bottom"/>
            <w:gridSpan w:val="2"/>
          </w:tcPr>
          <w:p>
            <w:pPr>
              <w:ind w:left="140"/>
              <w:spacing w:after="0" w:line="108" w:lineRule="exact"/>
              <w:rPr>
                <w:sz w:val="20"/>
                <w:szCs w:val="20"/>
                <w:color w:val="auto"/>
              </w:rPr>
            </w:pPr>
            <w:r>
              <w:rPr>
                <w:rFonts w:ascii="Arial" w:cs="Arial" w:eastAsia="Arial" w:hAnsi="Arial"/>
                <w:sz w:val="10"/>
                <w:szCs w:val="10"/>
                <w:color w:val="auto"/>
              </w:rPr>
              <w:t>Year Ended December 31, 2019</w:t>
            </w:r>
          </w:p>
        </w:tc>
        <w:tc>
          <w:tcPr>
            <w:tcW w:w="1200" w:type="dxa"/>
            <w:vAlign w:val="bottom"/>
            <w:gridSpan w:val="2"/>
          </w:tcPr>
          <w:p>
            <w:pPr>
              <w:jc w:val="right"/>
              <w:ind w:right="60"/>
              <w:spacing w:after="0" w:line="108" w:lineRule="exact"/>
              <w:rPr>
                <w:sz w:val="20"/>
                <w:szCs w:val="20"/>
                <w:color w:val="auto"/>
              </w:rPr>
            </w:pPr>
            <w:r>
              <w:rPr>
                <w:rFonts w:ascii="Arial" w:cs="Arial" w:eastAsia="Arial" w:hAnsi="Arial"/>
                <w:sz w:val="10"/>
                <w:szCs w:val="10"/>
                <w:color w:val="auto"/>
              </w:rPr>
              <w:t>$</w:t>
            </w:r>
          </w:p>
        </w:tc>
        <w:tc>
          <w:tcPr>
            <w:tcW w:w="1120" w:type="dxa"/>
            <w:vAlign w:val="bottom"/>
          </w:tcPr>
          <w:p>
            <w:pPr>
              <w:jc w:val="right"/>
              <w:spacing w:after="0" w:line="108" w:lineRule="exact"/>
              <w:rPr>
                <w:sz w:val="20"/>
                <w:szCs w:val="20"/>
                <w:color w:val="auto"/>
              </w:rPr>
            </w:pPr>
            <w:r>
              <w:rPr>
                <w:rFonts w:ascii="Arial" w:cs="Arial" w:eastAsia="Arial" w:hAnsi="Arial"/>
                <w:sz w:val="10"/>
                <w:szCs w:val="10"/>
                <w:color w:val="auto"/>
              </w:rPr>
              <w:t>6,221</w:t>
            </w:r>
          </w:p>
        </w:tc>
        <w:tc>
          <w:tcPr>
            <w:tcW w:w="360" w:type="dxa"/>
            <w:vAlign w:val="bottom"/>
            <w:gridSpan w:val="2"/>
          </w:tcPr>
          <w:p>
            <w:pPr>
              <w:jc w:val="right"/>
              <w:ind w:right="60"/>
              <w:spacing w:after="0" w:line="108" w:lineRule="exact"/>
              <w:rPr>
                <w:sz w:val="20"/>
                <w:szCs w:val="20"/>
                <w:color w:val="auto"/>
              </w:rPr>
            </w:pPr>
            <w:r>
              <w:rPr>
                <w:rFonts w:ascii="Arial" w:cs="Arial" w:eastAsia="Arial" w:hAnsi="Arial"/>
                <w:sz w:val="10"/>
                <w:szCs w:val="10"/>
                <w:color w:val="auto"/>
              </w:rPr>
              <w:t>$</w:t>
            </w:r>
          </w:p>
        </w:tc>
        <w:tc>
          <w:tcPr>
            <w:tcW w:w="1180" w:type="dxa"/>
            <w:vAlign w:val="bottom"/>
          </w:tcPr>
          <w:p>
            <w:pPr>
              <w:jc w:val="right"/>
              <w:spacing w:after="0" w:line="108" w:lineRule="exact"/>
              <w:rPr>
                <w:sz w:val="20"/>
                <w:szCs w:val="20"/>
                <w:color w:val="auto"/>
              </w:rPr>
            </w:pPr>
            <w:r>
              <w:rPr>
                <w:rFonts w:ascii="Arial" w:cs="Arial" w:eastAsia="Arial" w:hAnsi="Arial"/>
                <w:sz w:val="10"/>
                <w:szCs w:val="10"/>
                <w:color w:val="auto"/>
              </w:rPr>
              <w:t>8,100</w:t>
            </w:r>
          </w:p>
        </w:tc>
        <w:tc>
          <w:tcPr>
            <w:tcW w:w="1220" w:type="dxa"/>
            <w:vAlign w:val="bottom"/>
            <w:gridSpan w:val="2"/>
          </w:tcPr>
          <w:p>
            <w:pPr>
              <w:jc w:val="right"/>
              <w:ind w:right="878"/>
              <w:spacing w:after="0" w:line="108" w:lineRule="exact"/>
              <w:rPr>
                <w:sz w:val="20"/>
                <w:szCs w:val="20"/>
                <w:color w:val="auto"/>
              </w:rPr>
            </w:pPr>
            <w:r>
              <w:rPr>
                <w:rFonts w:ascii="Arial" w:cs="Arial" w:eastAsia="Arial" w:hAnsi="Arial"/>
                <w:sz w:val="10"/>
                <w:szCs w:val="10"/>
                <w:color w:val="auto"/>
              </w:rPr>
              <w:t>$</w:t>
            </w:r>
          </w:p>
        </w:tc>
        <w:tc>
          <w:tcPr>
            <w:tcW w:w="180" w:type="dxa"/>
            <w:vAlign w:val="bottom"/>
          </w:tcPr>
          <w:p>
            <w:pPr>
              <w:ind w:left="80"/>
              <w:spacing w:after="0" w:line="108" w:lineRule="exact"/>
              <w:rPr>
                <w:sz w:val="20"/>
                <w:szCs w:val="20"/>
                <w:color w:val="auto"/>
              </w:rPr>
            </w:pPr>
            <w:r>
              <w:rPr>
                <w:rFonts w:ascii="Arial" w:cs="Arial" w:eastAsia="Arial" w:hAnsi="Arial"/>
                <w:sz w:val="10"/>
                <w:szCs w:val="10"/>
                <w:color w:val="auto"/>
                <w:w w:val="79"/>
              </w:rPr>
              <w:t>—</w:t>
            </w:r>
          </w:p>
        </w:tc>
        <w:tc>
          <w:tcPr>
            <w:tcW w:w="1120" w:type="dxa"/>
            <w:vAlign w:val="bottom"/>
            <w:gridSpan w:val="2"/>
          </w:tcPr>
          <w:p>
            <w:pPr>
              <w:jc w:val="right"/>
              <w:ind w:right="798"/>
              <w:spacing w:after="0" w:line="108" w:lineRule="exact"/>
              <w:rPr>
                <w:sz w:val="20"/>
                <w:szCs w:val="20"/>
                <w:color w:val="auto"/>
              </w:rPr>
            </w:pPr>
            <w:r>
              <w:rPr>
                <w:rFonts w:ascii="Arial" w:cs="Arial" w:eastAsia="Arial" w:hAnsi="Arial"/>
                <w:sz w:val="10"/>
                <w:szCs w:val="10"/>
                <w:color w:val="auto"/>
              </w:rPr>
              <w:t>$</w:t>
            </w:r>
          </w:p>
        </w:tc>
        <w:tc>
          <w:tcPr>
            <w:tcW w:w="50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w w:val="88"/>
              </w:rPr>
              <w:t>(6,684)</w:t>
            </w:r>
          </w:p>
        </w:tc>
        <w:tc>
          <w:tcPr>
            <w:tcW w:w="160" w:type="dxa"/>
            <w:vAlign w:val="bottom"/>
          </w:tcPr>
          <w:p>
            <w:pPr>
              <w:jc w:val="right"/>
              <w:ind w:right="52"/>
              <w:spacing w:after="0" w:line="108" w:lineRule="exact"/>
              <w:rPr>
                <w:sz w:val="20"/>
                <w:szCs w:val="20"/>
                <w:color w:val="auto"/>
              </w:rPr>
            </w:pPr>
            <w:r>
              <w:rPr>
                <w:rFonts w:ascii="Arial" w:cs="Arial" w:eastAsia="Arial" w:hAnsi="Arial"/>
                <w:sz w:val="10"/>
                <w:szCs w:val="10"/>
                <w:color w:val="auto"/>
                <w:w w:val="71"/>
              </w:rPr>
              <w:t>$</w:t>
            </w:r>
          </w:p>
        </w:tc>
        <w:tc>
          <w:tcPr>
            <w:tcW w:w="1000" w:type="dxa"/>
            <w:vAlign w:val="bottom"/>
          </w:tcPr>
          <w:p>
            <w:pPr>
              <w:jc w:val="right"/>
              <w:spacing w:after="0" w:line="108" w:lineRule="exact"/>
              <w:rPr>
                <w:sz w:val="20"/>
                <w:szCs w:val="20"/>
                <w:color w:val="auto"/>
              </w:rPr>
            </w:pPr>
            <w:r>
              <w:rPr>
                <w:rFonts w:ascii="Arial" w:cs="Arial" w:eastAsia="Arial" w:hAnsi="Arial"/>
                <w:sz w:val="10"/>
                <w:szCs w:val="10"/>
                <w:color w:val="auto"/>
              </w:rPr>
              <w:t>7,637</w:t>
            </w: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300" w:type="dxa"/>
            <w:vAlign w:val="bottom"/>
            <w:gridSpan w:val="2"/>
            <w:shd w:val="clear" w:color="auto" w:fill="CFF2FA"/>
          </w:tcPr>
          <w:p>
            <w:pPr>
              <w:ind w:left="140"/>
              <w:spacing w:after="0" w:line="108" w:lineRule="exact"/>
              <w:rPr>
                <w:sz w:val="20"/>
                <w:szCs w:val="20"/>
                <w:color w:val="auto"/>
              </w:rPr>
            </w:pPr>
            <w:r>
              <w:rPr>
                <w:rFonts w:ascii="Arial" w:cs="Arial" w:eastAsia="Arial" w:hAnsi="Arial"/>
                <w:sz w:val="10"/>
                <w:szCs w:val="10"/>
                <w:color w:val="auto"/>
              </w:rPr>
              <w:t>Year Ended December 31, 2018</w:t>
            </w:r>
          </w:p>
        </w:tc>
        <w:tc>
          <w:tcPr>
            <w:tcW w:w="1100" w:type="dxa"/>
            <w:vAlign w:val="bottom"/>
            <w:shd w:val="clear" w:color="auto" w:fill="CFF2FA"/>
          </w:tcPr>
          <w:p>
            <w:pPr>
              <w:spacing w:after="0"/>
              <w:rPr>
                <w:sz w:val="9"/>
                <w:szCs w:val="9"/>
                <w:color w:val="auto"/>
              </w:rPr>
            </w:pPr>
          </w:p>
        </w:tc>
        <w:tc>
          <w:tcPr>
            <w:tcW w:w="100" w:type="dxa"/>
            <w:vAlign w:val="bottom"/>
            <w:shd w:val="clear" w:color="auto" w:fill="CFF2FA"/>
          </w:tcPr>
          <w:p>
            <w:pPr>
              <w:spacing w:after="0"/>
              <w:rPr>
                <w:sz w:val="9"/>
                <w:szCs w:val="9"/>
                <w:color w:val="auto"/>
              </w:rPr>
            </w:pPr>
          </w:p>
        </w:tc>
        <w:tc>
          <w:tcPr>
            <w:tcW w:w="1120" w:type="dxa"/>
            <w:vAlign w:val="bottom"/>
            <w:shd w:val="clear" w:color="auto" w:fill="CFF2FA"/>
          </w:tcPr>
          <w:p>
            <w:pPr>
              <w:jc w:val="right"/>
              <w:spacing w:after="0" w:line="108" w:lineRule="exact"/>
              <w:rPr>
                <w:sz w:val="20"/>
                <w:szCs w:val="20"/>
                <w:color w:val="auto"/>
              </w:rPr>
            </w:pPr>
            <w:r>
              <w:rPr>
                <w:rFonts w:ascii="Arial" w:cs="Arial" w:eastAsia="Arial" w:hAnsi="Arial"/>
                <w:sz w:val="10"/>
                <w:szCs w:val="10"/>
                <w:color w:val="auto"/>
              </w:rPr>
              <w:t>5,497</w:t>
            </w:r>
          </w:p>
        </w:tc>
        <w:tc>
          <w:tcPr>
            <w:tcW w:w="240" w:type="dxa"/>
            <w:vAlign w:val="bottom"/>
            <w:shd w:val="clear" w:color="auto" w:fill="CFF2FA"/>
          </w:tcPr>
          <w:p>
            <w:pPr>
              <w:spacing w:after="0"/>
              <w:rPr>
                <w:sz w:val="9"/>
                <w:szCs w:val="9"/>
                <w:color w:val="auto"/>
              </w:rPr>
            </w:pPr>
          </w:p>
        </w:tc>
        <w:tc>
          <w:tcPr>
            <w:tcW w:w="120" w:type="dxa"/>
            <w:vAlign w:val="bottom"/>
            <w:shd w:val="clear" w:color="auto" w:fill="CFF2FA"/>
          </w:tcPr>
          <w:p>
            <w:pPr>
              <w:spacing w:after="0"/>
              <w:rPr>
                <w:sz w:val="9"/>
                <w:szCs w:val="9"/>
                <w:color w:val="auto"/>
              </w:rPr>
            </w:pPr>
          </w:p>
        </w:tc>
        <w:tc>
          <w:tcPr>
            <w:tcW w:w="1180" w:type="dxa"/>
            <w:vAlign w:val="bottom"/>
            <w:shd w:val="clear" w:color="auto" w:fill="CFF2FA"/>
          </w:tcPr>
          <w:p>
            <w:pPr>
              <w:jc w:val="right"/>
              <w:spacing w:after="0" w:line="108" w:lineRule="exact"/>
              <w:rPr>
                <w:sz w:val="20"/>
                <w:szCs w:val="20"/>
                <w:color w:val="auto"/>
              </w:rPr>
            </w:pPr>
            <w:r>
              <w:rPr>
                <w:rFonts w:ascii="Arial" w:cs="Arial" w:eastAsia="Arial" w:hAnsi="Arial"/>
                <w:sz w:val="10"/>
                <w:szCs w:val="10"/>
                <w:color w:val="auto"/>
              </w:rPr>
              <w:t>6,025</w:t>
            </w:r>
          </w:p>
        </w:tc>
        <w:tc>
          <w:tcPr>
            <w:tcW w:w="260" w:type="dxa"/>
            <w:vAlign w:val="bottom"/>
            <w:shd w:val="clear" w:color="auto" w:fill="CFF2FA"/>
          </w:tcPr>
          <w:p>
            <w:pPr>
              <w:spacing w:after="0"/>
              <w:rPr>
                <w:sz w:val="9"/>
                <w:szCs w:val="9"/>
                <w:color w:val="auto"/>
              </w:rPr>
            </w:pPr>
          </w:p>
        </w:tc>
        <w:tc>
          <w:tcPr>
            <w:tcW w:w="960" w:type="dxa"/>
            <w:vAlign w:val="bottom"/>
            <w:shd w:val="clear" w:color="auto" w:fill="CFF2FA"/>
          </w:tcPr>
          <w:p>
            <w:pPr>
              <w:spacing w:after="0"/>
              <w:rPr>
                <w:sz w:val="9"/>
                <w:szCs w:val="9"/>
                <w:color w:val="auto"/>
              </w:rPr>
            </w:pPr>
          </w:p>
        </w:tc>
        <w:tc>
          <w:tcPr>
            <w:tcW w:w="180" w:type="dxa"/>
            <w:vAlign w:val="bottom"/>
            <w:shd w:val="clear" w:color="auto" w:fill="CFF2FA"/>
          </w:tcPr>
          <w:p>
            <w:pPr>
              <w:ind w:left="80"/>
              <w:spacing w:after="0" w:line="108" w:lineRule="exact"/>
              <w:rPr>
                <w:sz w:val="20"/>
                <w:szCs w:val="20"/>
                <w:color w:val="auto"/>
              </w:rPr>
            </w:pPr>
            <w:r>
              <w:rPr>
                <w:rFonts w:ascii="Arial" w:cs="Arial" w:eastAsia="Arial" w:hAnsi="Arial"/>
                <w:sz w:val="10"/>
                <w:szCs w:val="10"/>
                <w:color w:val="auto"/>
                <w:w w:val="79"/>
              </w:rPr>
              <w:t>—</w:t>
            </w:r>
          </w:p>
        </w:tc>
        <w:tc>
          <w:tcPr>
            <w:tcW w:w="240" w:type="dxa"/>
            <w:vAlign w:val="bottom"/>
            <w:shd w:val="clear" w:color="auto" w:fill="CFF2FA"/>
          </w:tcPr>
          <w:p>
            <w:pPr>
              <w:spacing w:after="0"/>
              <w:rPr>
                <w:sz w:val="9"/>
                <w:szCs w:val="9"/>
                <w:color w:val="auto"/>
              </w:rPr>
            </w:pPr>
          </w:p>
        </w:tc>
        <w:tc>
          <w:tcPr>
            <w:tcW w:w="880" w:type="dxa"/>
            <w:vAlign w:val="bottom"/>
            <w:shd w:val="clear" w:color="auto" w:fill="CFF2FA"/>
          </w:tcPr>
          <w:p>
            <w:pPr>
              <w:spacing w:after="0"/>
              <w:rPr>
                <w:sz w:val="9"/>
                <w:szCs w:val="9"/>
                <w:color w:val="auto"/>
              </w:rPr>
            </w:pPr>
          </w:p>
        </w:tc>
        <w:tc>
          <w:tcPr>
            <w:tcW w:w="500" w:type="dxa"/>
            <w:vAlign w:val="bottom"/>
            <w:gridSpan w:val="2"/>
            <w:shd w:val="clear" w:color="auto" w:fill="CFF2FA"/>
          </w:tcPr>
          <w:p>
            <w:pPr>
              <w:jc w:val="right"/>
              <w:ind w:right="200"/>
              <w:spacing w:after="0" w:line="108" w:lineRule="exact"/>
              <w:rPr>
                <w:sz w:val="20"/>
                <w:szCs w:val="20"/>
                <w:color w:val="auto"/>
              </w:rPr>
            </w:pPr>
            <w:r>
              <w:rPr>
                <w:rFonts w:ascii="Arial" w:cs="Arial" w:eastAsia="Arial" w:hAnsi="Arial"/>
                <w:sz w:val="10"/>
                <w:szCs w:val="10"/>
                <w:color w:val="auto"/>
                <w:w w:val="88"/>
              </w:rPr>
              <w:t>(5,301)</w:t>
            </w:r>
          </w:p>
        </w:tc>
        <w:tc>
          <w:tcPr>
            <w:tcW w:w="160" w:type="dxa"/>
            <w:vAlign w:val="bottom"/>
            <w:shd w:val="clear" w:color="auto" w:fill="CFF2FA"/>
          </w:tcPr>
          <w:p>
            <w:pPr>
              <w:spacing w:after="0"/>
              <w:rPr>
                <w:sz w:val="9"/>
                <w:szCs w:val="9"/>
                <w:color w:val="auto"/>
              </w:rPr>
            </w:pPr>
          </w:p>
        </w:tc>
        <w:tc>
          <w:tcPr>
            <w:tcW w:w="1000" w:type="dxa"/>
            <w:vAlign w:val="bottom"/>
            <w:shd w:val="clear" w:color="auto" w:fill="CFF2FA"/>
          </w:tcPr>
          <w:p>
            <w:pPr>
              <w:jc w:val="right"/>
              <w:spacing w:after="0" w:line="108" w:lineRule="exact"/>
              <w:rPr>
                <w:sz w:val="20"/>
                <w:szCs w:val="20"/>
                <w:color w:val="auto"/>
              </w:rPr>
            </w:pPr>
            <w:r>
              <w:rPr>
                <w:rFonts w:ascii="Arial" w:cs="Arial" w:eastAsia="Arial" w:hAnsi="Arial"/>
                <w:sz w:val="10"/>
                <w:szCs w:val="10"/>
                <w:color w:val="auto"/>
              </w:rPr>
              <w:t>6,221</w:t>
            </w:r>
          </w:p>
        </w:tc>
        <w:tc>
          <w:tcPr>
            <w:tcW w:w="120" w:type="dxa"/>
            <w:vAlign w:val="bottom"/>
            <w:shd w:val="clear" w:color="auto" w:fill="CFF2FA"/>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300" w:type="dxa"/>
            <w:vAlign w:val="bottom"/>
            <w:gridSpan w:val="2"/>
          </w:tcPr>
          <w:p>
            <w:pPr>
              <w:ind w:left="140"/>
              <w:spacing w:after="0" w:line="108" w:lineRule="exact"/>
              <w:rPr>
                <w:sz w:val="20"/>
                <w:szCs w:val="20"/>
                <w:color w:val="auto"/>
              </w:rPr>
            </w:pPr>
            <w:r>
              <w:rPr>
                <w:rFonts w:ascii="Arial" w:cs="Arial" w:eastAsia="Arial" w:hAnsi="Arial"/>
                <w:sz w:val="10"/>
                <w:szCs w:val="10"/>
                <w:color w:val="auto"/>
              </w:rPr>
              <w:t>Seven Months Ended December 31, 2017 (Successor)</w:t>
            </w: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tcPr>
          <w:p>
            <w:pPr>
              <w:jc w:val="right"/>
              <w:spacing w:after="0" w:line="108" w:lineRule="exact"/>
              <w:rPr>
                <w:sz w:val="20"/>
                <w:szCs w:val="20"/>
                <w:color w:val="auto"/>
              </w:rPr>
            </w:pPr>
            <w:r>
              <w:rPr>
                <w:rFonts w:ascii="Arial" w:cs="Arial" w:eastAsia="Arial" w:hAnsi="Arial"/>
                <w:sz w:val="10"/>
                <w:szCs w:val="10"/>
                <w:color w:val="auto"/>
              </w:rPr>
              <w:t>7,158</w:t>
            </w: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80" w:type="dxa"/>
            <w:vAlign w:val="bottom"/>
          </w:tcPr>
          <w:p>
            <w:pPr>
              <w:jc w:val="right"/>
              <w:spacing w:after="0" w:line="108" w:lineRule="exact"/>
              <w:rPr>
                <w:sz w:val="20"/>
                <w:szCs w:val="20"/>
                <w:color w:val="auto"/>
              </w:rPr>
            </w:pPr>
            <w:r>
              <w:rPr>
                <w:rFonts w:ascii="Arial" w:cs="Arial" w:eastAsia="Arial" w:hAnsi="Arial"/>
                <w:sz w:val="10"/>
                <w:szCs w:val="10"/>
                <w:color w:val="auto"/>
              </w:rPr>
              <w:t>3,776</w:t>
            </w:r>
          </w:p>
        </w:tc>
        <w:tc>
          <w:tcPr>
            <w:tcW w:w="2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80" w:type="dxa"/>
            <w:vAlign w:val="bottom"/>
          </w:tcPr>
          <w:p>
            <w:pPr>
              <w:ind w:left="80"/>
              <w:spacing w:after="0" w:line="108" w:lineRule="exact"/>
              <w:rPr>
                <w:sz w:val="20"/>
                <w:szCs w:val="20"/>
                <w:color w:val="auto"/>
              </w:rPr>
            </w:pPr>
            <w:r>
              <w:rPr>
                <w:rFonts w:ascii="Arial" w:cs="Arial" w:eastAsia="Arial" w:hAnsi="Arial"/>
                <w:sz w:val="10"/>
                <w:szCs w:val="10"/>
                <w:color w:val="auto"/>
                <w:w w:val="79"/>
              </w:rPr>
              <w:t>—</w:t>
            </w: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50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w w:val="88"/>
              </w:rPr>
              <w:t>(5,437)</w:t>
            </w:r>
          </w:p>
        </w:tc>
        <w:tc>
          <w:tcPr>
            <w:tcW w:w="160" w:type="dxa"/>
            <w:vAlign w:val="bottom"/>
          </w:tcPr>
          <w:p>
            <w:pPr>
              <w:spacing w:after="0"/>
              <w:rPr>
                <w:sz w:val="9"/>
                <w:szCs w:val="9"/>
                <w:color w:val="auto"/>
              </w:rPr>
            </w:pPr>
          </w:p>
        </w:tc>
        <w:tc>
          <w:tcPr>
            <w:tcW w:w="1000" w:type="dxa"/>
            <w:vAlign w:val="bottom"/>
          </w:tcPr>
          <w:p>
            <w:pPr>
              <w:jc w:val="right"/>
              <w:spacing w:after="0" w:line="108" w:lineRule="exact"/>
              <w:rPr>
                <w:sz w:val="20"/>
                <w:szCs w:val="20"/>
                <w:color w:val="auto"/>
              </w:rPr>
            </w:pPr>
            <w:r>
              <w:rPr>
                <w:rFonts w:ascii="Arial" w:cs="Arial" w:eastAsia="Arial" w:hAnsi="Arial"/>
                <w:sz w:val="10"/>
                <w:szCs w:val="10"/>
                <w:color w:val="auto"/>
              </w:rPr>
              <w:t>5,497</w:t>
            </w: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300" w:type="dxa"/>
            <w:vAlign w:val="bottom"/>
            <w:gridSpan w:val="2"/>
            <w:shd w:val="clear" w:color="auto" w:fill="CFF2FA"/>
          </w:tcPr>
          <w:p>
            <w:pPr>
              <w:ind w:left="140"/>
              <w:spacing w:after="0" w:line="108" w:lineRule="exact"/>
              <w:rPr>
                <w:sz w:val="20"/>
                <w:szCs w:val="20"/>
                <w:color w:val="auto"/>
              </w:rPr>
            </w:pPr>
            <w:r>
              <w:rPr>
                <w:rFonts w:ascii="Arial" w:cs="Arial" w:eastAsia="Arial" w:hAnsi="Arial"/>
                <w:sz w:val="10"/>
                <w:szCs w:val="10"/>
                <w:color w:val="auto"/>
              </w:rPr>
              <w:t>Five Months Ended May 31, 2017 (Predecessor)</w:t>
            </w:r>
          </w:p>
        </w:tc>
        <w:tc>
          <w:tcPr>
            <w:tcW w:w="1100" w:type="dxa"/>
            <w:vAlign w:val="bottom"/>
            <w:shd w:val="clear" w:color="auto" w:fill="CFF2FA"/>
          </w:tcPr>
          <w:p>
            <w:pPr>
              <w:spacing w:after="0"/>
              <w:rPr>
                <w:sz w:val="9"/>
                <w:szCs w:val="9"/>
                <w:color w:val="auto"/>
              </w:rPr>
            </w:pPr>
          </w:p>
        </w:tc>
        <w:tc>
          <w:tcPr>
            <w:tcW w:w="100" w:type="dxa"/>
            <w:vAlign w:val="bottom"/>
            <w:shd w:val="clear" w:color="auto" w:fill="CFF2FA"/>
          </w:tcPr>
          <w:p>
            <w:pPr>
              <w:spacing w:after="0"/>
              <w:rPr>
                <w:sz w:val="9"/>
                <w:szCs w:val="9"/>
                <w:color w:val="auto"/>
              </w:rPr>
            </w:pPr>
          </w:p>
        </w:tc>
        <w:tc>
          <w:tcPr>
            <w:tcW w:w="1120" w:type="dxa"/>
            <w:vAlign w:val="bottom"/>
            <w:shd w:val="clear" w:color="auto" w:fill="CFF2FA"/>
          </w:tcPr>
          <w:p>
            <w:pPr>
              <w:jc w:val="right"/>
              <w:spacing w:after="0" w:line="108" w:lineRule="exact"/>
              <w:rPr>
                <w:sz w:val="20"/>
                <w:szCs w:val="20"/>
                <w:color w:val="auto"/>
              </w:rPr>
            </w:pPr>
            <w:r>
              <w:rPr>
                <w:rFonts w:ascii="Arial" w:cs="Arial" w:eastAsia="Arial" w:hAnsi="Arial"/>
                <w:sz w:val="10"/>
                <w:szCs w:val="10"/>
                <w:color w:val="auto"/>
              </w:rPr>
              <w:t>6,431</w:t>
            </w:r>
          </w:p>
        </w:tc>
        <w:tc>
          <w:tcPr>
            <w:tcW w:w="240" w:type="dxa"/>
            <w:vAlign w:val="bottom"/>
            <w:shd w:val="clear" w:color="auto" w:fill="CFF2FA"/>
          </w:tcPr>
          <w:p>
            <w:pPr>
              <w:spacing w:after="0"/>
              <w:rPr>
                <w:sz w:val="9"/>
                <w:szCs w:val="9"/>
                <w:color w:val="auto"/>
              </w:rPr>
            </w:pPr>
          </w:p>
        </w:tc>
        <w:tc>
          <w:tcPr>
            <w:tcW w:w="120" w:type="dxa"/>
            <w:vAlign w:val="bottom"/>
            <w:shd w:val="clear" w:color="auto" w:fill="CFF2FA"/>
          </w:tcPr>
          <w:p>
            <w:pPr>
              <w:spacing w:after="0"/>
              <w:rPr>
                <w:sz w:val="9"/>
                <w:szCs w:val="9"/>
                <w:color w:val="auto"/>
              </w:rPr>
            </w:pPr>
          </w:p>
        </w:tc>
        <w:tc>
          <w:tcPr>
            <w:tcW w:w="1180" w:type="dxa"/>
            <w:vAlign w:val="bottom"/>
            <w:shd w:val="clear" w:color="auto" w:fill="CFF2FA"/>
          </w:tcPr>
          <w:p>
            <w:pPr>
              <w:jc w:val="right"/>
              <w:spacing w:after="0" w:line="108" w:lineRule="exact"/>
              <w:rPr>
                <w:sz w:val="20"/>
                <w:szCs w:val="20"/>
                <w:color w:val="auto"/>
              </w:rPr>
            </w:pPr>
            <w:r>
              <w:rPr>
                <w:rFonts w:ascii="Arial" w:cs="Arial" w:eastAsia="Arial" w:hAnsi="Arial"/>
                <w:sz w:val="10"/>
                <w:szCs w:val="10"/>
                <w:color w:val="auto"/>
              </w:rPr>
              <w:t>2,182</w:t>
            </w:r>
          </w:p>
        </w:tc>
        <w:tc>
          <w:tcPr>
            <w:tcW w:w="260" w:type="dxa"/>
            <w:vAlign w:val="bottom"/>
            <w:shd w:val="clear" w:color="auto" w:fill="CFF2FA"/>
          </w:tcPr>
          <w:p>
            <w:pPr>
              <w:spacing w:after="0"/>
              <w:rPr>
                <w:sz w:val="9"/>
                <w:szCs w:val="9"/>
                <w:color w:val="auto"/>
              </w:rPr>
            </w:pPr>
          </w:p>
        </w:tc>
        <w:tc>
          <w:tcPr>
            <w:tcW w:w="960" w:type="dxa"/>
            <w:vAlign w:val="bottom"/>
            <w:shd w:val="clear" w:color="auto" w:fill="CFF2FA"/>
          </w:tcPr>
          <w:p>
            <w:pPr>
              <w:spacing w:after="0"/>
              <w:rPr>
                <w:sz w:val="9"/>
                <w:szCs w:val="9"/>
                <w:color w:val="auto"/>
              </w:rPr>
            </w:pPr>
          </w:p>
        </w:tc>
        <w:tc>
          <w:tcPr>
            <w:tcW w:w="180" w:type="dxa"/>
            <w:vAlign w:val="bottom"/>
            <w:shd w:val="clear" w:color="auto" w:fill="CFF2FA"/>
          </w:tcPr>
          <w:p>
            <w:pPr>
              <w:ind w:left="80"/>
              <w:spacing w:after="0" w:line="108" w:lineRule="exact"/>
              <w:rPr>
                <w:sz w:val="20"/>
                <w:szCs w:val="20"/>
                <w:color w:val="auto"/>
              </w:rPr>
            </w:pPr>
            <w:r>
              <w:rPr>
                <w:rFonts w:ascii="Arial" w:cs="Arial" w:eastAsia="Arial" w:hAnsi="Arial"/>
                <w:sz w:val="10"/>
                <w:szCs w:val="10"/>
                <w:color w:val="auto"/>
                <w:w w:val="79"/>
              </w:rPr>
              <w:t>—</w:t>
            </w:r>
          </w:p>
        </w:tc>
        <w:tc>
          <w:tcPr>
            <w:tcW w:w="240" w:type="dxa"/>
            <w:vAlign w:val="bottom"/>
            <w:shd w:val="clear" w:color="auto" w:fill="CFF2FA"/>
          </w:tcPr>
          <w:p>
            <w:pPr>
              <w:spacing w:after="0"/>
              <w:rPr>
                <w:sz w:val="9"/>
                <w:szCs w:val="9"/>
                <w:color w:val="auto"/>
              </w:rPr>
            </w:pPr>
          </w:p>
        </w:tc>
        <w:tc>
          <w:tcPr>
            <w:tcW w:w="880" w:type="dxa"/>
            <w:vAlign w:val="bottom"/>
            <w:shd w:val="clear" w:color="auto" w:fill="CFF2FA"/>
          </w:tcPr>
          <w:p>
            <w:pPr>
              <w:spacing w:after="0"/>
              <w:rPr>
                <w:sz w:val="9"/>
                <w:szCs w:val="9"/>
                <w:color w:val="auto"/>
              </w:rPr>
            </w:pPr>
          </w:p>
        </w:tc>
        <w:tc>
          <w:tcPr>
            <w:tcW w:w="500" w:type="dxa"/>
            <w:vAlign w:val="bottom"/>
            <w:gridSpan w:val="2"/>
            <w:shd w:val="clear" w:color="auto" w:fill="CFF2FA"/>
          </w:tcPr>
          <w:p>
            <w:pPr>
              <w:jc w:val="right"/>
              <w:ind w:right="200"/>
              <w:spacing w:after="0" w:line="108" w:lineRule="exact"/>
              <w:rPr>
                <w:sz w:val="20"/>
                <w:szCs w:val="20"/>
                <w:color w:val="auto"/>
              </w:rPr>
            </w:pPr>
            <w:r>
              <w:rPr>
                <w:rFonts w:ascii="Arial" w:cs="Arial" w:eastAsia="Arial" w:hAnsi="Arial"/>
                <w:sz w:val="10"/>
                <w:szCs w:val="10"/>
                <w:color w:val="auto"/>
                <w:w w:val="88"/>
              </w:rPr>
              <w:t>(1,455)</w:t>
            </w:r>
          </w:p>
        </w:tc>
        <w:tc>
          <w:tcPr>
            <w:tcW w:w="160" w:type="dxa"/>
            <w:vAlign w:val="bottom"/>
            <w:shd w:val="clear" w:color="auto" w:fill="CFF2FA"/>
          </w:tcPr>
          <w:p>
            <w:pPr>
              <w:spacing w:after="0"/>
              <w:rPr>
                <w:sz w:val="9"/>
                <w:szCs w:val="9"/>
                <w:color w:val="auto"/>
              </w:rPr>
            </w:pPr>
          </w:p>
        </w:tc>
        <w:tc>
          <w:tcPr>
            <w:tcW w:w="1000" w:type="dxa"/>
            <w:vAlign w:val="bottom"/>
            <w:shd w:val="clear" w:color="auto" w:fill="CFF2FA"/>
          </w:tcPr>
          <w:p>
            <w:pPr>
              <w:jc w:val="right"/>
              <w:spacing w:after="0" w:line="108" w:lineRule="exact"/>
              <w:rPr>
                <w:sz w:val="20"/>
                <w:szCs w:val="20"/>
                <w:color w:val="auto"/>
              </w:rPr>
            </w:pPr>
            <w:r>
              <w:rPr>
                <w:rFonts w:ascii="Arial" w:cs="Arial" w:eastAsia="Arial" w:hAnsi="Arial"/>
                <w:sz w:val="10"/>
                <w:szCs w:val="10"/>
                <w:color w:val="auto"/>
              </w:rPr>
              <w:t>7,158</w:t>
            </w:r>
          </w:p>
        </w:tc>
        <w:tc>
          <w:tcPr>
            <w:tcW w:w="120" w:type="dxa"/>
            <w:vAlign w:val="bottom"/>
            <w:shd w:val="clear" w:color="auto" w:fill="CFF2FA"/>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540" w:type="dxa"/>
            <w:vAlign w:val="bottom"/>
          </w:tcPr>
          <w:p>
            <w:pPr>
              <w:spacing w:after="0"/>
              <w:rPr>
                <w:sz w:val="9"/>
                <w:szCs w:val="9"/>
                <w:color w:val="auto"/>
              </w:rPr>
            </w:pPr>
          </w:p>
        </w:tc>
        <w:tc>
          <w:tcPr>
            <w:tcW w:w="27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vMerge w:val="continue"/>
          </w:tcPr>
          <w:p>
            <w:pPr>
              <w:spacing w:after="0"/>
              <w:rPr>
                <w:sz w:val="9"/>
                <w:szCs w:val="9"/>
                <w:color w:val="auto"/>
              </w:rPr>
            </w:pPr>
          </w:p>
        </w:tc>
        <w:tc>
          <w:tcPr>
            <w:tcW w:w="3300" w:type="dxa"/>
            <w:vAlign w:val="bottom"/>
            <w:gridSpan w:val="2"/>
            <w:shd w:val="clear" w:color="auto" w:fill="CFF2FA"/>
          </w:tcPr>
          <w:p>
            <w:pPr>
              <w:spacing w:after="0" w:line="108" w:lineRule="exact"/>
              <w:rPr>
                <w:sz w:val="20"/>
                <w:szCs w:val="20"/>
                <w:color w:val="auto"/>
              </w:rPr>
            </w:pPr>
            <w:r>
              <w:rPr>
                <w:rFonts w:ascii="Arial" w:cs="Arial" w:eastAsia="Arial" w:hAnsi="Arial"/>
                <w:sz w:val="10"/>
                <w:szCs w:val="10"/>
                <w:b w:val="1"/>
                <w:bCs w:val="1"/>
                <w:color w:val="auto"/>
              </w:rPr>
              <w:t>Tax Valuation Allowance</w:t>
            </w:r>
          </w:p>
        </w:tc>
        <w:tc>
          <w:tcPr>
            <w:tcW w:w="1100" w:type="dxa"/>
            <w:vAlign w:val="bottom"/>
            <w:shd w:val="clear" w:color="auto" w:fill="CFF2FA"/>
          </w:tcPr>
          <w:p>
            <w:pPr>
              <w:spacing w:after="0"/>
              <w:rPr>
                <w:sz w:val="9"/>
                <w:szCs w:val="9"/>
                <w:color w:val="auto"/>
              </w:rPr>
            </w:pPr>
          </w:p>
        </w:tc>
        <w:tc>
          <w:tcPr>
            <w:tcW w:w="100" w:type="dxa"/>
            <w:vAlign w:val="bottom"/>
            <w:shd w:val="clear" w:color="auto" w:fill="CFF2FA"/>
          </w:tcPr>
          <w:p>
            <w:pPr>
              <w:spacing w:after="0"/>
              <w:rPr>
                <w:sz w:val="9"/>
                <w:szCs w:val="9"/>
                <w:color w:val="auto"/>
              </w:rPr>
            </w:pPr>
          </w:p>
        </w:tc>
        <w:tc>
          <w:tcPr>
            <w:tcW w:w="1120" w:type="dxa"/>
            <w:vAlign w:val="bottom"/>
            <w:shd w:val="clear" w:color="auto" w:fill="CFF2FA"/>
          </w:tcPr>
          <w:p>
            <w:pPr>
              <w:spacing w:after="0"/>
              <w:rPr>
                <w:sz w:val="9"/>
                <w:szCs w:val="9"/>
                <w:color w:val="auto"/>
              </w:rPr>
            </w:pPr>
          </w:p>
        </w:tc>
        <w:tc>
          <w:tcPr>
            <w:tcW w:w="240" w:type="dxa"/>
            <w:vAlign w:val="bottom"/>
            <w:shd w:val="clear" w:color="auto" w:fill="CFF2FA"/>
          </w:tcPr>
          <w:p>
            <w:pPr>
              <w:spacing w:after="0"/>
              <w:rPr>
                <w:sz w:val="9"/>
                <w:szCs w:val="9"/>
                <w:color w:val="auto"/>
              </w:rPr>
            </w:pPr>
          </w:p>
        </w:tc>
        <w:tc>
          <w:tcPr>
            <w:tcW w:w="120" w:type="dxa"/>
            <w:vAlign w:val="bottom"/>
            <w:shd w:val="clear" w:color="auto" w:fill="CFF2FA"/>
          </w:tcPr>
          <w:p>
            <w:pPr>
              <w:spacing w:after="0"/>
              <w:rPr>
                <w:sz w:val="9"/>
                <w:szCs w:val="9"/>
                <w:color w:val="auto"/>
              </w:rPr>
            </w:pPr>
          </w:p>
        </w:tc>
        <w:tc>
          <w:tcPr>
            <w:tcW w:w="1180" w:type="dxa"/>
            <w:vAlign w:val="bottom"/>
            <w:shd w:val="clear" w:color="auto" w:fill="CFF2FA"/>
          </w:tcPr>
          <w:p>
            <w:pPr>
              <w:spacing w:after="0"/>
              <w:rPr>
                <w:sz w:val="9"/>
                <w:szCs w:val="9"/>
                <w:color w:val="auto"/>
              </w:rPr>
            </w:pPr>
          </w:p>
        </w:tc>
        <w:tc>
          <w:tcPr>
            <w:tcW w:w="260" w:type="dxa"/>
            <w:vAlign w:val="bottom"/>
            <w:shd w:val="clear" w:color="auto" w:fill="CFF2FA"/>
          </w:tcPr>
          <w:p>
            <w:pPr>
              <w:spacing w:after="0"/>
              <w:rPr>
                <w:sz w:val="9"/>
                <w:szCs w:val="9"/>
                <w:color w:val="auto"/>
              </w:rPr>
            </w:pPr>
          </w:p>
        </w:tc>
        <w:tc>
          <w:tcPr>
            <w:tcW w:w="960" w:type="dxa"/>
            <w:vAlign w:val="bottom"/>
            <w:shd w:val="clear" w:color="auto" w:fill="CFF2FA"/>
          </w:tcPr>
          <w:p>
            <w:pPr>
              <w:spacing w:after="0"/>
              <w:rPr>
                <w:sz w:val="9"/>
                <w:szCs w:val="9"/>
                <w:color w:val="auto"/>
              </w:rPr>
            </w:pPr>
          </w:p>
        </w:tc>
        <w:tc>
          <w:tcPr>
            <w:tcW w:w="180" w:type="dxa"/>
            <w:vAlign w:val="bottom"/>
            <w:shd w:val="clear" w:color="auto" w:fill="CFF2FA"/>
          </w:tcPr>
          <w:p>
            <w:pPr>
              <w:spacing w:after="0"/>
              <w:rPr>
                <w:sz w:val="9"/>
                <w:szCs w:val="9"/>
                <w:color w:val="auto"/>
              </w:rPr>
            </w:pPr>
          </w:p>
        </w:tc>
        <w:tc>
          <w:tcPr>
            <w:tcW w:w="240" w:type="dxa"/>
            <w:vAlign w:val="bottom"/>
            <w:shd w:val="clear" w:color="auto" w:fill="CFF2FA"/>
          </w:tcPr>
          <w:p>
            <w:pPr>
              <w:spacing w:after="0"/>
              <w:rPr>
                <w:sz w:val="9"/>
                <w:szCs w:val="9"/>
                <w:color w:val="auto"/>
              </w:rPr>
            </w:pPr>
          </w:p>
        </w:tc>
        <w:tc>
          <w:tcPr>
            <w:tcW w:w="880" w:type="dxa"/>
            <w:vAlign w:val="bottom"/>
            <w:shd w:val="clear" w:color="auto" w:fill="CFF2FA"/>
          </w:tcPr>
          <w:p>
            <w:pPr>
              <w:spacing w:after="0"/>
              <w:rPr>
                <w:sz w:val="9"/>
                <w:szCs w:val="9"/>
                <w:color w:val="auto"/>
              </w:rPr>
            </w:pPr>
          </w:p>
        </w:tc>
        <w:tc>
          <w:tcPr>
            <w:tcW w:w="260" w:type="dxa"/>
            <w:vAlign w:val="bottom"/>
            <w:shd w:val="clear" w:color="auto" w:fill="CFF2FA"/>
          </w:tcPr>
          <w:p>
            <w:pPr>
              <w:spacing w:after="0"/>
              <w:rPr>
                <w:sz w:val="9"/>
                <w:szCs w:val="9"/>
                <w:color w:val="auto"/>
              </w:rPr>
            </w:pPr>
          </w:p>
        </w:tc>
        <w:tc>
          <w:tcPr>
            <w:tcW w:w="240" w:type="dxa"/>
            <w:vAlign w:val="bottom"/>
            <w:shd w:val="clear" w:color="auto" w:fill="CFF2FA"/>
          </w:tcPr>
          <w:p>
            <w:pPr>
              <w:spacing w:after="0"/>
              <w:rPr>
                <w:sz w:val="9"/>
                <w:szCs w:val="9"/>
                <w:color w:val="auto"/>
              </w:rPr>
            </w:pPr>
          </w:p>
        </w:tc>
        <w:tc>
          <w:tcPr>
            <w:tcW w:w="160" w:type="dxa"/>
            <w:vAlign w:val="bottom"/>
            <w:shd w:val="clear" w:color="auto" w:fill="CFF2FA"/>
          </w:tcPr>
          <w:p>
            <w:pPr>
              <w:spacing w:after="0"/>
              <w:rPr>
                <w:sz w:val="9"/>
                <w:szCs w:val="9"/>
                <w:color w:val="auto"/>
              </w:rPr>
            </w:pPr>
          </w:p>
        </w:tc>
        <w:tc>
          <w:tcPr>
            <w:tcW w:w="1000" w:type="dxa"/>
            <w:vAlign w:val="bottom"/>
            <w:shd w:val="clear" w:color="auto" w:fill="CFF2FA"/>
          </w:tcPr>
          <w:p>
            <w:pPr>
              <w:spacing w:after="0"/>
              <w:rPr>
                <w:sz w:val="9"/>
                <w:szCs w:val="9"/>
                <w:color w:val="auto"/>
              </w:rPr>
            </w:pPr>
          </w:p>
        </w:tc>
        <w:tc>
          <w:tcPr>
            <w:tcW w:w="120" w:type="dxa"/>
            <w:vAlign w:val="bottom"/>
            <w:shd w:val="clear" w:color="auto" w:fill="CFF2FA"/>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300" w:type="dxa"/>
            <w:vAlign w:val="bottom"/>
            <w:gridSpan w:val="2"/>
          </w:tcPr>
          <w:p>
            <w:pPr>
              <w:ind w:left="140"/>
              <w:spacing w:after="0" w:line="108" w:lineRule="exact"/>
              <w:rPr>
                <w:sz w:val="20"/>
                <w:szCs w:val="20"/>
                <w:color w:val="auto"/>
              </w:rPr>
            </w:pPr>
            <w:r>
              <w:rPr>
                <w:rFonts w:ascii="Arial" w:cs="Arial" w:eastAsia="Arial" w:hAnsi="Arial"/>
                <w:sz w:val="10"/>
                <w:szCs w:val="10"/>
                <w:color w:val="auto"/>
              </w:rPr>
              <w:t>Year Ended December 31, 2019</w:t>
            </w:r>
          </w:p>
        </w:tc>
        <w:tc>
          <w:tcPr>
            <w:tcW w:w="1200" w:type="dxa"/>
            <w:vAlign w:val="bottom"/>
            <w:gridSpan w:val="2"/>
          </w:tcPr>
          <w:p>
            <w:pPr>
              <w:jc w:val="right"/>
              <w:ind w:right="60"/>
              <w:spacing w:after="0" w:line="108" w:lineRule="exact"/>
              <w:rPr>
                <w:sz w:val="20"/>
                <w:szCs w:val="20"/>
                <w:color w:val="auto"/>
              </w:rPr>
            </w:pPr>
            <w:r>
              <w:rPr>
                <w:rFonts w:ascii="Arial" w:cs="Arial" w:eastAsia="Arial" w:hAnsi="Arial"/>
                <w:sz w:val="10"/>
                <w:szCs w:val="10"/>
                <w:color w:val="auto"/>
              </w:rPr>
              <w:t>$</w:t>
            </w:r>
          </w:p>
        </w:tc>
        <w:tc>
          <w:tcPr>
            <w:tcW w:w="1120" w:type="dxa"/>
            <w:vAlign w:val="bottom"/>
          </w:tcPr>
          <w:p>
            <w:pPr>
              <w:jc w:val="right"/>
              <w:spacing w:after="0" w:line="108" w:lineRule="exact"/>
              <w:rPr>
                <w:sz w:val="20"/>
                <w:szCs w:val="20"/>
                <w:color w:val="auto"/>
              </w:rPr>
            </w:pPr>
            <w:r>
              <w:rPr>
                <w:rFonts w:ascii="Arial" w:cs="Arial" w:eastAsia="Arial" w:hAnsi="Arial"/>
                <w:sz w:val="10"/>
                <w:szCs w:val="10"/>
                <w:color w:val="auto"/>
              </w:rPr>
              <w:t>2,254</w:t>
            </w:r>
          </w:p>
        </w:tc>
        <w:tc>
          <w:tcPr>
            <w:tcW w:w="360" w:type="dxa"/>
            <w:vAlign w:val="bottom"/>
            <w:gridSpan w:val="2"/>
          </w:tcPr>
          <w:p>
            <w:pPr>
              <w:jc w:val="right"/>
              <w:ind w:right="60"/>
              <w:spacing w:after="0" w:line="108" w:lineRule="exact"/>
              <w:rPr>
                <w:sz w:val="20"/>
                <w:szCs w:val="20"/>
                <w:color w:val="auto"/>
              </w:rPr>
            </w:pPr>
            <w:r>
              <w:rPr>
                <w:rFonts w:ascii="Arial" w:cs="Arial" w:eastAsia="Arial" w:hAnsi="Arial"/>
                <w:sz w:val="10"/>
                <w:szCs w:val="10"/>
                <w:color w:val="auto"/>
              </w:rPr>
              <w:t>$</w:t>
            </w:r>
          </w:p>
        </w:tc>
        <w:tc>
          <w:tcPr>
            <w:tcW w:w="1180" w:type="dxa"/>
            <w:vAlign w:val="bottom"/>
          </w:tcPr>
          <w:p>
            <w:pPr>
              <w:jc w:val="right"/>
              <w:spacing w:after="0" w:line="108" w:lineRule="exact"/>
              <w:rPr>
                <w:sz w:val="20"/>
                <w:szCs w:val="20"/>
                <w:color w:val="auto"/>
              </w:rPr>
            </w:pPr>
            <w:r>
              <w:rPr>
                <w:rFonts w:ascii="Arial" w:cs="Arial" w:eastAsia="Arial" w:hAnsi="Arial"/>
                <w:sz w:val="10"/>
                <w:szCs w:val="10"/>
                <w:color w:val="auto"/>
              </w:rPr>
              <w:t>310</w:t>
            </w:r>
          </w:p>
        </w:tc>
        <w:tc>
          <w:tcPr>
            <w:tcW w:w="1220" w:type="dxa"/>
            <w:vAlign w:val="bottom"/>
            <w:gridSpan w:val="2"/>
          </w:tcPr>
          <w:p>
            <w:pPr>
              <w:jc w:val="right"/>
              <w:ind w:right="878"/>
              <w:spacing w:after="0" w:line="108" w:lineRule="exact"/>
              <w:rPr>
                <w:sz w:val="20"/>
                <w:szCs w:val="20"/>
                <w:color w:val="auto"/>
              </w:rPr>
            </w:pPr>
            <w:r>
              <w:rPr>
                <w:rFonts w:ascii="Arial" w:cs="Arial" w:eastAsia="Arial" w:hAnsi="Arial"/>
                <w:sz w:val="10"/>
                <w:szCs w:val="10"/>
                <w:color w:val="auto"/>
              </w:rPr>
              <w:t>$</w:t>
            </w:r>
          </w:p>
        </w:tc>
        <w:tc>
          <w:tcPr>
            <w:tcW w:w="180" w:type="dxa"/>
            <w:vAlign w:val="bottom"/>
          </w:tcPr>
          <w:p>
            <w:pPr>
              <w:ind w:left="80"/>
              <w:spacing w:after="0" w:line="108" w:lineRule="exact"/>
              <w:rPr>
                <w:sz w:val="20"/>
                <w:szCs w:val="20"/>
                <w:color w:val="auto"/>
              </w:rPr>
            </w:pPr>
            <w:r>
              <w:rPr>
                <w:rFonts w:ascii="Arial" w:cs="Arial" w:eastAsia="Arial" w:hAnsi="Arial"/>
                <w:sz w:val="10"/>
                <w:szCs w:val="10"/>
                <w:color w:val="auto"/>
                <w:w w:val="79"/>
              </w:rPr>
              <w:t>—</w:t>
            </w:r>
          </w:p>
        </w:tc>
        <w:tc>
          <w:tcPr>
            <w:tcW w:w="1120" w:type="dxa"/>
            <w:vAlign w:val="bottom"/>
            <w:gridSpan w:val="2"/>
          </w:tcPr>
          <w:p>
            <w:pPr>
              <w:jc w:val="right"/>
              <w:ind w:right="798"/>
              <w:spacing w:after="0" w:line="108" w:lineRule="exact"/>
              <w:rPr>
                <w:sz w:val="20"/>
                <w:szCs w:val="20"/>
                <w:color w:val="auto"/>
              </w:rPr>
            </w:pPr>
            <w:r>
              <w:rPr>
                <w:rFonts w:ascii="Arial" w:cs="Arial" w:eastAsia="Arial" w:hAnsi="Arial"/>
                <w:sz w:val="10"/>
                <w:szCs w:val="10"/>
                <w:color w:val="auto"/>
              </w:rPr>
              <w:t>$</w:t>
            </w:r>
          </w:p>
        </w:tc>
        <w:tc>
          <w:tcPr>
            <w:tcW w:w="500" w:type="dxa"/>
            <w:vAlign w:val="bottom"/>
            <w:gridSpan w:val="2"/>
          </w:tcPr>
          <w:p>
            <w:pPr>
              <w:jc w:val="right"/>
              <w:ind w:right="240"/>
              <w:spacing w:after="0" w:line="108" w:lineRule="exact"/>
              <w:rPr>
                <w:sz w:val="20"/>
                <w:szCs w:val="20"/>
                <w:color w:val="auto"/>
              </w:rPr>
            </w:pPr>
            <w:r>
              <w:rPr>
                <w:rFonts w:ascii="Arial" w:cs="Arial" w:eastAsia="Arial" w:hAnsi="Arial"/>
                <w:sz w:val="10"/>
                <w:szCs w:val="10"/>
                <w:color w:val="auto"/>
              </w:rPr>
              <w:t>—</w:t>
            </w:r>
          </w:p>
        </w:tc>
        <w:tc>
          <w:tcPr>
            <w:tcW w:w="160" w:type="dxa"/>
            <w:vAlign w:val="bottom"/>
          </w:tcPr>
          <w:p>
            <w:pPr>
              <w:jc w:val="right"/>
              <w:ind w:right="52"/>
              <w:spacing w:after="0" w:line="108" w:lineRule="exact"/>
              <w:rPr>
                <w:sz w:val="20"/>
                <w:szCs w:val="20"/>
                <w:color w:val="auto"/>
              </w:rPr>
            </w:pPr>
            <w:r>
              <w:rPr>
                <w:rFonts w:ascii="Arial" w:cs="Arial" w:eastAsia="Arial" w:hAnsi="Arial"/>
                <w:sz w:val="10"/>
                <w:szCs w:val="10"/>
                <w:color w:val="auto"/>
                <w:w w:val="71"/>
              </w:rPr>
              <w:t>$</w:t>
            </w:r>
          </w:p>
        </w:tc>
        <w:tc>
          <w:tcPr>
            <w:tcW w:w="1000" w:type="dxa"/>
            <w:vAlign w:val="bottom"/>
          </w:tcPr>
          <w:p>
            <w:pPr>
              <w:jc w:val="right"/>
              <w:spacing w:after="0" w:line="108" w:lineRule="exact"/>
              <w:rPr>
                <w:sz w:val="20"/>
                <w:szCs w:val="20"/>
                <w:color w:val="auto"/>
              </w:rPr>
            </w:pPr>
            <w:r>
              <w:rPr>
                <w:rFonts w:ascii="Arial" w:cs="Arial" w:eastAsia="Arial" w:hAnsi="Arial"/>
                <w:sz w:val="10"/>
                <w:szCs w:val="10"/>
                <w:color w:val="auto"/>
              </w:rPr>
              <w:t>2,564</w:t>
            </w: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300" w:type="dxa"/>
            <w:vAlign w:val="bottom"/>
            <w:gridSpan w:val="2"/>
            <w:shd w:val="clear" w:color="auto" w:fill="CFF2FA"/>
          </w:tcPr>
          <w:p>
            <w:pPr>
              <w:ind w:left="140"/>
              <w:spacing w:after="0" w:line="108" w:lineRule="exact"/>
              <w:rPr>
                <w:sz w:val="20"/>
                <w:szCs w:val="20"/>
                <w:color w:val="auto"/>
              </w:rPr>
            </w:pPr>
            <w:r>
              <w:rPr>
                <w:rFonts w:ascii="Arial" w:cs="Arial" w:eastAsia="Arial" w:hAnsi="Arial"/>
                <w:sz w:val="10"/>
                <w:szCs w:val="10"/>
                <w:color w:val="auto"/>
              </w:rPr>
              <w:t>Year Ended December 31, 2018</w:t>
            </w:r>
          </w:p>
        </w:tc>
        <w:tc>
          <w:tcPr>
            <w:tcW w:w="1100" w:type="dxa"/>
            <w:vAlign w:val="bottom"/>
            <w:shd w:val="clear" w:color="auto" w:fill="CFF2FA"/>
          </w:tcPr>
          <w:p>
            <w:pPr>
              <w:spacing w:after="0"/>
              <w:rPr>
                <w:sz w:val="9"/>
                <w:szCs w:val="9"/>
                <w:color w:val="auto"/>
              </w:rPr>
            </w:pPr>
          </w:p>
        </w:tc>
        <w:tc>
          <w:tcPr>
            <w:tcW w:w="100" w:type="dxa"/>
            <w:vAlign w:val="bottom"/>
            <w:shd w:val="clear" w:color="auto" w:fill="CFF2FA"/>
          </w:tcPr>
          <w:p>
            <w:pPr>
              <w:spacing w:after="0"/>
              <w:rPr>
                <w:sz w:val="9"/>
                <w:szCs w:val="9"/>
                <w:color w:val="auto"/>
              </w:rPr>
            </w:pPr>
          </w:p>
        </w:tc>
        <w:tc>
          <w:tcPr>
            <w:tcW w:w="1120" w:type="dxa"/>
            <w:vAlign w:val="bottom"/>
            <w:shd w:val="clear" w:color="auto" w:fill="CFF2FA"/>
          </w:tcPr>
          <w:p>
            <w:pPr>
              <w:jc w:val="right"/>
              <w:spacing w:after="0" w:line="108" w:lineRule="exact"/>
              <w:rPr>
                <w:sz w:val="20"/>
                <w:szCs w:val="20"/>
                <w:color w:val="auto"/>
              </w:rPr>
            </w:pPr>
            <w:r>
              <w:rPr>
                <w:rFonts w:ascii="Arial" w:cs="Arial" w:eastAsia="Arial" w:hAnsi="Arial"/>
                <w:sz w:val="10"/>
                <w:szCs w:val="10"/>
                <w:color w:val="auto"/>
              </w:rPr>
              <w:t>105</w:t>
            </w:r>
          </w:p>
        </w:tc>
        <w:tc>
          <w:tcPr>
            <w:tcW w:w="240" w:type="dxa"/>
            <w:vAlign w:val="bottom"/>
            <w:shd w:val="clear" w:color="auto" w:fill="CFF2FA"/>
          </w:tcPr>
          <w:p>
            <w:pPr>
              <w:spacing w:after="0"/>
              <w:rPr>
                <w:sz w:val="9"/>
                <w:szCs w:val="9"/>
                <w:color w:val="auto"/>
              </w:rPr>
            </w:pPr>
          </w:p>
        </w:tc>
        <w:tc>
          <w:tcPr>
            <w:tcW w:w="120" w:type="dxa"/>
            <w:vAlign w:val="bottom"/>
            <w:shd w:val="clear" w:color="auto" w:fill="CFF2FA"/>
          </w:tcPr>
          <w:p>
            <w:pPr>
              <w:spacing w:after="0"/>
              <w:rPr>
                <w:sz w:val="9"/>
                <w:szCs w:val="9"/>
                <w:color w:val="auto"/>
              </w:rPr>
            </w:pPr>
          </w:p>
        </w:tc>
        <w:tc>
          <w:tcPr>
            <w:tcW w:w="1180" w:type="dxa"/>
            <w:vAlign w:val="bottom"/>
            <w:shd w:val="clear" w:color="auto" w:fill="CFF2FA"/>
          </w:tcPr>
          <w:p>
            <w:pPr>
              <w:jc w:val="right"/>
              <w:spacing w:after="0" w:line="108" w:lineRule="exact"/>
              <w:rPr>
                <w:sz w:val="20"/>
                <w:szCs w:val="20"/>
                <w:color w:val="auto"/>
              </w:rPr>
            </w:pPr>
            <w:r>
              <w:rPr>
                <w:rFonts w:ascii="Arial" w:cs="Arial" w:eastAsia="Arial" w:hAnsi="Arial"/>
                <w:sz w:val="10"/>
                <w:szCs w:val="10"/>
                <w:color w:val="auto"/>
              </w:rPr>
              <w:t>2,149</w:t>
            </w:r>
          </w:p>
        </w:tc>
        <w:tc>
          <w:tcPr>
            <w:tcW w:w="260" w:type="dxa"/>
            <w:vAlign w:val="bottom"/>
            <w:shd w:val="clear" w:color="auto" w:fill="CFF2FA"/>
          </w:tcPr>
          <w:p>
            <w:pPr>
              <w:spacing w:after="0"/>
              <w:rPr>
                <w:sz w:val="9"/>
                <w:szCs w:val="9"/>
                <w:color w:val="auto"/>
              </w:rPr>
            </w:pPr>
          </w:p>
        </w:tc>
        <w:tc>
          <w:tcPr>
            <w:tcW w:w="960" w:type="dxa"/>
            <w:vAlign w:val="bottom"/>
            <w:shd w:val="clear" w:color="auto" w:fill="CFF2FA"/>
          </w:tcPr>
          <w:p>
            <w:pPr>
              <w:spacing w:after="0"/>
              <w:rPr>
                <w:sz w:val="9"/>
                <w:szCs w:val="9"/>
                <w:color w:val="auto"/>
              </w:rPr>
            </w:pPr>
          </w:p>
        </w:tc>
        <w:tc>
          <w:tcPr>
            <w:tcW w:w="180" w:type="dxa"/>
            <w:vAlign w:val="bottom"/>
            <w:shd w:val="clear" w:color="auto" w:fill="CFF2FA"/>
          </w:tcPr>
          <w:p>
            <w:pPr>
              <w:ind w:left="80"/>
              <w:spacing w:after="0" w:line="108" w:lineRule="exact"/>
              <w:rPr>
                <w:sz w:val="20"/>
                <w:szCs w:val="20"/>
                <w:color w:val="auto"/>
              </w:rPr>
            </w:pPr>
            <w:r>
              <w:rPr>
                <w:rFonts w:ascii="Arial" w:cs="Arial" w:eastAsia="Arial" w:hAnsi="Arial"/>
                <w:sz w:val="10"/>
                <w:szCs w:val="10"/>
                <w:color w:val="auto"/>
                <w:w w:val="79"/>
              </w:rPr>
              <w:t>—</w:t>
            </w:r>
          </w:p>
        </w:tc>
        <w:tc>
          <w:tcPr>
            <w:tcW w:w="240" w:type="dxa"/>
            <w:vAlign w:val="bottom"/>
            <w:shd w:val="clear" w:color="auto" w:fill="CFF2FA"/>
          </w:tcPr>
          <w:p>
            <w:pPr>
              <w:spacing w:after="0"/>
              <w:rPr>
                <w:sz w:val="9"/>
                <w:szCs w:val="9"/>
                <w:color w:val="auto"/>
              </w:rPr>
            </w:pPr>
          </w:p>
        </w:tc>
        <w:tc>
          <w:tcPr>
            <w:tcW w:w="880" w:type="dxa"/>
            <w:vAlign w:val="bottom"/>
            <w:shd w:val="clear" w:color="auto" w:fill="CFF2FA"/>
          </w:tcPr>
          <w:p>
            <w:pPr>
              <w:spacing w:after="0"/>
              <w:rPr>
                <w:sz w:val="9"/>
                <w:szCs w:val="9"/>
                <w:color w:val="auto"/>
              </w:rPr>
            </w:pPr>
          </w:p>
        </w:tc>
        <w:tc>
          <w:tcPr>
            <w:tcW w:w="500" w:type="dxa"/>
            <w:vAlign w:val="bottom"/>
            <w:gridSpan w:val="2"/>
            <w:shd w:val="clear" w:color="auto" w:fill="CFF2FA"/>
          </w:tcPr>
          <w:p>
            <w:pPr>
              <w:jc w:val="right"/>
              <w:ind w:right="240"/>
              <w:spacing w:after="0" w:line="108" w:lineRule="exact"/>
              <w:rPr>
                <w:sz w:val="20"/>
                <w:szCs w:val="20"/>
                <w:color w:val="auto"/>
              </w:rPr>
            </w:pPr>
            <w:r>
              <w:rPr>
                <w:rFonts w:ascii="Arial" w:cs="Arial" w:eastAsia="Arial" w:hAnsi="Arial"/>
                <w:sz w:val="10"/>
                <w:szCs w:val="10"/>
                <w:color w:val="auto"/>
              </w:rPr>
              <w:t>—</w:t>
            </w:r>
          </w:p>
        </w:tc>
        <w:tc>
          <w:tcPr>
            <w:tcW w:w="160" w:type="dxa"/>
            <w:vAlign w:val="bottom"/>
            <w:shd w:val="clear" w:color="auto" w:fill="CFF2FA"/>
          </w:tcPr>
          <w:p>
            <w:pPr>
              <w:spacing w:after="0"/>
              <w:rPr>
                <w:sz w:val="9"/>
                <w:szCs w:val="9"/>
                <w:color w:val="auto"/>
              </w:rPr>
            </w:pPr>
          </w:p>
        </w:tc>
        <w:tc>
          <w:tcPr>
            <w:tcW w:w="1000" w:type="dxa"/>
            <w:vAlign w:val="bottom"/>
            <w:shd w:val="clear" w:color="auto" w:fill="CFF2FA"/>
          </w:tcPr>
          <w:p>
            <w:pPr>
              <w:jc w:val="right"/>
              <w:spacing w:after="0" w:line="108" w:lineRule="exact"/>
              <w:rPr>
                <w:sz w:val="20"/>
                <w:szCs w:val="20"/>
                <w:color w:val="auto"/>
              </w:rPr>
            </w:pPr>
            <w:r>
              <w:rPr>
                <w:rFonts w:ascii="Arial" w:cs="Arial" w:eastAsia="Arial" w:hAnsi="Arial"/>
                <w:sz w:val="10"/>
                <w:szCs w:val="10"/>
                <w:color w:val="auto"/>
              </w:rPr>
              <w:t>2,254</w:t>
            </w:r>
          </w:p>
        </w:tc>
        <w:tc>
          <w:tcPr>
            <w:tcW w:w="120" w:type="dxa"/>
            <w:vAlign w:val="bottom"/>
            <w:shd w:val="clear" w:color="auto" w:fill="CFF2FA"/>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300" w:type="dxa"/>
            <w:vAlign w:val="bottom"/>
            <w:gridSpan w:val="2"/>
          </w:tcPr>
          <w:p>
            <w:pPr>
              <w:ind w:left="140"/>
              <w:spacing w:after="0" w:line="108" w:lineRule="exact"/>
              <w:rPr>
                <w:sz w:val="20"/>
                <w:szCs w:val="20"/>
                <w:color w:val="auto"/>
              </w:rPr>
            </w:pPr>
            <w:r>
              <w:rPr>
                <w:rFonts w:ascii="Arial" w:cs="Arial" w:eastAsia="Arial" w:hAnsi="Arial"/>
                <w:sz w:val="10"/>
                <w:szCs w:val="10"/>
                <w:color w:val="auto"/>
              </w:rPr>
              <w:t>Seven Months Ended December 31, 2017 (Successor)</w:t>
            </w: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tcPr>
          <w:p>
            <w:pPr>
              <w:jc w:val="right"/>
              <w:spacing w:after="0" w:line="108" w:lineRule="exact"/>
              <w:rPr>
                <w:sz w:val="20"/>
                <w:szCs w:val="20"/>
                <w:color w:val="auto"/>
              </w:rPr>
            </w:pPr>
            <w:r>
              <w:rPr>
                <w:rFonts w:ascii="Arial" w:cs="Arial" w:eastAsia="Arial" w:hAnsi="Arial"/>
                <w:sz w:val="10"/>
                <w:szCs w:val="10"/>
                <w:color w:val="auto"/>
              </w:rPr>
              <w:t>86</w:t>
            </w: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80" w:type="dxa"/>
            <w:vAlign w:val="bottom"/>
          </w:tcPr>
          <w:p>
            <w:pPr>
              <w:jc w:val="right"/>
              <w:spacing w:after="0" w:line="108" w:lineRule="exact"/>
              <w:rPr>
                <w:sz w:val="20"/>
                <w:szCs w:val="20"/>
                <w:color w:val="auto"/>
              </w:rPr>
            </w:pPr>
            <w:r>
              <w:rPr>
                <w:rFonts w:ascii="Arial" w:cs="Arial" w:eastAsia="Arial" w:hAnsi="Arial"/>
                <w:sz w:val="10"/>
                <w:szCs w:val="10"/>
                <w:color w:val="auto"/>
              </w:rPr>
              <w:t>19</w:t>
            </w:r>
          </w:p>
        </w:tc>
        <w:tc>
          <w:tcPr>
            <w:tcW w:w="2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80" w:type="dxa"/>
            <w:vAlign w:val="bottom"/>
          </w:tcPr>
          <w:p>
            <w:pPr>
              <w:ind w:left="80"/>
              <w:spacing w:after="0" w:line="108" w:lineRule="exact"/>
              <w:rPr>
                <w:sz w:val="20"/>
                <w:szCs w:val="20"/>
                <w:color w:val="auto"/>
              </w:rPr>
            </w:pPr>
            <w:r>
              <w:rPr>
                <w:rFonts w:ascii="Arial" w:cs="Arial" w:eastAsia="Arial" w:hAnsi="Arial"/>
                <w:sz w:val="10"/>
                <w:szCs w:val="10"/>
                <w:color w:val="auto"/>
                <w:w w:val="79"/>
              </w:rPr>
              <w:t>—</w:t>
            </w: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500" w:type="dxa"/>
            <w:vAlign w:val="bottom"/>
            <w:gridSpan w:val="2"/>
          </w:tcPr>
          <w:p>
            <w:pPr>
              <w:jc w:val="right"/>
              <w:ind w:right="240"/>
              <w:spacing w:after="0" w:line="108" w:lineRule="exact"/>
              <w:rPr>
                <w:sz w:val="20"/>
                <w:szCs w:val="20"/>
                <w:color w:val="auto"/>
              </w:rPr>
            </w:pPr>
            <w:r>
              <w:rPr>
                <w:rFonts w:ascii="Arial" w:cs="Arial" w:eastAsia="Arial" w:hAnsi="Arial"/>
                <w:sz w:val="10"/>
                <w:szCs w:val="10"/>
                <w:color w:val="auto"/>
              </w:rPr>
              <w:t>—</w:t>
            </w:r>
          </w:p>
        </w:tc>
        <w:tc>
          <w:tcPr>
            <w:tcW w:w="160" w:type="dxa"/>
            <w:vAlign w:val="bottom"/>
          </w:tcPr>
          <w:p>
            <w:pPr>
              <w:spacing w:after="0"/>
              <w:rPr>
                <w:sz w:val="9"/>
                <w:szCs w:val="9"/>
                <w:color w:val="auto"/>
              </w:rPr>
            </w:pPr>
          </w:p>
        </w:tc>
        <w:tc>
          <w:tcPr>
            <w:tcW w:w="1000" w:type="dxa"/>
            <w:vAlign w:val="bottom"/>
          </w:tcPr>
          <w:p>
            <w:pPr>
              <w:jc w:val="right"/>
              <w:spacing w:after="0" w:line="108" w:lineRule="exact"/>
              <w:rPr>
                <w:sz w:val="20"/>
                <w:szCs w:val="20"/>
                <w:color w:val="auto"/>
              </w:rPr>
            </w:pPr>
            <w:r>
              <w:rPr>
                <w:rFonts w:ascii="Arial" w:cs="Arial" w:eastAsia="Arial" w:hAnsi="Arial"/>
                <w:sz w:val="10"/>
                <w:szCs w:val="10"/>
                <w:color w:val="auto"/>
              </w:rPr>
              <w:t>105</w:t>
            </w: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300" w:type="dxa"/>
            <w:vAlign w:val="bottom"/>
            <w:gridSpan w:val="2"/>
            <w:shd w:val="clear" w:color="auto" w:fill="CFF2FA"/>
          </w:tcPr>
          <w:p>
            <w:pPr>
              <w:ind w:left="140"/>
              <w:spacing w:after="0" w:line="108" w:lineRule="exact"/>
              <w:rPr>
                <w:sz w:val="20"/>
                <w:szCs w:val="20"/>
                <w:color w:val="auto"/>
              </w:rPr>
            </w:pPr>
            <w:r>
              <w:rPr>
                <w:rFonts w:ascii="Arial" w:cs="Arial" w:eastAsia="Arial" w:hAnsi="Arial"/>
                <w:sz w:val="10"/>
                <w:szCs w:val="10"/>
                <w:color w:val="auto"/>
              </w:rPr>
              <w:t>Five Months Ended May 31, 2017 (Predecessor)</w:t>
            </w:r>
          </w:p>
        </w:tc>
        <w:tc>
          <w:tcPr>
            <w:tcW w:w="1100" w:type="dxa"/>
            <w:vAlign w:val="bottom"/>
            <w:shd w:val="clear" w:color="auto" w:fill="CFF2FA"/>
          </w:tcPr>
          <w:p>
            <w:pPr>
              <w:spacing w:after="0"/>
              <w:rPr>
                <w:sz w:val="9"/>
                <w:szCs w:val="9"/>
                <w:color w:val="auto"/>
              </w:rPr>
            </w:pPr>
          </w:p>
        </w:tc>
        <w:tc>
          <w:tcPr>
            <w:tcW w:w="100" w:type="dxa"/>
            <w:vAlign w:val="bottom"/>
            <w:shd w:val="clear" w:color="auto" w:fill="CFF2FA"/>
          </w:tcPr>
          <w:p>
            <w:pPr>
              <w:spacing w:after="0"/>
              <w:rPr>
                <w:sz w:val="9"/>
                <w:szCs w:val="9"/>
                <w:color w:val="auto"/>
              </w:rPr>
            </w:pPr>
          </w:p>
        </w:tc>
        <w:tc>
          <w:tcPr>
            <w:tcW w:w="1120" w:type="dxa"/>
            <w:vAlign w:val="bottom"/>
            <w:shd w:val="clear" w:color="auto" w:fill="CFF2FA"/>
          </w:tcPr>
          <w:p>
            <w:pPr>
              <w:jc w:val="right"/>
              <w:spacing w:after="0" w:line="108" w:lineRule="exact"/>
              <w:rPr>
                <w:sz w:val="20"/>
                <w:szCs w:val="20"/>
                <w:color w:val="auto"/>
              </w:rPr>
            </w:pPr>
            <w:r>
              <w:rPr>
                <w:rFonts w:ascii="Arial" w:cs="Arial" w:eastAsia="Arial" w:hAnsi="Arial"/>
                <w:sz w:val="10"/>
                <w:szCs w:val="10"/>
                <w:color w:val="auto"/>
              </w:rPr>
              <w:t>86</w:t>
            </w:r>
          </w:p>
        </w:tc>
        <w:tc>
          <w:tcPr>
            <w:tcW w:w="240" w:type="dxa"/>
            <w:vAlign w:val="bottom"/>
            <w:shd w:val="clear" w:color="auto" w:fill="CFF2FA"/>
          </w:tcPr>
          <w:p>
            <w:pPr>
              <w:spacing w:after="0"/>
              <w:rPr>
                <w:sz w:val="9"/>
                <w:szCs w:val="9"/>
                <w:color w:val="auto"/>
              </w:rPr>
            </w:pPr>
          </w:p>
        </w:tc>
        <w:tc>
          <w:tcPr>
            <w:tcW w:w="120" w:type="dxa"/>
            <w:vAlign w:val="bottom"/>
            <w:shd w:val="clear" w:color="auto" w:fill="CFF2FA"/>
          </w:tcPr>
          <w:p>
            <w:pPr>
              <w:spacing w:after="0"/>
              <w:rPr>
                <w:sz w:val="9"/>
                <w:szCs w:val="9"/>
                <w:color w:val="auto"/>
              </w:rPr>
            </w:pPr>
          </w:p>
        </w:tc>
        <w:tc>
          <w:tcPr>
            <w:tcW w:w="1180" w:type="dxa"/>
            <w:vAlign w:val="bottom"/>
            <w:shd w:val="clear" w:color="auto" w:fill="CFF2FA"/>
          </w:tcPr>
          <w:p>
            <w:pPr>
              <w:jc w:val="right"/>
              <w:spacing w:after="0" w:line="108" w:lineRule="exact"/>
              <w:rPr>
                <w:sz w:val="20"/>
                <w:szCs w:val="20"/>
                <w:color w:val="auto"/>
              </w:rPr>
            </w:pPr>
            <w:r>
              <w:rPr>
                <w:rFonts w:ascii="Arial" w:cs="Arial" w:eastAsia="Arial" w:hAnsi="Arial"/>
                <w:sz w:val="10"/>
                <w:szCs w:val="10"/>
                <w:color w:val="auto"/>
              </w:rPr>
              <w:t>—</w:t>
            </w:r>
          </w:p>
        </w:tc>
        <w:tc>
          <w:tcPr>
            <w:tcW w:w="260" w:type="dxa"/>
            <w:vAlign w:val="bottom"/>
            <w:shd w:val="clear" w:color="auto" w:fill="CFF2FA"/>
          </w:tcPr>
          <w:p>
            <w:pPr>
              <w:spacing w:after="0"/>
              <w:rPr>
                <w:sz w:val="9"/>
                <w:szCs w:val="9"/>
                <w:color w:val="auto"/>
              </w:rPr>
            </w:pPr>
          </w:p>
        </w:tc>
        <w:tc>
          <w:tcPr>
            <w:tcW w:w="960" w:type="dxa"/>
            <w:vAlign w:val="bottom"/>
            <w:shd w:val="clear" w:color="auto" w:fill="CFF2FA"/>
          </w:tcPr>
          <w:p>
            <w:pPr>
              <w:spacing w:after="0"/>
              <w:rPr>
                <w:sz w:val="9"/>
                <w:szCs w:val="9"/>
                <w:color w:val="auto"/>
              </w:rPr>
            </w:pPr>
          </w:p>
        </w:tc>
        <w:tc>
          <w:tcPr>
            <w:tcW w:w="180" w:type="dxa"/>
            <w:vAlign w:val="bottom"/>
            <w:shd w:val="clear" w:color="auto" w:fill="CFF2FA"/>
          </w:tcPr>
          <w:p>
            <w:pPr>
              <w:ind w:left="80"/>
              <w:spacing w:after="0" w:line="108" w:lineRule="exact"/>
              <w:rPr>
                <w:sz w:val="20"/>
                <w:szCs w:val="20"/>
                <w:color w:val="auto"/>
              </w:rPr>
            </w:pPr>
            <w:r>
              <w:rPr>
                <w:rFonts w:ascii="Arial" w:cs="Arial" w:eastAsia="Arial" w:hAnsi="Arial"/>
                <w:sz w:val="10"/>
                <w:szCs w:val="10"/>
                <w:color w:val="auto"/>
                <w:w w:val="79"/>
              </w:rPr>
              <w:t>—</w:t>
            </w:r>
          </w:p>
        </w:tc>
        <w:tc>
          <w:tcPr>
            <w:tcW w:w="240" w:type="dxa"/>
            <w:vAlign w:val="bottom"/>
            <w:shd w:val="clear" w:color="auto" w:fill="CFF2FA"/>
          </w:tcPr>
          <w:p>
            <w:pPr>
              <w:spacing w:after="0"/>
              <w:rPr>
                <w:sz w:val="9"/>
                <w:szCs w:val="9"/>
                <w:color w:val="auto"/>
              </w:rPr>
            </w:pPr>
          </w:p>
        </w:tc>
        <w:tc>
          <w:tcPr>
            <w:tcW w:w="880" w:type="dxa"/>
            <w:vAlign w:val="bottom"/>
            <w:shd w:val="clear" w:color="auto" w:fill="CFF2FA"/>
          </w:tcPr>
          <w:p>
            <w:pPr>
              <w:spacing w:after="0"/>
              <w:rPr>
                <w:sz w:val="9"/>
                <w:szCs w:val="9"/>
                <w:color w:val="auto"/>
              </w:rPr>
            </w:pPr>
          </w:p>
        </w:tc>
        <w:tc>
          <w:tcPr>
            <w:tcW w:w="500" w:type="dxa"/>
            <w:vAlign w:val="bottom"/>
            <w:gridSpan w:val="2"/>
            <w:shd w:val="clear" w:color="auto" w:fill="CFF2FA"/>
          </w:tcPr>
          <w:p>
            <w:pPr>
              <w:jc w:val="right"/>
              <w:ind w:right="240"/>
              <w:spacing w:after="0" w:line="108" w:lineRule="exact"/>
              <w:rPr>
                <w:sz w:val="20"/>
                <w:szCs w:val="20"/>
                <w:color w:val="auto"/>
              </w:rPr>
            </w:pPr>
            <w:r>
              <w:rPr>
                <w:rFonts w:ascii="Arial" w:cs="Arial" w:eastAsia="Arial" w:hAnsi="Arial"/>
                <w:sz w:val="10"/>
                <w:szCs w:val="10"/>
                <w:color w:val="auto"/>
              </w:rPr>
              <w:t>—</w:t>
            </w:r>
          </w:p>
        </w:tc>
        <w:tc>
          <w:tcPr>
            <w:tcW w:w="160" w:type="dxa"/>
            <w:vAlign w:val="bottom"/>
            <w:shd w:val="clear" w:color="auto" w:fill="CFF2FA"/>
          </w:tcPr>
          <w:p>
            <w:pPr>
              <w:spacing w:after="0"/>
              <w:rPr>
                <w:sz w:val="9"/>
                <w:szCs w:val="9"/>
                <w:color w:val="auto"/>
              </w:rPr>
            </w:pPr>
          </w:p>
        </w:tc>
        <w:tc>
          <w:tcPr>
            <w:tcW w:w="1000" w:type="dxa"/>
            <w:vAlign w:val="bottom"/>
            <w:shd w:val="clear" w:color="auto" w:fill="CFF2FA"/>
          </w:tcPr>
          <w:p>
            <w:pPr>
              <w:jc w:val="right"/>
              <w:spacing w:after="0" w:line="108" w:lineRule="exact"/>
              <w:rPr>
                <w:sz w:val="20"/>
                <w:szCs w:val="20"/>
                <w:color w:val="auto"/>
              </w:rPr>
            </w:pPr>
            <w:r>
              <w:rPr>
                <w:rFonts w:ascii="Arial" w:cs="Arial" w:eastAsia="Arial" w:hAnsi="Arial"/>
                <w:sz w:val="10"/>
                <w:szCs w:val="10"/>
                <w:color w:val="auto"/>
              </w:rPr>
              <w:t>86</w:t>
            </w:r>
          </w:p>
        </w:tc>
        <w:tc>
          <w:tcPr>
            <w:tcW w:w="120" w:type="dxa"/>
            <w:vAlign w:val="bottom"/>
            <w:shd w:val="clear" w:color="auto" w:fill="CFF2FA"/>
          </w:tcPr>
          <w:p>
            <w:pPr>
              <w:spacing w:after="0"/>
              <w:rPr>
                <w:sz w:val="9"/>
                <w:szCs w:val="9"/>
                <w:color w:val="auto"/>
              </w:rPr>
            </w:pPr>
          </w:p>
        </w:tc>
        <w:tc>
          <w:tcPr>
            <w:tcW w:w="0" w:type="dxa"/>
            <w:vAlign w:val="bottom"/>
          </w:tcPr>
          <w:p>
            <w:pPr>
              <w:spacing w:after="0"/>
              <w:rPr>
                <w:sz w:val="1"/>
                <w:szCs w:val="1"/>
                <w:color w:val="auto"/>
              </w:rPr>
            </w:pPr>
          </w:p>
        </w:tc>
      </w:tr>
    </w:tbl>
    <w:p>
      <w:pPr>
        <w:spacing w:after="0" w:line="297"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119</w:t>
      </w:r>
    </w:p>
    <w:p>
      <w:pPr>
        <w:sectPr>
          <w:pgSz w:w="11900" w:h="16838" w:orient="portrait"/>
          <w:cols w:equalWidth="0" w:num="1">
            <w:col w:w="11480"/>
          </w:cols>
          <w:pgMar w:left="220" w:top="271" w:right="199" w:bottom="1440" w:gutter="0" w:footer="0" w:header="0"/>
        </w:sectPr>
      </w:pPr>
    </w:p>
    <w:bookmarkStart w:id="120" w:name="page121"/>
    <w:bookmarkEnd w:id="120"/>
    <w:p>
      <w:pPr>
        <w:jc w:val="right"/>
        <w:spacing w:after="0"/>
        <w:rPr>
          <w:sz w:val="20"/>
          <w:szCs w:val="20"/>
          <w:color w:val="auto"/>
        </w:rPr>
      </w:pPr>
      <w:r>
        <w:rPr>
          <w:rFonts w:ascii="Arial" w:cs="Arial" w:eastAsia="Arial" w:hAnsi="Arial"/>
          <w:sz w:val="13"/>
          <w:szCs w:val="13"/>
          <w:color w:val="auto"/>
        </w:rPr>
        <w:t>Exhibit 4.4</w:t>
      </w:r>
    </w:p>
    <w:p>
      <w:pPr>
        <w:spacing w:after="0" w:line="141" w:lineRule="exact"/>
        <w:rPr>
          <w:sz w:val="20"/>
          <w:szCs w:val="20"/>
          <w:color w:val="auto"/>
        </w:rPr>
      </w:pPr>
    </w:p>
    <w:p>
      <w:pPr>
        <w:ind w:left="4900"/>
        <w:spacing w:after="0"/>
        <w:rPr>
          <w:sz w:val="20"/>
          <w:szCs w:val="20"/>
          <w:color w:val="auto"/>
        </w:rPr>
      </w:pPr>
      <w:r>
        <w:rPr>
          <w:rFonts w:ascii="Arial" w:cs="Arial" w:eastAsia="Arial" w:hAnsi="Arial"/>
          <w:sz w:val="14"/>
          <w:szCs w:val="14"/>
          <w:b w:val="1"/>
          <w:bCs w:val="1"/>
          <w:color w:val="auto"/>
        </w:rPr>
        <w:t>FIRST AMENDMENT TO</w:t>
      </w:r>
    </w:p>
    <w:p>
      <w:pPr>
        <w:spacing w:after="0" w:line="17" w:lineRule="exact"/>
        <w:rPr>
          <w:sz w:val="20"/>
          <w:szCs w:val="20"/>
          <w:color w:val="auto"/>
        </w:rPr>
      </w:pPr>
    </w:p>
    <w:p>
      <w:pPr>
        <w:ind w:left="4880"/>
        <w:spacing w:after="0"/>
        <w:rPr>
          <w:sz w:val="20"/>
          <w:szCs w:val="20"/>
          <w:color w:val="auto"/>
        </w:rPr>
      </w:pPr>
      <w:r>
        <w:rPr>
          <w:rFonts w:ascii="Arial" w:cs="Arial" w:eastAsia="Arial" w:hAnsi="Arial"/>
          <w:sz w:val="14"/>
          <w:szCs w:val="14"/>
          <w:b w:val="1"/>
          <w:bCs w:val="1"/>
          <w:color w:val="auto"/>
        </w:rPr>
        <w:t>WARRANT AGREEMENT</w:t>
      </w:r>
    </w:p>
    <w:p>
      <w:pPr>
        <w:spacing w:after="0" w:line="151" w:lineRule="exact"/>
        <w:rPr>
          <w:sz w:val="20"/>
          <w:szCs w:val="20"/>
          <w:color w:val="auto"/>
        </w:rPr>
      </w:pPr>
    </w:p>
    <w:p>
      <w:pPr>
        <w:jc w:val="both"/>
        <w:ind w:firstLine="883"/>
        <w:spacing w:after="0" w:line="252" w:lineRule="auto"/>
        <w:rPr>
          <w:sz w:val="20"/>
          <w:szCs w:val="20"/>
          <w:color w:val="auto"/>
        </w:rPr>
      </w:pPr>
      <w:r>
        <w:rPr>
          <w:rFonts w:ascii="Arial" w:cs="Arial" w:eastAsia="Arial" w:hAnsi="Arial"/>
          <w:sz w:val="14"/>
          <w:szCs w:val="14"/>
          <w:color w:val="auto"/>
        </w:rPr>
        <w:t>THIS FIRST AMENDMENT TO WARRANT AGREEMENT (this “</w:t>
      </w:r>
      <w:r>
        <w:rPr>
          <w:rFonts w:ascii="Arial" w:cs="Arial" w:eastAsia="Arial" w:hAnsi="Arial"/>
          <w:sz w:val="14"/>
          <w:szCs w:val="14"/>
          <w:b w:val="1"/>
          <w:bCs w:val="1"/>
          <w:i w:val="1"/>
          <w:iCs w:val="1"/>
          <w:color w:val="auto"/>
        </w:rPr>
        <w:t>First Amendment</w:t>
      </w:r>
      <w:r>
        <w:rPr>
          <w:rFonts w:ascii="Arial" w:cs="Arial" w:eastAsia="Arial" w:hAnsi="Arial"/>
          <w:sz w:val="14"/>
          <w:szCs w:val="14"/>
          <w:color w:val="auto"/>
        </w:rPr>
        <w:t>”), dated as of January 15, 2020, is made by and among Verra Mobility Corporation, a Delaware corporation (as successor by merger to Gores Holdings II, Inc.) (“</w:t>
      </w:r>
      <w:r>
        <w:rPr>
          <w:rFonts w:ascii="Arial" w:cs="Arial" w:eastAsia="Arial" w:hAnsi="Arial"/>
          <w:sz w:val="14"/>
          <w:szCs w:val="14"/>
          <w:b w:val="1"/>
          <w:bCs w:val="1"/>
          <w:i w:val="1"/>
          <w:iCs w:val="1"/>
          <w:color w:val="auto"/>
        </w:rPr>
        <w:t>Verra Mobility</w:t>
      </w:r>
      <w:r>
        <w:rPr>
          <w:rFonts w:ascii="Arial" w:cs="Arial" w:eastAsia="Arial" w:hAnsi="Arial"/>
          <w:sz w:val="14"/>
          <w:szCs w:val="14"/>
          <w:color w:val="auto"/>
        </w:rPr>
        <w:t>”), Continental Stock Transfer &amp; Trust Company, a New York corporation, as warrant agent (“</w:t>
      </w:r>
      <w:r>
        <w:rPr>
          <w:rFonts w:ascii="Arial" w:cs="Arial" w:eastAsia="Arial" w:hAnsi="Arial"/>
          <w:sz w:val="14"/>
          <w:szCs w:val="14"/>
          <w:b w:val="1"/>
          <w:bCs w:val="1"/>
          <w:i w:val="1"/>
          <w:iCs w:val="1"/>
          <w:color w:val="auto"/>
        </w:rPr>
        <w:t>Continental</w:t>
      </w:r>
      <w:r>
        <w:rPr>
          <w:rFonts w:ascii="Arial" w:cs="Arial" w:eastAsia="Arial" w:hAnsi="Arial"/>
          <w:sz w:val="14"/>
          <w:szCs w:val="14"/>
          <w:color w:val="auto"/>
        </w:rPr>
        <w:t>”), and American Stock Transfer &amp; Trust Company, LLC, a New York limited liability trust company (“</w:t>
      </w:r>
      <w:r>
        <w:rPr>
          <w:rFonts w:ascii="Arial" w:cs="Arial" w:eastAsia="Arial" w:hAnsi="Arial"/>
          <w:sz w:val="14"/>
          <w:szCs w:val="14"/>
          <w:b w:val="1"/>
          <w:bCs w:val="1"/>
          <w:i w:val="1"/>
          <w:iCs w:val="1"/>
          <w:color w:val="auto"/>
        </w:rPr>
        <w:t>AST</w:t>
      </w:r>
      <w:r>
        <w:rPr>
          <w:rFonts w:ascii="Arial" w:cs="Arial" w:eastAsia="Arial" w:hAnsi="Arial"/>
          <w:sz w:val="14"/>
          <w:szCs w:val="14"/>
          <w:color w:val="auto"/>
        </w:rPr>
        <w:t>”). Capitalized terms used herein, but not otherwise defined, shall have the meanings given to such terms in the Existing Warrant Agreement (as defined below).</w:t>
      </w:r>
    </w:p>
    <w:p>
      <w:pPr>
        <w:spacing w:after="0" w:line="134" w:lineRule="exact"/>
        <w:rPr>
          <w:sz w:val="20"/>
          <w:szCs w:val="20"/>
          <w:color w:val="auto"/>
        </w:rPr>
      </w:pPr>
    </w:p>
    <w:p>
      <w:pPr>
        <w:jc w:val="both"/>
        <w:ind w:firstLine="883"/>
        <w:spacing w:after="0" w:line="252" w:lineRule="auto"/>
        <w:rPr>
          <w:sz w:val="20"/>
          <w:szCs w:val="20"/>
          <w:color w:val="auto"/>
        </w:rPr>
      </w:pPr>
      <w:r>
        <w:rPr>
          <w:rFonts w:ascii="Arial" w:cs="Arial" w:eastAsia="Arial" w:hAnsi="Arial"/>
          <w:sz w:val="14"/>
          <w:szCs w:val="14"/>
          <w:color w:val="auto"/>
        </w:rPr>
        <w:t>WHEREAS, Gores Holdings II, Inc., a Delaware corporation (“</w:t>
      </w:r>
      <w:r>
        <w:rPr>
          <w:rFonts w:ascii="Arial" w:cs="Arial" w:eastAsia="Arial" w:hAnsi="Arial"/>
          <w:sz w:val="14"/>
          <w:szCs w:val="14"/>
          <w:b w:val="1"/>
          <w:bCs w:val="1"/>
          <w:i w:val="1"/>
          <w:iCs w:val="1"/>
          <w:color w:val="auto"/>
        </w:rPr>
        <w:t>Gores</w:t>
      </w:r>
      <w:r>
        <w:rPr>
          <w:rFonts w:ascii="Arial" w:cs="Arial" w:eastAsia="Arial" w:hAnsi="Arial"/>
          <w:sz w:val="14"/>
          <w:szCs w:val="14"/>
          <w:color w:val="auto"/>
        </w:rPr>
        <w:t>”) and Continental are parties to that certain Warrant Agreement, dated as of January 12, 2017 (the “</w:t>
      </w:r>
      <w:r>
        <w:rPr>
          <w:rFonts w:ascii="Arial" w:cs="Arial" w:eastAsia="Arial" w:hAnsi="Arial"/>
          <w:sz w:val="14"/>
          <w:szCs w:val="14"/>
          <w:b w:val="1"/>
          <w:bCs w:val="1"/>
          <w:i w:val="1"/>
          <w:iCs w:val="1"/>
          <w:color w:val="auto"/>
        </w:rPr>
        <w:t>Existing</w:t>
      </w:r>
      <w:r>
        <w:rPr>
          <w:rFonts w:ascii="Arial" w:cs="Arial" w:eastAsia="Arial" w:hAnsi="Arial"/>
          <w:sz w:val="14"/>
          <w:szCs w:val="14"/>
          <w:color w:val="auto"/>
        </w:rPr>
        <w:t xml:space="preserve"> </w:t>
      </w:r>
      <w:r>
        <w:rPr>
          <w:rFonts w:ascii="Arial" w:cs="Arial" w:eastAsia="Arial" w:hAnsi="Arial"/>
          <w:sz w:val="14"/>
          <w:szCs w:val="14"/>
          <w:b w:val="1"/>
          <w:bCs w:val="1"/>
          <w:i w:val="1"/>
          <w:iCs w:val="1"/>
          <w:color w:val="auto"/>
        </w:rPr>
        <w:t>Warrant Agreement</w:t>
      </w:r>
      <w:r>
        <w:rPr>
          <w:rFonts w:ascii="Arial" w:cs="Arial" w:eastAsia="Arial" w:hAnsi="Arial"/>
          <w:sz w:val="14"/>
          <w:szCs w:val="14"/>
          <w:color w:val="auto"/>
        </w:rPr>
        <w:t>”), pursuant to which Gores issued 13,333,333 warrants in connection with its initial public offering (the “</w:t>
      </w:r>
      <w:r>
        <w:rPr>
          <w:rFonts w:ascii="Arial" w:cs="Arial" w:eastAsia="Arial" w:hAnsi="Arial"/>
          <w:sz w:val="14"/>
          <w:szCs w:val="14"/>
          <w:b w:val="1"/>
          <w:bCs w:val="1"/>
          <w:i w:val="1"/>
          <w:iCs w:val="1"/>
          <w:color w:val="auto"/>
        </w:rPr>
        <w:t>Public Warrants</w:t>
      </w:r>
      <w:r>
        <w:rPr>
          <w:rFonts w:ascii="Arial" w:cs="Arial" w:eastAsia="Arial" w:hAnsi="Arial"/>
          <w:sz w:val="14"/>
          <w:szCs w:val="14"/>
          <w:color w:val="auto"/>
        </w:rPr>
        <w:t>”) and 6,666,666 warrants in connection with a private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placement (the “</w:t>
      </w:r>
      <w:r>
        <w:rPr>
          <w:rFonts w:ascii="Arial" w:cs="Arial" w:eastAsia="Arial" w:hAnsi="Arial"/>
          <w:sz w:val="14"/>
          <w:szCs w:val="14"/>
          <w:b w:val="1"/>
          <w:bCs w:val="1"/>
          <w:i w:val="1"/>
          <w:iCs w:val="1"/>
          <w:color w:val="auto"/>
        </w:rPr>
        <w:t>Private Placement Warrants</w:t>
      </w:r>
      <w:r>
        <w:rPr>
          <w:rFonts w:ascii="Arial" w:cs="Arial" w:eastAsia="Arial" w:hAnsi="Arial"/>
          <w:sz w:val="14"/>
          <w:szCs w:val="14"/>
          <w:color w:val="auto"/>
        </w:rPr>
        <w:t>” and, together with the Public Warrants, the “</w:t>
      </w:r>
      <w:r>
        <w:rPr>
          <w:rFonts w:ascii="Arial" w:cs="Arial" w:eastAsia="Arial" w:hAnsi="Arial"/>
          <w:sz w:val="14"/>
          <w:szCs w:val="14"/>
          <w:b w:val="1"/>
          <w:bCs w:val="1"/>
          <w:i w:val="1"/>
          <w:iCs w:val="1"/>
          <w:color w:val="auto"/>
        </w:rPr>
        <w:t>Warrants</w:t>
      </w:r>
      <w:r>
        <w:rPr>
          <w:rFonts w:ascii="Arial" w:cs="Arial" w:eastAsia="Arial" w:hAnsi="Arial"/>
          <w:sz w:val="14"/>
          <w:szCs w:val="14"/>
          <w:color w:val="auto"/>
        </w:rPr>
        <w:t>”), each representing the right to purchase one share of Class A Common Stock, par value $0.0001 per share (the “</w:t>
      </w:r>
      <w:r>
        <w:rPr>
          <w:rFonts w:ascii="Arial" w:cs="Arial" w:eastAsia="Arial" w:hAnsi="Arial"/>
          <w:sz w:val="14"/>
          <w:szCs w:val="14"/>
          <w:b w:val="1"/>
          <w:bCs w:val="1"/>
          <w:i w:val="1"/>
          <w:iCs w:val="1"/>
          <w:color w:val="auto"/>
        </w:rPr>
        <w:t>Common Stock</w:t>
      </w:r>
      <w:r>
        <w:rPr>
          <w:rFonts w:ascii="Arial" w:cs="Arial" w:eastAsia="Arial" w:hAnsi="Arial"/>
          <w:sz w:val="14"/>
          <w:szCs w:val="14"/>
          <w:color w:val="auto"/>
        </w:rPr>
        <w:t>”);</w:t>
      </w:r>
    </w:p>
    <w:p>
      <w:pPr>
        <w:spacing w:after="0" w:line="116" w:lineRule="exact"/>
        <w:rPr>
          <w:sz w:val="20"/>
          <w:szCs w:val="20"/>
          <w:color w:val="auto"/>
        </w:rPr>
      </w:pPr>
    </w:p>
    <w:p>
      <w:pPr>
        <w:jc w:val="both"/>
        <w:ind w:firstLine="883"/>
        <w:spacing w:after="0" w:line="248" w:lineRule="auto"/>
        <w:rPr>
          <w:sz w:val="20"/>
          <w:szCs w:val="20"/>
          <w:color w:val="auto"/>
        </w:rPr>
      </w:pPr>
      <w:r>
        <w:rPr>
          <w:rFonts w:ascii="Arial" w:cs="Arial" w:eastAsia="Arial" w:hAnsi="Arial"/>
          <w:sz w:val="14"/>
          <w:szCs w:val="14"/>
          <w:color w:val="auto"/>
        </w:rPr>
        <w:t>WHEREAS, on June 21, 2018, Gores, AM Merger Sub I, Inc., a direct, wholly-owned subsidiary of Gores (“</w:t>
      </w:r>
      <w:r>
        <w:rPr>
          <w:rFonts w:ascii="Arial" w:cs="Arial" w:eastAsia="Arial" w:hAnsi="Arial"/>
          <w:sz w:val="14"/>
          <w:szCs w:val="14"/>
          <w:b w:val="1"/>
          <w:bCs w:val="1"/>
          <w:i w:val="1"/>
          <w:iCs w:val="1"/>
          <w:color w:val="auto"/>
        </w:rPr>
        <w:t>First Merger Sub</w:t>
      </w:r>
      <w:r>
        <w:rPr>
          <w:rFonts w:ascii="Arial" w:cs="Arial" w:eastAsia="Arial" w:hAnsi="Arial"/>
          <w:sz w:val="14"/>
          <w:szCs w:val="14"/>
          <w:color w:val="auto"/>
        </w:rPr>
        <w:t>”), AM Merger Sub II, LLC, a direct, wholly-owned subsidiary of Gores (“</w:t>
      </w:r>
      <w:r>
        <w:rPr>
          <w:rFonts w:ascii="Arial" w:cs="Arial" w:eastAsia="Arial" w:hAnsi="Arial"/>
          <w:sz w:val="14"/>
          <w:szCs w:val="14"/>
          <w:b w:val="1"/>
          <w:bCs w:val="1"/>
          <w:i w:val="1"/>
          <w:iCs w:val="1"/>
          <w:color w:val="auto"/>
        </w:rPr>
        <w:t>Second Merger Sub</w:t>
      </w:r>
      <w:r>
        <w:rPr>
          <w:rFonts w:ascii="Arial" w:cs="Arial" w:eastAsia="Arial" w:hAnsi="Arial"/>
          <w:sz w:val="14"/>
          <w:szCs w:val="14"/>
          <w:color w:val="auto"/>
        </w:rPr>
        <w:t>”), Greenlight Holding II Corporation (“</w:t>
      </w:r>
      <w:r>
        <w:rPr>
          <w:rFonts w:ascii="Arial" w:cs="Arial" w:eastAsia="Arial" w:hAnsi="Arial"/>
          <w:sz w:val="14"/>
          <w:szCs w:val="14"/>
          <w:b w:val="1"/>
          <w:bCs w:val="1"/>
          <w:i w:val="1"/>
          <w:iCs w:val="1"/>
          <w:color w:val="auto"/>
        </w:rPr>
        <w:t>Greenlight</w:t>
      </w:r>
      <w:r>
        <w:rPr>
          <w:rFonts w:ascii="Arial" w:cs="Arial" w:eastAsia="Arial" w:hAnsi="Arial"/>
          <w:sz w:val="14"/>
          <w:szCs w:val="14"/>
          <w:color w:val="auto"/>
        </w:rPr>
        <w:t>”), and PE Greenlight Holdings, LLC entered into an Agreement and Plan of Merger (as amended to date, the “</w:t>
      </w:r>
      <w:r>
        <w:rPr>
          <w:rFonts w:ascii="Arial" w:cs="Arial" w:eastAsia="Arial" w:hAnsi="Arial"/>
          <w:sz w:val="14"/>
          <w:szCs w:val="14"/>
          <w:b w:val="1"/>
          <w:bCs w:val="1"/>
          <w:i w:val="1"/>
          <w:iCs w:val="1"/>
          <w:color w:val="auto"/>
        </w:rPr>
        <w:t>Merger Agreement</w:t>
      </w:r>
      <w:r>
        <w:rPr>
          <w:rFonts w:ascii="Arial" w:cs="Arial" w:eastAsia="Arial" w:hAnsi="Arial"/>
          <w:sz w:val="14"/>
          <w:szCs w:val="14"/>
          <w:color w:val="auto"/>
        </w:rPr>
        <w:t>”), which provided for, among other things, (i) the merger of First Merger Sub with and into Greenlight, with Greenlight continuing as the surviving corporation (the “</w:t>
      </w:r>
      <w:r>
        <w:rPr>
          <w:rFonts w:ascii="Arial" w:cs="Arial" w:eastAsia="Arial" w:hAnsi="Arial"/>
          <w:sz w:val="14"/>
          <w:szCs w:val="14"/>
          <w:b w:val="1"/>
          <w:bCs w:val="1"/>
          <w:i w:val="1"/>
          <w:iCs w:val="1"/>
          <w:color w:val="auto"/>
        </w:rPr>
        <w:t>First Merger</w:t>
      </w:r>
      <w:r>
        <w:rPr>
          <w:rFonts w:ascii="Arial" w:cs="Arial" w:eastAsia="Arial" w:hAnsi="Arial"/>
          <w:sz w:val="14"/>
          <w:szCs w:val="14"/>
          <w:color w:val="auto"/>
        </w:rPr>
        <w:t>”) and (ii) immediately following the First Merger and as part of the same overall transaction as the First Merger, the merger of Greenlight with and into Second Merger Sub, with Second Merger Sub continuing as the surviving entity (the “</w:t>
      </w:r>
      <w:r>
        <w:rPr>
          <w:rFonts w:ascii="Arial" w:cs="Arial" w:eastAsia="Arial" w:hAnsi="Arial"/>
          <w:sz w:val="14"/>
          <w:szCs w:val="14"/>
          <w:b w:val="1"/>
          <w:bCs w:val="1"/>
          <w:i w:val="1"/>
          <w:iCs w:val="1"/>
          <w:color w:val="auto"/>
        </w:rPr>
        <w:t>Second Merger</w:t>
      </w:r>
      <w:r>
        <w:rPr>
          <w:rFonts w:ascii="Arial" w:cs="Arial" w:eastAsia="Arial" w:hAnsi="Arial"/>
          <w:sz w:val="14"/>
          <w:szCs w:val="14"/>
          <w:color w:val="auto"/>
        </w:rPr>
        <w:t>” and, together with the First Merger and the other transactions contemplated by the Merger Agreement, the “</w:t>
      </w:r>
      <w:r>
        <w:rPr>
          <w:rFonts w:ascii="Arial" w:cs="Arial" w:eastAsia="Arial" w:hAnsi="Arial"/>
          <w:sz w:val="14"/>
          <w:szCs w:val="14"/>
          <w:b w:val="1"/>
          <w:bCs w:val="1"/>
          <w:i w:val="1"/>
          <w:iCs w:val="1"/>
          <w:color w:val="auto"/>
        </w:rPr>
        <w:t>Business</w:t>
      </w:r>
      <w:r>
        <w:rPr>
          <w:rFonts w:ascii="Arial" w:cs="Arial" w:eastAsia="Arial" w:hAnsi="Arial"/>
          <w:sz w:val="14"/>
          <w:szCs w:val="14"/>
          <w:color w:val="auto"/>
        </w:rPr>
        <w:t xml:space="preserve"> </w:t>
      </w:r>
      <w:r>
        <w:rPr>
          <w:rFonts w:ascii="Arial" w:cs="Arial" w:eastAsia="Arial" w:hAnsi="Arial"/>
          <w:sz w:val="14"/>
          <w:szCs w:val="14"/>
          <w:b w:val="1"/>
          <w:bCs w:val="1"/>
          <w:i w:val="1"/>
          <w:iCs w:val="1"/>
          <w:color w:val="auto"/>
        </w:rPr>
        <w:t>Combination</w:t>
      </w:r>
      <w:r>
        <w:rPr>
          <w:rFonts w:ascii="Arial" w:cs="Arial" w:eastAsia="Arial" w:hAnsi="Arial"/>
          <w:sz w:val="14"/>
          <w:szCs w:val="14"/>
          <w:color w:val="auto"/>
        </w:rPr>
        <w:t>”);</w:t>
      </w:r>
    </w:p>
    <w:p>
      <w:pPr>
        <w:spacing w:after="0" w:line="137" w:lineRule="exact"/>
        <w:rPr>
          <w:sz w:val="20"/>
          <w:szCs w:val="20"/>
          <w:color w:val="auto"/>
        </w:rPr>
      </w:pPr>
    </w:p>
    <w:p>
      <w:pPr>
        <w:jc w:val="both"/>
        <w:ind w:right="20" w:firstLine="883"/>
        <w:spacing w:after="0" w:line="273" w:lineRule="auto"/>
        <w:rPr>
          <w:sz w:val="20"/>
          <w:szCs w:val="20"/>
          <w:color w:val="auto"/>
        </w:rPr>
      </w:pPr>
      <w:r>
        <w:rPr>
          <w:rFonts w:ascii="Arial" w:cs="Arial" w:eastAsia="Arial" w:hAnsi="Arial"/>
          <w:sz w:val="14"/>
          <w:szCs w:val="14"/>
          <w:color w:val="auto"/>
        </w:rPr>
        <w:t>WHEREAS, in connection with the closing of the Business Combination on October 17, 2018, Gores changed its name from “Gores Holdings II, Inc.” to “Verra Mobility Corporation” and changed its trading symbol for the Common Stock from “GSHT” to “VRRM” (collectively, the “</w:t>
      </w:r>
      <w:r>
        <w:rPr>
          <w:rFonts w:ascii="Arial" w:cs="Arial" w:eastAsia="Arial" w:hAnsi="Arial"/>
          <w:sz w:val="14"/>
          <w:szCs w:val="14"/>
          <w:b w:val="1"/>
          <w:bCs w:val="1"/>
          <w:i w:val="1"/>
          <w:iCs w:val="1"/>
          <w:color w:val="auto"/>
        </w:rPr>
        <w:t>Name Change</w:t>
      </w:r>
      <w:r>
        <w:rPr>
          <w:rFonts w:ascii="Arial" w:cs="Arial" w:eastAsia="Arial" w:hAnsi="Arial"/>
          <w:sz w:val="14"/>
          <w:szCs w:val="14"/>
          <w:color w:val="auto"/>
        </w:rPr>
        <w:t>”);</w:t>
      </w:r>
    </w:p>
    <w:p>
      <w:pPr>
        <w:spacing w:after="0" w:line="102" w:lineRule="exact"/>
        <w:rPr>
          <w:sz w:val="20"/>
          <w:szCs w:val="20"/>
          <w:color w:val="auto"/>
        </w:rPr>
      </w:pPr>
    </w:p>
    <w:p>
      <w:pPr>
        <w:jc w:val="both"/>
        <w:ind w:firstLine="883"/>
        <w:spacing w:after="0" w:line="273" w:lineRule="auto"/>
        <w:rPr>
          <w:sz w:val="20"/>
          <w:szCs w:val="20"/>
          <w:color w:val="auto"/>
        </w:rPr>
      </w:pPr>
      <w:r>
        <w:rPr>
          <w:rFonts w:ascii="Arial" w:cs="Arial" w:eastAsia="Arial" w:hAnsi="Arial"/>
          <w:sz w:val="14"/>
          <w:szCs w:val="14"/>
          <w:color w:val="auto"/>
        </w:rPr>
        <w:t>WHEREAS, pursuant to Section 8.2.1 of the Existing Warrant Agreement, Continental has agreed to resign its duties as the Warrant Agent as of the date hereof, and AST has agreed to serve as successor Warrant Agent from and after the date hereof; and</w:t>
      </w:r>
    </w:p>
    <w:p>
      <w:pPr>
        <w:spacing w:after="0" w:line="102" w:lineRule="exact"/>
        <w:rPr>
          <w:sz w:val="20"/>
          <w:szCs w:val="20"/>
          <w:color w:val="auto"/>
        </w:rPr>
      </w:pPr>
    </w:p>
    <w:p>
      <w:pPr>
        <w:jc w:val="both"/>
        <w:ind w:firstLine="883"/>
        <w:spacing w:after="0" w:line="273" w:lineRule="auto"/>
        <w:rPr>
          <w:sz w:val="20"/>
          <w:szCs w:val="20"/>
          <w:color w:val="auto"/>
        </w:rPr>
      </w:pPr>
      <w:r>
        <w:rPr>
          <w:rFonts w:ascii="Arial" w:cs="Arial" w:eastAsia="Arial" w:hAnsi="Arial"/>
          <w:sz w:val="14"/>
          <w:szCs w:val="14"/>
          <w:color w:val="auto"/>
        </w:rPr>
        <w:t>WHEREAS, pursuant to Section 9.8 of the Existing Warrant Agreement, the parties may amend the Existing Warrant Agreement without the consent of the Registered Holders with respect to matters that the parties deem shall not adversely affect the interest of the Registered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290195</wp:posOffset>
            </wp:positionV>
            <wp:extent cx="7329170" cy="3683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96">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128" w:right="199" w:bottom="1440" w:gutter="0" w:footer="0" w:header="0"/>
        </w:sectPr>
      </w:pPr>
    </w:p>
    <w:bookmarkStart w:id="121" w:name="page122"/>
    <w:bookmarkEnd w:id="121"/>
    <w:p>
      <w:pPr>
        <w:ind w:left="8" w:right="20" w:firstLine="883"/>
        <w:spacing w:after="0" w:line="273" w:lineRule="auto"/>
        <w:rPr>
          <w:sz w:val="20"/>
          <w:szCs w:val="20"/>
          <w:color w:val="auto"/>
        </w:rPr>
      </w:pPr>
      <w:r>
        <w:rPr>
          <w:rFonts w:ascii="Arial" w:cs="Arial" w:eastAsia="Arial" w:hAnsi="Arial"/>
          <w:sz w:val="14"/>
          <w:szCs w:val="14"/>
          <w:color w:val="auto"/>
        </w:rPr>
        <w:t>NOW, THEREFORE, in consideration of the mutual agreements contained herein and other good and valuable consideration, the receipt and sufficiency of which are hereby acknowledged, and intending to be legally bound hereby, the parties hereto agree as follows:</w:t>
      </w:r>
    </w:p>
    <w:p>
      <w:pPr>
        <w:spacing w:after="0" w:line="116" w:lineRule="exact"/>
        <w:rPr>
          <w:sz w:val="20"/>
          <w:szCs w:val="20"/>
          <w:color w:val="auto"/>
        </w:rPr>
      </w:pPr>
    </w:p>
    <w:p>
      <w:pPr>
        <w:ind w:left="508" w:hanging="508"/>
        <w:spacing w:after="0"/>
        <w:tabs>
          <w:tab w:leader="none" w:pos="508" w:val="left"/>
        </w:tabs>
        <w:numPr>
          <w:ilvl w:val="0"/>
          <w:numId w:val="51"/>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Amendments to Existing Warrant Agreement. </w:t>
      </w:r>
      <w:r>
        <w:rPr>
          <w:rFonts w:ascii="Arial" w:cs="Arial" w:eastAsia="Arial" w:hAnsi="Arial"/>
          <w:sz w:val="14"/>
          <w:szCs w:val="14"/>
          <w:color w:val="auto"/>
        </w:rPr>
        <w:t>The parties hereby amend the Existing Warrant Agreement as provided in this</w:t>
      </w:r>
      <w:r>
        <w:rPr>
          <w:rFonts w:ascii="Arial" w:cs="Arial" w:eastAsia="Arial" w:hAnsi="Arial"/>
          <w:sz w:val="14"/>
          <w:szCs w:val="14"/>
          <w:b w:val="1"/>
          <w:bCs w:val="1"/>
          <w:color w:val="auto"/>
        </w:rPr>
        <w:t xml:space="preserve"> </w:t>
      </w:r>
      <w:r>
        <w:rPr>
          <w:rFonts w:ascii="Arial" w:cs="Arial" w:eastAsia="Arial" w:hAnsi="Arial"/>
          <w:sz w:val="14"/>
          <w:szCs w:val="14"/>
          <w:u w:val="single" w:color="auto"/>
          <w:color w:val="auto"/>
        </w:rPr>
        <w:t>Section 1</w:t>
      </w:r>
      <w:r>
        <w:rPr>
          <w:rFonts w:ascii="Arial" w:cs="Arial" w:eastAsia="Arial" w:hAnsi="Arial"/>
          <w:sz w:val="14"/>
          <w:szCs w:val="14"/>
          <w:color w:val="auto"/>
        </w:rPr>
        <w:t>:</w:t>
      </w:r>
    </w:p>
    <w:p>
      <w:pPr>
        <w:spacing w:after="0" w:line="149" w:lineRule="exact"/>
        <w:rPr>
          <w:sz w:val="20"/>
          <w:szCs w:val="20"/>
          <w:color w:val="auto"/>
        </w:rPr>
      </w:pPr>
    </w:p>
    <w:p>
      <w:pPr>
        <w:ind w:left="8" w:firstLine="883"/>
        <w:spacing w:after="0" w:line="273" w:lineRule="auto"/>
        <w:rPr>
          <w:sz w:val="20"/>
          <w:szCs w:val="20"/>
          <w:color w:val="auto"/>
        </w:rPr>
      </w:pPr>
      <w:r>
        <w:rPr>
          <w:rFonts w:ascii="Arial" w:cs="Arial" w:eastAsia="Arial" w:hAnsi="Arial"/>
          <w:sz w:val="14"/>
          <w:szCs w:val="14"/>
          <w:color w:val="auto"/>
        </w:rPr>
        <w:t xml:space="preserve">1.1 </w:t>
      </w:r>
      <w:r>
        <w:rPr>
          <w:rFonts w:ascii="Arial" w:cs="Arial" w:eastAsia="Arial" w:hAnsi="Arial"/>
          <w:sz w:val="14"/>
          <w:szCs w:val="14"/>
          <w:i w:val="1"/>
          <w:iCs w:val="1"/>
          <w:color w:val="auto"/>
        </w:rPr>
        <w:t>Change in Warrant Agent</w:t>
      </w:r>
      <w:r>
        <w:rPr>
          <w:rFonts w:ascii="Arial" w:cs="Arial" w:eastAsia="Arial" w:hAnsi="Arial"/>
          <w:sz w:val="14"/>
          <w:szCs w:val="14"/>
          <w:color w:val="auto"/>
        </w:rPr>
        <w:t>. References to “Continental Stock Transfer &amp; Trust Company” in the Existing Warrant Agreement shall be replaced with “American Stock Transfer &amp; Trust Company,” and it shall be understood that “Warrant Agent” shall hereafter refer to American Stock Transfer &amp; Trust Company.</w:t>
      </w:r>
    </w:p>
    <w:p>
      <w:pPr>
        <w:spacing w:after="0" w:line="102" w:lineRule="exact"/>
        <w:rPr>
          <w:sz w:val="20"/>
          <w:szCs w:val="20"/>
          <w:color w:val="auto"/>
        </w:rPr>
      </w:pPr>
    </w:p>
    <w:p>
      <w:pPr>
        <w:ind w:left="888"/>
        <w:spacing w:after="0"/>
        <w:tabs>
          <w:tab w:leader="none" w:pos="1468" w:val="left"/>
        </w:tabs>
        <w:rPr>
          <w:sz w:val="20"/>
          <w:szCs w:val="20"/>
          <w:color w:val="auto"/>
        </w:rPr>
      </w:pPr>
      <w:r>
        <w:rPr>
          <w:rFonts w:ascii="Arial" w:cs="Arial" w:eastAsia="Arial" w:hAnsi="Arial"/>
          <w:sz w:val="14"/>
          <w:szCs w:val="14"/>
          <w:color w:val="auto"/>
        </w:rPr>
        <w:t>1.2</w:t>
      </w:r>
      <w:r>
        <w:rPr>
          <w:sz w:val="20"/>
          <w:szCs w:val="20"/>
          <w:color w:val="auto"/>
        </w:rPr>
        <w:tab/>
      </w:r>
      <w:r>
        <w:rPr>
          <w:rFonts w:ascii="Arial" w:cs="Arial" w:eastAsia="Arial" w:hAnsi="Arial"/>
          <w:sz w:val="13"/>
          <w:szCs w:val="13"/>
          <w:i w:val="1"/>
          <w:iCs w:val="1"/>
          <w:color w:val="auto"/>
        </w:rPr>
        <w:t xml:space="preserve">Change to Section 7.4.2. </w:t>
      </w:r>
      <w:r>
        <w:rPr>
          <w:rFonts w:ascii="Arial" w:cs="Arial" w:eastAsia="Arial" w:hAnsi="Arial"/>
          <w:sz w:val="13"/>
          <w:szCs w:val="13"/>
          <w:color w:val="auto"/>
        </w:rPr>
        <w:t>Section 7.4.2 of the Existing Warrant Agreement is hereby amended and restated in its entirety to read as follows:</w:t>
      </w:r>
    </w:p>
    <w:p>
      <w:pPr>
        <w:spacing w:after="0" w:line="145" w:lineRule="exact"/>
        <w:rPr>
          <w:sz w:val="20"/>
          <w:szCs w:val="20"/>
          <w:color w:val="auto"/>
        </w:rPr>
      </w:pPr>
    </w:p>
    <w:p>
      <w:pPr>
        <w:jc w:val="both"/>
        <w:ind w:left="888"/>
        <w:spacing w:after="0" w:line="246" w:lineRule="auto"/>
        <w:rPr>
          <w:sz w:val="20"/>
          <w:szCs w:val="20"/>
          <w:color w:val="auto"/>
        </w:rPr>
      </w:pPr>
      <w:r>
        <w:rPr>
          <w:rFonts w:ascii="Arial" w:cs="Arial" w:eastAsia="Arial" w:hAnsi="Arial"/>
          <w:sz w:val="14"/>
          <w:szCs w:val="14"/>
          <w:color w:val="auto"/>
        </w:rPr>
        <w:t xml:space="preserve">7.4.2 </w:t>
      </w:r>
      <w:r>
        <w:rPr>
          <w:rFonts w:ascii="Arial" w:cs="Arial" w:eastAsia="Arial" w:hAnsi="Arial"/>
          <w:sz w:val="14"/>
          <w:szCs w:val="14"/>
          <w:u w:val="single" w:color="auto"/>
          <w:color w:val="auto"/>
        </w:rPr>
        <w:t>Cashless Exercise at Company’s Option</w:t>
      </w:r>
      <w:r>
        <w:rPr>
          <w:rFonts w:ascii="Arial" w:cs="Arial" w:eastAsia="Arial" w:hAnsi="Arial"/>
          <w:sz w:val="14"/>
          <w:szCs w:val="14"/>
          <w:color w:val="auto"/>
        </w:rPr>
        <w:t xml:space="preserve">. If the Common Stock is at the time of any exercise of a Warrant not listed on a national securities exchange such that it satisfies the definition of a “covered security” under Section 18(b)(1) of the Securities Act (or any successor rule), the Company may, at its option, (i) require holders of Public Warrants who exercise Public Warrants to exercise such Public Warrants on a “cashless basis” in accordance with Section 3(a)(9) of the Securities Act (or any successor rule) as described in </w:t>
      </w:r>
      <w:r>
        <w:rPr>
          <w:rFonts w:ascii="Arial" w:cs="Arial" w:eastAsia="Arial" w:hAnsi="Arial"/>
          <w:sz w:val="14"/>
          <w:szCs w:val="14"/>
          <w:u w:val="single" w:color="auto"/>
          <w:color w:val="auto"/>
        </w:rPr>
        <w:t>subsection 7.4.1</w:t>
      </w:r>
      <w:r>
        <w:rPr>
          <w:rFonts w:ascii="Arial" w:cs="Arial" w:eastAsia="Arial" w:hAnsi="Arial"/>
          <w:sz w:val="14"/>
          <w:szCs w:val="14"/>
          <w:color w:val="auto"/>
        </w:rPr>
        <w:t xml:space="preserve"> and (ii) in the event the Company so elects, the Company shall (x) not be required to file or maintain in effect a registration statement for the registration, under the Securities Act, of the Common Stock issuable upon exercise of the Warrants, notwithstanding anything in this Agreement to the contrary, and (y) use its best efforts to register the Common Stock issuable upon exercise of the Public Warrant under the blue sky laws of the state of residence of the exercising Public Warrant holder to the extent an exemption is not available. All Cashless Exercise calculation will per performed by the company. Upon completion of the calculation the company will provide issuance instructions to the Warrant Agent. The Warrant Agent will have no liability or responsibility related to a cashless exercise.</w:t>
      </w:r>
    </w:p>
    <w:p>
      <w:pPr>
        <w:spacing w:after="0" w:line="121" w:lineRule="exact"/>
        <w:rPr>
          <w:sz w:val="20"/>
          <w:szCs w:val="20"/>
          <w:color w:val="auto"/>
        </w:rPr>
      </w:pPr>
    </w:p>
    <w:p>
      <w:pPr>
        <w:ind w:left="888"/>
        <w:spacing w:after="0"/>
        <w:tabs>
          <w:tab w:leader="none" w:pos="1468" w:val="left"/>
        </w:tabs>
        <w:rPr>
          <w:sz w:val="20"/>
          <w:szCs w:val="20"/>
          <w:color w:val="auto"/>
        </w:rPr>
      </w:pPr>
      <w:r>
        <w:rPr>
          <w:rFonts w:ascii="Arial" w:cs="Arial" w:eastAsia="Arial" w:hAnsi="Arial"/>
          <w:sz w:val="14"/>
          <w:szCs w:val="14"/>
          <w:color w:val="auto"/>
        </w:rPr>
        <w:t>1.3</w:t>
      </w:r>
      <w:r>
        <w:rPr>
          <w:sz w:val="20"/>
          <w:szCs w:val="20"/>
          <w:color w:val="auto"/>
        </w:rPr>
        <w:tab/>
      </w:r>
      <w:r>
        <w:rPr>
          <w:rFonts w:ascii="Arial" w:cs="Arial" w:eastAsia="Arial" w:hAnsi="Arial"/>
          <w:sz w:val="13"/>
          <w:szCs w:val="13"/>
          <w:i w:val="1"/>
          <w:iCs w:val="1"/>
          <w:color w:val="auto"/>
        </w:rPr>
        <w:t xml:space="preserve">Change of Address of Warrant Agent. </w:t>
      </w:r>
      <w:r>
        <w:rPr>
          <w:rFonts w:ascii="Arial" w:cs="Arial" w:eastAsia="Arial" w:hAnsi="Arial"/>
          <w:sz w:val="13"/>
          <w:szCs w:val="13"/>
          <w:color w:val="auto"/>
        </w:rPr>
        <w:t>Section 9.2 of the Existing Warrant Agreement is hereby amended to direct that any notice, statement or demand authorized by the</w:t>
      </w:r>
    </w:p>
    <w:p>
      <w:pPr>
        <w:spacing w:after="0" w:line="13" w:lineRule="exact"/>
        <w:rPr>
          <w:sz w:val="20"/>
          <w:szCs w:val="20"/>
          <w:color w:val="auto"/>
        </w:rPr>
      </w:pPr>
    </w:p>
    <w:p>
      <w:pPr>
        <w:ind w:left="8"/>
        <w:spacing w:after="0"/>
        <w:rPr>
          <w:sz w:val="20"/>
          <w:szCs w:val="20"/>
          <w:color w:val="auto"/>
        </w:rPr>
      </w:pPr>
      <w:r>
        <w:rPr>
          <w:rFonts w:ascii="Arial" w:cs="Arial" w:eastAsia="Arial" w:hAnsi="Arial"/>
          <w:sz w:val="14"/>
          <w:szCs w:val="14"/>
          <w:color w:val="auto"/>
        </w:rPr>
        <w:t>Existing Warrant Agreement to be given or made by the holder of any Warrant or by the Company to or on the Warrant Agent pursuant to Section 9.2 shall be delivered to:</w:t>
      </w:r>
    </w:p>
    <w:p>
      <w:pPr>
        <w:spacing w:after="0" w:line="133" w:lineRule="exact"/>
        <w:rPr>
          <w:sz w:val="20"/>
          <w:szCs w:val="20"/>
          <w:color w:val="auto"/>
        </w:rPr>
      </w:pPr>
    </w:p>
    <w:p>
      <w:pPr>
        <w:ind w:left="888"/>
        <w:spacing w:after="0"/>
        <w:rPr>
          <w:sz w:val="20"/>
          <w:szCs w:val="20"/>
          <w:color w:val="auto"/>
        </w:rPr>
      </w:pPr>
      <w:r>
        <w:rPr>
          <w:rFonts w:ascii="Arial" w:cs="Arial" w:eastAsia="Arial" w:hAnsi="Arial"/>
          <w:sz w:val="14"/>
          <w:szCs w:val="14"/>
          <w:color w:val="auto"/>
        </w:rPr>
        <w:t>American Stock Transfer &amp; Trust Company</w:t>
      </w:r>
    </w:p>
    <w:p>
      <w:pPr>
        <w:spacing w:after="0" w:line="13" w:lineRule="exact"/>
        <w:rPr>
          <w:sz w:val="20"/>
          <w:szCs w:val="20"/>
          <w:color w:val="auto"/>
        </w:rPr>
      </w:pPr>
    </w:p>
    <w:p>
      <w:pPr>
        <w:ind w:left="888"/>
        <w:spacing w:after="0"/>
        <w:rPr>
          <w:sz w:val="20"/>
          <w:szCs w:val="20"/>
          <w:color w:val="auto"/>
        </w:rPr>
      </w:pPr>
      <w:r>
        <w:rPr>
          <w:rFonts w:ascii="Arial" w:cs="Arial" w:eastAsia="Arial" w:hAnsi="Arial"/>
          <w:sz w:val="14"/>
          <w:szCs w:val="14"/>
          <w:color w:val="auto"/>
        </w:rPr>
        <w:t>48 Wall Street, 22</w:t>
      </w:r>
      <w:r>
        <w:rPr>
          <w:rFonts w:ascii="Arial" w:cs="Arial" w:eastAsia="Arial" w:hAnsi="Arial"/>
          <w:sz w:val="12"/>
          <w:szCs w:val="12"/>
          <w:color w:val="auto"/>
        </w:rPr>
        <w:t>nd</w:t>
      </w:r>
      <w:r>
        <w:rPr>
          <w:rFonts w:ascii="Arial" w:cs="Arial" w:eastAsia="Arial" w:hAnsi="Arial"/>
          <w:sz w:val="14"/>
          <w:szCs w:val="14"/>
          <w:color w:val="auto"/>
        </w:rPr>
        <w:t xml:space="preserve"> Floor</w:t>
      </w:r>
    </w:p>
    <w:p>
      <w:pPr>
        <w:spacing w:after="0" w:line="1" w:lineRule="exact"/>
        <w:rPr>
          <w:sz w:val="20"/>
          <w:szCs w:val="20"/>
          <w:color w:val="auto"/>
        </w:rPr>
      </w:pPr>
    </w:p>
    <w:p>
      <w:pPr>
        <w:ind w:left="888"/>
        <w:spacing w:after="0"/>
        <w:rPr>
          <w:sz w:val="20"/>
          <w:szCs w:val="20"/>
          <w:color w:val="auto"/>
        </w:rPr>
      </w:pPr>
      <w:r>
        <w:rPr>
          <w:rFonts w:ascii="Arial" w:cs="Arial" w:eastAsia="Arial" w:hAnsi="Arial"/>
          <w:sz w:val="14"/>
          <w:szCs w:val="14"/>
          <w:color w:val="auto"/>
        </w:rPr>
        <w:t>New York, NY 10005</w:t>
      </w:r>
    </w:p>
    <w:p>
      <w:pPr>
        <w:spacing w:after="0" w:line="1" w:lineRule="exact"/>
        <w:rPr>
          <w:sz w:val="20"/>
          <w:szCs w:val="20"/>
          <w:color w:val="auto"/>
        </w:rPr>
      </w:pPr>
    </w:p>
    <w:p>
      <w:pPr>
        <w:ind w:left="888"/>
        <w:spacing w:after="0"/>
        <w:rPr>
          <w:sz w:val="20"/>
          <w:szCs w:val="20"/>
          <w:color w:val="auto"/>
        </w:rPr>
      </w:pPr>
      <w:r>
        <w:rPr>
          <w:rFonts w:ascii="Arial" w:cs="Arial" w:eastAsia="Arial" w:hAnsi="Arial"/>
          <w:sz w:val="14"/>
          <w:szCs w:val="14"/>
          <w:color w:val="auto"/>
        </w:rPr>
        <w:t>Email: Reorgwarrants@astfinancial.com</w:t>
      </w:r>
    </w:p>
    <w:p>
      <w:pPr>
        <w:spacing w:after="0" w:line="133" w:lineRule="exact"/>
        <w:rPr>
          <w:sz w:val="20"/>
          <w:szCs w:val="20"/>
          <w:color w:val="auto"/>
        </w:rPr>
      </w:pPr>
    </w:p>
    <w:p>
      <w:pPr>
        <w:ind w:left="8" w:right="20" w:firstLine="883"/>
        <w:spacing w:after="0" w:line="273" w:lineRule="auto"/>
        <w:rPr>
          <w:sz w:val="20"/>
          <w:szCs w:val="20"/>
          <w:color w:val="auto"/>
        </w:rPr>
      </w:pPr>
      <w:r>
        <w:rPr>
          <w:rFonts w:ascii="Arial" w:cs="Arial" w:eastAsia="Arial" w:hAnsi="Arial"/>
          <w:sz w:val="14"/>
          <w:szCs w:val="14"/>
          <w:color w:val="auto"/>
        </w:rPr>
        <w:t xml:space="preserve">1.4 </w:t>
      </w:r>
      <w:r>
        <w:rPr>
          <w:rFonts w:ascii="Arial" w:cs="Arial" w:eastAsia="Arial" w:hAnsi="Arial"/>
          <w:sz w:val="14"/>
          <w:szCs w:val="14"/>
          <w:i w:val="1"/>
          <w:iCs w:val="1"/>
          <w:color w:val="auto"/>
        </w:rPr>
        <w:t>Change of Address of Company.</w:t>
      </w:r>
      <w:r>
        <w:rPr>
          <w:rFonts w:ascii="Arial" w:cs="Arial" w:eastAsia="Arial" w:hAnsi="Arial"/>
          <w:sz w:val="14"/>
          <w:szCs w:val="14"/>
          <w:color w:val="auto"/>
        </w:rPr>
        <w:t xml:space="preserve"> Section 9.2 of the Existing Warrant Agreement is hereby amended to direct that any notice, statement or demand authorized by the Existing Warrant Agreement to be given or made by the Warrant Agent or by the holder of any Warrant to or on the Company pursuant to Section 9.2 shall be delivered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198755</wp:posOffset>
            </wp:positionV>
            <wp:extent cx="7329170" cy="3683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97">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8"/>
          </w:cols>
          <w:pgMar w:left="212" w:top="269" w:right="199" w:bottom="1440" w:gutter="0" w:footer="0" w:header="0"/>
        </w:sectPr>
      </w:pPr>
    </w:p>
    <w:bookmarkStart w:id="122" w:name="page123"/>
    <w:bookmarkEnd w:id="122"/>
    <w:p>
      <w:pPr>
        <w:ind w:left="888"/>
        <w:spacing w:after="0"/>
        <w:rPr>
          <w:sz w:val="20"/>
          <w:szCs w:val="20"/>
          <w:color w:val="auto"/>
        </w:rPr>
      </w:pPr>
      <w:r>
        <w:rPr>
          <w:rFonts w:ascii="Arial" w:cs="Arial" w:eastAsia="Arial" w:hAnsi="Arial"/>
          <w:sz w:val="14"/>
          <w:szCs w:val="14"/>
          <w:color w:val="auto"/>
        </w:rPr>
        <w:t>Verra Mobility Corporation</w:t>
      </w:r>
    </w:p>
    <w:p>
      <w:pPr>
        <w:spacing w:after="0" w:line="13" w:lineRule="exact"/>
        <w:rPr>
          <w:sz w:val="20"/>
          <w:szCs w:val="20"/>
          <w:color w:val="auto"/>
        </w:rPr>
      </w:pPr>
    </w:p>
    <w:p>
      <w:pPr>
        <w:ind w:left="888"/>
        <w:spacing w:after="0"/>
        <w:rPr>
          <w:sz w:val="20"/>
          <w:szCs w:val="20"/>
          <w:color w:val="auto"/>
        </w:rPr>
      </w:pPr>
      <w:r>
        <w:rPr>
          <w:rFonts w:ascii="Arial" w:cs="Arial" w:eastAsia="Arial" w:hAnsi="Arial"/>
          <w:sz w:val="14"/>
          <w:szCs w:val="14"/>
          <w:color w:val="auto"/>
        </w:rPr>
        <w:t>1150 N. Alma School Road</w:t>
      </w:r>
    </w:p>
    <w:p>
      <w:pPr>
        <w:spacing w:after="0" w:line="1" w:lineRule="exact"/>
        <w:rPr>
          <w:sz w:val="20"/>
          <w:szCs w:val="20"/>
          <w:color w:val="auto"/>
        </w:rPr>
      </w:pPr>
    </w:p>
    <w:p>
      <w:pPr>
        <w:ind w:left="888"/>
        <w:spacing w:after="0"/>
        <w:rPr>
          <w:sz w:val="20"/>
          <w:szCs w:val="20"/>
          <w:color w:val="auto"/>
        </w:rPr>
      </w:pPr>
      <w:r>
        <w:rPr>
          <w:rFonts w:ascii="Arial" w:cs="Arial" w:eastAsia="Arial" w:hAnsi="Arial"/>
          <w:sz w:val="14"/>
          <w:szCs w:val="14"/>
          <w:color w:val="auto"/>
        </w:rPr>
        <w:t>Mesa, AZ 85201</w:t>
      </w:r>
    </w:p>
    <w:p>
      <w:pPr>
        <w:spacing w:after="0" w:line="1" w:lineRule="exact"/>
        <w:rPr>
          <w:sz w:val="20"/>
          <w:szCs w:val="20"/>
          <w:color w:val="auto"/>
        </w:rPr>
      </w:pPr>
    </w:p>
    <w:p>
      <w:pPr>
        <w:ind w:left="888"/>
        <w:spacing w:after="0"/>
        <w:rPr>
          <w:sz w:val="20"/>
          <w:szCs w:val="20"/>
          <w:color w:val="auto"/>
        </w:rPr>
      </w:pPr>
      <w:r>
        <w:rPr>
          <w:rFonts w:ascii="Arial" w:cs="Arial" w:eastAsia="Arial" w:hAnsi="Arial"/>
          <w:sz w:val="14"/>
          <w:szCs w:val="14"/>
          <w:color w:val="auto"/>
        </w:rPr>
        <w:t>Attention: General Counsel</w:t>
      </w:r>
    </w:p>
    <w:p>
      <w:pPr>
        <w:spacing w:after="0" w:line="273" w:lineRule="exact"/>
        <w:rPr>
          <w:sz w:val="20"/>
          <w:szCs w:val="20"/>
          <w:color w:val="auto"/>
        </w:rPr>
      </w:pPr>
    </w:p>
    <w:p>
      <w:pPr>
        <w:jc w:val="both"/>
        <w:ind w:left="8" w:hanging="8"/>
        <w:spacing w:after="0" w:line="260" w:lineRule="auto"/>
        <w:tabs>
          <w:tab w:leader="none" w:pos="512" w:val="left"/>
        </w:tabs>
        <w:numPr>
          <w:ilvl w:val="0"/>
          <w:numId w:val="52"/>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Resignation of Current Warrant Agent and Appointment of Successor Warrant Agent. </w:t>
      </w:r>
      <w:r>
        <w:rPr>
          <w:rFonts w:ascii="Arial" w:cs="Arial" w:eastAsia="Arial" w:hAnsi="Arial"/>
          <w:sz w:val="14"/>
          <w:szCs w:val="14"/>
          <w:color w:val="auto"/>
        </w:rPr>
        <w:t>Continental hereby resigns as Warrant Agent under the Existing Warrant Agreement, Verra</w:t>
      </w:r>
      <w:r>
        <w:rPr>
          <w:rFonts w:ascii="Arial" w:cs="Arial" w:eastAsia="Arial" w:hAnsi="Arial"/>
          <w:sz w:val="14"/>
          <w:szCs w:val="14"/>
          <w:b w:val="1"/>
          <w:bCs w:val="1"/>
          <w:color w:val="auto"/>
        </w:rPr>
        <w:t xml:space="preserve"> </w:t>
      </w:r>
      <w:r>
        <w:rPr>
          <w:rFonts w:ascii="Arial" w:cs="Arial" w:eastAsia="Arial" w:hAnsi="Arial"/>
          <w:sz w:val="14"/>
          <w:szCs w:val="14"/>
          <w:color w:val="auto"/>
        </w:rPr>
        <w:t>Mobility hereby appoints AST to act as Warrant Agent under the Existing Warrant Agreement, and AST hereby accepts such appointment and agrees to perform the same in accordance with the terms and conditions set forth in the Existing Warrant Agreement, as modified by this First Amendment.</w:t>
      </w:r>
    </w:p>
    <w:p>
      <w:pPr>
        <w:spacing w:after="0" w:line="107" w:lineRule="exact"/>
        <w:rPr>
          <w:sz w:val="20"/>
          <w:szCs w:val="20"/>
          <w:color w:val="auto"/>
        </w:rPr>
      </w:pPr>
    </w:p>
    <w:p>
      <w:pPr>
        <w:ind w:left="8" w:right="20" w:hanging="8"/>
        <w:spacing w:after="0" w:line="279" w:lineRule="auto"/>
        <w:tabs>
          <w:tab w:leader="none" w:pos="512" w:val="left"/>
        </w:tabs>
        <w:numPr>
          <w:ilvl w:val="0"/>
          <w:numId w:val="53"/>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Right to Acquire Verra Mobility Common Stock. </w:t>
      </w:r>
      <w:r>
        <w:rPr>
          <w:rFonts w:ascii="Arial" w:cs="Arial" w:eastAsia="Arial" w:hAnsi="Arial"/>
          <w:sz w:val="14"/>
          <w:szCs w:val="14"/>
          <w:color w:val="auto"/>
        </w:rPr>
        <w:t>As a result of the Name Change, holders that validly exercise their Warrants during the Exercise Period will receive Common Stock of</w:t>
      </w:r>
      <w:r>
        <w:rPr>
          <w:rFonts w:ascii="Arial" w:cs="Arial" w:eastAsia="Arial" w:hAnsi="Arial"/>
          <w:sz w:val="14"/>
          <w:szCs w:val="14"/>
          <w:b w:val="1"/>
          <w:bCs w:val="1"/>
          <w:color w:val="auto"/>
        </w:rPr>
        <w:t xml:space="preserve"> </w:t>
      </w:r>
      <w:r>
        <w:rPr>
          <w:rFonts w:ascii="Arial" w:cs="Arial" w:eastAsia="Arial" w:hAnsi="Arial"/>
          <w:sz w:val="14"/>
          <w:szCs w:val="14"/>
          <w:color w:val="auto"/>
        </w:rPr>
        <w:t>Verra Mobility in accordance with the terms and conditions of the Existing Warrant Agreement, as amended by this First Amendment.</w:t>
      </w:r>
    </w:p>
    <w:p>
      <w:pPr>
        <w:spacing w:after="0" w:line="94" w:lineRule="exact"/>
        <w:rPr>
          <w:sz w:val="20"/>
          <w:szCs w:val="20"/>
          <w:color w:val="auto"/>
        </w:rPr>
      </w:pPr>
    </w:p>
    <w:p>
      <w:pPr>
        <w:ind w:left="888" w:hanging="888"/>
        <w:spacing w:after="0"/>
        <w:tabs>
          <w:tab w:leader="none" w:pos="888" w:val="left"/>
        </w:tabs>
        <w:numPr>
          <w:ilvl w:val="0"/>
          <w:numId w:val="54"/>
        </w:numPr>
        <w:rPr>
          <w:rFonts w:ascii="Arial" w:cs="Arial" w:eastAsia="Arial" w:hAnsi="Arial"/>
          <w:sz w:val="14"/>
          <w:szCs w:val="14"/>
          <w:b w:val="1"/>
          <w:bCs w:val="1"/>
          <w:color w:val="auto"/>
        </w:rPr>
      </w:pPr>
      <w:r>
        <w:rPr>
          <w:rFonts w:ascii="Arial" w:cs="Arial" w:eastAsia="Arial" w:hAnsi="Arial"/>
          <w:sz w:val="14"/>
          <w:szCs w:val="14"/>
          <w:b w:val="1"/>
          <w:bCs w:val="1"/>
          <w:color w:val="auto"/>
        </w:rPr>
        <w:t>Miscellaneous Provisions.</w:t>
      </w:r>
    </w:p>
    <w:p>
      <w:pPr>
        <w:spacing w:after="0" w:line="149" w:lineRule="exact"/>
        <w:rPr>
          <w:sz w:val="20"/>
          <w:szCs w:val="20"/>
          <w:color w:val="auto"/>
        </w:rPr>
      </w:pPr>
    </w:p>
    <w:p>
      <w:pPr>
        <w:jc w:val="both"/>
        <w:ind w:left="8" w:firstLine="883"/>
        <w:spacing w:after="0" w:line="273" w:lineRule="auto"/>
        <w:rPr>
          <w:sz w:val="20"/>
          <w:szCs w:val="20"/>
          <w:color w:val="auto"/>
        </w:rPr>
      </w:pPr>
      <w:r>
        <w:rPr>
          <w:rFonts w:ascii="Arial" w:cs="Arial" w:eastAsia="Arial" w:hAnsi="Arial"/>
          <w:sz w:val="14"/>
          <w:szCs w:val="14"/>
          <w:color w:val="auto"/>
        </w:rPr>
        <w:t xml:space="preserve">4.1 </w:t>
      </w:r>
      <w:r>
        <w:rPr>
          <w:rFonts w:ascii="Arial" w:cs="Arial" w:eastAsia="Arial" w:hAnsi="Arial"/>
          <w:sz w:val="14"/>
          <w:szCs w:val="14"/>
          <w:i w:val="1"/>
          <w:iCs w:val="1"/>
          <w:color w:val="auto"/>
        </w:rPr>
        <w:t>Successors</w:t>
      </w:r>
      <w:r>
        <w:rPr>
          <w:rFonts w:ascii="Arial" w:cs="Arial" w:eastAsia="Arial" w:hAnsi="Arial"/>
          <w:sz w:val="14"/>
          <w:szCs w:val="14"/>
          <w:color w:val="auto"/>
        </w:rPr>
        <w:t>. All the covenants and provisions of this First Amendment by or for the benefit of the parties hereto shall bind and inure to the benefit of their respective successors and assigns.</w:t>
      </w:r>
    </w:p>
    <w:p>
      <w:pPr>
        <w:spacing w:after="0" w:line="102" w:lineRule="exact"/>
        <w:rPr>
          <w:sz w:val="20"/>
          <w:szCs w:val="20"/>
          <w:color w:val="auto"/>
        </w:rPr>
      </w:pPr>
    </w:p>
    <w:p>
      <w:pPr>
        <w:jc w:val="both"/>
        <w:ind w:left="8" w:firstLine="883"/>
        <w:spacing w:after="0" w:line="249" w:lineRule="auto"/>
        <w:rPr>
          <w:sz w:val="20"/>
          <w:szCs w:val="20"/>
          <w:color w:val="auto"/>
        </w:rPr>
      </w:pPr>
      <w:r>
        <w:rPr>
          <w:rFonts w:ascii="Arial" w:cs="Arial" w:eastAsia="Arial" w:hAnsi="Arial"/>
          <w:sz w:val="14"/>
          <w:szCs w:val="14"/>
          <w:color w:val="auto"/>
        </w:rPr>
        <w:t xml:space="preserve">4.2 </w:t>
      </w:r>
      <w:r>
        <w:rPr>
          <w:rFonts w:ascii="Arial" w:cs="Arial" w:eastAsia="Arial" w:hAnsi="Arial"/>
          <w:sz w:val="14"/>
          <w:szCs w:val="14"/>
          <w:i w:val="1"/>
          <w:iCs w:val="1"/>
          <w:color w:val="auto"/>
        </w:rPr>
        <w:t>Applicable Law</w:t>
      </w:r>
      <w:r>
        <w:rPr>
          <w:rFonts w:ascii="Arial" w:cs="Arial" w:eastAsia="Arial" w:hAnsi="Arial"/>
          <w:sz w:val="14"/>
          <w:szCs w:val="14"/>
          <w:color w:val="auto"/>
        </w:rPr>
        <w:t>. The validity, interpretation and performance of this First Amendment shall be governed in all respects by the laws of the State of New York, without giving effect to conflicts of law principles that would result in the application of the substantive laws of another jurisdiction. Verra Mobility hereby agrees that any action, proceeding or claim against it arising out of or relating in any way to this First Amendment shall be brought and enforced in the courts of the State of New York or the United States District Court for the Southern District of New York, and irrevocably submits to such jurisdiction, which jurisdiction shall be exclusive. Verra Mobility hereby waives any objection to such exclusive jurisdiction and that such courts represent an inconvenient forum.</w:t>
      </w:r>
    </w:p>
    <w:p>
      <w:pPr>
        <w:spacing w:after="0" w:line="120" w:lineRule="exact"/>
        <w:rPr>
          <w:sz w:val="20"/>
          <w:szCs w:val="20"/>
          <w:color w:val="auto"/>
        </w:rPr>
      </w:pPr>
    </w:p>
    <w:p>
      <w:pPr>
        <w:jc w:val="both"/>
        <w:ind w:left="8" w:right="20" w:firstLine="883"/>
        <w:spacing w:after="0" w:line="273" w:lineRule="auto"/>
        <w:rPr>
          <w:sz w:val="20"/>
          <w:szCs w:val="20"/>
          <w:color w:val="auto"/>
        </w:rPr>
      </w:pPr>
      <w:r>
        <w:rPr>
          <w:rFonts w:ascii="Arial" w:cs="Arial" w:eastAsia="Arial" w:hAnsi="Arial"/>
          <w:sz w:val="14"/>
          <w:szCs w:val="14"/>
          <w:color w:val="auto"/>
        </w:rPr>
        <w:t xml:space="preserve">4.3 </w:t>
      </w:r>
      <w:r>
        <w:rPr>
          <w:rFonts w:ascii="Arial" w:cs="Arial" w:eastAsia="Arial" w:hAnsi="Arial"/>
          <w:sz w:val="14"/>
          <w:szCs w:val="14"/>
          <w:i w:val="1"/>
          <w:iCs w:val="1"/>
          <w:color w:val="auto"/>
        </w:rPr>
        <w:t>Counterparts</w:t>
      </w:r>
      <w:r>
        <w:rPr>
          <w:rFonts w:ascii="Arial" w:cs="Arial" w:eastAsia="Arial" w:hAnsi="Arial"/>
          <w:sz w:val="14"/>
          <w:szCs w:val="14"/>
          <w:color w:val="auto"/>
        </w:rPr>
        <w:t>. This First Amendment may be executed in any number of original or facsimile counterparts and each of such counterparts shall for all purposes be deemed to be an original, and all such counterparts shall together constitute but one and the same instrument.</w:t>
      </w:r>
    </w:p>
    <w:p>
      <w:pPr>
        <w:spacing w:after="0" w:line="102" w:lineRule="exact"/>
        <w:rPr>
          <w:sz w:val="20"/>
          <w:szCs w:val="20"/>
          <w:color w:val="auto"/>
        </w:rPr>
      </w:pPr>
    </w:p>
    <w:p>
      <w:pPr>
        <w:ind w:left="888"/>
        <w:spacing w:after="0"/>
        <w:tabs>
          <w:tab w:leader="none" w:pos="1468" w:val="left"/>
        </w:tabs>
        <w:rPr>
          <w:sz w:val="20"/>
          <w:szCs w:val="20"/>
          <w:color w:val="auto"/>
        </w:rPr>
      </w:pPr>
      <w:r>
        <w:rPr>
          <w:rFonts w:ascii="Arial" w:cs="Arial" w:eastAsia="Arial" w:hAnsi="Arial"/>
          <w:sz w:val="14"/>
          <w:szCs w:val="14"/>
          <w:color w:val="auto"/>
        </w:rPr>
        <w:t>4.4</w:t>
      </w:r>
      <w:r>
        <w:rPr>
          <w:sz w:val="20"/>
          <w:szCs w:val="20"/>
          <w:color w:val="auto"/>
        </w:rPr>
        <w:tab/>
      </w:r>
      <w:r>
        <w:rPr>
          <w:rFonts w:ascii="Arial" w:cs="Arial" w:eastAsia="Arial" w:hAnsi="Arial"/>
          <w:sz w:val="13"/>
          <w:szCs w:val="13"/>
          <w:i w:val="1"/>
          <w:iCs w:val="1"/>
          <w:color w:val="auto"/>
        </w:rPr>
        <w:t>Effect of Headings</w:t>
      </w:r>
      <w:r>
        <w:rPr>
          <w:rFonts w:ascii="Arial" w:cs="Arial" w:eastAsia="Arial" w:hAnsi="Arial"/>
          <w:sz w:val="13"/>
          <w:szCs w:val="13"/>
          <w:color w:val="auto"/>
        </w:rPr>
        <w:t>. The section headings herein are for convenience only and are not part of this First Amendment and shall not affect the interpretation thereof.</w:t>
      </w:r>
    </w:p>
    <w:p>
      <w:pPr>
        <w:spacing w:after="0" w:line="145" w:lineRule="exact"/>
        <w:rPr>
          <w:sz w:val="20"/>
          <w:szCs w:val="20"/>
          <w:color w:val="auto"/>
        </w:rPr>
      </w:pPr>
    </w:p>
    <w:p>
      <w:pPr>
        <w:jc w:val="both"/>
        <w:ind w:left="8" w:firstLine="883"/>
        <w:spacing w:after="0" w:line="257" w:lineRule="auto"/>
        <w:rPr>
          <w:sz w:val="20"/>
          <w:szCs w:val="20"/>
          <w:color w:val="auto"/>
        </w:rPr>
      </w:pPr>
      <w:r>
        <w:rPr>
          <w:rFonts w:ascii="Arial" w:cs="Arial" w:eastAsia="Arial" w:hAnsi="Arial"/>
          <w:sz w:val="14"/>
          <w:szCs w:val="14"/>
          <w:color w:val="auto"/>
        </w:rPr>
        <w:t xml:space="preserve">4.5 </w:t>
      </w:r>
      <w:r>
        <w:rPr>
          <w:rFonts w:ascii="Arial" w:cs="Arial" w:eastAsia="Arial" w:hAnsi="Arial"/>
          <w:sz w:val="14"/>
          <w:szCs w:val="14"/>
          <w:i w:val="1"/>
          <w:iCs w:val="1"/>
          <w:color w:val="auto"/>
        </w:rPr>
        <w:t>Severability</w:t>
      </w:r>
      <w:r>
        <w:rPr>
          <w:rFonts w:ascii="Arial" w:cs="Arial" w:eastAsia="Arial" w:hAnsi="Arial"/>
          <w:sz w:val="14"/>
          <w:szCs w:val="14"/>
          <w:color w:val="auto"/>
        </w:rPr>
        <w:t>. This First Amendment shall be deemed severable, and the invalidity or unenforceability of any term or provision hereof shall not affect the validity or enforceability of this First Amendment or of any other term or provision hereof. Furthermore, in lieu of any such invalid or unenforceable term or provision, the parties hereto intend that there shall be added as a part of this First Amendment a provision as similar in terms to such invalid or unenforceable provision as may be possible and be valid and enforceable.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205740</wp:posOffset>
            </wp:positionV>
            <wp:extent cx="7329170" cy="3683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98">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8"/>
          </w:cols>
          <w:pgMar w:left="212" w:top="269" w:right="199" w:bottom="1440" w:gutter="0" w:footer="0" w:header="0"/>
        </w:sectPr>
      </w:pPr>
    </w:p>
    <w:bookmarkStart w:id="123" w:name="page124"/>
    <w:bookmarkEnd w:id="123"/>
    <w:p>
      <w:pPr>
        <w:jc w:val="both"/>
        <w:ind w:firstLine="883"/>
        <w:spacing w:after="0" w:line="273" w:lineRule="auto"/>
        <w:rPr>
          <w:sz w:val="20"/>
          <w:szCs w:val="20"/>
          <w:color w:val="auto"/>
        </w:rPr>
      </w:pPr>
      <w:r>
        <w:rPr>
          <w:rFonts w:ascii="Arial" w:cs="Arial" w:eastAsia="Arial" w:hAnsi="Arial"/>
          <w:sz w:val="14"/>
          <w:szCs w:val="14"/>
          <w:color w:val="auto"/>
        </w:rPr>
        <w:t xml:space="preserve">4.6 </w:t>
      </w:r>
      <w:r>
        <w:rPr>
          <w:rFonts w:ascii="Arial" w:cs="Arial" w:eastAsia="Arial" w:hAnsi="Arial"/>
          <w:sz w:val="14"/>
          <w:szCs w:val="14"/>
          <w:i w:val="1"/>
          <w:iCs w:val="1"/>
          <w:color w:val="auto"/>
        </w:rPr>
        <w:t>Effect on Existing Warrant Agreement.</w:t>
      </w:r>
      <w:r>
        <w:rPr>
          <w:rFonts w:ascii="Arial" w:cs="Arial" w:eastAsia="Arial" w:hAnsi="Arial"/>
          <w:sz w:val="14"/>
          <w:szCs w:val="14"/>
          <w:color w:val="auto"/>
        </w:rPr>
        <w:t xml:space="preserve"> Other than as specifically set forth herein, all other terms and provisions of the Existing Warrant Agreement shall remain unaffected by the terms of this First Amendment, and shall continue in full force and effect.</w:t>
      </w:r>
    </w:p>
    <w:p>
      <w:pPr>
        <w:spacing w:after="0" w:line="102" w:lineRule="exact"/>
        <w:rPr>
          <w:sz w:val="20"/>
          <w:szCs w:val="20"/>
          <w:color w:val="auto"/>
        </w:rPr>
      </w:pPr>
    </w:p>
    <w:p>
      <w:pPr>
        <w:jc w:val="both"/>
        <w:ind w:firstLine="883"/>
        <w:spacing w:after="0" w:line="257" w:lineRule="auto"/>
        <w:rPr>
          <w:sz w:val="20"/>
          <w:szCs w:val="20"/>
          <w:color w:val="auto"/>
        </w:rPr>
      </w:pPr>
      <w:r>
        <w:rPr>
          <w:rFonts w:ascii="Arial" w:cs="Arial" w:eastAsia="Arial" w:hAnsi="Arial"/>
          <w:sz w:val="14"/>
          <w:szCs w:val="14"/>
          <w:color w:val="auto"/>
        </w:rPr>
        <w:t xml:space="preserve">4.7 </w:t>
      </w:r>
      <w:r>
        <w:rPr>
          <w:rFonts w:ascii="Arial" w:cs="Arial" w:eastAsia="Arial" w:hAnsi="Arial"/>
          <w:sz w:val="14"/>
          <w:szCs w:val="14"/>
          <w:i w:val="1"/>
          <w:iCs w:val="1"/>
          <w:color w:val="auto"/>
        </w:rPr>
        <w:t>Entire Agreement</w:t>
      </w:r>
      <w:r>
        <w:rPr>
          <w:rFonts w:ascii="Arial" w:cs="Arial" w:eastAsia="Arial" w:hAnsi="Arial"/>
          <w:sz w:val="14"/>
          <w:szCs w:val="14"/>
          <w:color w:val="auto"/>
        </w:rPr>
        <w:t>. The Existing Warrant Agreement, as modified by this First Amendment, constitutes the entire understanding of the parties and supersedes all prior agreements, understandings, arrangements, promises and commitments, whether written or oral, express or implied, relating to the subject matter hereof, and all such prior agreements, understandings, arrangements, promises and commitments are hereby canceled and terminated.</w:t>
      </w:r>
    </w:p>
    <w:p>
      <w:pPr>
        <w:spacing w:after="0" w:line="113" w:lineRule="exact"/>
        <w:rPr>
          <w:sz w:val="20"/>
          <w:szCs w:val="20"/>
          <w:color w:val="auto"/>
        </w:rPr>
      </w:pPr>
    </w:p>
    <w:p>
      <w:pPr>
        <w:ind w:left="54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Signature page follows</w:t>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317500</wp:posOffset>
            </wp:positionV>
            <wp:extent cx="7329170" cy="3683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99">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269" w:right="199" w:bottom="1440" w:gutter="0" w:footer="0" w:header="0"/>
        </w:sectPr>
      </w:pPr>
    </w:p>
    <w:bookmarkStart w:id="124" w:name="page125"/>
    <w:bookmarkEnd w:id="124"/>
    <w:p>
      <w:pPr>
        <w:spacing w:after="0"/>
        <w:rPr>
          <w:sz w:val="20"/>
          <w:szCs w:val="20"/>
          <w:color w:val="auto"/>
        </w:rPr>
      </w:pPr>
      <w:r>
        <w:rPr>
          <w:rFonts w:ascii="Arial" w:cs="Arial" w:eastAsia="Arial" w:hAnsi="Arial"/>
          <w:sz w:val="14"/>
          <w:szCs w:val="14"/>
          <w:b w:val="1"/>
          <w:bCs w:val="1"/>
          <w:color w:val="auto"/>
        </w:rPr>
        <w:t>IN WITNESS WHEREOF</w:t>
      </w:r>
      <w:r>
        <w:rPr>
          <w:rFonts w:ascii="Arial" w:cs="Arial" w:eastAsia="Arial" w:hAnsi="Arial"/>
          <w:sz w:val="14"/>
          <w:szCs w:val="14"/>
          <w:color w:val="auto"/>
        </w:rPr>
        <w:t>, the parties hereto have caused this First Amendment to be duly executed as of the date first above written.</w:t>
      </w:r>
    </w:p>
    <w:p>
      <w:pPr>
        <w:spacing w:after="0" w:line="163" w:lineRule="exact"/>
        <w:rPr>
          <w:sz w:val="20"/>
          <w:szCs w:val="20"/>
          <w:color w:val="auto"/>
        </w:rPr>
      </w:pPr>
    </w:p>
    <w:p>
      <w:pPr>
        <w:ind w:left="6440"/>
        <w:spacing w:after="0"/>
        <w:rPr>
          <w:sz w:val="20"/>
          <w:szCs w:val="20"/>
          <w:color w:val="auto"/>
        </w:rPr>
      </w:pPr>
      <w:r>
        <w:rPr>
          <w:rFonts w:ascii="Arial" w:cs="Arial" w:eastAsia="Arial" w:hAnsi="Arial"/>
          <w:sz w:val="14"/>
          <w:szCs w:val="14"/>
          <w:b w:val="1"/>
          <w:bCs w:val="1"/>
          <w:color w:val="auto"/>
        </w:rPr>
        <w:t>VERRA MOBILITY CORPORATION</w:t>
      </w:r>
    </w:p>
    <w:p>
      <w:pPr>
        <w:spacing w:after="0" w:line="167" w:lineRule="exact"/>
        <w:rPr>
          <w:sz w:val="20"/>
          <w:szCs w:val="20"/>
          <w:color w:val="auto"/>
        </w:rPr>
      </w:pPr>
    </w:p>
    <w:p>
      <w:pPr>
        <w:ind w:left="6440"/>
        <w:spacing w:after="0"/>
        <w:tabs>
          <w:tab w:leader="none" w:pos="6880" w:val="left"/>
        </w:tabs>
        <w:rPr>
          <w:sz w:val="20"/>
          <w:szCs w:val="20"/>
          <w:color w:val="auto"/>
        </w:rPr>
      </w:pPr>
      <w:r>
        <w:rPr>
          <w:rFonts w:ascii="Arial" w:cs="Arial" w:eastAsia="Arial" w:hAnsi="Arial"/>
          <w:sz w:val="14"/>
          <w:szCs w:val="14"/>
          <w:color w:val="auto"/>
        </w:rPr>
        <w:t>By:</w:t>
      </w:r>
      <w:r>
        <w:rPr>
          <w:sz w:val="20"/>
          <w:szCs w:val="20"/>
          <w:color w:val="auto"/>
        </w:rPr>
        <w:tab/>
      </w:r>
      <w:r>
        <w:rPr>
          <w:rFonts w:ascii="Arial" w:cs="Arial" w:eastAsia="Arial" w:hAnsi="Arial"/>
          <w:sz w:val="14"/>
          <w:szCs w:val="14"/>
          <w:color w:val="auto"/>
        </w:rPr>
        <w:t>/s/ Rebecca Collins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4382770</wp:posOffset>
            </wp:positionH>
            <wp:positionV relativeFrom="paragraph">
              <wp:posOffset>9525</wp:posOffset>
            </wp:positionV>
            <wp:extent cx="2625090" cy="1143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00">
                      <a:extLst>
                        <a:ext uri="{28A0092B-C50C-407E-A947-70E740481C1C}"/>
                      </a:extLst>
                    </a:blip>
                    <a:srcRect/>
                    <a:stretch>
                      <a:fillRect/>
                    </a:stretch>
                  </pic:blipFill>
                  <pic:spPr bwMode="auto">
                    <a:xfrm>
                      <a:off x="0" y="0"/>
                      <a:ext cx="2625090" cy="11430"/>
                    </a:xfrm>
                    <a:prstGeom prst="rect">
                      <a:avLst/>
                    </a:prstGeom>
                    <a:noFill/>
                  </pic:spPr>
                </pic:pic>
              </a:graphicData>
            </a:graphic>
          </wp:anchor>
        </w:drawing>
      </w:r>
    </w:p>
    <w:p>
      <w:pPr>
        <w:spacing w:after="0" w:line="1" w:lineRule="exact"/>
        <w:rPr>
          <w:sz w:val="20"/>
          <w:szCs w:val="20"/>
          <w:color w:val="auto"/>
        </w:rPr>
      </w:pPr>
    </w:p>
    <w:p>
      <w:pPr>
        <w:ind w:left="6900"/>
        <w:spacing w:after="0"/>
        <w:rPr>
          <w:sz w:val="20"/>
          <w:szCs w:val="20"/>
          <w:color w:val="auto"/>
        </w:rPr>
      </w:pPr>
      <w:r>
        <w:rPr>
          <w:rFonts w:ascii="Arial" w:cs="Arial" w:eastAsia="Arial" w:hAnsi="Arial"/>
          <w:sz w:val="14"/>
          <w:szCs w:val="14"/>
          <w:color w:val="auto"/>
        </w:rPr>
        <w:t>Name: Rebecca Collins</w:t>
      </w:r>
    </w:p>
    <w:p>
      <w:pPr>
        <w:spacing w:after="0" w:line="11" w:lineRule="exact"/>
        <w:rPr>
          <w:sz w:val="20"/>
          <w:szCs w:val="20"/>
          <w:color w:val="auto"/>
        </w:rPr>
      </w:pPr>
    </w:p>
    <w:p>
      <w:pPr>
        <w:ind w:left="6900"/>
        <w:spacing w:after="0"/>
        <w:rPr>
          <w:sz w:val="20"/>
          <w:szCs w:val="20"/>
          <w:color w:val="auto"/>
        </w:rPr>
      </w:pPr>
      <w:r>
        <w:rPr>
          <w:rFonts w:ascii="Arial" w:cs="Arial" w:eastAsia="Arial" w:hAnsi="Arial"/>
          <w:sz w:val="14"/>
          <w:szCs w:val="14"/>
          <w:color w:val="auto"/>
        </w:rPr>
        <w:t>Title:  General Counsel</w:t>
      </w:r>
    </w:p>
    <w:p>
      <w:pPr>
        <w:spacing w:after="0" w:line="200" w:lineRule="exact"/>
        <w:rPr>
          <w:sz w:val="20"/>
          <w:szCs w:val="20"/>
          <w:color w:val="auto"/>
        </w:rPr>
      </w:pPr>
    </w:p>
    <w:p>
      <w:pPr>
        <w:spacing w:after="0" w:line="235" w:lineRule="exact"/>
        <w:rPr>
          <w:sz w:val="20"/>
          <w:szCs w:val="20"/>
          <w:color w:val="auto"/>
        </w:rPr>
      </w:pPr>
    </w:p>
    <w:p>
      <w:pPr>
        <w:ind w:left="6440"/>
        <w:spacing w:after="0"/>
        <w:rPr>
          <w:sz w:val="20"/>
          <w:szCs w:val="20"/>
          <w:color w:val="auto"/>
        </w:rPr>
      </w:pPr>
      <w:r>
        <w:rPr>
          <w:rFonts w:ascii="Arial" w:cs="Arial" w:eastAsia="Arial" w:hAnsi="Arial"/>
          <w:sz w:val="14"/>
          <w:szCs w:val="14"/>
          <w:b w:val="1"/>
          <w:bCs w:val="1"/>
          <w:color w:val="auto"/>
        </w:rPr>
        <w:t>CONTINENTAL STOCK TRANSFER &amp; TRUST COMPANY</w:t>
      </w:r>
    </w:p>
    <w:p>
      <w:pPr>
        <w:spacing w:after="0" w:line="167" w:lineRule="exact"/>
        <w:rPr>
          <w:sz w:val="20"/>
          <w:szCs w:val="20"/>
          <w:color w:val="auto"/>
        </w:rPr>
      </w:pPr>
    </w:p>
    <w:p>
      <w:pPr>
        <w:ind w:left="6440"/>
        <w:spacing w:after="0"/>
        <w:tabs>
          <w:tab w:leader="none" w:pos="6920" w:val="left"/>
        </w:tabs>
        <w:rPr>
          <w:sz w:val="20"/>
          <w:szCs w:val="20"/>
          <w:color w:val="auto"/>
        </w:rPr>
      </w:pPr>
      <w:r>
        <w:rPr>
          <w:rFonts w:ascii="Arial" w:cs="Arial" w:eastAsia="Arial" w:hAnsi="Arial"/>
          <w:sz w:val="14"/>
          <w:szCs w:val="14"/>
          <w:color w:val="auto"/>
        </w:rPr>
        <w:t>By:</w:t>
      </w:r>
      <w:r>
        <w:rPr>
          <w:sz w:val="20"/>
          <w:szCs w:val="20"/>
          <w:color w:val="auto"/>
        </w:rPr>
        <w:tab/>
      </w:r>
      <w:r>
        <w:rPr>
          <w:rFonts w:ascii="Arial" w:cs="Arial" w:eastAsia="Arial" w:hAnsi="Arial"/>
          <w:sz w:val="14"/>
          <w:szCs w:val="14"/>
          <w:color w:val="auto"/>
        </w:rPr>
        <w:t>/s/ Isaac Kagan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4382770</wp:posOffset>
            </wp:positionH>
            <wp:positionV relativeFrom="paragraph">
              <wp:posOffset>9525</wp:posOffset>
            </wp:positionV>
            <wp:extent cx="2625090" cy="1143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01">
                      <a:extLst>
                        <a:ext uri="{28A0092B-C50C-407E-A947-70E740481C1C}"/>
                      </a:extLst>
                    </a:blip>
                    <a:srcRect/>
                    <a:stretch>
                      <a:fillRect/>
                    </a:stretch>
                  </pic:blipFill>
                  <pic:spPr bwMode="auto">
                    <a:xfrm>
                      <a:off x="0" y="0"/>
                      <a:ext cx="2625090" cy="11430"/>
                    </a:xfrm>
                    <a:prstGeom prst="rect">
                      <a:avLst/>
                    </a:prstGeom>
                    <a:noFill/>
                  </pic:spPr>
                </pic:pic>
              </a:graphicData>
            </a:graphic>
          </wp:anchor>
        </w:drawing>
      </w:r>
    </w:p>
    <w:p>
      <w:pPr>
        <w:spacing w:after="0" w:line="1" w:lineRule="exact"/>
        <w:rPr>
          <w:sz w:val="20"/>
          <w:szCs w:val="20"/>
          <w:color w:val="auto"/>
        </w:rPr>
      </w:pPr>
    </w:p>
    <w:p>
      <w:pPr>
        <w:ind w:left="6900"/>
        <w:spacing w:after="0"/>
        <w:rPr>
          <w:sz w:val="20"/>
          <w:szCs w:val="20"/>
          <w:color w:val="auto"/>
        </w:rPr>
      </w:pPr>
      <w:r>
        <w:rPr>
          <w:rFonts w:ascii="Arial" w:cs="Arial" w:eastAsia="Arial" w:hAnsi="Arial"/>
          <w:sz w:val="14"/>
          <w:szCs w:val="14"/>
          <w:color w:val="auto"/>
        </w:rPr>
        <w:t>Name: Isaac Kagan</w:t>
      </w:r>
    </w:p>
    <w:p>
      <w:pPr>
        <w:spacing w:after="0" w:line="11" w:lineRule="exact"/>
        <w:rPr>
          <w:sz w:val="20"/>
          <w:szCs w:val="20"/>
          <w:color w:val="auto"/>
        </w:rPr>
      </w:pPr>
    </w:p>
    <w:p>
      <w:pPr>
        <w:ind w:left="6900"/>
        <w:spacing w:after="0"/>
        <w:tabs>
          <w:tab w:leader="none" w:pos="7340" w:val="left"/>
        </w:tabs>
        <w:rPr>
          <w:sz w:val="20"/>
          <w:szCs w:val="20"/>
          <w:color w:val="auto"/>
        </w:rPr>
      </w:pPr>
      <w:r>
        <w:rPr>
          <w:rFonts w:ascii="Arial" w:cs="Arial" w:eastAsia="Arial" w:hAnsi="Arial"/>
          <w:sz w:val="14"/>
          <w:szCs w:val="14"/>
          <w:color w:val="auto"/>
        </w:rPr>
        <w:t>Title:</w:t>
      </w:r>
      <w:r>
        <w:rPr>
          <w:sz w:val="20"/>
          <w:szCs w:val="20"/>
          <w:color w:val="auto"/>
        </w:rPr>
        <w:tab/>
      </w:r>
      <w:r>
        <w:rPr>
          <w:rFonts w:ascii="Arial" w:cs="Arial" w:eastAsia="Arial" w:hAnsi="Arial"/>
          <w:sz w:val="13"/>
          <w:szCs w:val="13"/>
          <w:color w:val="auto"/>
        </w:rPr>
        <w:t>Account Administrator</w:t>
      </w:r>
    </w:p>
    <w:p>
      <w:pPr>
        <w:spacing w:after="0" w:line="200" w:lineRule="exact"/>
        <w:rPr>
          <w:sz w:val="20"/>
          <w:szCs w:val="20"/>
          <w:color w:val="auto"/>
        </w:rPr>
      </w:pPr>
    </w:p>
    <w:p>
      <w:pPr>
        <w:spacing w:after="0" w:line="217" w:lineRule="exact"/>
        <w:rPr>
          <w:sz w:val="20"/>
          <w:szCs w:val="20"/>
          <w:color w:val="auto"/>
        </w:rPr>
      </w:pPr>
    </w:p>
    <w:p>
      <w:pPr>
        <w:ind w:left="6400"/>
        <w:spacing w:after="0"/>
        <w:rPr>
          <w:sz w:val="20"/>
          <w:szCs w:val="20"/>
          <w:color w:val="auto"/>
        </w:rPr>
      </w:pPr>
      <w:r>
        <w:rPr>
          <w:rFonts w:ascii="Arial" w:cs="Arial" w:eastAsia="Arial" w:hAnsi="Arial"/>
          <w:sz w:val="14"/>
          <w:szCs w:val="14"/>
          <w:b w:val="1"/>
          <w:bCs w:val="1"/>
          <w:color w:val="auto"/>
        </w:rPr>
        <w:t>AMERICAN STOCK TRANSFER &amp; TRUST COMPANY, LLC</w:t>
      </w:r>
    </w:p>
    <w:p>
      <w:pPr>
        <w:spacing w:after="0" w:line="167" w:lineRule="exact"/>
        <w:rPr>
          <w:sz w:val="20"/>
          <w:szCs w:val="20"/>
          <w:color w:val="auto"/>
        </w:rPr>
      </w:pPr>
    </w:p>
    <w:p>
      <w:pPr>
        <w:ind w:left="6440"/>
        <w:spacing w:after="0"/>
        <w:tabs>
          <w:tab w:leader="none" w:pos="6980" w:val="left"/>
        </w:tabs>
        <w:rPr>
          <w:sz w:val="20"/>
          <w:szCs w:val="20"/>
          <w:color w:val="auto"/>
        </w:rPr>
      </w:pPr>
      <w:r>
        <w:rPr>
          <w:rFonts w:ascii="Arial" w:cs="Arial" w:eastAsia="Arial" w:hAnsi="Arial"/>
          <w:sz w:val="14"/>
          <w:szCs w:val="14"/>
          <w:color w:val="auto"/>
        </w:rPr>
        <w:t>By:</w:t>
      </w:r>
      <w:r>
        <w:rPr>
          <w:sz w:val="20"/>
          <w:szCs w:val="20"/>
          <w:color w:val="auto"/>
        </w:rPr>
        <w:tab/>
      </w:r>
      <w:r>
        <w:rPr>
          <w:rFonts w:ascii="Arial" w:cs="Arial" w:eastAsia="Arial" w:hAnsi="Arial"/>
          <w:sz w:val="14"/>
          <w:szCs w:val="14"/>
          <w:color w:val="auto"/>
        </w:rPr>
        <w:t>/s/ Michael Legregin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4417060</wp:posOffset>
            </wp:positionH>
            <wp:positionV relativeFrom="paragraph">
              <wp:posOffset>9525</wp:posOffset>
            </wp:positionV>
            <wp:extent cx="2590800" cy="1143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02">
                      <a:extLst>
                        <a:ext uri="{28A0092B-C50C-407E-A947-70E740481C1C}"/>
                      </a:extLst>
                    </a:blip>
                    <a:srcRect/>
                    <a:stretch>
                      <a:fillRect/>
                    </a:stretch>
                  </pic:blipFill>
                  <pic:spPr bwMode="auto">
                    <a:xfrm>
                      <a:off x="0" y="0"/>
                      <a:ext cx="2590800" cy="11430"/>
                    </a:xfrm>
                    <a:prstGeom prst="rect">
                      <a:avLst/>
                    </a:prstGeom>
                    <a:noFill/>
                  </pic:spPr>
                </pic:pic>
              </a:graphicData>
            </a:graphic>
          </wp:anchor>
        </w:drawing>
      </w:r>
    </w:p>
    <w:p>
      <w:pPr>
        <w:spacing w:after="0" w:line="1" w:lineRule="exact"/>
        <w:rPr>
          <w:sz w:val="20"/>
          <w:szCs w:val="20"/>
          <w:color w:val="auto"/>
        </w:rPr>
      </w:pPr>
    </w:p>
    <w:p>
      <w:pPr>
        <w:ind w:left="6960"/>
        <w:spacing w:after="0"/>
        <w:rPr>
          <w:sz w:val="20"/>
          <w:szCs w:val="20"/>
          <w:color w:val="auto"/>
        </w:rPr>
      </w:pPr>
      <w:r>
        <w:rPr>
          <w:rFonts w:ascii="Arial" w:cs="Arial" w:eastAsia="Arial" w:hAnsi="Arial"/>
          <w:sz w:val="14"/>
          <w:szCs w:val="14"/>
          <w:color w:val="auto"/>
        </w:rPr>
        <w:t>Name:  Michael Legregin</w:t>
      </w:r>
    </w:p>
    <w:p>
      <w:pPr>
        <w:spacing w:after="0" w:line="11" w:lineRule="exact"/>
        <w:rPr>
          <w:sz w:val="20"/>
          <w:szCs w:val="20"/>
          <w:color w:val="auto"/>
        </w:rPr>
      </w:pPr>
    </w:p>
    <w:p>
      <w:pPr>
        <w:ind w:left="6960"/>
        <w:spacing w:after="0"/>
        <w:tabs>
          <w:tab w:leader="none" w:pos="7420" w:val="left"/>
        </w:tabs>
        <w:rPr>
          <w:sz w:val="20"/>
          <w:szCs w:val="20"/>
          <w:color w:val="auto"/>
        </w:rPr>
      </w:pPr>
      <w:r>
        <w:rPr>
          <w:rFonts w:ascii="Arial" w:cs="Arial" w:eastAsia="Arial" w:hAnsi="Arial"/>
          <w:sz w:val="14"/>
          <w:szCs w:val="14"/>
          <w:color w:val="auto"/>
        </w:rPr>
        <w:t>Title:</w:t>
        <w:tab/>
        <w:t>Senior Vice President</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219"/>
        <w:spacing w:after="0"/>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Signature Page to First Amendment to Warrant Agreement</w:t>
      </w:r>
      <w:r>
        <w:rPr>
          <w:rFonts w:ascii="Arial" w:cs="Arial" w:eastAsia="Arial" w:hAnsi="Arial"/>
          <w:sz w:val="12"/>
          <w:szCs w:val="12"/>
          <w:color w:val="auto"/>
        </w:rPr>
        <w:t>]</w:t>
      </w:r>
    </w:p>
    <w:p>
      <w:pPr>
        <w:sectPr>
          <w:pgSz w:w="11900" w:h="16838" w:orient="portrait"/>
          <w:cols w:equalWidth="0" w:num="1">
            <w:col w:w="10380"/>
          </w:cols>
          <w:pgMar w:left="660" w:top="265" w:right="859" w:bottom="1440" w:gutter="0" w:footer="0" w:header="0"/>
        </w:sectPr>
      </w:pPr>
    </w:p>
    <w:bookmarkStart w:id="125" w:name="page126"/>
    <w:bookmarkEnd w:id="125"/>
    <w:p>
      <w:pPr>
        <w:jc w:val="right"/>
        <w:spacing w:after="0"/>
        <w:rPr>
          <w:sz w:val="20"/>
          <w:szCs w:val="20"/>
          <w:color w:val="auto"/>
        </w:rPr>
      </w:pPr>
      <w:r>
        <w:rPr>
          <w:rFonts w:ascii="Arial" w:cs="Arial" w:eastAsia="Arial" w:hAnsi="Arial"/>
          <w:sz w:val="13"/>
          <w:szCs w:val="13"/>
          <w:color w:val="auto"/>
        </w:rPr>
        <w:t>Exhibit 4.5</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DESCRIPTION OF VERRA MOBILITY CORPORATION’S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SECURITIES REGISTERED PURSUANT TO</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SECTION 12 OF THE SECURITIES EXCHANGE ACT OF 1934</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General</w:t>
      </w:r>
    </w:p>
    <w:p>
      <w:pPr>
        <w:spacing w:after="0" w:line="96" w:lineRule="exact"/>
        <w:rPr>
          <w:sz w:val="20"/>
          <w:szCs w:val="20"/>
          <w:color w:val="auto"/>
        </w:rPr>
      </w:pPr>
    </w:p>
    <w:p>
      <w:pPr>
        <w:ind w:right="100" w:firstLine="883"/>
        <w:spacing w:after="0" w:line="263" w:lineRule="auto"/>
        <w:rPr>
          <w:sz w:val="20"/>
          <w:szCs w:val="20"/>
          <w:color w:val="auto"/>
        </w:rPr>
      </w:pPr>
      <w:r>
        <w:rPr>
          <w:rFonts w:ascii="Arial" w:cs="Arial" w:eastAsia="Arial" w:hAnsi="Arial"/>
          <w:sz w:val="12"/>
          <w:szCs w:val="12"/>
          <w:color w:val="auto"/>
        </w:rPr>
        <w:t>Verra Mobility Corporation (the “Company,”” we,” or “our”) is incorporated in the state of Delaware. The rights of our stockholders are generally governed by Delaware law, our certificate of incorporation and our bylaws (each as amended and restated and in effect as of the date hereof). The terms of our Class A Common Stock are therefore subject to Delaware law, including the Delaware General Corporation Law (“DGCL”) and the common and constitutional law of Delaware.</w:t>
      </w:r>
    </w:p>
    <w:p>
      <w:pPr>
        <w:spacing w:after="0" w:line="69" w:lineRule="exact"/>
        <w:rPr>
          <w:sz w:val="20"/>
          <w:szCs w:val="20"/>
          <w:color w:val="auto"/>
        </w:rPr>
      </w:pPr>
    </w:p>
    <w:p>
      <w:pPr>
        <w:ind w:right="40" w:firstLine="883"/>
        <w:spacing w:after="0" w:line="298" w:lineRule="auto"/>
        <w:rPr>
          <w:sz w:val="20"/>
          <w:szCs w:val="20"/>
          <w:color w:val="auto"/>
        </w:rPr>
      </w:pPr>
      <w:r>
        <w:rPr>
          <w:rFonts w:ascii="Arial" w:cs="Arial" w:eastAsia="Arial" w:hAnsi="Arial"/>
          <w:sz w:val="11"/>
          <w:szCs w:val="11"/>
          <w:color w:val="auto"/>
        </w:rPr>
        <w:t>This exhibit describes the general terms of our Class A Common Stock and Public Warrants (defined below). It is a summary and is not intended to be a complete description of the rights and preferences of such securities. Our certificate of incorporation and bylaws as they exist on the date of this Annual Report on Form 10-K are incorporated by reference or filed as an exhibit to the Annual Report on Form 10-K of which this exhibit is a part, and amendments or restatements of each will be filed with the Securities and Exchange Commission (“SEC”) in future periodic or current reports in accordance with the rules of the SEC.</w:t>
      </w:r>
    </w:p>
    <w:p>
      <w:pPr>
        <w:spacing w:after="0" w:line="5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Authorized Capital Stock</w:t>
      </w:r>
    </w:p>
    <w:p>
      <w:pPr>
        <w:spacing w:after="0" w:line="109" w:lineRule="exact"/>
        <w:rPr>
          <w:sz w:val="20"/>
          <w:szCs w:val="20"/>
          <w:color w:val="auto"/>
        </w:rPr>
      </w:pPr>
    </w:p>
    <w:p>
      <w:pPr>
        <w:ind w:right="40" w:firstLine="883"/>
        <w:spacing w:after="0" w:line="259" w:lineRule="auto"/>
        <w:rPr>
          <w:sz w:val="20"/>
          <w:szCs w:val="20"/>
          <w:color w:val="auto"/>
        </w:rPr>
      </w:pPr>
      <w:r>
        <w:rPr>
          <w:rFonts w:ascii="Arial" w:cs="Arial" w:eastAsia="Arial" w:hAnsi="Arial"/>
          <w:sz w:val="12"/>
          <w:szCs w:val="12"/>
          <w:color w:val="auto"/>
        </w:rPr>
        <w:t>Prior to the Business Combination, our certificate of incorporation authorized the issuance of 261,000,000 shares of capital stock, consisting of (i) 260,000,000 shares of Common Stock, including (A) 250,000,000 shares of Class A Common Stock, $0.0001 par value per share, and (B) 10,000,000 shares of Class F Common Stock, $0.0001 per share, and (ii) 1,000,000 shares of preferred stock, par value $0.0001 per share. Immediately prior to the completion of the Business Combination, each outstanding share of Class F Common Stock automatically converted into one share of Class A Common Stock, and, concurrently with such conversion, the number of authorized shares of Class F Stock was automatically reduced to zero.</w:t>
      </w:r>
    </w:p>
    <w:p>
      <w:pPr>
        <w:spacing w:after="0" w:line="7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Voting Rights</w:t>
      </w:r>
    </w:p>
    <w:p>
      <w:pPr>
        <w:spacing w:after="0" w:line="105" w:lineRule="exact"/>
        <w:rPr>
          <w:sz w:val="20"/>
          <w:szCs w:val="20"/>
          <w:color w:val="auto"/>
        </w:rPr>
      </w:pPr>
    </w:p>
    <w:p>
      <w:pPr>
        <w:ind w:right="80" w:firstLine="883"/>
        <w:spacing w:after="0" w:line="263" w:lineRule="auto"/>
        <w:rPr>
          <w:sz w:val="20"/>
          <w:szCs w:val="20"/>
          <w:color w:val="auto"/>
        </w:rPr>
      </w:pPr>
      <w:r>
        <w:rPr>
          <w:rFonts w:ascii="Arial" w:cs="Arial" w:eastAsia="Arial" w:hAnsi="Arial"/>
          <w:sz w:val="12"/>
          <w:szCs w:val="12"/>
          <w:color w:val="auto"/>
        </w:rPr>
        <w:t>Except as otherwise required by law or as otherwise provided in any certificate of designation for any series of preferred stock, the holders of common stock possess all voting power for the election of our directors and all other matters requiring stockholder action and are entitled to one vote per share on matters to be voted on by stockholders. The holders of Class A Common Stock shall at all times vote together as one class on all matters submitted to a vote of the holders of common stock under our certificate of incorporation.</w:t>
      </w:r>
    </w:p>
    <w:p>
      <w:pPr>
        <w:spacing w:after="0" w:line="78" w:lineRule="exact"/>
        <w:rPr>
          <w:sz w:val="20"/>
          <w:szCs w:val="20"/>
          <w:color w:val="auto"/>
        </w:rPr>
      </w:pPr>
    </w:p>
    <w:p>
      <w:pPr>
        <w:ind w:right="60" w:firstLine="883"/>
        <w:spacing w:after="0" w:line="263" w:lineRule="auto"/>
        <w:rPr>
          <w:sz w:val="20"/>
          <w:szCs w:val="20"/>
          <w:color w:val="auto"/>
        </w:rPr>
      </w:pPr>
      <w:r>
        <w:rPr>
          <w:rFonts w:ascii="Arial" w:cs="Arial" w:eastAsia="Arial" w:hAnsi="Arial"/>
          <w:sz w:val="12"/>
          <w:szCs w:val="12"/>
          <w:color w:val="auto"/>
        </w:rPr>
        <w:t>With respect to any matter other than the election of directors or a matter for which the affirmative vote of the holders of a specified portion of the shares entitled to vote is required under Delaware law or by our certificate of incorporation, the act of the stockholders shall be the affirmative vote of the holders of a majority of the shares entitled to vote on, and voted for or against, the matter at a meeting of stockholders at which a quorum is present; provided that, for purposes thereof, all abstentions and broker non-votes shall not be counted as voted either for or against such matter.</w:t>
      </w:r>
    </w:p>
    <w:p>
      <w:pPr>
        <w:spacing w:after="0" w:line="6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Dividends</w:t>
      </w:r>
    </w:p>
    <w:p>
      <w:pPr>
        <w:spacing w:after="0" w:line="105" w:lineRule="exact"/>
        <w:rPr>
          <w:sz w:val="20"/>
          <w:szCs w:val="20"/>
          <w:color w:val="auto"/>
        </w:rPr>
      </w:pPr>
    </w:p>
    <w:p>
      <w:pPr>
        <w:ind w:right="400" w:firstLine="883"/>
        <w:spacing w:after="0" w:line="323" w:lineRule="auto"/>
        <w:rPr>
          <w:sz w:val="20"/>
          <w:szCs w:val="20"/>
          <w:color w:val="auto"/>
        </w:rPr>
      </w:pPr>
      <w:r>
        <w:rPr>
          <w:rFonts w:ascii="Arial" w:cs="Arial" w:eastAsia="Arial" w:hAnsi="Arial"/>
          <w:sz w:val="11"/>
          <w:szCs w:val="11"/>
          <w:color w:val="auto"/>
        </w:rPr>
        <w:t>Subject to the rights, if any, of the holders of any outstanding shares of preferred stock, under our certificate of incorporation, holders of Class A Common Stock will be entitled to receive such dividends and other distributions, if any, as may be declared from time to time by our Board in its discretion out of funds legally available therefor and shall share equally on a per-share basis in such dividends and distributions.</w:t>
      </w:r>
    </w:p>
    <w:p>
      <w:pPr>
        <w:spacing w:after="0" w:line="4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Liquidation, Dissolution and Winding Up</w:t>
      </w:r>
    </w:p>
    <w:p>
      <w:pPr>
        <w:spacing w:after="0" w:line="96" w:lineRule="exact"/>
        <w:rPr>
          <w:sz w:val="20"/>
          <w:szCs w:val="20"/>
          <w:color w:val="auto"/>
        </w:rPr>
      </w:pPr>
    </w:p>
    <w:p>
      <w:pPr>
        <w:ind w:right="40" w:firstLine="883"/>
        <w:spacing w:after="0" w:line="276" w:lineRule="auto"/>
        <w:rPr>
          <w:sz w:val="20"/>
          <w:szCs w:val="20"/>
          <w:color w:val="auto"/>
        </w:rPr>
      </w:pPr>
      <w:r>
        <w:rPr>
          <w:rFonts w:ascii="Arial" w:cs="Arial" w:eastAsia="Arial" w:hAnsi="Arial"/>
          <w:sz w:val="12"/>
          <w:szCs w:val="12"/>
          <w:color w:val="auto"/>
        </w:rPr>
        <w:t>In the event of the voluntary or involuntary liquidation, dissolution or winding-up of the Company, the holders of common stock will be entitled to receive the remaining assets of the Company available for distribution to stockholders, ratably in proportion to the number of shares of Class A Common Stock held by them, after the rights of holders of the preferred stock have been satisfied.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37465</wp:posOffset>
            </wp:positionV>
            <wp:extent cx="7329170" cy="3683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03">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128" w:right="199" w:bottom="1440" w:gutter="0" w:footer="0" w:header="0"/>
        </w:sectPr>
      </w:pPr>
    </w:p>
    <w:bookmarkStart w:id="126" w:name="page127"/>
    <w:bookmarkEnd w:id="126"/>
    <w:p>
      <w:pPr>
        <w:spacing w:after="0"/>
        <w:rPr>
          <w:sz w:val="20"/>
          <w:szCs w:val="20"/>
          <w:color w:val="auto"/>
        </w:rPr>
      </w:pPr>
      <w:r>
        <w:rPr>
          <w:rFonts w:ascii="Arial" w:cs="Arial" w:eastAsia="Arial" w:hAnsi="Arial"/>
          <w:sz w:val="12"/>
          <w:szCs w:val="12"/>
          <w:b w:val="1"/>
          <w:bCs w:val="1"/>
          <w:i w:val="1"/>
          <w:iCs w:val="1"/>
          <w:color w:val="auto"/>
        </w:rPr>
        <w:t>Preemptive or Other Rights</w:t>
      </w:r>
    </w:p>
    <w:p>
      <w:pPr>
        <w:spacing w:after="0" w:line="105" w:lineRule="exact"/>
        <w:rPr>
          <w:sz w:val="20"/>
          <w:szCs w:val="20"/>
          <w:color w:val="auto"/>
        </w:rPr>
      </w:pPr>
    </w:p>
    <w:p>
      <w:pPr>
        <w:ind w:right="20" w:firstLine="883"/>
        <w:spacing w:after="0" w:line="257" w:lineRule="auto"/>
        <w:rPr>
          <w:sz w:val="20"/>
          <w:szCs w:val="20"/>
          <w:color w:val="auto"/>
        </w:rPr>
      </w:pPr>
      <w:r>
        <w:rPr>
          <w:rFonts w:ascii="Arial" w:cs="Arial" w:eastAsia="Arial" w:hAnsi="Arial"/>
          <w:sz w:val="12"/>
          <w:szCs w:val="12"/>
          <w:color w:val="auto"/>
        </w:rPr>
        <w:t>Our stockholders have no preemptive or other subscription rights, and there are no sinking fund or redemption provisions applicable to our common stock. The rights, preferences and privileges of the holders of common stock are subject to and may be adversely affected by the rights of holders of shares of any series of preferred stock that we may designate in the future. The rights, preferences and privileges that may be granted to holders of our preferred stock, were we to issue such preferred stock, could include dividend rights, conversion rights, voting rights, terms of redemption, liquidation preferences, sinking fund terms and the number of shares constituting any series or the designation of such series, any or all of which may be greater than the rights of common stock. Our issuance of preferred stock could adversely affect the voting power of holders of common stock and the likelihood that such holders will receive dividend payments and payments upon liquidation.</w:t>
      </w:r>
    </w:p>
    <w:p>
      <w:pPr>
        <w:spacing w:after="0" w:line="7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Election of Directors</w:t>
      </w:r>
    </w:p>
    <w:p>
      <w:pPr>
        <w:spacing w:after="0" w:line="105" w:lineRule="exact"/>
        <w:rPr>
          <w:sz w:val="20"/>
          <w:szCs w:val="20"/>
          <w:color w:val="auto"/>
        </w:rPr>
      </w:pPr>
    </w:p>
    <w:p>
      <w:pPr>
        <w:ind w:right="180" w:firstLine="883"/>
        <w:spacing w:after="0" w:line="276" w:lineRule="auto"/>
        <w:rPr>
          <w:sz w:val="20"/>
          <w:szCs w:val="20"/>
          <w:color w:val="auto"/>
        </w:rPr>
      </w:pPr>
      <w:r>
        <w:rPr>
          <w:rFonts w:ascii="Arial" w:cs="Arial" w:eastAsia="Arial" w:hAnsi="Arial"/>
          <w:sz w:val="12"/>
          <w:szCs w:val="12"/>
          <w:color w:val="auto"/>
        </w:rPr>
        <w:t>Our Board is currently divided into three classes—Class I, Class II and Class III, with only one class of directors being elected in each year and each class serving a three-year term. There is no cumulative voting with respect to the election of directors. Accordingly, directors are elected by a plurality of the votes cast at an annual meeting of stockholders by holders of our Common Stock.</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Fully Paid and Non-assessable</w:t>
      </w:r>
    </w:p>
    <w:p>
      <w:pPr>
        <w:spacing w:after="0" w:line="96" w:lineRule="exact"/>
        <w:rPr>
          <w:sz w:val="20"/>
          <w:szCs w:val="20"/>
          <w:color w:val="auto"/>
        </w:rPr>
      </w:pPr>
    </w:p>
    <w:p>
      <w:pPr>
        <w:ind w:left="880"/>
        <w:spacing w:after="0"/>
        <w:rPr>
          <w:sz w:val="20"/>
          <w:szCs w:val="20"/>
          <w:color w:val="auto"/>
        </w:rPr>
      </w:pPr>
      <w:r>
        <w:rPr>
          <w:rFonts w:ascii="Arial" w:cs="Arial" w:eastAsia="Arial" w:hAnsi="Arial"/>
          <w:sz w:val="12"/>
          <w:szCs w:val="12"/>
          <w:color w:val="auto"/>
        </w:rPr>
        <w:t>All outstanding shares of our common stock are fully paid and non-assessable.</w:t>
      </w:r>
    </w:p>
    <w:p>
      <w:pPr>
        <w:spacing w:after="0" w:line="10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Warrants</w:t>
      </w:r>
    </w:p>
    <w:p>
      <w:pPr>
        <w:spacing w:after="0" w:line="109" w:lineRule="exact"/>
        <w:rPr>
          <w:sz w:val="20"/>
          <w:szCs w:val="20"/>
          <w:color w:val="auto"/>
        </w:rPr>
      </w:pPr>
    </w:p>
    <w:p>
      <w:pPr>
        <w:jc w:val="both"/>
        <w:ind w:right="60" w:firstLine="883"/>
        <w:spacing w:after="0" w:line="263" w:lineRule="auto"/>
        <w:rPr>
          <w:sz w:val="20"/>
          <w:szCs w:val="20"/>
          <w:color w:val="auto"/>
        </w:rPr>
      </w:pPr>
      <w:r>
        <w:rPr>
          <w:rFonts w:ascii="Arial" w:cs="Arial" w:eastAsia="Arial" w:hAnsi="Arial"/>
          <w:sz w:val="12"/>
          <w:szCs w:val="12"/>
          <w:color w:val="auto"/>
        </w:rPr>
        <w:t>Each warrant entitles the registered holder to purchase one share of our Class A Common Stock at a price of $11.50 per share, subject to adjustment as discussed below, and expiring on October 17, 2023, or earlier upon redemption or liquidation. No warrant will be exercisable for cash or on a cashless basis, and we will not be obligated to issue any shares to holders seeking to exercise their warrants, unless the issuance of the shares upon such exercise is registered or qualified under the securities laws of the state of the exercising holder, or an exemption is available.</w:t>
      </w:r>
    </w:p>
    <w:p>
      <w:pPr>
        <w:spacing w:after="0" w:line="69" w:lineRule="exact"/>
        <w:rPr>
          <w:sz w:val="20"/>
          <w:szCs w:val="20"/>
          <w:color w:val="auto"/>
        </w:rPr>
      </w:pPr>
    </w:p>
    <w:p>
      <w:pPr>
        <w:ind w:firstLine="883"/>
        <w:spacing w:after="0" w:line="276" w:lineRule="auto"/>
        <w:rPr>
          <w:sz w:val="20"/>
          <w:szCs w:val="20"/>
          <w:color w:val="auto"/>
        </w:rPr>
      </w:pPr>
      <w:r>
        <w:rPr>
          <w:rFonts w:ascii="Arial" w:cs="Arial" w:eastAsia="Arial" w:hAnsi="Arial"/>
          <w:sz w:val="12"/>
          <w:szCs w:val="12"/>
          <w:color w:val="auto"/>
        </w:rPr>
        <w:t>The warrants may be exercised only for a whole number of shares of Class A Common Stock. No fractional shares will be issued upon exercise of the warrants. If, upon exercise of the warrants, a holder would be entitled to receive a fractional interest in a share, we will, upon exercise, round down to the nearest whole number the number of shares of Class A Common Stock to be issued to the warrant holder.</w:t>
      </w:r>
    </w:p>
    <w:p>
      <w:pPr>
        <w:spacing w:after="0" w:line="70" w:lineRule="exact"/>
        <w:rPr>
          <w:sz w:val="20"/>
          <w:szCs w:val="20"/>
          <w:color w:val="auto"/>
        </w:rPr>
      </w:pPr>
    </w:p>
    <w:p>
      <w:pPr>
        <w:ind w:right="40" w:firstLine="993"/>
        <w:spacing w:after="0" w:line="257" w:lineRule="auto"/>
        <w:rPr>
          <w:sz w:val="20"/>
          <w:szCs w:val="20"/>
          <w:color w:val="auto"/>
        </w:rPr>
      </w:pPr>
      <w:r>
        <w:rPr>
          <w:rFonts w:ascii="Arial" w:cs="Arial" w:eastAsia="Arial" w:hAnsi="Arial"/>
          <w:sz w:val="12"/>
          <w:szCs w:val="12"/>
          <w:color w:val="auto"/>
        </w:rPr>
        <w:t>If the number of outstanding shares of Class A Common Stock is increased by a stock dividend payable in shares of Class A Common Stock, or by a split-up of shares of Class A Common Stock or other similar event, then, on the effective date of such stock dividend, split-up or similar event, the number of shares of Class A Common Stock issuable on exercise of each warrant will be increased in proportion to such increase in the outstanding shares of Class A Common Stock. If the number of outstanding shares of our Class A Common Stock is decreased by a consolidation, combination, reverse stock split or reclassification of shares of Class A Common Stock or other similar event, then, on the effective date of such consolidation, combination, reverse stock split, reclassification or similar event, the number of shares of Class A Common Stock issuable on exercise of each warrant will be decreased in proportion to such decrease in outstanding shares of Class A Common Stock.</w:t>
      </w:r>
    </w:p>
    <w:p>
      <w:pPr>
        <w:spacing w:after="0" w:line="8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Public Warrants</w:t>
      </w:r>
    </w:p>
    <w:p>
      <w:pPr>
        <w:spacing w:after="0" w:line="96" w:lineRule="exact"/>
        <w:rPr>
          <w:sz w:val="20"/>
          <w:szCs w:val="20"/>
          <w:color w:val="auto"/>
        </w:rPr>
      </w:pPr>
    </w:p>
    <w:p>
      <w:pPr>
        <w:ind w:left="880"/>
        <w:spacing w:after="0"/>
        <w:rPr>
          <w:sz w:val="20"/>
          <w:szCs w:val="20"/>
          <w:color w:val="auto"/>
        </w:rPr>
      </w:pPr>
      <w:r>
        <w:rPr>
          <w:rFonts w:ascii="Arial" w:cs="Arial" w:eastAsia="Arial" w:hAnsi="Arial"/>
          <w:sz w:val="12"/>
          <w:szCs w:val="12"/>
          <w:color w:val="auto"/>
        </w:rPr>
        <w:t>During the time the warrants are exercisable, we may call certain warrants that were issued in connection with our initial public offering (the “</w:t>
      </w:r>
      <w:r>
        <w:rPr>
          <w:rFonts w:ascii="Arial" w:cs="Arial" w:eastAsia="Arial" w:hAnsi="Arial"/>
          <w:sz w:val="12"/>
          <w:szCs w:val="12"/>
          <w:b w:val="1"/>
          <w:bCs w:val="1"/>
          <w:i w:val="1"/>
          <w:iCs w:val="1"/>
          <w:color w:val="auto"/>
        </w:rPr>
        <w:t>Public Warrants</w:t>
      </w:r>
      <w:r>
        <w:rPr>
          <w:rFonts w:ascii="Arial" w:cs="Arial" w:eastAsia="Arial" w:hAnsi="Arial"/>
          <w:sz w:val="12"/>
          <w:szCs w:val="12"/>
          <w:color w:val="auto"/>
        </w:rPr>
        <w:t>”) for redemption:</w:t>
      </w:r>
    </w:p>
    <w:p>
      <w:pPr>
        <w:spacing w:after="0" w:line="105" w:lineRule="exact"/>
        <w:rPr>
          <w:sz w:val="20"/>
          <w:szCs w:val="20"/>
          <w:color w:val="auto"/>
        </w:rPr>
      </w:pPr>
    </w:p>
    <w:p>
      <w:pPr>
        <w:ind w:left="880" w:hanging="447"/>
        <w:spacing w:after="0"/>
        <w:tabs>
          <w:tab w:leader="none" w:pos="880" w:val="left"/>
        </w:tabs>
        <w:numPr>
          <w:ilvl w:val="0"/>
          <w:numId w:val="55"/>
        </w:numPr>
        <w:rPr>
          <w:rFonts w:ascii="Arial" w:cs="Arial" w:eastAsia="Arial" w:hAnsi="Arial"/>
          <w:sz w:val="12"/>
          <w:szCs w:val="12"/>
          <w:color w:val="auto"/>
        </w:rPr>
      </w:pPr>
      <w:r>
        <w:rPr>
          <w:rFonts w:ascii="Arial" w:cs="Arial" w:eastAsia="Arial" w:hAnsi="Arial"/>
          <w:sz w:val="12"/>
          <w:szCs w:val="12"/>
          <w:color w:val="auto"/>
        </w:rPr>
        <w:t>in whole and not in part;</w:t>
      </w:r>
    </w:p>
    <w:p>
      <w:pPr>
        <w:spacing w:after="0" w:line="14" w:lineRule="exact"/>
        <w:rPr>
          <w:rFonts w:ascii="Arial" w:cs="Arial" w:eastAsia="Arial" w:hAnsi="Arial"/>
          <w:sz w:val="12"/>
          <w:szCs w:val="12"/>
          <w:color w:val="auto"/>
        </w:rPr>
      </w:pPr>
    </w:p>
    <w:p>
      <w:pPr>
        <w:ind w:left="880" w:hanging="447"/>
        <w:spacing w:after="0"/>
        <w:tabs>
          <w:tab w:leader="none" w:pos="880" w:val="left"/>
        </w:tabs>
        <w:numPr>
          <w:ilvl w:val="0"/>
          <w:numId w:val="55"/>
        </w:numPr>
        <w:rPr>
          <w:rFonts w:ascii="Arial" w:cs="Arial" w:eastAsia="Arial" w:hAnsi="Arial"/>
          <w:sz w:val="12"/>
          <w:szCs w:val="12"/>
          <w:color w:val="auto"/>
        </w:rPr>
      </w:pPr>
      <w:r>
        <w:rPr>
          <w:rFonts w:ascii="Arial" w:cs="Arial" w:eastAsia="Arial" w:hAnsi="Arial"/>
          <w:sz w:val="12"/>
          <w:szCs w:val="12"/>
          <w:color w:val="auto"/>
        </w:rPr>
        <w:t>at a price of $0.01 per warrant;</w:t>
      </w:r>
    </w:p>
    <w:p>
      <w:pPr>
        <w:spacing w:after="0" w:line="6" w:lineRule="exact"/>
        <w:rPr>
          <w:rFonts w:ascii="Arial" w:cs="Arial" w:eastAsia="Arial" w:hAnsi="Arial"/>
          <w:sz w:val="12"/>
          <w:szCs w:val="12"/>
          <w:color w:val="auto"/>
        </w:rPr>
      </w:pPr>
    </w:p>
    <w:p>
      <w:pPr>
        <w:ind w:left="880" w:hanging="447"/>
        <w:spacing w:after="0"/>
        <w:tabs>
          <w:tab w:leader="none" w:pos="880" w:val="left"/>
        </w:tabs>
        <w:numPr>
          <w:ilvl w:val="0"/>
          <w:numId w:val="55"/>
        </w:numPr>
        <w:rPr>
          <w:rFonts w:ascii="Arial" w:cs="Arial" w:eastAsia="Arial" w:hAnsi="Arial"/>
          <w:sz w:val="12"/>
          <w:szCs w:val="12"/>
          <w:color w:val="auto"/>
        </w:rPr>
      </w:pPr>
      <w:r>
        <w:rPr>
          <w:rFonts w:ascii="Arial" w:cs="Arial" w:eastAsia="Arial" w:hAnsi="Arial"/>
          <w:sz w:val="12"/>
          <w:szCs w:val="12"/>
          <w:color w:val="auto"/>
        </w:rPr>
        <w:t>upon not less than 30 days’ prior written notice of redemption to each Public Warrant holder;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36830</wp:posOffset>
            </wp:positionV>
            <wp:extent cx="7329170" cy="3683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04">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40"/>
          </w:cols>
          <w:pgMar w:left="220" w:top="293" w:right="239" w:bottom="1440" w:gutter="0" w:footer="0" w:header="0"/>
        </w:sectPr>
      </w:pPr>
    </w:p>
    <w:bookmarkStart w:id="127" w:name="page128"/>
    <w:bookmarkEnd w:id="127"/>
    <w:p>
      <w:pPr>
        <w:ind w:left="880" w:right="60" w:hanging="447"/>
        <w:spacing w:after="0" w:line="276" w:lineRule="auto"/>
        <w:tabs>
          <w:tab w:leader="none" w:pos="880" w:val="left"/>
        </w:tabs>
        <w:numPr>
          <w:ilvl w:val="0"/>
          <w:numId w:val="56"/>
        </w:numPr>
        <w:rPr>
          <w:rFonts w:ascii="Arial" w:cs="Arial" w:eastAsia="Arial" w:hAnsi="Arial"/>
          <w:sz w:val="12"/>
          <w:szCs w:val="12"/>
          <w:color w:val="auto"/>
        </w:rPr>
      </w:pPr>
      <w:r>
        <w:rPr>
          <w:rFonts w:ascii="Arial" w:cs="Arial" w:eastAsia="Arial" w:hAnsi="Arial"/>
          <w:sz w:val="12"/>
          <w:szCs w:val="12"/>
          <w:color w:val="auto"/>
        </w:rPr>
        <w:t>if, and only if, the last reported sale price of our Class A Common Stock equals or exceeds $18.00 per share for any 20 trading days within a 30 trading day period ending on the third trading day prior to the date we send the notice of redemption to the warrant holder.</w:t>
      </w:r>
    </w:p>
    <w:p>
      <w:pPr>
        <w:spacing w:after="0" w:line="70" w:lineRule="exact"/>
        <w:rPr>
          <w:sz w:val="20"/>
          <w:szCs w:val="20"/>
          <w:color w:val="auto"/>
        </w:rPr>
      </w:pPr>
    </w:p>
    <w:p>
      <w:pPr>
        <w:ind w:firstLine="993"/>
        <w:spacing w:after="0" w:line="281" w:lineRule="auto"/>
        <w:rPr>
          <w:sz w:val="20"/>
          <w:szCs w:val="20"/>
          <w:color w:val="auto"/>
        </w:rPr>
      </w:pPr>
      <w:r>
        <w:rPr>
          <w:rFonts w:ascii="Arial" w:cs="Arial" w:eastAsia="Arial" w:hAnsi="Arial"/>
          <w:sz w:val="11"/>
          <w:szCs w:val="11"/>
          <w:color w:val="auto"/>
        </w:rPr>
        <w:t>If and when the Public Warrants become redeemable by us, we may exercise our redemption right even if we are unable to register or qualify the underlying securities for sale under all applicable state securities laws. If we call the Public Warrants for redemption as described above, our management will have the option to require the holders that wish to exercise their warrants to do so on a “cashless basis.” If our management takes advantage of this option, all holders of Public Warrants would pay the exercise price by surrendering their warrants for that number of shares of Class A Common Stock equal to the quotient obtained by dividing (x) the product of the number of shares of Class A Common Stock underlying the warrants, multiplied by the difference between the exercise price of the warrants and the “fair market value” by (y) the fair market value. The “fair market value” shall mean the average reported last sale price of the Class A Common Stock for the ten trading days ending on the third trading day prior to the date on which the notice of redemption is sent to the holders of Public Warrants. If our management takes advantage of this option, the notice of redemption will contain the information necessary to calculate the number of shares of Class A Common Stock to be received upon exercise of the Public Warrants, including the "fair market value" in such case. Requiring a cashless exercise in this manner would reduce the number of shares to be issued and thereby lessen the dilutive effect of a redemption of the Public Warrants.</w:t>
      </w:r>
    </w:p>
    <w:p>
      <w:pPr>
        <w:spacing w:after="0" w:line="71" w:lineRule="exact"/>
        <w:rPr>
          <w:sz w:val="20"/>
          <w:szCs w:val="20"/>
          <w:color w:val="auto"/>
        </w:rPr>
      </w:pPr>
    </w:p>
    <w:p>
      <w:pPr>
        <w:ind w:right="60" w:firstLine="993"/>
        <w:spacing w:after="0" w:line="276" w:lineRule="auto"/>
        <w:rPr>
          <w:sz w:val="20"/>
          <w:szCs w:val="20"/>
          <w:color w:val="auto"/>
        </w:rPr>
      </w:pPr>
      <w:r>
        <w:rPr>
          <w:rFonts w:ascii="Arial" w:cs="Arial" w:eastAsia="Arial" w:hAnsi="Arial"/>
          <w:sz w:val="12"/>
          <w:szCs w:val="12"/>
          <w:color w:val="auto"/>
        </w:rPr>
        <w:t>The warrant agreement provides that the terms of the warrants may be amended without the consent of any holder to cure any ambiguity or correct any defective provision, but requires the approval by the holders of at least 50% of the then-outstanding Public Warrants to make any change that adversely affects the interests of the registered holders of Public Warrants.</w:t>
      </w:r>
    </w:p>
    <w:p>
      <w:pPr>
        <w:spacing w:after="0" w:line="6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Private Placement Warrants</w:t>
      </w:r>
    </w:p>
    <w:p>
      <w:pPr>
        <w:spacing w:after="0" w:line="105" w:lineRule="exact"/>
        <w:rPr>
          <w:sz w:val="20"/>
          <w:szCs w:val="20"/>
          <w:color w:val="auto"/>
        </w:rPr>
      </w:pPr>
    </w:p>
    <w:p>
      <w:pPr>
        <w:ind w:right="40" w:firstLine="883"/>
        <w:spacing w:after="0" w:line="259" w:lineRule="auto"/>
        <w:rPr>
          <w:sz w:val="20"/>
          <w:szCs w:val="20"/>
          <w:color w:val="auto"/>
        </w:rPr>
      </w:pPr>
      <w:r>
        <w:rPr>
          <w:rFonts w:ascii="Arial" w:cs="Arial" w:eastAsia="Arial" w:hAnsi="Arial"/>
          <w:sz w:val="12"/>
          <w:szCs w:val="12"/>
          <w:color w:val="auto"/>
        </w:rPr>
        <w:t>Our sponsor, Gores Sponsor II LLC, a Delaware limited liability company (“</w:t>
      </w:r>
      <w:r>
        <w:rPr>
          <w:rFonts w:ascii="Arial" w:cs="Arial" w:eastAsia="Arial" w:hAnsi="Arial"/>
          <w:sz w:val="12"/>
          <w:szCs w:val="12"/>
          <w:b w:val="1"/>
          <w:bCs w:val="1"/>
          <w:i w:val="1"/>
          <w:iCs w:val="1"/>
          <w:color w:val="auto"/>
        </w:rPr>
        <w:t>Sponsor</w:t>
      </w:r>
      <w:r>
        <w:rPr>
          <w:rFonts w:ascii="Arial" w:cs="Arial" w:eastAsia="Arial" w:hAnsi="Arial"/>
          <w:sz w:val="12"/>
          <w:szCs w:val="12"/>
          <w:color w:val="auto"/>
        </w:rPr>
        <w:t>”) purchased certain warrants (the “</w:t>
      </w:r>
      <w:r>
        <w:rPr>
          <w:rFonts w:ascii="Arial" w:cs="Arial" w:eastAsia="Arial" w:hAnsi="Arial"/>
          <w:sz w:val="12"/>
          <w:szCs w:val="12"/>
          <w:b w:val="1"/>
          <w:bCs w:val="1"/>
          <w:i w:val="1"/>
          <w:iCs w:val="1"/>
          <w:color w:val="auto"/>
        </w:rPr>
        <w:t>Private Placement Warrants</w:t>
      </w:r>
      <w:r>
        <w:rPr>
          <w:rFonts w:ascii="Arial" w:cs="Arial" w:eastAsia="Arial" w:hAnsi="Arial"/>
          <w:sz w:val="12"/>
          <w:szCs w:val="12"/>
          <w:color w:val="auto"/>
        </w:rPr>
        <w:t>”) at a price of $1.50 each in a private placement that occurred on the closing date of our initial public offering. The Private Placement Warrants are not redeemable by us so long as they are held by the Sponsor or its permitted transferees. Otherwise, the Private Placement Warrants have terms and provisions that are identical to those of the Public Warrants. If the Private Placement Warrants are held by holders other than the Sponsor or its permitted transferees, the Private Placement Warrants will be redeemable by us and exercisable by the holders on the same basis as the Public Warrants.</w:t>
      </w:r>
    </w:p>
    <w:p>
      <w:pPr>
        <w:spacing w:after="0" w:line="80" w:lineRule="exact"/>
        <w:rPr>
          <w:sz w:val="20"/>
          <w:szCs w:val="20"/>
          <w:color w:val="auto"/>
        </w:rPr>
      </w:pPr>
    </w:p>
    <w:p>
      <w:pPr>
        <w:ind w:firstLine="883"/>
        <w:spacing w:after="0" w:line="259" w:lineRule="auto"/>
        <w:rPr>
          <w:sz w:val="20"/>
          <w:szCs w:val="20"/>
          <w:color w:val="auto"/>
        </w:rPr>
      </w:pPr>
      <w:r>
        <w:rPr>
          <w:rFonts w:ascii="Arial" w:cs="Arial" w:eastAsia="Arial" w:hAnsi="Arial"/>
          <w:sz w:val="12"/>
          <w:szCs w:val="12"/>
          <w:color w:val="auto"/>
        </w:rPr>
        <w:t>If holders of the Private Placement Warrants elect to exercise on a cashless basis, they would pay the exercise price by surrendering their warrants for that number of shares of Class A Common Stock equal to the quotient obtained by dividing (x) the product of the number of shares of Class A Common Stock underlying the exercised warrants, multiplied by the difference between the exercise price of the Private Placement Warrants and the “fair market value” by (y) the fair market value. The “fair market value” shall mean the average reported last sale price of the Class A Common Stock for the ten trading days ending on the third trading day prior to the date on which the notice of warrant exercise is sent to the warrant agent.</w:t>
      </w:r>
    </w:p>
    <w:p>
      <w:pPr>
        <w:spacing w:after="0" w:line="6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Certain Anti-Takeover Provisions of Delaware Law, our Certificate of Incorporation and Bylaws</w:t>
      </w:r>
    </w:p>
    <w:p>
      <w:pPr>
        <w:spacing w:after="0" w:line="109" w:lineRule="exact"/>
        <w:rPr>
          <w:sz w:val="20"/>
          <w:szCs w:val="20"/>
          <w:color w:val="auto"/>
        </w:rPr>
      </w:pPr>
    </w:p>
    <w:p>
      <w:pPr>
        <w:ind w:right="80" w:firstLine="883"/>
        <w:spacing w:after="0" w:line="263" w:lineRule="auto"/>
        <w:rPr>
          <w:sz w:val="20"/>
          <w:szCs w:val="20"/>
          <w:color w:val="auto"/>
        </w:rPr>
      </w:pPr>
      <w:r>
        <w:rPr>
          <w:rFonts w:ascii="Arial" w:cs="Arial" w:eastAsia="Arial" w:hAnsi="Arial"/>
          <w:sz w:val="12"/>
          <w:szCs w:val="12"/>
          <w:color w:val="auto"/>
        </w:rPr>
        <w:t>We have “opted out” of Section 203 of the DGCL (“Section 203”), regulating corporate takeovers, such election becoming effective on October 17, 2018. Instead, our certificate of incorporation contains a provision that is substantially similar to Section 203, but excludes the investment funds affiliated with The Gores Group LLC and Platinum Equity, LLC, each of their successors, certain affiliates and each of their respective transferees from the definition of “interested stockholder.”</w:t>
      </w:r>
    </w:p>
    <w:p>
      <w:pPr>
        <w:spacing w:after="0" w:line="78" w:lineRule="exact"/>
        <w:rPr>
          <w:sz w:val="20"/>
          <w:szCs w:val="20"/>
          <w:color w:val="auto"/>
        </w:rPr>
      </w:pPr>
    </w:p>
    <w:p>
      <w:pPr>
        <w:ind w:left="880"/>
        <w:spacing w:after="0"/>
        <w:rPr>
          <w:sz w:val="20"/>
          <w:szCs w:val="20"/>
          <w:color w:val="auto"/>
        </w:rPr>
      </w:pPr>
      <w:r>
        <w:rPr>
          <w:rFonts w:ascii="Arial" w:cs="Arial" w:eastAsia="Arial" w:hAnsi="Arial"/>
          <w:sz w:val="12"/>
          <w:szCs w:val="12"/>
          <w:color w:val="auto"/>
        </w:rPr>
        <w:t>Section 203 prevents certain Delaware corporations, under certain circumstances, from engaging in a “business combination” with:</w:t>
      </w:r>
    </w:p>
    <w:p>
      <w:pPr>
        <w:spacing w:after="0" w:line="96" w:lineRule="exact"/>
        <w:rPr>
          <w:sz w:val="20"/>
          <w:szCs w:val="20"/>
          <w:color w:val="auto"/>
        </w:rPr>
      </w:pPr>
    </w:p>
    <w:p>
      <w:pPr>
        <w:ind w:left="920" w:hanging="433"/>
        <w:spacing w:after="0"/>
        <w:tabs>
          <w:tab w:leader="none" w:pos="920" w:val="left"/>
        </w:tabs>
        <w:numPr>
          <w:ilvl w:val="0"/>
          <w:numId w:val="57"/>
        </w:numPr>
        <w:rPr>
          <w:rFonts w:ascii="Arial" w:cs="Arial" w:eastAsia="Arial" w:hAnsi="Arial"/>
          <w:sz w:val="12"/>
          <w:szCs w:val="12"/>
          <w:color w:val="auto"/>
        </w:rPr>
      </w:pPr>
      <w:r>
        <w:rPr>
          <w:rFonts w:ascii="Arial" w:cs="Arial" w:eastAsia="Arial" w:hAnsi="Arial"/>
          <w:sz w:val="12"/>
          <w:szCs w:val="12"/>
          <w:color w:val="auto"/>
        </w:rPr>
        <w:t>a stockholder who owns fifteen percent (15%) or more of our outstanding voting stock (otherwise known as an “interested stockholder”);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05">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60"/>
          </w:cols>
          <w:pgMar w:left="220" w:top="293" w:right="219" w:bottom="1440" w:gutter="0" w:footer="0" w:header="0"/>
        </w:sectPr>
      </w:pPr>
    </w:p>
    <w:bookmarkStart w:id="128" w:name="page129"/>
    <w:bookmarkEnd w:id="128"/>
    <w:p>
      <w:pPr>
        <w:ind w:left="920" w:hanging="433"/>
        <w:spacing w:after="0"/>
        <w:tabs>
          <w:tab w:leader="none" w:pos="920" w:val="left"/>
        </w:tabs>
        <w:numPr>
          <w:ilvl w:val="0"/>
          <w:numId w:val="58"/>
        </w:numPr>
        <w:rPr>
          <w:rFonts w:ascii="Arial" w:cs="Arial" w:eastAsia="Arial" w:hAnsi="Arial"/>
          <w:sz w:val="12"/>
          <w:szCs w:val="12"/>
          <w:color w:val="auto"/>
        </w:rPr>
      </w:pPr>
      <w:r>
        <w:rPr>
          <w:rFonts w:ascii="Arial" w:cs="Arial" w:eastAsia="Arial" w:hAnsi="Arial"/>
          <w:sz w:val="12"/>
          <w:szCs w:val="12"/>
          <w:color w:val="auto"/>
        </w:rPr>
        <w:t>an affiliate of an interested stockholder; or</w:t>
      </w:r>
    </w:p>
    <w:p>
      <w:pPr>
        <w:spacing w:after="0" w:line="14" w:lineRule="exact"/>
        <w:rPr>
          <w:rFonts w:ascii="Arial" w:cs="Arial" w:eastAsia="Arial" w:hAnsi="Arial"/>
          <w:sz w:val="12"/>
          <w:szCs w:val="12"/>
          <w:color w:val="auto"/>
        </w:rPr>
      </w:pPr>
    </w:p>
    <w:p>
      <w:pPr>
        <w:ind w:left="920" w:hanging="433"/>
        <w:spacing w:after="0"/>
        <w:tabs>
          <w:tab w:leader="none" w:pos="920" w:val="left"/>
        </w:tabs>
        <w:numPr>
          <w:ilvl w:val="0"/>
          <w:numId w:val="58"/>
        </w:numPr>
        <w:rPr>
          <w:rFonts w:ascii="Arial" w:cs="Arial" w:eastAsia="Arial" w:hAnsi="Arial"/>
          <w:sz w:val="12"/>
          <w:szCs w:val="12"/>
          <w:color w:val="auto"/>
        </w:rPr>
      </w:pPr>
      <w:r>
        <w:rPr>
          <w:rFonts w:ascii="Arial" w:cs="Arial" w:eastAsia="Arial" w:hAnsi="Arial"/>
          <w:sz w:val="12"/>
          <w:szCs w:val="12"/>
          <w:color w:val="auto"/>
        </w:rPr>
        <w:t>an associate of an interested stockholder, for three years following the date that the stockholder became an interested stockholder.</w:t>
      </w:r>
    </w:p>
    <w:p>
      <w:pPr>
        <w:spacing w:after="0" w:line="96" w:lineRule="exact"/>
        <w:rPr>
          <w:sz w:val="20"/>
          <w:szCs w:val="20"/>
          <w:color w:val="auto"/>
        </w:rPr>
      </w:pPr>
    </w:p>
    <w:p>
      <w:pPr>
        <w:ind w:left="980"/>
        <w:spacing w:after="0"/>
        <w:rPr>
          <w:sz w:val="20"/>
          <w:szCs w:val="20"/>
          <w:color w:val="auto"/>
        </w:rPr>
      </w:pPr>
      <w:r>
        <w:rPr>
          <w:rFonts w:ascii="Arial" w:cs="Arial" w:eastAsia="Arial" w:hAnsi="Arial"/>
          <w:sz w:val="12"/>
          <w:szCs w:val="12"/>
          <w:color w:val="auto"/>
        </w:rPr>
        <w:t>A “business combination” includes a merger or sale of more than ten percent (10%) of our assets.</w:t>
      </w:r>
    </w:p>
    <w:p>
      <w:pPr>
        <w:spacing w:after="0" w:line="105" w:lineRule="exact"/>
        <w:rPr>
          <w:sz w:val="20"/>
          <w:szCs w:val="20"/>
          <w:color w:val="auto"/>
        </w:rPr>
      </w:pPr>
    </w:p>
    <w:p>
      <w:pPr>
        <w:ind w:left="980"/>
        <w:spacing w:after="0"/>
        <w:rPr>
          <w:sz w:val="20"/>
          <w:szCs w:val="20"/>
          <w:color w:val="auto"/>
        </w:rPr>
      </w:pPr>
      <w:r>
        <w:rPr>
          <w:rFonts w:ascii="Arial" w:cs="Arial" w:eastAsia="Arial" w:hAnsi="Arial"/>
          <w:sz w:val="12"/>
          <w:szCs w:val="12"/>
          <w:color w:val="auto"/>
        </w:rPr>
        <w:t>However, the above provisions of Section 203 do not apply if:</w:t>
      </w:r>
    </w:p>
    <w:p>
      <w:pPr>
        <w:spacing w:after="0" w:line="96" w:lineRule="exact"/>
        <w:rPr>
          <w:sz w:val="20"/>
          <w:szCs w:val="20"/>
          <w:color w:val="auto"/>
        </w:rPr>
      </w:pPr>
    </w:p>
    <w:p>
      <w:pPr>
        <w:ind w:left="880" w:hanging="447"/>
        <w:spacing w:after="0"/>
        <w:tabs>
          <w:tab w:leader="none" w:pos="880" w:val="left"/>
        </w:tabs>
        <w:numPr>
          <w:ilvl w:val="0"/>
          <w:numId w:val="59"/>
        </w:numPr>
        <w:rPr>
          <w:rFonts w:ascii="Arial" w:cs="Arial" w:eastAsia="Arial" w:hAnsi="Arial"/>
          <w:sz w:val="12"/>
          <w:szCs w:val="12"/>
          <w:color w:val="auto"/>
        </w:rPr>
      </w:pPr>
      <w:r>
        <w:rPr>
          <w:rFonts w:ascii="Arial" w:cs="Arial" w:eastAsia="Arial" w:hAnsi="Arial"/>
          <w:sz w:val="12"/>
          <w:szCs w:val="12"/>
          <w:color w:val="auto"/>
        </w:rPr>
        <w:t>our Board approves the transaction that made the stockholder an “interested stockholder,” prior to the date of the transaction;</w:t>
      </w:r>
    </w:p>
    <w:p>
      <w:pPr>
        <w:spacing w:after="0" w:line="14" w:lineRule="exact"/>
        <w:rPr>
          <w:rFonts w:ascii="Arial" w:cs="Arial" w:eastAsia="Arial" w:hAnsi="Arial"/>
          <w:sz w:val="12"/>
          <w:szCs w:val="12"/>
          <w:color w:val="auto"/>
        </w:rPr>
      </w:pPr>
    </w:p>
    <w:p>
      <w:pPr>
        <w:ind w:left="880" w:right="480" w:hanging="447"/>
        <w:spacing w:after="0" w:line="250" w:lineRule="auto"/>
        <w:tabs>
          <w:tab w:leader="none" w:pos="880" w:val="left"/>
        </w:tabs>
        <w:numPr>
          <w:ilvl w:val="0"/>
          <w:numId w:val="59"/>
        </w:numPr>
        <w:rPr>
          <w:rFonts w:ascii="Arial" w:cs="Arial" w:eastAsia="Arial" w:hAnsi="Arial"/>
          <w:sz w:val="12"/>
          <w:szCs w:val="12"/>
          <w:color w:val="auto"/>
        </w:rPr>
      </w:pPr>
      <w:r>
        <w:rPr>
          <w:rFonts w:ascii="Arial" w:cs="Arial" w:eastAsia="Arial" w:hAnsi="Arial"/>
          <w:sz w:val="12"/>
          <w:szCs w:val="12"/>
          <w:color w:val="auto"/>
        </w:rPr>
        <w:t>after the completion of the transaction that resulted in the stockholder becoming an interested stockholder, that stockholder owned at least eighty-five percent (85%) of our voting stock outstanding at the time the transaction commenced, other than statutorily excluded shares of common stock; or</w:t>
      </w:r>
    </w:p>
    <w:p>
      <w:pPr>
        <w:ind w:left="880" w:right="80" w:hanging="447"/>
        <w:spacing w:after="0" w:line="261" w:lineRule="auto"/>
        <w:tabs>
          <w:tab w:leader="none" w:pos="880" w:val="left"/>
        </w:tabs>
        <w:numPr>
          <w:ilvl w:val="0"/>
          <w:numId w:val="59"/>
        </w:numPr>
        <w:rPr>
          <w:rFonts w:ascii="Arial" w:cs="Arial" w:eastAsia="Arial" w:hAnsi="Arial"/>
          <w:sz w:val="12"/>
          <w:szCs w:val="12"/>
          <w:color w:val="auto"/>
        </w:rPr>
      </w:pPr>
      <w:r>
        <w:rPr>
          <w:rFonts w:ascii="Arial" w:cs="Arial" w:eastAsia="Arial" w:hAnsi="Arial"/>
          <w:sz w:val="12"/>
          <w:szCs w:val="12"/>
          <w:color w:val="auto"/>
        </w:rPr>
        <w:t>on or subsequent to the date of the transaction, the business combination is approved by our Board and authorized at a meeting of our stockholders, and not by written consent, by an affirmative vote of at least two-thirds of the outstanding voting stock not owned by the interested stockholder.</w:t>
      </w:r>
    </w:p>
    <w:p>
      <w:pPr>
        <w:spacing w:after="0" w:line="78" w:lineRule="exact"/>
        <w:rPr>
          <w:sz w:val="20"/>
          <w:szCs w:val="20"/>
          <w:color w:val="auto"/>
        </w:rPr>
      </w:pPr>
    </w:p>
    <w:p>
      <w:pPr>
        <w:ind w:right="200" w:firstLine="993"/>
        <w:spacing w:after="0" w:line="276" w:lineRule="auto"/>
        <w:rPr>
          <w:sz w:val="20"/>
          <w:szCs w:val="20"/>
          <w:color w:val="auto"/>
        </w:rPr>
      </w:pPr>
      <w:r>
        <w:rPr>
          <w:rFonts w:ascii="Arial" w:cs="Arial" w:eastAsia="Arial" w:hAnsi="Arial"/>
          <w:sz w:val="12"/>
          <w:szCs w:val="12"/>
          <w:color w:val="auto"/>
        </w:rPr>
        <w:t>Our certificate of incorporation provides that our Board is classified into three classes of directors. As a result, in most circumstances, a person can gain control of our Board only by successfully engaging in a proxy contest at two or more annual meetings.</w:t>
      </w:r>
    </w:p>
    <w:p>
      <w:pPr>
        <w:spacing w:after="0" w:line="70" w:lineRule="exact"/>
        <w:rPr>
          <w:sz w:val="20"/>
          <w:szCs w:val="20"/>
          <w:color w:val="auto"/>
        </w:rPr>
      </w:pPr>
    </w:p>
    <w:p>
      <w:pPr>
        <w:ind w:left="980"/>
        <w:spacing w:after="0"/>
        <w:rPr>
          <w:sz w:val="20"/>
          <w:szCs w:val="20"/>
          <w:color w:val="auto"/>
        </w:rPr>
      </w:pPr>
      <w:r>
        <w:rPr>
          <w:rFonts w:ascii="Arial" w:cs="Arial" w:eastAsia="Arial" w:hAnsi="Arial"/>
          <w:sz w:val="11"/>
          <w:szCs w:val="11"/>
          <w:color w:val="auto"/>
        </w:rPr>
        <w:t>Our certificate of incorporation requires the approval by affirmative vote of the holders of at least two-thirds of our common stock to make any amendment to key provisions of our certificate of incorporation or bylaws.</w:t>
      </w:r>
    </w:p>
    <w:p>
      <w:pPr>
        <w:spacing w:after="0" w:line="117" w:lineRule="exact"/>
        <w:rPr>
          <w:sz w:val="20"/>
          <w:szCs w:val="20"/>
          <w:color w:val="auto"/>
        </w:rPr>
      </w:pPr>
    </w:p>
    <w:p>
      <w:pPr>
        <w:ind w:right="80" w:firstLine="993"/>
        <w:spacing w:after="0" w:line="259" w:lineRule="auto"/>
        <w:rPr>
          <w:sz w:val="20"/>
          <w:szCs w:val="20"/>
          <w:color w:val="auto"/>
        </w:rPr>
      </w:pPr>
      <w:r>
        <w:rPr>
          <w:rFonts w:ascii="Arial" w:cs="Arial" w:eastAsia="Arial" w:hAnsi="Arial"/>
          <w:sz w:val="12"/>
          <w:szCs w:val="12"/>
          <w:color w:val="auto"/>
        </w:rPr>
        <w:t>In addition, our certificate of incorporation does not provide for cumulative voting in the election of directors. Our Board is empowered to elect a director to fill a vacancy created by the expansion of the Board or the resignation, death or removal of a director in certain circumstances; directors may be removed from the Board only for cause. Stockholder action by written consent is prohibited, which forces stockholder action to be taken at an annual or special meeting of our stockholders. Meetings of the stockholders may be called only by members of our Board, which may delay the ability of our stockholders to force consideration of a proposal or to take action, including the removal of directors.</w:t>
      </w:r>
    </w:p>
    <w:p>
      <w:pPr>
        <w:spacing w:after="0" w:line="71" w:lineRule="exact"/>
        <w:rPr>
          <w:sz w:val="20"/>
          <w:szCs w:val="20"/>
          <w:color w:val="auto"/>
        </w:rPr>
      </w:pPr>
    </w:p>
    <w:p>
      <w:pPr>
        <w:ind w:right="60" w:firstLine="993"/>
        <w:spacing w:after="0" w:line="276" w:lineRule="auto"/>
        <w:rPr>
          <w:sz w:val="20"/>
          <w:szCs w:val="20"/>
          <w:color w:val="auto"/>
        </w:rPr>
      </w:pPr>
      <w:r>
        <w:rPr>
          <w:rFonts w:ascii="Arial" w:cs="Arial" w:eastAsia="Arial" w:hAnsi="Arial"/>
          <w:sz w:val="12"/>
          <w:szCs w:val="12"/>
          <w:color w:val="auto"/>
        </w:rPr>
        <w:t>Our certificate of incorporation provides for 1,000,000 authorized shares of preferred stock. The existence of authorized but unissued shares of preferred stock may enable our Board to issue preferred stock with voting or other rights or preferences that could impede the success of any attempt to obtain control of us by means of a merger, tender offer, proxy contest or otherwise.</w:t>
      </w:r>
    </w:p>
    <w:p>
      <w:pPr>
        <w:spacing w:after="0" w:line="70" w:lineRule="exact"/>
        <w:rPr>
          <w:sz w:val="20"/>
          <w:szCs w:val="20"/>
          <w:color w:val="auto"/>
        </w:rPr>
      </w:pPr>
    </w:p>
    <w:p>
      <w:pPr>
        <w:jc w:val="both"/>
        <w:ind w:firstLine="883"/>
        <w:spacing w:after="0" w:line="263" w:lineRule="auto"/>
        <w:rPr>
          <w:sz w:val="20"/>
          <w:szCs w:val="20"/>
          <w:color w:val="auto"/>
        </w:rPr>
      </w:pPr>
      <w:r>
        <w:rPr>
          <w:rFonts w:ascii="Arial" w:cs="Arial" w:eastAsia="Arial" w:hAnsi="Arial"/>
          <w:sz w:val="12"/>
          <w:szCs w:val="12"/>
          <w:color w:val="auto"/>
        </w:rPr>
        <w:t>Our authorized but unissued common stock and preferred stock are available for future issuances without stockholder approval and could be utilized for a variety of corporate purposes, including future offerings to raise additional capital, acquisitions and employee benefit plans. The existence of authorized but unissued and unreserved common stock and preferred stock could render more difficult or discourage an attempt to obtain control of us by means of a proxy contest, tender offer, merger or otherwise.</w:t>
      </w:r>
    </w:p>
    <w:p>
      <w:pPr>
        <w:spacing w:after="0" w:line="9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Forum Selection Clause</w:t>
      </w:r>
    </w:p>
    <w:p>
      <w:pPr>
        <w:spacing w:after="0" w:line="136" w:lineRule="exact"/>
        <w:rPr>
          <w:sz w:val="20"/>
          <w:szCs w:val="20"/>
          <w:color w:val="auto"/>
        </w:rPr>
      </w:pPr>
    </w:p>
    <w:p>
      <w:pPr>
        <w:jc w:val="both"/>
        <w:ind w:firstLine="883"/>
        <w:spacing w:after="0" w:line="257" w:lineRule="auto"/>
        <w:rPr>
          <w:sz w:val="20"/>
          <w:szCs w:val="20"/>
          <w:color w:val="auto"/>
        </w:rPr>
      </w:pPr>
      <w:r>
        <w:rPr>
          <w:rFonts w:ascii="Arial" w:cs="Arial" w:eastAsia="Arial" w:hAnsi="Arial"/>
          <w:sz w:val="12"/>
          <w:szCs w:val="12"/>
          <w:color w:val="auto"/>
        </w:rPr>
        <w:t>Subject to certain limitations, our bylaws provide that unless we consent in writing to the selection of an alternative forum, the Court of Chancery in the State of Delaware shall be the sole and exclusive forum for any stockholder (including a beneficial owner) to bring: (a) any derivative action or proceeding brought on our behalf; (b) any action asserting a claim of breach of fiduciary duty owed by any of our directors, officers or other employees or our stockholders; (c) any action asserting a claim arising pursuant to any provision of the DGCL or the our certificate of incorporation or bylaws; or (d) any action asserting a claims governed by the internal affairs doctrine. In addition, our bylaws provide that unless consent in writing to the selection of an alternative forum, the federal district courts of the United States will be the exclusive forum for resolving any complaint asserting a cause of action arising under the federal securities laws of the United States against us, our officers, directors, employees or underwriters.</w:t>
      </w:r>
    </w:p>
    <w:p>
      <w:pPr>
        <w:sectPr>
          <w:pgSz w:w="11900" w:h="16838" w:orient="portrait"/>
          <w:cols w:equalWidth="0" w:num="1">
            <w:col w:w="11480"/>
          </w:cols>
          <w:pgMar w:left="220" w:top="293" w:right="199" w:bottom="1440" w:gutter="0" w:footer="0" w:header="0"/>
        </w:sectPr>
      </w:pPr>
    </w:p>
    <w:bookmarkStart w:id="129" w:name="page130"/>
    <w:bookmarkEnd w:id="129"/>
    <w:p>
      <w:pPr>
        <w:jc w:val="right"/>
        <w:spacing w:after="0"/>
        <w:rPr>
          <w:sz w:val="20"/>
          <w:szCs w:val="20"/>
          <w:color w:val="auto"/>
        </w:rPr>
      </w:pPr>
      <w:r>
        <w:rPr>
          <w:rFonts w:ascii="Arial" w:cs="Arial" w:eastAsia="Arial" w:hAnsi="Arial"/>
          <w:sz w:val="12"/>
          <w:szCs w:val="12"/>
          <w:color w:val="auto"/>
        </w:rPr>
        <w:t>Exhibit 10.17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3843655" cy="31432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06">
                      <a:extLst>
                        <a:ext uri="{28A0092B-C50C-407E-A947-70E740481C1C}"/>
                      </a:extLst>
                    </a:blip>
                    <a:srcRect/>
                    <a:stretch>
                      <a:fillRect/>
                    </a:stretch>
                  </pic:blipFill>
                  <pic:spPr bwMode="auto">
                    <a:xfrm>
                      <a:off x="0" y="0"/>
                      <a:ext cx="3843655" cy="314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8"/>
        <w:spacing w:after="0"/>
        <w:rPr>
          <w:sz w:val="20"/>
          <w:szCs w:val="20"/>
          <w:color w:val="auto"/>
        </w:rPr>
      </w:pPr>
      <w:r>
        <w:rPr>
          <w:rFonts w:ascii="Arial" w:cs="Arial" w:eastAsia="Arial" w:hAnsi="Arial"/>
          <w:sz w:val="12"/>
          <w:szCs w:val="12"/>
          <w:color w:val="auto"/>
        </w:rPr>
        <w:t>April 21, 2016</w:t>
      </w:r>
    </w:p>
    <w:p>
      <w:pPr>
        <w:spacing w:after="0" w:line="200" w:lineRule="exact"/>
        <w:rPr>
          <w:sz w:val="20"/>
          <w:szCs w:val="20"/>
          <w:color w:val="auto"/>
        </w:rPr>
      </w:pPr>
    </w:p>
    <w:p>
      <w:pPr>
        <w:spacing w:after="0" w:line="229" w:lineRule="exact"/>
        <w:rPr>
          <w:sz w:val="20"/>
          <w:szCs w:val="20"/>
          <w:color w:val="auto"/>
        </w:rPr>
      </w:pPr>
    </w:p>
    <w:p>
      <w:pPr>
        <w:ind w:left="8"/>
        <w:spacing w:after="0"/>
        <w:rPr>
          <w:sz w:val="20"/>
          <w:szCs w:val="20"/>
          <w:color w:val="auto"/>
        </w:rPr>
      </w:pPr>
      <w:r>
        <w:rPr>
          <w:rFonts w:ascii="Arial" w:cs="Arial" w:eastAsia="Arial" w:hAnsi="Arial"/>
          <w:sz w:val="12"/>
          <w:szCs w:val="12"/>
          <w:color w:val="auto"/>
        </w:rPr>
        <w:t>Rebecca Collins</w:t>
      </w:r>
    </w:p>
    <w:p>
      <w:pPr>
        <w:spacing w:after="0" w:line="285" w:lineRule="exact"/>
        <w:rPr>
          <w:sz w:val="20"/>
          <w:szCs w:val="20"/>
          <w:color w:val="auto"/>
        </w:rPr>
      </w:pPr>
    </w:p>
    <w:p>
      <w:pPr>
        <w:ind w:left="8"/>
        <w:spacing w:after="0"/>
        <w:rPr>
          <w:sz w:val="20"/>
          <w:szCs w:val="20"/>
          <w:color w:val="auto"/>
        </w:rPr>
      </w:pPr>
      <w:r>
        <w:rPr>
          <w:rFonts w:ascii="Arial" w:cs="Arial" w:eastAsia="Arial" w:hAnsi="Arial"/>
          <w:sz w:val="12"/>
          <w:szCs w:val="12"/>
          <w:color w:val="auto"/>
        </w:rPr>
        <w:t>Dear Rebecca,</w:t>
      </w:r>
    </w:p>
    <w:p>
      <w:pPr>
        <w:spacing w:after="0" w:line="141" w:lineRule="exact"/>
        <w:rPr>
          <w:sz w:val="20"/>
          <w:szCs w:val="20"/>
          <w:color w:val="auto"/>
        </w:rPr>
      </w:pPr>
    </w:p>
    <w:p>
      <w:pPr>
        <w:jc w:val="both"/>
        <w:ind w:left="8"/>
        <w:spacing w:after="0"/>
        <w:rPr>
          <w:sz w:val="20"/>
          <w:szCs w:val="20"/>
          <w:color w:val="auto"/>
        </w:rPr>
      </w:pPr>
      <w:r>
        <w:rPr>
          <w:rFonts w:ascii="Arial" w:cs="Arial" w:eastAsia="Arial" w:hAnsi="Arial"/>
          <w:sz w:val="12"/>
          <w:szCs w:val="12"/>
          <w:color w:val="auto"/>
        </w:rPr>
        <w:t>American Traffic Solutions. Inc. (the “Company”) is extremely pleased to offer you employment. I hope to be welcoming you aboard soon! Before doing so, however, we want to set forth the terms and conditions that would govern your employment with the Company. While a bit formal, we find that putting the terms of an employment offer in writing helps avoid any future misunderstandings and makes for a more pleasant work relationship for all involved. So please review this offer letter carefully and feel free to let me know if you have any questions concerning it.</w:t>
      </w:r>
    </w:p>
    <w:p>
      <w:pPr>
        <w:spacing w:after="0" w:line="121" w:lineRule="exact"/>
        <w:rPr>
          <w:sz w:val="20"/>
          <w:szCs w:val="20"/>
          <w:color w:val="auto"/>
        </w:rPr>
      </w:pPr>
    </w:p>
    <w:p>
      <w:pPr>
        <w:jc w:val="both"/>
        <w:ind w:left="8"/>
        <w:spacing w:after="0" w:line="252" w:lineRule="auto"/>
        <w:rPr>
          <w:sz w:val="20"/>
          <w:szCs w:val="20"/>
          <w:color w:val="auto"/>
        </w:rPr>
      </w:pPr>
      <w:r>
        <w:rPr>
          <w:rFonts w:ascii="Arial" w:cs="Arial" w:eastAsia="Arial" w:hAnsi="Arial"/>
          <w:sz w:val="12"/>
          <w:szCs w:val="12"/>
          <w:color w:val="auto"/>
        </w:rPr>
        <w:t xml:space="preserve">Your title will be </w:t>
      </w:r>
      <w:r>
        <w:rPr>
          <w:rFonts w:ascii="Arial" w:cs="Arial" w:eastAsia="Arial" w:hAnsi="Arial"/>
          <w:sz w:val="12"/>
          <w:szCs w:val="12"/>
          <w:b w:val="1"/>
          <w:bCs w:val="1"/>
          <w:i w:val="1"/>
          <w:iCs w:val="1"/>
          <w:color w:val="auto"/>
        </w:rPr>
        <w:t>Senior Vice President, General Counsel</w:t>
      </w:r>
      <w:r>
        <w:rPr>
          <w:rFonts w:ascii="Arial" w:cs="Arial" w:eastAsia="Arial" w:hAnsi="Arial"/>
          <w:sz w:val="12"/>
          <w:szCs w:val="12"/>
          <w:color w:val="auto"/>
        </w:rPr>
        <w:t xml:space="preserve">. We expect that you will begin no later than </w:t>
      </w:r>
      <w:r>
        <w:rPr>
          <w:rFonts w:ascii="Arial" w:cs="Arial" w:eastAsia="Arial" w:hAnsi="Arial"/>
          <w:sz w:val="12"/>
          <w:szCs w:val="12"/>
          <w:b w:val="1"/>
          <w:bCs w:val="1"/>
          <w:color w:val="auto"/>
        </w:rPr>
        <w:t>May 10, 2016</w:t>
      </w:r>
      <w:r>
        <w:rPr>
          <w:rFonts w:ascii="Arial" w:cs="Arial" w:eastAsia="Arial" w:hAnsi="Arial"/>
          <w:sz w:val="12"/>
          <w:szCs w:val="12"/>
          <w:color w:val="auto"/>
        </w:rPr>
        <w:t>. ATS reserves the right to perform background checks, not limited to credit, driving, and criminal records. This offer letter and your employment with ATS is contingent on the results of your background check. If discrepancies or issues in background information are reported, ATS reserves the right to rescind this offer of employment or terminate active employment if problematic background information is reported before or after your initial start date.</w:t>
      </w:r>
    </w:p>
    <w:p>
      <w:pPr>
        <w:spacing w:after="0" w:line="129" w:lineRule="exact"/>
        <w:rPr>
          <w:sz w:val="20"/>
          <w:szCs w:val="20"/>
          <w:color w:val="auto"/>
        </w:rPr>
      </w:pPr>
    </w:p>
    <w:p>
      <w:pPr>
        <w:ind w:left="8"/>
        <w:spacing w:after="0"/>
        <w:rPr>
          <w:sz w:val="20"/>
          <w:szCs w:val="20"/>
          <w:color w:val="auto"/>
        </w:rPr>
      </w:pPr>
      <w:r>
        <w:rPr>
          <w:rFonts w:ascii="Arial" w:cs="Arial" w:eastAsia="Arial" w:hAnsi="Arial"/>
          <w:sz w:val="12"/>
          <w:szCs w:val="12"/>
          <w:color w:val="auto"/>
        </w:rPr>
        <w:t>You will be reporting to me. Your responsibilities and reporting relationship may, of course, change over time.</w:t>
      </w:r>
    </w:p>
    <w:p>
      <w:pPr>
        <w:spacing w:after="0" w:line="141" w:lineRule="exact"/>
        <w:rPr>
          <w:sz w:val="20"/>
          <w:szCs w:val="20"/>
          <w:color w:val="auto"/>
        </w:rPr>
      </w:pPr>
    </w:p>
    <w:p>
      <w:pPr>
        <w:ind w:left="8"/>
        <w:spacing w:after="0"/>
        <w:rPr>
          <w:sz w:val="20"/>
          <w:szCs w:val="20"/>
          <w:color w:val="auto"/>
        </w:rPr>
      </w:pPr>
      <w:r>
        <w:rPr>
          <w:rFonts w:ascii="Arial" w:cs="Arial" w:eastAsia="Arial" w:hAnsi="Arial"/>
          <w:sz w:val="12"/>
          <w:szCs w:val="12"/>
          <w:color w:val="auto"/>
        </w:rPr>
        <w:t>As a Company employee, you will receive the following benefits:</w:t>
      </w:r>
    </w:p>
    <w:p>
      <w:pPr>
        <w:spacing w:after="0" w:line="127" w:lineRule="exact"/>
        <w:rPr>
          <w:sz w:val="20"/>
          <w:szCs w:val="20"/>
          <w:color w:val="auto"/>
        </w:rPr>
      </w:pPr>
    </w:p>
    <w:p>
      <w:pPr>
        <w:jc w:val="both"/>
        <w:ind w:left="408" w:hanging="408"/>
        <w:spacing w:after="0" w:line="252" w:lineRule="auto"/>
        <w:tabs>
          <w:tab w:leader="none" w:pos="408" w:val="left"/>
        </w:tabs>
        <w:numPr>
          <w:ilvl w:val="0"/>
          <w:numId w:val="60"/>
        </w:numPr>
        <w:rPr>
          <w:rFonts w:ascii="Arial" w:cs="Arial" w:eastAsia="Arial" w:hAnsi="Arial"/>
          <w:sz w:val="12"/>
          <w:szCs w:val="12"/>
          <w:color w:val="auto"/>
        </w:rPr>
      </w:pPr>
      <w:r>
        <w:rPr>
          <w:rFonts w:ascii="Arial" w:cs="Arial" w:eastAsia="Arial" w:hAnsi="Arial"/>
          <w:sz w:val="12"/>
          <w:szCs w:val="12"/>
          <w:u w:val="single" w:color="auto"/>
          <w:color w:val="auto"/>
        </w:rPr>
        <w:t>Compensation:</w:t>
      </w:r>
      <w:r>
        <w:rPr>
          <w:rFonts w:ascii="Arial" w:cs="Arial" w:eastAsia="Arial" w:hAnsi="Arial"/>
          <w:sz w:val="12"/>
          <w:szCs w:val="12"/>
          <w:color w:val="auto"/>
        </w:rPr>
        <w:t xml:space="preserve"> The Company will pay you on an annual basis at a rate of </w:t>
      </w:r>
      <w:r>
        <w:rPr>
          <w:rFonts w:ascii="Arial" w:cs="Arial" w:eastAsia="Arial" w:hAnsi="Arial"/>
          <w:sz w:val="12"/>
          <w:szCs w:val="12"/>
          <w:b w:val="1"/>
          <w:bCs w:val="1"/>
          <w:color w:val="auto"/>
        </w:rPr>
        <w:t>$275,000.00</w:t>
      </w:r>
      <w:r>
        <w:rPr>
          <w:rFonts w:ascii="Arial" w:cs="Arial" w:eastAsia="Arial" w:hAnsi="Arial"/>
          <w:sz w:val="12"/>
          <w:szCs w:val="12"/>
          <w:color w:val="auto"/>
        </w:rPr>
        <w:t xml:space="preserve"> per year, equivalent to the rate of </w:t>
      </w:r>
      <w:r>
        <w:rPr>
          <w:rFonts w:ascii="Arial" w:cs="Arial" w:eastAsia="Arial" w:hAnsi="Arial"/>
          <w:sz w:val="12"/>
          <w:szCs w:val="12"/>
          <w:b w:val="1"/>
          <w:bCs w:val="1"/>
          <w:color w:val="auto"/>
        </w:rPr>
        <w:t>$10,576.92</w:t>
      </w:r>
      <w:r>
        <w:rPr>
          <w:rFonts w:ascii="Arial" w:cs="Arial" w:eastAsia="Arial" w:hAnsi="Arial"/>
          <w:sz w:val="12"/>
          <w:szCs w:val="12"/>
          <w:color w:val="auto"/>
        </w:rPr>
        <w:t xml:space="preserve"> on a bi-weekly basis (before applicable withholding and taxes) on the Company’s regular paydays. (All pay checks are issued one week in arrears). The Company may periodically review and adjust your salary. You will be classified as an exempt employee and thus not eligible for overtime compensation.</w:t>
      </w:r>
    </w:p>
    <w:p>
      <w:pPr>
        <w:spacing w:after="0" w:line="56" w:lineRule="exact"/>
        <w:rPr>
          <w:rFonts w:ascii="Arial" w:cs="Arial" w:eastAsia="Arial" w:hAnsi="Arial"/>
          <w:sz w:val="12"/>
          <w:szCs w:val="12"/>
          <w:color w:val="auto"/>
        </w:rPr>
      </w:pPr>
    </w:p>
    <w:p>
      <w:pPr>
        <w:jc w:val="both"/>
        <w:ind w:left="408" w:hanging="408"/>
        <w:spacing w:after="0"/>
        <w:tabs>
          <w:tab w:leader="none" w:pos="408" w:val="left"/>
        </w:tabs>
        <w:numPr>
          <w:ilvl w:val="0"/>
          <w:numId w:val="60"/>
        </w:numPr>
        <w:rPr>
          <w:rFonts w:ascii="Arial" w:cs="Arial" w:eastAsia="Arial" w:hAnsi="Arial"/>
          <w:sz w:val="12"/>
          <w:szCs w:val="12"/>
          <w:color w:val="auto"/>
        </w:rPr>
      </w:pPr>
      <w:r>
        <w:rPr>
          <w:rFonts w:ascii="Arial" w:cs="Arial" w:eastAsia="Arial" w:hAnsi="Arial"/>
          <w:sz w:val="12"/>
          <w:szCs w:val="12"/>
          <w:u w:val="single" w:color="auto"/>
          <w:color w:val="auto"/>
        </w:rPr>
        <w:t>Bonus:</w:t>
      </w:r>
      <w:r>
        <w:rPr>
          <w:rFonts w:ascii="Arial" w:cs="Arial" w:eastAsia="Arial" w:hAnsi="Arial"/>
          <w:sz w:val="12"/>
          <w:szCs w:val="12"/>
          <w:color w:val="auto"/>
        </w:rPr>
        <w:t xml:space="preserve"> You will have the opportunity to participate in an ATS bonus plan, subject to and on the terms and conditions set forth in that plan, which base any bonus amounts on Company performance. Your Target Bonus is 50% of your annual salary for the applicable plan year. Following your start date, you will be provided with documents that outline the specific payment and eligibility criteria, including the financial components of the plan.</w:t>
      </w:r>
    </w:p>
    <w:p>
      <w:pPr>
        <w:spacing w:after="0" w:line="63" w:lineRule="exact"/>
        <w:rPr>
          <w:rFonts w:ascii="Arial" w:cs="Arial" w:eastAsia="Arial" w:hAnsi="Arial"/>
          <w:sz w:val="12"/>
          <w:szCs w:val="12"/>
          <w:color w:val="auto"/>
        </w:rPr>
      </w:pPr>
    </w:p>
    <w:p>
      <w:pPr>
        <w:ind w:left="408" w:right="20" w:hanging="408"/>
        <w:spacing w:after="0" w:line="246" w:lineRule="auto"/>
        <w:tabs>
          <w:tab w:leader="none" w:pos="408" w:val="left"/>
        </w:tabs>
        <w:numPr>
          <w:ilvl w:val="0"/>
          <w:numId w:val="60"/>
        </w:numPr>
        <w:rPr>
          <w:rFonts w:ascii="Arial" w:cs="Arial" w:eastAsia="Arial" w:hAnsi="Arial"/>
          <w:sz w:val="12"/>
          <w:szCs w:val="12"/>
          <w:color w:val="auto"/>
        </w:rPr>
      </w:pPr>
      <w:r>
        <w:rPr>
          <w:rFonts w:ascii="Arial" w:cs="Arial" w:eastAsia="Arial" w:hAnsi="Arial"/>
          <w:sz w:val="12"/>
          <w:szCs w:val="12"/>
          <w:u w:val="single" w:color="auto"/>
          <w:color w:val="auto"/>
        </w:rPr>
        <w:t>Long Term Incentive Plan:</w:t>
      </w:r>
      <w:r>
        <w:rPr>
          <w:rFonts w:ascii="Arial" w:cs="Arial" w:eastAsia="Arial" w:hAnsi="Arial"/>
          <w:sz w:val="12"/>
          <w:szCs w:val="12"/>
          <w:color w:val="auto"/>
        </w:rPr>
        <w:t xml:space="preserve"> You will receive a grant of 275,000 stock units under the Company’s current equity incentive plan applicable to executives of the Company, subject to Board Approval and on the terms set forth in that plan and in the applicable grant agreement, which will be provided to you.</w:t>
      </w:r>
    </w:p>
    <w:p>
      <w:pPr>
        <w:spacing w:after="0" w:line="45" w:lineRule="exact"/>
        <w:rPr>
          <w:rFonts w:ascii="Arial" w:cs="Arial" w:eastAsia="Arial" w:hAnsi="Arial"/>
          <w:sz w:val="12"/>
          <w:szCs w:val="12"/>
          <w:color w:val="auto"/>
        </w:rPr>
      </w:pPr>
    </w:p>
    <w:p>
      <w:pPr>
        <w:jc w:val="both"/>
        <w:ind w:left="408" w:hanging="408"/>
        <w:spacing w:after="0" w:line="252" w:lineRule="auto"/>
        <w:tabs>
          <w:tab w:leader="none" w:pos="408" w:val="left"/>
        </w:tabs>
        <w:numPr>
          <w:ilvl w:val="0"/>
          <w:numId w:val="60"/>
        </w:numPr>
        <w:rPr>
          <w:rFonts w:ascii="Arial" w:cs="Arial" w:eastAsia="Arial" w:hAnsi="Arial"/>
          <w:sz w:val="12"/>
          <w:szCs w:val="12"/>
          <w:color w:val="auto"/>
        </w:rPr>
      </w:pPr>
      <w:r>
        <w:rPr>
          <w:rFonts w:ascii="Arial" w:cs="Arial" w:eastAsia="Arial" w:hAnsi="Arial"/>
          <w:sz w:val="12"/>
          <w:szCs w:val="12"/>
          <w:u w:val="single" w:color="auto"/>
          <w:color w:val="auto"/>
        </w:rPr>
        <w:t>Comprehensive Leave:</w:t>
      </w:r>
      <w:r>
        <w:rPr>
          <w:rFonts w:ascii="Arial" w:cs="Arial" w:eastAsia="Arial" w:hAnsi="Arial"/>
          <w:sz w:val="12"/>
          <w:szCs w:val="12"/>
          <w:color w:val="auto"/>
        </w:rPr>
        <w:t xml:space="preserve"> Upon starting employment, you will receive a prorated allotment of Paid-Time-Off (PTO) corresponding to your actual start date (anticipated to be no later than </w:t>
      </w:r>
      <w:r>
        <w:rPr>
          <w:rFonts w:ascii="Arial" w:cs="Arial" w:eastAsia="Arial" w:hAnsi="Arial"/>
          <w:sz w:val="12"/>
          <w:szCs w:val="12"/>
          <w:b w:val="1"/>
          <w:bCs w:val="1"/>
          <w:color w:val="auto"/>
        </w:rPr>
        <w:t>May 16, 2016</w:t>
      </w:r>
      <w:r>
        <w:rPr>
          <w:rFonts w:ascii="Arial" w:cs="Arial" w:eastAsia="Arial" w:hAnsi="Arial"/>
          <w:sz w:val="12"/>
          <w:szCs w:val="12"/>
          <w:color w:val="auto"/>
        </w:rPr>
        <w:t xml:space="preserve">), based on Company policies. </w:t>
      </w:r>
      <w:r>
        <w:rPr>
          <w:rFonts w:ascii="Arial" w:cs="Arial" w:eastAsia="Arial" w:hAnsi="Arial"/>
          <w:sz w:val="12"/>
          <w:szCs w:val="12"/>
          <w:b w:val="1"/>
          <w:bCs w:val="1"/>
          <w:color w:val="auto"/>
        </w:rPr>
        <w:t>For the calendar year 2016, it is anticipated that you will receive a total allotment of 88 PTO hours (11 days) upon hire</w:t>
      </w:r>
      <w:r>
        <w:rPr>
          <w:rFonts w:ascii="Arial" w:cs="Arial" w:eastAsia="Arial" w:hAnsi="Arial"/>
          <w:sz w:val="12"/>
          <w:szCs w:val="12"/>
          <w:color w:val="auto"/>
        </w:rPr>
        <w:t>. For the calendar year 2017, you will receive a total allotment of 136 hours (17 days). All PTO benefits are subject to and administered in accordance with the Company’s PTO policy and practices.</w:t>
      </w:r>
    </w:p>
    <w:p>
      <w:pPr>
        <w:spacing w:after="0" w:line="56" w:lineRule="exact"/>
        <w:rPr>
          <w:rFonts w:ascii="Arial" w:cs="Arial" w:eastAsia="Arial" w:hAnsi="Arial"/>
          <w:sz w:val="12"/>
          <w:szCs w:val="12"/>
          <w:color w:val="auto"/>
        </w:rPr>
      </w:pPr>
    </w:p>
    <w:p>
      <w:pPr>
        <w:jc w:val="both"/>
        <w:ind w:left="408" w:hanging="408"/>
        <w:spacing w:after="0" w:line="239" w:lineRule="auto"/>
        <w:tabs>
          <w:tab w:leader="none" w:pos="408" w:val="left"/>
        </w:tabs>
        <w:numPr>
          <w:ilvl w:val="0"/>
          <w:numId w:val="60"/>
        </w:numPr>
        <w:rPr>
          <w:rFonts w:ascii="Arial" w:cs="Arial" w:eastAsia="Arial" w:hAnsi="Arial"/>
          <w:sz w:val="12"/>
          <w:szCs w:val="12"/>
          <w:color w:val="auto"/>
        </w:rPr>
      </w:pPr>
      <w:r>
        <w:rPr>
          <w:rFonts w:ascii="Arial" w:cs="Arial" w:eastAsia="Arial" w:hAnsi="Arial"/>
          <w:sz w:val="12"/>
          <w:szCs w:val="12"/>
          <w:u w:val="single" w:color="auto"/>
          <w:color w:val="auto"/>
        </w:rPr>
        <w:t>Health Care, 401(k) Plan and Other Benefits:</w:t>
      </w:r>
      <w:r>
        <w:rPr>
          <w:rFonts w:ascii="Arial" w:cs="Arial" w:eastAsia="Arial" w:hAnsi="Arial"/>
          <w:sz w:val="12"/>
          <w:szCs w:val="12"/>
          <w:color w:val="auto"/>
        </w:rPr>
        <w:t xml:space="preserve"> The Company currently has benefit plans covering things such as medical insurance, disability, and 401(k). You are eligible for medical benefits on your first day of employment (anticipated to be </w:t>
      </w:r>
      <w:r>
        <w:rPr>
          <w:rFonts w:ascii="Arial" w:cs="Arial" w:eastAsia="Arial" w:hAnsi="Arial"/>
          <w:sz w:val="12"/>
          <w:szCs w:val="12"/>
          <w:b w:val="1"/>
          <w:bCs w:val="1"/>
          <w:color w:val="auto"/>
        </w:rPr>
        <w:t>May 16, 2016</w:t>
      </w:r>
      <w:r>
        <w:rPr>
          <w:rFonts w:ascii="Arial" w:cs="Arial" w:eastAsia="Arial" w:hAnsi="Arial"/>
          <w:sz w:val="12"/>
          <w:szCs w:val="12"/>
          <w:color w:val="auto"/>
        </w:rPr>
        <w:t xml:space="preserve">). You are eligible to participate in the Company’s 401(k)plan, on the terms and condition set forth in that plan, on the first day of the month following 30 days of employment, which we anticipate to be </w:t>
      </w:r>
      <w:r>
        <w:rPr>
          <w:rFonts w:ascii="Arial" w:cs="Arial" w:eastAsia="Arial" w:hAnsi="Arial"/>
          <w:sz w:val="12"/>
          <w:szCs w:val="12"/>
          <w:b w:val="1"/>
          <w:bCs w:val="1"/>
          <w:color w:val="auto"/>
        </w:rPr>
        <w:t>July 1, 2016</w:t>
      </w:r>
      <w:r>
        <w:rPr>
          <w:rFonts w:ascii="Arial" w:cs="Arial" w:eastAsia="Arial" w:hAnsi="Arial"/>
          <w:sz w:val="12"/>
          <w:szCs w:val="12"/>
          <w:color w:val="auto"/>
        </w:rPr>
        <w:t>. Additional information concerning these benefits will be provided or is available upon request. If you accept this offer, make sure to review the Company’s benefits plans and policies so that you fully understand them. These policies and benefits may change at the Company’s discretion.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262255</wp:posOffset>
            </wp:positionV>
            <wp:extent cx="7329170" cy="3683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07">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8"/>
          </w:cols>
          <w:pgMar w:left="212" w:top="131" w:right="199" w:bottom="1440" w:gutter="0" w:footer="0" w:header="0"/>
        </w:sectPr>
      </w:pPr>
    </w:p>
    <w:bookmarkStart w:id="130" w:name="page131"/>
    <w:bookmarkEnd w:id="130"/>
    <w:p>
      <w:pPr>
        <w:jc w:val="both"/>
        <w:ind w:left="408" w:hanging="408"/>
        <w:spacing w:after="0" w:line="238" w:lineRule="auto"/>
        <w:tabs>
          <w:tab w:leader="none" w:pos="408" w:val="left"/>
        </w:tabs>
        <w:numPr>
          <w:ilvl w:val="0"/>
          <w:numId w:val="61"/>
        </w:numPr>
        <w:rPr>
          <w:rFonts w:ascii="Arial" w:cs="Arial" w:eastAsia="Arial" w:hAnsi="Arial"/>
          <w:sz w:val="12"/>
          <w:szCs w:val="12"/>
          <w:color w:val="auto"/>
        </w:rPr>
      </w:pPr>
      <w:r>
        <w:rPr>
          <w:rFonts w:ascii="Arial" w:cs="Arial" w:eastAsia="Arial" w:hAnsi="Arial"/>
          <w:sz w:val="12"/>
          <w:szCs w:val="12"/>
          <w:u w:val="single" w:color="auto"/>
          <w:color w:val="auto"/>
        </w:rPr>
        <w:drawing>
          <wp:anchor simplePos="0" relativeHeight="251657728" behindDoc="1" locked="0" layoutInCell="0" allowOverlap="1">
            <wp:simplePos x="0" y="0"/>
            <wp:positionH relativeFrom="page">
              <wp:posOffset>134620</wp:posOffset>
            </wp:positionH>
            <wp:positionV relativeFrom="page">
              <wp:posOffset>180340</wp:posOffset>
            </wp:positionV>
            <wp:extent cx="4312285" cy="35433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08">
                      <a:clrChange>
                        <a:clrFrom>
                          <a:srgbClr val="FFFFFF"/>
                        </a:clrFrom>
                        <a:clrTo>
                          <a:srgbClr val="FFFFFF">
                            <a:alpha val="0"/>
                          </a:srgbClr>
                        </a:clrTo>
                      </a:clrChange>
                      <a:extLst>
                        <a:ext uri="{28A0092B-C50C-407E-A947-70E740481C1C}"/>
                      </a:extLst>
                    </a:blip>
                    <a:srcRect/>
                    <a:stretch>
                      <a:fillRect/>
                    </a:stretch>
                  </pic:blipFill>
                  <pic:spPr bwMode="auto">
                    <a:xfrm>
                      <a:off x="0" y="0"/>
                      <a:ext cx="4312285" cy="354330"/>
                    </a:xfrm>
                    <a:prstGeom prst="rect">
                      <a:avLst/>
                    </a:prstGeom>
                    <a:noFill/>
                  </pic:spPr>
                </pic:pic>
              </a:graphicData>
            </a:graphic>
          </wp:anchor>
        </w:drawing>
        <w:t>Severance</w:t>
      </w:r>
      <w:r>
        <w:rPr>
          <w:rFonts w:ascii="Arial" w:cs="Arial" w:eastAsia="Arial" w:hAnsi="Arial"/>
          <w:sz w:val="12"/>
          <w:szCs w:val="12"/>
          <w:color w:val="auto"/>
        </w:rPr>
        <w:t>: In the event your employment is terminated by the Company without Cause, as defined below, or if you terminate your employment with the Company for Good Reason, also as defined below, in each case, subject to your execution (and, if applicable, non-revocation) of an agreement releasing all claims against the Company containing standard terms acceptable to the Company, the Company will pay your bi-weekly salary (as of the date of termination) and pay the premium required for you to continue group health insurance coverage under the Company’s plans pursuant to COBRA (at the coverage level selected by you as of the open enrollment period immediately preceding your last day of employment with the Company), each for the 12-month period immediately following your last day of employment with the Company.</w:t>
      </w:r>
    </w:p>
    <w:p>
      <w:pPr>
        <w:spacing w:after="0" w:line="63" w:lineRule="exact"/>
        <w:rPr>
          <w:rFonts w:ascii="Arial" w:cs="Arial" w:eastAsia="Arial" w:hAnsi="Arial"/>
          <w:sz w:val="12"/>
          <w:szCs w:val="12"/>
          <w:color w:val="auto"/>
        </w:rPr>
      </w:pPr>
    </w:p>
    <w:p>
      <w:pPr>
        <w:jc w:val="both"/>
        <w:ind w:left="1208" w:hanging="496"/>
        <w:spacing w:after="0"/>
        <w:tabs>
          <w:tab w:leader="none" w:pos="1208" w:val="left"/>
        </w:tabs>
        <w:numPr>
          <w:ilvl w:val="1"/>
          <w:numId w:val="61"/>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Good Reason</w:t>
      </w:r>
      <w:r>
        <w:rPr>
          <w:rFonts w:ascii="Arial" w:cs="Arial" w:eastAsia="Arial" w:hAnsi="Arial"/>
          <w:sz w:val="12"/>
          <w:szCs w:val="12"/>
          <w:color w:val="auto"/>
        </w:rPr>
        <w:t>” means a change in authority, duties, responsibilities, reporting lines, or other action by the Company resulting in a material diminution of, or material alteration to, your position, which remains unremedied for the period of 30 consecutive days after you provide written notice to the Company’s Chief Operations Officer of the conditions you contend amount or give rise to Good Reason. The Company requests, as a matter of professional courtesy, that you provide three months’ advance notice of any voluntary resignation of employment.</w:t>
      </w:r>
    </w:p>
    <w:p>
      <w:pPr>
        <w:spacing w:after="0" w:line="135" w:lineRule="exact"/>
        <w:rPr>
          <w:rFonts w:ascii="Arial" w:cs="Arial" w:eastAsia="Arial" w:hAnsi="Arial"/>
          <w:sz w:val="12"/>
          <w:szCs w:val="12"/>
          <w:color w:val="auto"/>
        </w:rPr>
      </w:pPr>
    </w:p>
    <w:p>
      <w:pPr>
        <w:jc w:val="both"/>
        <w:ind w:left="1208" w:hanging="496"/>
        <w:spacing w:after="0" w:line="236" w:lineRule="auto"/>
        <w:tabs>
          <w:tab w:leader="none" w:pos="1208" w:val="left"/>
        </w:tabs>
        <w:numPr>
          <w:ilvl w:val="1"/>
          <w:numId w:val="61"/>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Cause</w:t>
      </w:r>
      <w:r>
        <w:rPr>
          <w:rFonts w:ascii="Arial" w:cs="Arial" w:eastAsia="Arial" w:hAnsi="Arial"/>
          <w:sz w:val="12"/>
          <w:szCs w:val="12"/>
          <w:color w:val="auto"/>
        </w:rPr>
        <w:t xml:space="preserve">” means: (1) your being charged with a felony or misdemeanor criminal offense, other than a misdemeanor traffic offense; (2) your engagement in any act involving gross misconduct or dishonesty that is materially injurious to Company or any of its affiliates; (3) your willful and continued breach of, or failure substantially to perform under or comply with, any of the material terms and covenants of any written agreement with the Company or any of its affiliates; (4) your willful and continued breach of, or refusal or failure substantially to perform under, any policy or reasonable performance goals set by the Company or its affiliates with respect to your job duties or responsibilities, the operation of Company’s or its affiliates’ business and affairs, or the management of Company’s or its affiliates’ employees; (5) suspension or loss of your license to practice law in any jurisdiction in which you are admitted to practice (other than a temporary suspension related to failure to complete required continuing legal education requirements, which is thereafter cured by you within 90 days); or (6) you commit or have committed (or are reasonably believed by the Company to have committed) a breach of any laws or regulations which may affect or relate to the conduct of the Company’s or its affiliates’ business;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w:t>
      </w:r>
      <w:r>
        <w:rPr>
          <w:rFonts w:ascii="Arial" w:cs="Arial" w:eastAsia="Arial" w:hAnsi="Arial"/>
          <w:sz w:val="12"/>
          <w:szCs w:val="12"/>
          <w:i w:val="1"/>
          <w:iCs w:val="1"/>
          <w:color w:val="auto"/>
        </w:rPr>
        <w:t>however</w:t>
      </w:r>
      <w:r>
        <w:rPr>
          <w:rFonts w:ascii="Arial" w:cs="Arial" w:eastAsia="Arial" w:hAnsi="Arial"/>
          <w:sz w:val="12"/>
          <w:szCs w:val="12"/>
          <w:color w:val="auto"/>
        </w:rPr>
        <w:t>, that with respect to (3) and (4) above, you will be provided notice of any misconduct and/or breach constituting Cause and given reasonable opportunity (not to exceed 30 consecutive</w:t>
      </w:r>
      <w:r>
        <w:rPr>
          <w:rFonts w:ascii="Arial" w:cs="Arial" w:eastAsia="Arial" w:hAnsi="Arial"/>
          <w:sz w:val="12"/>
          <w:szCs w:val="12"/>
          <w:i w:val="1"/>
          <w:iCs w:val="1"/>
          <w:color w:val="auto"/>
        </w:rPr>
        <w:t xml:space="preserve"> </w:t>
      </w:r>
      <w:r>
        <w:rPr>
          <w:rFonts w:ascii="Arial" w:cs="Arial" w:eastAsia="Arial" w:hAnsi="Arial"/>
          <w:sz w:val="12"/>
          <w:szCs w:val="12"/>
          <w:color w:val="auto"/>
        </w:rPr>
        <w:t>days) to cure the misconduct and/or breach (unless such misconduct and/or breach is determined by the Company not to be susceptible to cure, in which case termination shall be deemed to be immediate), and provided further that such thirty (30) consecutive day cure period shall only be available for the first such misconduct and/or breach of the same or substantially similar type and subsequent misconduct and/or breach of the same or substantially similar type shall constitute Cause without regard to your subsequent cure of same.</w:t>
      </w:r>
    </w:p>
    <w:p>
      <w:pPr>
        <w:spacing w:after="0" w:line="138" w:lineRule="exact"/>
        <w:rPr>
          <w:sz w:val="20"/>
          <w:szCs w:val="20"/>
          <w:color w:val="auto"/>
        </w:rPr>
      </w:pPr>
    </w:p>
    <w:p>
      <w:pPr>
        <w:jc w:val="both"/>
        <w:ind w:left="8"/>
        <w:spacing w:after="0" w:line="246" w:lineRule="auto"/>
        <w:rPr>
          <w:sz w:val="20"/>
          <w:szCs w:val="20"/>
          <w:color w:val="auto"/>
        </w:rPr>
      </w:pPr>
      <w:r>
        <w:rPr>
          <w:rFonts w:ascii="Arial" w:cs="Arial" w:eastAsia="Arial" w:hAnsi="Arial"/>
          <w:sz w:val="12"/>
          <w:szCs w:val="12"/>
          <w:color w:val="auto"/>
        </w:rPr>
        <w:t>Prior to your employment, you are required to be tested for illegal substances pursuant to the Company’s Substance Abuse Policy, which you must review and sign. You will also be required to sign the Company’s standard form of confidentiality agreement.</w:t>
      </w:r>
    </w:p>
    <w:p>
      <w:pPr>
        <w:spacing w:after="0" w:line="131" w:lineRule="exact"/>
        <w:rPr>
          <w:sz w:val="20"/>
          <w:szCs w:val="20"/>
          <w:color w:val="auto"/>
        </w:rPr>
      </w:pPr>
    </w:p>
    <w:p>
      <w:pPr>
        <w:jc w:val="both"/>
        <w:ind w:left="8"/>
        <w:spacing w:after="0" w:line="238" w:lineRule="auto"/>
        <w:rPr>
          <w:sz w:val="20"/>
          <w:szCs w:val="20"/>
          <w:color w:val="auto"/>
        </w:rPr>
      </w:pPr>
      <w:r>
        <w:rPr>
          <w:rFonts w:ascii="Arial" w:cs="Arial" w:eastAsia="Arial" w:hAnsi="Arial"/>
          <w:sz w:val="12"/>
          <w:szCs w:val="12"/>
          <w:color w:val="auto"/>
        </w:rPr>
        <w:t>Your employment relationship with the Company will at all times be what is called “at will.” That is, even after accepting this employment offer, you will have the right to quit at any time, and the Company will have the right to end your employment relationship with the Company at any time; for any reason; with or without cause; or for no reason. Of course we hope everything works out for the best, but the Company wants to make sure that you understand that nothing in this letter or in any Company policy or statement (including any verbal statements made to you during negotiations about working at the Company) is intended to or does create anything but an at-will employment relationship. Only the Company’s Board of Directors may modify your at-will employment status, or guarantee that you will be employed for a specific period of time. Such modification must be in writing, approved by the Board of Directors, and signed by an authorized Company representative.</w:t>
      </w:r>
    </w:p>
    <w:p>
      <w:pPr>
        <w:spacing w:after="0" w:line="121" w:lineRule="exact"/>
        <w:rPr>
          <w:sz w:val="20"/>
          <w:szCs w:val="20"/>
          <w:color w:val="auto"/>
        </w:rPr>
      </w:pPr>
    </w:p>
    <w:p>
      <w:pPr>
        <w:jc w:val="both"/>
        <w:ind w:left="8"/>
        <w:spacing w:after="0" w:line="270" w:lineRule="auto"/>
        <w:rPr>
          <w:sz w:val="20"/>
          <w:szCs w:val="20"/>
          <w:color w:val="auto"/>
        </w:rPr>
      </w:pPr>
      <w:r>
        <w:rPr>
          <w:rFonts w:ascii="Arial" w:cs="Arial" w:eastAsia="Arial" w:hAnsi="Arial"/>
          <w:sz w:val="12"/>
          <w:szCs w:val="12"/>
          <w:color w:val="auto"/>
        </w:rPr>
        <w:t xml:space="preserve">The offer reflected in this letter will remain open until </w:t>
      </w:r>
      <w:r>
        <w:rPr>
          <w:rFonts w:ascii="Arial" w:cs="Arial" w:eastAsia="Arial" w:hAnsi="Arial"/>
          <w:sz w:val="12"/>
          <w:szCs w:val="12"/>
          <w:b w:val="1"/>
          <w:bCs w:val="1"/>
          <w:color w:val="auto"/>
        </w:rPr>
        <w:t>April 25, 2016</w:t>
      </w:r>
      <w:r>
        <w:rPr>
          <w:rFonts w:ascii="Arial" w:cs="Arial" w:eastAsia="Arial" w:hAnsi="Arial"/>
          <w:sz w:val="12"/>
          <w:szCs w:val="12"/>
          <w:color w:val="auto"/>
        </w:rPr>
        <w:t xml:space="preserve"> unless revoked before then by the Company. </w:t>
      </w:r>
      <w:r>
        <w:rPr>
          <w:rFonts w:ascii="Arial" w:cs="Arial" w:eastAsia="Arial" w:hAnsi="Arial"/>
          <w:sz w:val="12"/>
          <w:szCs w:val="12"/>
          <w:b w:val="1"/>
          <w:bCs w:val="1"/>
          <w:color w:val="auto"/>
        </w:rPr>
        <w:t>To accept this offer, please carefully read the statement below, sign where indicated, and return</w:t>
      </w:r>
      <w:r>
        <w:rPr>
          <w:rFonts w:ascii="Arial" w:cs="Arial" w:eastAsia="Arial" w:hAnsi="Arial"/>
          <w:sz w:val="12"/>
          <w:szCs w:val="12"/>
          <w:color w:val="auto"/>
        </w:rPr>
        <w:t xml:space="preserve"> </w:t>
      </w:r>
      <w:r>
        <w:rPr>
          <w:rFonts w:ascii="Arial" w:cs="Arial" w:eastAsia="Arial" w:hAnsi="Arial"/>
          <w:sz w:val="12"/>
          <w:szCs w:val="12"/>
          <w:b w:val="1"/>
          <w:bCs w:val="1"/>
          <w:color w:val="auto"/>
        </w:rPr>
        <w:t>the letter</w:t>
      </w:r>
    </w:p>
    <w:p>
      <w:pPr>
        <w:spacing w:after="0" w:line="110"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 xml:space="preserve">1150 North Alma School Road, Mesa, Arizona 85201  </w:t>
      </w:r>
      <w:r>
        <w:rPr>
          <w:rFonts w:ascii="Arial" w:cs="Arial" w:eastAsia="Arial" w:hAnsi="Arial"/>
          <w:sz w:val="7"/>
          <w:szCs w:val="7"/>
          <w:color w:val="auto"/>
        </w:rPr>
        <w:t>●</w:t>
      </w:r>
      <w:r>
        <w:rPr>
          <w:rFonts w:ascii="Arial" w:cs="Arial" w:eastAsia="Arial" w:hAnsi="Arial"/>
          <w:sz w:val="12"/>
          <w:szCs w:val="12"/>
          <w:color w:val="auto"/>
        </w:rPr>
        <w:t xml:space="preserve">  TEL 480.443.7000  </w:t>
      </w:r>
      <w:r>
        <w:rPr>
          <w:rFonts w:ascii="Arial" w:cs="Arial" w:eastAsia="Arial" w:hAnsi="Arial"/>
          <w:sz w:val="7"/>
          <w:szCs w:val="7"/>
          <w:color w:val="auto"/>
        </w:rPr>
        <w:t>●</w:t>
      </w:r>
      <w:r>
        <w:rPr>
          <w:rFonts w:ascii="Arial" w:cs="Arial" w:eastAsia="Arial" w:hAnsi="Arial"/>
          <w:sz w:val="12"/>
          <w:szCs w:val="12"/>
          <w:color w:val="auto"/>
        </w:rPr>
        <w:t xml:space="preserve">  www.atsol.com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42545</wp:posOffset>
            </wp:positionV>
            <wp:extent cx="7329170" cy="3683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09">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8"/>
          </w:cols>
          <w:pgMar w:left="212" w:top="841" w:right="199" w:bottom="1440" w:gutter="0" w:footer="0" w:header="0"/>
        </w:sectPr>
      </w:pPr>
    </w:p>
    <w:bookmarkStart w:id="131" w:name="page132"/>
    <w:bookmarkEnd w:id="131"/>
    <w:p>
      <w:pPr>
        <w:spacing w:after="0"/>
        <w:rPr>
          <w:sz w:val="20"/>
          <w:szCs w:val="20"/>
          <w:color w:val="auto"/>
        </w:rPr>
      </w:pPr>
      <w:r>
        <w:rPr>
          <w:rFonts w:ascii="Arial" w:cs="Arial" w:eastAsia="Arial" w:hAnsi="Arial"/>
          <w:sz w:val="11"/>
          <w:szCs w:val="11"/>
          <w:b w:val="1"/>
          <w:bCs w:val="1"/>
          <w:color w:val="auto"/>
        </w:rPr>
        <w:drawing>
          <wp:anchor simplePos="0" relativeHeight="251657728" behindDoc="1" locked="0" layoutInCell="0" allowOverlap="1">
            <wp:simplePos x="0" y="0"/>
            <wp:positionH relativeFrom="page">
              <wp:posOffset>134620</wp:posOffset>
            </wp:positionH>
            <wp:positionV relativeFrom="page">
              <wp:posOffset>180340</wp:posOffset>
            </wp:positionV>
            <wp:extent cx="4312285" cy="35433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10">
                      <a:clrChange>
                        <a:clrFrom>
                          <a:srgbClr val="FFFFFF"/>
                        </a:clrFrom>
                        <a:clrTo>
                          <a:srgbClr val="FFFFFF">
                            <a:alpha val="0"/>
                          </a:srgbClr>
                        </a:clrTo>
                      </a:clrChange>
                      <a:extLst>
                        <a:ext uri="{28A0092B-C50C-407E-A947-70E740481C1C}"/>
                      </a:extLst>
                    </a:blip>
                    <a:srcRect/>
                    <a:stretch>
                      <a:fillRect/>
                    </a:stretch>
                  </pic:blipFill>
                  <pic:spPr bwMode="auto">
                    <a:xfrm>
                      <a:off x="0" y="0"/>
                      <a:ext cx="4312285" cy="354330"/>
                    </a:xfrm>
                    <a:prstGeom prst="rect">
                      <a:avLst/>
                    </a:prstGeom>
                    <a:noFill/>
                  </pic:spPr>
                </pic:pic>
              </a:graphicData>
            </a:graphic>
          </wp:anchor>
        </w:drawing>
        <w:t xml:space="preserve">to me. </w:t>
      </w:r>
      <w:r>
        <w:rPr>
          <w:rFonts w:ascii="Arial" w:cs="Arial" w:eastAsia="Arial" w:hAnsi="Arial"/>
          <w:sz w:val="11"/>
          <w:szCs w:val="11"/>
          <w:color w:val="auto"/>
        </w:rPr>
        <w:t>Please let me know if you have any questions about the matters discussed in this letter, or otherwise. We sincerely hope that you will accept this offer, and we look forward to working with you.</w:t>
      </w:r>
    </w:p>
    <w:p>
      <w:pPr>
        <w:spacing w:after="0" w:line="164" w:lineRule="exact"/>
        <w:rPr>
          <w:sz w:val="20"/>
          <w:szCs w:val="20"/>
          <w:color w:val="auto"/>
        </w:rPr>
      </w:pPr>
    </w:p>
    <w:p>
      <w:pPr>
        <w:spacing w:after="0"/>
        <w:rPr>
          <w:sz w:val="20"/>
          <w:szCs w:val="20"/>
          <w:color w:val="auto"/>
        </w:rPr>
      </w:pPr>
      <w:r>
        <w:rPr>
          <w:rFonts w:ascii="Arial" w:cs="Arial" w:eastAsia="Arial" w:hAnsi="Arial"/>
          <w:sz w:val="12"/>
          <w:szCs w:val="12"/>
          <w:color w:val="auto"/>
        </w:rPr>
        <w:t>Sincerely,</w:t>
      </w:r>
    </w:p>
    <w:p>
      <w:pPr>
        <w:spacing w:after="0"/>
        <w:rPr>
          <w:sz w:val="20"/>
          <w:szCs w:val="20"/>
          <w:color w:val="auto"/>
        </w:rPr>
      </w:pPr>
      <w:r>
        <w:rPr>
          <w:rFonts w:ascii="Arial" w:cs="Arial" w:eastAsia="Arial" w:hAnsi="Arial"/>
          <w:sz w:val="12"/>
          <w:szCs w:val="12"/>
          <w:b w:val="1"/>
          <w:bCs w:val="1"/>
          <w:color w:val="auto"/>
        </w:rPr>
        <w:t>American Traffic Solutions, Inc.</w:t>
      </w:r>
    </w:p>
    <w:p>
      <w:pPr>
        <w:spacing w:after="0" w:line="282"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/s/ David Roberts</w:t>
      </w:r>
    </w:p>
    <w:p>
      <w:pPr>
        <w:spacing w:after="0" w:line="234" w:lineRule="auto"/>
        <w:rPr>
          <w:sz w:val="20"/>
          <w:szCs w:val="20"/>
          <w:color w:val="auto"/>
        </w:rPr>
      </w:pPr>
      <w:r>
        <w:rPr>
          <w:rFonts w:ascii="Arial" w:cs="Arial" w:eastAsia="Arial" w:hAnsi="Arial"/>
          <w:sz w:val="12"/>
          <w:szCs w:val="12"/>
          <w:b w:val="1"/>
          <w:bCs w:val="1"/>
          <w:color w:val="auto"/>
        </w:rPr>
        <w:t>David Roberts</w:t>
      </w:r>
    </w:p>
    <w:p>
      <w:pPr>
        <w:spacing w:after="0" w:line="1" w:lineRule="exact"/>
        <w:rPr>
          <w:sz w:val="20"/>
          <w:szCs w:val="20"/>
          <w:color w:val="auto"/>
        </w:rPr>
      </w:pPr>
    </w:p>
    <w:p>
      <w:pPr>
        <w:spacing w:after="0"/>
        <w:rPr>
          <w:sz w:val="20"/>
          <w:szCs w:val="20"/>
          <w:color w:val="auto"/>
        </w:rPr>
      </w:pPr>
      <w:r>
        <w:rPr>
          <w:rFonts w:ascii="Arial" w:cs="Arial" w:eastAsia="Arial" w:hAnsi="Arial"/>
          <w:sz w:val="12"/>
          <w:szCs w:val="12"/>
          <w:color w:val="auto"/>
        </w:rPr>
        <w:t>President &amp; COO</w:t>
      </w:r>
    </w:p>
    <w:p>
      <w:pPr>
        <w:spacing w:after="0" w:line="200" w:lineRule="exact"/>
        <w:rPr>
          <w:sz w:val="20"/>
          <w:szCs w:val="20"/>
          <w:color w:val="auto"/>
        </w:rPr>
      </w:pPr>
    </w:p>
    <w:p>
      <w:pPr>
        <w:spacing w:after="0" w:line="215" w:lineRule="exact"/>
        <w:rPr>
          <w:sz w:val="20"/>
          <w:szCs w:val="20"/>
          <w:color w:val="auto"/>
        </w:rPr>
      </w:pPr>
    </w:p>
    <w:p>
      <w:pPr>
        <w:ind w:left="920" w:right="20"/>
        <w:spacing w:after="0" w:line="270" w:lineRule="auto"/>
        <w:rPr>
          <w:sz w:val="20"/>
          <w:szCs w:val="20"/>
          <w:color w:val="auto"/>
        </w:rPr>
      </w:pPr>
      <w:r>
        <w:rPr>
          <w:rFonts w:ascii="Arial" w:cs="Arial" w:eastAsia="Arial" w:hAnsi="Arial"/>
          <w:sz w:val="12"/>
          <w:szCs w:val="12"/>
          <w:b w:val="1"/>
          <w:bCs w:val="1"/>
          <w:i w:val="1"/>
          <w:iCs w:val="1"/>
          <w:color w:val="auto"/>
        </w:rPr>
        <w:t>I understand, acknowledge, and agree to the terms and conditions of employment described in this letter and accept employment with the Company on these terms and conditions.</w:t>
      </w:r>
    </w:p>
    <w:p>
      <w:pPr>
        <w:spacing w:after="0" w:line="98" w:lineRule="exact"/>
        <w:rPr>
          <w:sz w:val="20"/>
          <w:szCs w:val="20"/>
          <w:color w:val="auto"/>
        </w:rPr>
      </w:pPr>
    </w:p>
    <w:tbl>
      <w:tblPr>
        <w:tblLayout w:type="fixed"/>
        <w:tblInd w:w="1540" w:type="dxa"/>
        <w:tblCellMar>
          <w:top w:w="0" w:type="dxa"/>
          <w:left w:w="0" w:type="dxa"/>
          <w:bottom w:w="0" w:type="dxa"/>
          <w:right w:w="0" w:type="dxa"/>
        </w:tblCellMar>
      </w:tblPr>
      <w:tr>
        <w:trPr>
          <w:trHeight w:val="138"/>
        </w:trPr>
        <w:tc>
          <w:tcPr>
            <w:tcW w:w="4520" w:type="dxa"/>
            <w:vAlign w:val="bottom"/>
            <w:gridSpan w:val="2"/>
          </w:tcPr>
          <w:p>
            <w:pPr>
              <w:spacing w:after="0"/>
              <w:rPr>
                <w:sz w:val="20"/>
                <w:szCs w:val="20"/>
                <w:color w:val="auto"/>
              </w:rPr>
            </w:pPr>
            <w:r>
              <w:rPr>
                <w:rFonts w:ascii="Arial" w:cs="Arial" w:eastAsia="Arial" w:hAnsi="Arial"/>
                <w:sz w:val="12"/>
                <w:szCs w:val="12"/>
                <w:color w:val="auto"/>
              </w:rPr>
              <w:t>/s/ Rebecca Collins_____________</w:t>
            </w:r>
          </w:p>
        </w:tc>
        <w:tc>
          <w:tcPr>
            <w:tcW w:w="1980" w:type="dxa"/>
            <w:vAlign w:val="bottom"/>
            <w:gridSpan w:val="3"/>
          </w:tcPr>
          <w:p>
            <w:pPr>
              <w:ind w:left="720"/>
              <w:spacing w:after="0"/>
              <w:rPr>
                <w:sz w:val="20"/>
                <w:szCs w:val="20"/>
                <w:color w:val="auto"/>
              </w:rPr>
            </w:pPr>
            <w:r>
              <w:rPr>
                <w:rFonts w:ascii="Arial" w:cs="Arial" w:eastAsia="Arial" w:hAnsi="Arial"/>
                <w:sz w:val="12"/>
                <w:szCs w:val="12"/>
                <w:color w:val="auto"/>
              </w:rPr>
              <w:t>4/21/16</w:t>
            </w:r>
          </w:p>
        </w:tc>
      </w:tr>
      <w:tr>
        <w:trPr>
          <w:trHeight w:val="20"/>
        </w:trPr>
        <w:tc>
          <w:tcPr>
            <w:tcW w:w="1020" w:type="dxa"/>
            <w:vAlign w:val="bottom"/>
            <w:shd w:val="clear" w:color="auto" w:fill="000000"/>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42"/>
        </w:trPr>
        <w:tc>
          <w:tcPr>
            <w:tcW w:w="1020" w:type="dxa"/>
            <w:vAlign w:val="bottom"/>
          </w:tcPr>
          <w:p>
            <w:pPr>
              <w:spacing w:after="0"/>
              <w:rPr>
                <w:sz w:val="20"/>
                <w:szCs w:val="20"/>
                <w:color w:val="auto"/>
              </w:rPr>
            </w:pPr>
            <w:r>
              <w:rPr>
                <w:rFonts w:ascii="Arial" w:cs="Arial" w:eastAsia="Arial" w:hAnsi="Arial"/>
                <w:sz w:val="12"/>
                <w:szCs w:val="12"/>
                <w:color w:val="auto"/>
              </w:rPr>
              <w:t>Rebecca Collins</w:t>
            </w:r>
          </w:p>
        </w:tc>
        <w:tc>
          <w:tcPr>
            <w:tcW w:w="3500" w:type="dxa"/>
            <w:vAlign w:val="bottom"/>
          </w:tcPr>
          <w:p>
            <w:pPr>
              <w:spacing w:after="0"/>
              <w:rPr>
                <w:sz w:val="12"/>
                <w:szCs w:val="12"/>
                <w:color w:val="auto"/>
              </w:rPr>
            </w:pPr>
          </w:p>
        </w:tc>
        <w:tc>
          <w:tcPr>
            <w:tcW w:w="1980" w:type="dxa"/>
            <w:vAlign w:val="bottom"/>
            <w:gridSpan w:val="3"/>
          </w:tcPr>
          <w:p>
            <w:pPr>
              <w:ind w:left="720"/>
              <w:spacing w:after="0"/>
              <w:rPr>
                <w:sz w:val="20"/>
                <w:szCs w:val="20"/>
                <w:color w:val="auto"/>
              </w:rPr>
            </w:pPr>
            <w:r>
              <w:rPr>
                <w:rFonts w:ascii="Arial" w:cs="Arial" w:eastAsia="Arial" w:hAnsi="Arial"/>
                <w:sz w:val="12"/>
                <w:szCs w:val="12"/>
                <w:color w:val="auto"/>
              </w:rPr>
              <w:t>Date</w:t>
            </w:r>
          </w:p>
        </w:tc>
      </w:tr>
      <w:tr>
        <w:trPr>
          <w:trHeight w:val="856"/>
        </w:trPr>
        <w:tc>
          <w:tcPr>
            <w:tcW w:w="1020" w:type="dxa"/>
            <w:vAlign w:val="bottom"/>
          </w:tcPr>
          <w:p>
            <w:pPr>
              <w:spacing w:after="0"/>
              <w:rPr>
                <w:sz w:val="24"/>
                <w:szCs w:val="24"/>
                <w:color w:val="auto"/>
              </w:rPr>
            </w:pPr>
          </w:p>
        </w:tc>
        <w:tc>
          <w:tcPr>
            <w:tcW w:w="3500" w:type="dxa"/>
            <w:vAlign w:val="bottom"/>
          </w:tcPr>
          <w:p>
            <w:pPr>
              <w:ind w:left="860"/>
              <w:spacing w:after="0"/>
              <w:rPr>
                <w:sz w:val="20"/>
                <w:szCs w:val="20"/>
                <w:color w:val="auto"/>
              </w:rPr>
            </w:pPr>
            <w:r>
              <w:rPr>
                <w:rFonts w:ascii="Arial" w:cs="Arial" w:eastAsia="Arial" w:hAnsi="Arial"/>
                <w:sz w:val="12"/>
                <w:szCs w:val="12"/>
                <w:color w:val="auto"/>
                <w:w w:val="92"/>
              </w:rPr>
              <w:t>1150 North Alma School Road, Mesa, Arizona 85201</w:t>
            </w:r>
          </w:p>
        </w:tc>
        <w:tc>
          <w:tcPr>
            <w:tcW w:w="1980" w:type="dxa"/>
            <w:vAlign w:val="bottom"/>
            <w:gridSpan w:val="3"/>
          </w:tcPr>
          <w:p>
            <w:pPr>
              <w:ind w:left="40"/>
              <w:spacing w:after="0"/>
              <w:rPr>
                <w:sz w:val="20"/>
                <w:szCs w:val="20"/>
                <w:color w:val="auto"/>
              </w:rPr>
            </w:pPr>
            <w:r>
              <w:rPr>
                <w:rFonts w:ascii="Arial" w:cs="Arial" w:eastAsia="Arial" w:hAnsi="Arial"/>
                <w:sz w:val="7"/>
                <w:szCs w:val="7"/>
                <w:color w:val="auto"/>
                <w:w w:val="96"/>
              </w:rPr>
              <w:t xml:space="preserve">●  </w:t>
            </w:r>
            <w:r>
              <w:rPr>
                <w:rFonts w:ascii="Arial" w:cs="Arial" w:eastAsia="Arial" w:hAnsi="Arial"/>
                <w:sz w:val="12"/>
                <w:szCs w:val="12"/>
                <w:color w:val="auto"/>
                <w:w w:val="96"/>
              </w:rPr>
              <w:t>TEL 480.443.7000</w:t>
            </w:r>
            <w:r>
              <w:rPr>
                <w:rFonts w:ascii="Arial" w:cs="Arial" w:eastAsia="Arial" w:hAnsi="Arial"/>
                <w:sz w:val="7"/>
                <w:szCs w:val="7"/>
                <w:color w:val="auto"/>
                <w:w w:val="96"/>
              </w:rPr>
              <w:t xml:space="preserve">  ●  </w:t>
            </w:r>
            <w:r>
              <w:rPr>
                <w:rFonts w:ascii="Arial" w:cs="Arial" w:eastAsia="Arial" w:hAnsi="Arial"/>
                <w:sz w:val="12"/>
                <w:szCs w:val="12"/>
                <w:color w:val="auto"/>
                <w:w w:val="96"/>
              </w:rPr>
              <w:t>www.atsol.com</w:t>
            </w:r>
          </w:p>
        </w:tc>
      </w:tr>
    </w:tbl>
    <w:p>
      <w:pPr>
        <w:sectPr>
          <w:pgSz w:w="11900" w:h="16838" w:orient="portrait"/>
          <w:cols w:equalWidth="0" w:num="1">
            <w:col w:w="10520"/>
          </w:cols>
          <w:pgMar w:left="220" w:top="827" w:right="1159" w:bottom="1440" w:gutter="0" w:footer="0" w:header="0"/>
        </w:sectPr>
      </w:pPr>
    </w:p>
    <w:bookmarkStart w:id="132" w:name="page133"/>
    <w:bookmarkEnd w:id="132"/>
    <w:p>
      <w:pPr>
        <w:jc w:val="right"/>
        <w:ind w:right="20"/>
        <w:spacing w:after="0"/>
        <w:rPr>
          <w:sz w:val="20"/>
          <w:szCs w:val="20"/>
          <w:color w:val="auto"/>
        </w:rPr>
      </w:pPr>
      <w:r>
        <w:rPr>
          <w:rFonts w:ascii="Arial" w:cs="Arial" w:eastAsia="Arial" w:hAnsi="Arial"/>
          <w:sz w:val="13"/>
          <w:szCs w:val="13"/>
          <w:color w:val="auto"/>
        </w:rPr>
        <w:t>Exhibit 10.24</w:t>
      </w:r>
    </w:p>
    <w:p>
      <w:pPr>
        <w:spacing w:after="0" w:line="17"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VERRA MOBILITY CORPORATION</w:t>
      </w:r>
    </w:p>
    <w:p>
      <w:pPr>
        <w:spacing w:after="0" w:line="3"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NOTICE OF GRANT OF STOCK OPTION</w:t>
      </w:r>
    </w:p>
    <w:p>
      <w:pPr>
        <w:jc w:val="center"/>
        <w:ind w:right="20"/>
        <w:spacing w:after="0"/>
        <w:rPr>
          <w:sz w:val="20"/>
          <w:szCs w:val="20"/>
          <w:color w:val="auto"/>
        </w:rPr>
      </w:pPr>
      <w:r>
        <w:rPr>
          <w:rFonts w:ascii="Arial" w:cs="Arial" w:eastAsia="Arial" w:hAnsi="Arial"/>
          <w:sz w:val="13"/>
          <w:szCs w:val="13"/>
          <w:b w:val="1"/>
          <w:bCs w:val="1"/>
          <w:color w:val="auto"/>
        </w:rPr>
        <w:t>(For U.S. Participants)</w:t>
      </w:r>
    </w:p>
    <w:p>
      <w:pPr>
        <w:spacing w:after="0" w:line="139" w:lineRule="exact"/>
        <w:rPr>
          <w:sz w:val="20"/>
          <w:szCs w:val="20"/>
          <w:color w:val="auto"/>
        </w:rPr>
      </w:pPr>
    </w:p>
    <w:p>
      <w:pPr>
        <w:jc w:val="both"/>
        <w:ind w:right="40"/>
        <w:spacing w:after="0" w:line="276" w:lineRule="auto"/>
        <w:rPr>
          <w:sz w:val="20"/>
          <w:szCs w:val="20"/>
          <w:color w:val="auto"/>
        </w:rPr>
      </w:pPr>
      <w:r>
        <w:rPr>
          <w:rFonts w:ascii="Arial" w:cs="Arial" w:eastAsia="Arial" w:hAnsi="Arial"/>
          <w:sz w:val="12"/>
          <w:szCs w:val="12"/>
          <w:color w:val="auto"/>
        </w:rPr>
        <w:t xml:space="preserve">Verra Mobility Corporation, a Delaware corporation (the </w:t>
      </w:r>
      <w:r>
        <w:rPr>
          <w:rFonts w:ascii="Arial" w:cs="Arial" w:eastAsia="Arial" w:hAnsi="Arial"/>
          <w:sz w:val="12"/>
          <w:szCs w:val="12"/>
          <w:i w:val="1"/>
          <w:iCs w:val="1"/>
          <w:color w:val="auto"/>
        </w:rPr>
        <w:t>“</w:t>
      </w:r>
      <w:r>
        <w:rPr>
          <w:rFonts w:ascii="Arial" w:cs="Arial" w:eastAsia="Arial" w:hAnsi="Arial"/>
          <w:sz w:val="12"/>
          <w:szCs w:val="12"/>
          <w:b w:val="1"/>
          <w:bCs w:val="1"/>
          <w:i w:val="1"/>
          <w:iCs w:val="1"/>
          <w:color w:val="auto"/>
        </w:rPr>
        <w:t>Company</w:t>
      </w:r>
      <w:r>
        <w:rPr>
          <w:rFonts w:ascii="Arial" w:cs="Arial" w:eastAsia="Arial" w:hAnsi="Arial"/>
          <w:sz w:val="12"/>
          <w:szCs w:val="12"/>
          <w:i w:val="1"/>
          <w:iCs w:val="1"/>
          <w:color w:val="auto"/>
        </w:rPr>
        <w:t>”</w:t>
      </w:r>
      <w:r>
        <w:rPr>
          <w:rFonts w:ascii="Arial" w:cs="Arial" w:eastAsia="Arial" w:hAnsi="Arial"/>
          <w:sz w:val="12"/>
          <w:szCs w:val="12"/>
          <w:color w:val="auto"/>
        </w:rPr>
        <w:t xml:space="preserve">) has granted to the Participant an option (the </w:t>
      </w:r>
      <w:r>
        <w:rPr>
          <w:rFonts w:ascii="Arial" w:cs="Arial" w:eastAsia="Arial" w:hAnsi="Arial"/>
          <w:sz w:val="12"/>
          <w:szCs w:val="12"/>
          <w:i w:val="1"/>
          <w:iCs w:val="1"/>
          <w:color w:val="auto"/>
        </w:rPr>
        <w:t>“</w:t>
      </w:r>
      <w:r>
        <w:rPr>
          <w:rFonts w:ascii="Arial" w:cs="Arial" w:eastAsia="Arial" w:hAnsi="Arial"/>
          <w:sz w:val="12"/>
          <w:szCs w:val="12"/>
          <w:b w:val="1"/>
          <w:bCs w:val="1"/>
          <w:i w:val="1"/>
          <w:iCs w:val="1"/>
          <w:color w:val="auto"/>
        </w:rPr>
        <w:t>Option</w:t>
      </w:r>
      <w:r>
        <w:rPr>
          <w:rFonts w:ascii="Arial" w:cs="Arial" w:eastAsia="Arial" w:hAnsi="Arial"/>
          <w:sz w:val="12"/>
          <w:szCs w:val="12"/>
          <w:i w:val="1"/>
          <w:iCs w:val="1"/>
          <w:color w:val="auto"/>
        </w:rPr>
        <w:t>”</w:t>
      </w:r>
      <w:r>
        <w:rPr>
          <w:rFonts w:ascii="Arial" w:cs="Arial" w:eastAsia="Arial" w:hAnsi="Arial"/>
          <w:sz w:val="12"/>
          <w:szCs w:val="12"/>
          <w:color w:val="auto"/>
        </w:rPr>
        <w:t xml:space="preserve">) to purchase certain shares of Stock pursuant to the Verra Mobility Corporation 2018 Equity Incentive Plan (the </w:t>
      </w:r>
      <w:r>
        <w:rPr>
          <w:rFonts w:ascii="Arial" w:cs="Arial" w:eastAsia="Arial" w:hAnsi="Arial"/>
          <w:sz w:val="12"/>
          <w:szCs w:val="12"/>
          <w:i w:val="1"/>
          <w:iCs w:val="1"/>
          <w:color w:val="auto"/>
        </w:rPr>
        <w:t>“</w:t>
      </w:r>
      <w:r>
        <w:rPr>
          <w:rFonts w:ascii="Arial" w:cs="Arial" w:eastAsia="Arial" w:hAnsi="Arial"/>
          <w:sz w:val="12"/>
          <w:szCs w:val="12"/>
          <w:b w:val="1"/>
          <w:bCs w:val="1"/>
          <w:i w:val="1"/>
          <w:iCs w:val="1"/>
          <w:color w:val="auto"/>
        </w:rPr>
        <w:t>Plan</w:t>
      </w:r>
      <w:r>
        <w:rPr>
          <w:rFonts w:ascii="Arial" w:cs="Arial" w:eastAsia="Arial" w:hAnsi="Arial"/>
          <w:sz w:val="12"/>
          <w:szCs w:val="12"/>
          <w:i w:val="1"/>
          <w:iCs w:val="1"/>
          <w:color w:val="auto"/>
        </w:rPr>
        <w:t>”</w:t>
      </w:r>
      <w:r>
        <w:rPr>
          <w:rFonts w:ascii="Arial" w:cs="Arial" w:eastAsia="Arial" w:hAnsi="Arial"/>
          <w:sz w:val="12"/>
          <w:szCs w:val="12"/>
          <w:color w:val="auto"/>
        </w:rPr>
        <w:t>), as follows: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1460" w:type="dxa"/>
            <w:vAlign w:val="bottom"/>
          </w:tcPr>
          <w:p>
            <w:pPr>
              <w:spacing w:after="0"/>
              <w:rPr>
                <w:sz w:val="20"/>
                <w:szCs w:val="20"/>
                <w:color w:val="auto"/>
              </w:rPr>
            </w:pPr>
            <w:r>
              <w:rPr>
                <w:rFonts w:ascii="Arial" w:cs="Arial" w:eastAsia="Arial" w:hAnsi="Arial"/>
                <w:sz w:val="12"/>
                <w:szCs w:val="12"/>
                <w:b w:val="1"/>
                <w:bCs w:val="1"/>
                <w:color w:val="auto"/>
              </w:rPr>
              <w:t>Participant:</w:t>
            </w:r>
          </w:p>
        </w:tc>
        <w:tc>
          <w:tcPr>
            <w:tcW w:w="4260" w:type="dxa"/>
            <w:vAlign w:val="bottom"/>
            <w:gridSpan w:val="4"/>
          </w:tcPr>
          <w:p>
            <w:pPr>
              <w:ind w:left="2320"/>
              <w:spacing w:after="0"/>
              <w:rPr>
                <w:sz w:val="20"/>
                <w:szCs w:val="20"/>
                <w:color w:val="auto"/>
              </w:rPr>
            </w:pPr>
            <w:r>
              <w:rPr>
                <w:rFonts w:ascii="Arial" w:cs="Arial" w:eastAsia="Arial" w:hAnsi="Arial"/>
                <w:sz w:val="12"/>
                <w:szCs w:val="12"/>
                <w:b w:val="1"/>
                <w:bCs w:val="1"/>
                <w:color w:val="auto"/>
              </w:rPr>
              <w:t>Employee ID:</w:t>
            </w:r>
          </w:p>
        </w:tc>
      </w:tr>
      <w:tr>
        <w:trPr>
          <w:trHeight w:val="216"/>
        </w:trPr>
        <w:tc>
          <w:tcPr>
            <w:tcW w:w="1460" w:type="dxa"/>
            <w:vAlign w:val="bottom"/>
          </w:tcPr>
          <w:p>
            <w:pPr>
              <w:spacing w:after="0"/>
              <w:rPr>
                <w:sz w:val="20"/>
                <w:szCs w:val="20"/>
                <w:color w:val="auto"/>
              </w:rPr>
            </w:pPr>
            <w:r>
              <w:rPr>
                <w:rFonts w:ascii="Arial" w:cs="Arial" w:eastAsia="Arial" w:hAnsi="Arial"/>
                <w:sz w:val="12"/>
                <w:szCs w:val="12"/>
                <w:b w:val="1"/>
                <w:bCs w:val="1"/>
                <w:color w:val="auto"/>
              </w:rPr>
              <w:t>Date of Grant:</w:t>
            </w:r>
          </w:p>
        </w:tc>
        <w:tc>
          <w:tcPr>
            <w:tcW w:w="2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1460" w:type="dxa"/>
            <w:vAlign w:val="bottom"/>
          </w:tcPr>
          <w:p>
            <w:pPr>
              <w:spacing w:after="0"/>
              <w:rPr>
                <w:sz w:val="20"/>
                <w:szCs w:val="20"/>
                <w:color w:val="auto"/>
              </w:rPr>
            </w:pPr>
            <w:r>
              <w:rPr>
                <w:rFonts w:ascii="Arial" w:cs="Arial" w:eastAsia="Arial" w:hAnsi="Arial"/>
                <w:sz w:val="12"/>
                <w:szCs w:val="12"/>
                <w:b w:val="1"/>
                <w:bCs w:val="1"/>
                <w:color w:val="auto"/>
                <w:w w:val="96"/>
              </w:rPr>
              <w:t>Number of Option Shares:</w:t>
            </w:r>
          </w:p>
        </w:tc>
        <w:tc>
          <w:tcPr>
            <w:tcW w:w="4260" w:type="dxa"/>
            <w:vAlign w:val="bottom"/>
            <w:gridSpan w:val="4"/>
          </w:tcPr>
          <w:p>
            <w:pPr>
              <w:ind w:left="100"/>
              <w:spacing w:after="0"/>
              <w:rPr>
                <w:sz w:val="20"/>
                <w:szCs w:val="20"/>
                <w:color w:val="auto"/>
              </w:rPr>
            </w:pPr>
            <w:r>
              <w:rPr>
                <w:rFonts w:ascii="Arial" w:cs="Arial" w:eastAsia="Arial" w:hAnsi="Arial"/>
                <w:sz w:val="12"/>
                <w:szCs w:val="12"/>
                <w:color w:val="auto"/>
              </w:rPr>
              <w:t>, subject to adjustment as provided by the Option Agreement.</w:t>
            </w:r>
          </w:p>
        </w:tc>
      </w:tr>
      <w:tr>
        <w:trPr>
          <w:trHeight w:val="216"/>
        </w:trPr>
        <w:tc>
          <w:tcPr>
            <w:tcW w:w="1460" w:type="dxa"/>
            <w:vAlign w:val="bottom"/>
          </w:tcPr>
          <w:p>
            <w:pPr>
              <w:spacing w:after="0"/>
              <w:rPr>
                <w:sz w:val="20"/>
                <w:szCs w:val="20"/>
                <w:color w:val="auto"/>
              </w:rPr>
            </w:pPr>
            <w:r>
              <w:rPr>
                <w:rFonts w:ascii="Arial" w:cs="Arial" w:eastAsia="Arial" w:hAnsi="Arial"/>
                <w:sz w:val="12"/>
                <w:szCs w:val="12"/>
                <w:b w:val="1"/>
                <w:bCs w:val="1"/>
                <w:color w:val="auto"/>
              </w:rPr>
              <w:t>Exercise Price:</w:t>
            </w:r>
          </w:p>
        </w:tc>
        <w:tc>
          <w:tcPr>
            <w:tcW w:w="2740" w:type="dxa"/>
            <w:vAlign w:val="bottom"/>
          </w:tcPr>
          <w:p>
            <w:pPr>
              <w:ind w:left="100"/>
              <w:spacing w:after="0"/>
              <w:rPr>
                <w:sz w:val="20"/>
                <w:szCs w:val="20"/>
                <w:color w:val="auto"/>
              </w:rPr>
            </w:pPr>
            <w:r>
              <w:rPr>
                <w:rFonts w:ascii="Arial" w:cs="Arial" w:eastAsia="Arial" w:hAnsi="Arial"/>
                <w:sz w:val="12"/>
                <w:szCs w:val="12"/>
                <w:color w:val="auto"/>
              </w:rPr>
              <w:t>$</w:t>
            </w: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1460" w:type="dxa"/>
            <w:vAlign w:val="bottom"/>
          </w:tcPr>
          <w:p>
            <w:pPr>
              <w:spacing w:after="0"/>
              <w:rPr>
                <w:sz w:val="20"/>
                <w:szCs w:val="20"/>
                <w:color w:val="auto"/>
              </w:rPr>
            </w:pPr>
            <w:r>
              <w:rPr>
                <w:rFonts w:ascii="Arial" w:cs="Arial" w:eastAsia="Arial" w:hAnsi="Arial"/>
                <w:sz w:val="12"/>
                <w:szCs w:val="12"/>
                <w:b w:val="1"/>
                <w:bCs w:val="1"/>
                <w:color w:val="auto"/>
              </w:rPr>
              <w:t>Vesting Start Date:</w:t>
            </w:r>
          </w:p>
        </w:tc>
        <w:tc>
          <w:tcPr>
            <w:tcW w:w="2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1460" w:type="dxa"/>
            <w:vAlign w:val="bottom"/>
          </w:tcPr>
          <w:p>
            <w:pPr>
              <w:spacing w:after="0"/>
              <w:rPr>
                <w:sz w:val="20"/>
                <w:szCs w:val="20"/>
                <w:color w:val="auto"/>
              </w:rPr>
            </w:pPr>
            <w:r>
              <w:rPr>
                <w:rFonts w:ascii="Arial" w:cs="Arial" w:eastAsia="Arial" w:hAnsi="Arial"/>
                <w:sz w:val="12"/>
                <w:szCs w:val="12"/>
                <w:b w:val="1"/>
                <w:bCs w:val="1"/>
                <w:color w:val="auto"/>
              </w:rPr>
              <w:t>Option Expiration Date:</w:t>
            </w:r>
          </w:p>
        </w:tc>
        <w:tc>
          <w:tcPr>
            <w:tcW w:w="2740" w:type="dxa"/>
            <w:vAlign w:val="bottom"/>
          </w:tcPr>
          <w:p>
            <w:pPr>
              <w:ind w:left="100"/>
              <w:spacing w:after="0"/>
              <w:rPr>
                <w:sz w:val="20"/>
                <w:szCs w:val="20"/>
                <w:color w:val="auto"/>
              </w:rPr>
            </w:pPr>
            <w:r>
              <w:rPr>
                <w:rFonts w:ascii="Arial" w:cs="Arial" w:eastAsia="Arial" w:hAnsi="Arial"/>
                <w:sz w:val="12"/>
                <w:szCs w:val="12"/>
                <w:color w:val="auto"/>
              </w:rPr>
              <w:t>The tenth anniversary of the Date of Grant</w:t>
            </w: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07"/>
        </w:trPr>
        <w:tc>
          <w:tcPr>
            <w:tcW w:w="1460" w:type="dxa"/>
            <w:vAlign w:val="bottom"/>
          </w:tcPr>
          <w:p>
            <w:pPr>
              <w:spacing w:after="0"/>
              <w:rPr>
                <w:sz w:val="20"/>
                <w:szCs w:val="20"/>
                <w:color w:val="auto"/>
              </w:rPr>
            </w:pPr>
            <w:r>
              <w:rPr>
                <w:rFonts w:ascii="Arial" w:cs="Arial" w:eastAsia="Arial" w:hAnsi="Arial"/>
                <w:sz w:val="12"/>
                <w:szCs w:val="12"/>
                <w:b w:val="1"/>
                <w:bCs w:val="1"/>
                <w:color w:val="auto"/>
              </w:rPr>
              <w:t>Tax Status of Option:</w:t>
            </w:r>
          </w:p>
        </w:tc>
        <w:tc>
          <w:tcPr>
            <w:tcW w:w="2740" w:type="dxa"/>
            <w:vAlign w:val="bottom"/>
          </w:tcPr>
          <w:p>
            <w:pPr>
              <w:ind w:left="100"/>
              <w:spacing w:after="0"/>
              <w:rPr>
                <w:sz w:val="20"/>
                <w:szCs w:val="20"/>
                <w:color w:val="auto"/>
              </w:rPr>
            </w:pPr>
            <w:r>
              <w:rPr>
                <w:rFonts w:ascii="Arial" w:cs="Arial" w:eastAsia="Arial" w:hAnsi="Arial"/>
                <w:sz w:val="12"/>
                <w:szCs w:val="12"/>
                <w:color w:val="auto"/>
                <w:w w:val="97"/>
              </w:rPr>
              <w:t>Stock Option.  (Enter “Incentive” or “Nonstatutory.”</w:t>
            </w:r>
          </w:p>
        </w:tc>
        <w:tc>
          <w:tcPr>
            <w:tcW w:w="1520" w:type="dxa"/>
            <w:vAlign w:val="bottom"/>
            <w:gridSpan w:val="3"/>
          </w:tcPr>
          <w:p>
            <w:pPr>
              <w:ind w:left="40"/>
              <w:spacing w:after="0"/>
              <w:rPr>
                <w:sz w:val="20"/>
                <w:szCs w:val="20"/>
                <w:color w:val="auto"/>
              </w:rPr>
            </w:pPr>
            <w:r>
              <w:rPr>
                <w:rFonts w:ascii="Arial" w:cs="Arial" w:eastAsia="Arial" w:hAnsi="Arial"/>
                <w:sz w:val="12"/>
                <w:szCs w:val="12"/>
                <w:color w:val="auto"/>
                <w:w w:val="97"/>
              </w:rPr>
              <w:t>If blank, this Option will be a</w:t>
            </w:r>
          </w:p>
        </w:tc>
      </w:tr>
      <w:tr>
        <w:trPr>
          <w:trHeight w:val="153"/>
        </w:trPr>
        <w:tc>
          <w:tcPr>
            <w:tcW w:w="1460" w:type="dxa"/>
            <w:vAlign w:val="bottom"/>
          </w:tcPr>
          <w:p>
            <w:pPr>
              <w:spacing w:after="0"/>
              <w:rPr>
                <w:sz w:val="13"/>
                <w:szCs w:val="13"/>
                <w:color w:val="auto"/>
              </w:rPr>
            </w:pPr>
          </w:p>
        </w:tc>
        <w:tc>
          <w:tcPr>
            <w:tcW w:w="2740" w:type="dxa"/>
            <w:vAlign w:val="bottom"/>
          </w:tcPr>
          <w:p>
            <w:pPr>
              <w:ind w:left="100"/>
              <w:spacing w:after="0"/>
              <w:rPr>
                <w:sz w:val="20"/>
                <w:szCs w:val="20"/>
                <w:color w:val="auto"/>
              </w:rPr>
            </w:pPr>
            <w:r>
              <w:rPr>
                <w:rFonts w:ascii="Arial" w:cs="Arial" w:eastAsia="Arial" w:hAnsi="Arial"/>
                <w:sz w:val="12"/>
                <w:szCs w:val="12"/>
                <w:color w:val="auto"/>
              </w:rPr>
              <w:t>Nonstatutory Stock Option.)</w:t>
            </w: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207"/>
        </w:trPr>
        <w:tc>
          <w:tcPr>
            <w:tcW w:w="1460" w:type="dxa"/>
            <w:vAlign w:val="bottom"/>
          </w:tcPr>
          <w:p>
            <w:pPr>
              <w:spacing w:after="0"/>
              <w:rPr>
                <w:sz w:val="20"/>
                <w:szCs w:val="20"/>
                <w:color w:val="auto"/>
              </w:rPr>
            </w:pPr>
            <w:r>
              <w:rPr>
                <w:rFonts w:ascii="Arial" w:cs="Arial" w:eastAsia="Arial" w:hAnsi="Arial"/>
                <w:sz w:val="12"/>
                <w:szCs w:val="12"/>
                <w:b w:val="1"/>
                <w:bCs w:val="1"/>
                <w:color w:val="auto"/>
              </w:rPr>
              <w:t>Vested Shares:</w:t>
            </w:r>
          </w:p>
        </w:tc>
        <w:tc>
          <w:tcPr>
            <w:tcW w:w="4260" w:type="dxa"/>
            <w:vAlign w:val="bottom"/>
            <w:gridSpan w:val="4"/>
          </w:tcPr>
          <w:p>
            <w:pPr>
              <w:ind w:left="100"/>
              <w:spacing w:after="0"/>
              <w:rPr>
                <w:sz w:val="20"/>
                <w:szCs w:val="20"/>
                <w:color w:val="auto"/>
              </w:rPr>
            </w:pPr>
            <w:r>
              <w:rPr>
                <w:rFonts w:ascii="Arial" w:cs="Arial" w:eastAsia="Arial" w:hAnsi="Arial"/>
                <w:sz w:val="12"/>
                <w:szCs w:val="12"/>
                <w:color w:val="auto"/>
                <w:w w:val="94"/>
              </w:rPr>
              <w:t>Except as provided in the Option Agreement and provided the Participant’s Service</w:t>
            </w:r>
          </w:p>
        </w:tc>
      </w:tr>
      <w:tr>
        <w:trPr>
          <w:trHeight w:val="144"/>
        </w:trPr>
        <w:tc>
          <w:tcPr>
            <w:tcW w:w="1460" w:type="dxa"/>
            <w:vAlign w:val="bottom"/>
          </w:tcPr>
          <w:p>
            <w:pPr>
              <w:spacing w:after="0"/>
              <w:rPr>
                <w:sz w:val="12"/>
                <w:szCs w:val="12"/>
                <w:color w:val="auto"/>
              </w:rPr>
            </w:pPr>
          </w:p>
        </w:tc>
        <w:tc>
          <w:tcPr>
            <w:tcW w:w="4260" w:type="dxa"/>
            <w:vAlign w:val="bottom"/>
            <w:gridSpan w:val="4"/>
          </w:tcPr>
          <w:p>
            <w:pPr>
              <w:ind w:left="100"/>
              <w:spacing w:after="0"/>
              <w:rPr>
                <w:sz w:val="20"/>
                <w:szCs w:val="20"/>
                <w:color w:val="auto"/>
              </w:rPr>
            </w:pPr>
            <w:r>
              <w:rPr>
                <w:rFonts w:ascii="Arial" w:cs="Arial" w:eastAsia="Arial" w:hAnsi="Arial"/>
                <w:sz w:val="12"/>
                <w:szCs w:val="12"/>
                <w:color w:val="auto"/>
              </w:rPr>
              <w:t>has not terminated prior to the applicable date, the number of Vested Shares</w:t>
            </w:r>
          </w:p>
        </w:tc>
      </w:tr>
      <w:tr>
        <w:trPr>
          <w:trHeight w:val="144"/>
        </w:trPr>
        <w:tc>
          <w:tcPr>
            <w:tcW w:w="1460" w:type="dxa"/>
            <w:vAlign w:val="bottom"/>
          </w:tcPr>
          <w:p>
            <w:pPr>
              <w:spacing w:after="0"/>
              <w:rPr>
                <w:sz w:val="12"/>
                <w:szCs w:val="12"/>
                <w:color w:val="auto"/>
              </w:rPr>
            </w:pPr>
          </w:p>
        </w:tc>
        <w:tc>
          <w:tcPr>
            <w:tcW w:w="4260" w:type="dxa"/>
            <w:vAlign w:val="bottom"/>
            <w:gridSpan w:val="4"/>
          </w:tcPr>
          <w:p>
            <w:pPr>
              <w:ind w:left="100"/>
              <w:spacing w:after="0"/>
              <w:rPr>
                <w:sz w:val="20"/>
                <w:szCs w:val="20"/>
                <w:color w:val="auto"/>
              </w:rPr>
            </w:pPr>
            <w:r>
              <w:rPr>
                <w:rFonts w:ascii="Arial" w:cs="Arial" w:eastAsia="Arial" w:hAnsi="Arial"/>
                <w:sz w:val="12"/>
                <w:szCs w:val="12"/>
                <w:color w:val="auto"/>
              </w:rPr>
              <w:t>(disregarding any resulting fractional share) as of any date is determined by</w:t>
            </w:r>
          </w:p>
        </w:tc>
      </w:tr>
      <w:tr>
        <w:trPr>
          <w:trHeight w:val="144"/>
        </w:trPr>
        <w:tc>
          <w:tcPr>
            <w:tcW w:w="1460" w:type="dxa"/>
            <w:vAlign w:val="bottom"/>
          </w:tcPr>
          <w:p>
            <w:pPr>
              <w:spacing w:after="0"/>
              <w:rPr>
                <w:sz w:val="12"/>
                <w:szCs w:val="12"/>
                <w:color w:val="auto"/>
              </w:rPr>
            </w:pPr>
          </w:p>
        </w:tc>
        <w:tc>
          <w:tcPr>
            <w:tcW w:w="4260" w:type="dxa"/>
            <w:vAlign w:val="bottom"/>
            <w:gridSpan w:val="4"/>
          </w:tcPr>
          <w:p>
            <w:pPr>
              <w:ind w:left="100"/>
              <w:spacing w:after="0"/>
              <w:rPr>
                <w:sz w:val="20"/>
                <w:szCs w:val="20"/>
                <w:color w:val="auto"/>
              </w:rPr>
            </w:pPr>
            <w:r>
              <w:rPr>
                <w:rFonts w:ascii="Arial" w:cs="Arial" w:eastAsia="Arial" w:hAnsi="Arial"/>
                <w:sz w:val="12"/>
                <w:szCs w:val="12"/>
                <w:color w:val="auto"/>
                <w:w w:val="96"/>
              </w:rPr>
              <w:t xml:space="preserve">multiplying the Number of Option Shares by the </w:t>
            </w:r>
            <w:r>
              <w:rPr>
                <w:rFonts w:ascii="Arial" w:cs="Arial" w:eastAsia="Arial" w:hAnsi="Arial"/>
                <w:sz w:val="12"/>
                <w:szCs w:val="12"/>
                <w:i w:val="1"/>
                <w:iCs w:val="1"/>
                <w:color w:val="auto"/>
                <w:w w:val="96"/>
              </w:rPr>
              <w:t>“</w:t>
            </w:r>
            <w:r>
              <w:rPr>
                <w:rFonts w:ascii="Arial" w:cs="Arial" w:eastAsia="Arial" w:hAnsi="Arial"/>
                <w:sz w:val="12"/>
                <w:szCs w:val="12"/>
                <w:b w:val="1"/>
                <w:bCs w:val="1"/>
                <w:i w:val="1"/>
                <w:iCs w:val="1"/>
                <w:color w:val="auto"/>
                <w:w w:val="96"/>
              </w:rPr>
              <w:t>Vested Ratio</w:t>
            </w:r>
            <w:r>
              <w:rPr>
                <w:rFonts w:ascii="Arial" w:cs="Arial" w:eastAsia="Arial" w:hAnsi="Arial"/>
                <w:sz w:val="12"/>
                <w:szCs w:val="12"/>
                <w:i w:val="1"/>
                <w:iCs w:val="1"/>
                <w:color w:val="auto"/>
                <w:w w:val="96"/>
              </w:rPr>
              <w:t>”</w:t>
            </w:r>
            <w:r>
              <w:rPr>
                <w:rFonts w:ascii="Arial" w:cs="Arial" w:eastAsia="Arial" w:hAnsi="Arial"/>
                <w:sz w:val="12"/>
                <w:szCs w:val="12"/>
                <w:color w:val="auto"/>
                <w:w w:val="96"/>
              </w:rPr>
              <w:t xml:space="preserve"> determined as of</w:t>
            </w:r>
          </w:p>
        </w:tc>
      </w:tr>
      <w:tr>
        <w:trPr>
          <w:trHeight w:val="153"/>
        </w:trPr>
        <w:tc>
          <w:tcPr>
            <w:tcW w:w="1460" w:type="dxa"/>
            <w:vAlign w:val="bottom"/>
          </w:tcPr>
          <w:p>
            <w:pPr>
              <w:spacing w:after="0"/>
              <w:rPr>
                <w:sz w:val="13"/>
                <w:szCs w:val="13"/>
                <w:color w:val="auto"/>
              </w:rPr>
            </w:pPr>
          </w:p>
        </w:tc>
        <w:tc>
          <w:tcPr>
            <w:tcW w:w="2740" w:type="dxa"/>
            <w:vAlign w:val="bottom"/>
          </w:tcPr>
          <w:p>
            <w:pPr>
              <w:ind w:left="100"/>
              <w:spacing w:after="0"/>
              <w:rPr>
                <w:sz w:val="20"/>
                <w:szCs w:val="20"/>
                <w:color w:val="auto"/>
              </w:rPr>
            </w:pPr>
            <w:r>
              <w:rPr>
                <w:rFonts w:ascii="Arial" w:cs="Arial" w:eastAsia="Arial" w:hAnsi="Arial"/>
                <w:sz w:val="12"/>
                <w:szCs w:val="12"/>
                <w:color w:val="auto"/>
              </w:rPr>
              <w:t>such date, as follows:</w:t>
            </w: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153"/>
        </w:trPr>
        <w:tc>
          <w:tcPr>
            <w:tcW w:w="146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1520" w:type="dxa"/>
            <w:vAlign w:val="bottom"/>
            <w:gridSpan w:val="3"/>
          </w:tcPr>
          <w:p>
            <w:pPr>
              <w:ind w:left="700"/>
              <w:spacing w:after="0"/>
              <w:rPr>
                <w:sz w:val="20"/>
                <w:szCs w:val="20"/>
                <w:color w:val="auto"/>
              </w:rPr>
            </w:pPr>
            <w:r>
              <w:rPr>
                <w:rFonts w:ascii="Arial" w:cs="Arial" w:eastAsia="Arial" w:hAnsi="Arial"/>
                <w:sz w:val="12"/>
                <w:szCs w:val="12"/>
                <w:b w:val="1"/>
                <w:bCs w:val="1"/>
                <w:color w:val="auto"/>
              </w:rPr>
              <w:t>Vested Ratio</w:t>
            </w:r>
          </w:p>
        </w:tc>
      </w:tr>
      <w:tr>
        <w:trPr>
          <w:trHeight w:val="187"/>
        </w:trPr>
        <w:tc>
          <w:tcPr>
            <w:tcW w:w="1460" w:type="dxa"/>
            <w:vAlign w:val="bottom"/>
          </w:tcPr>
          <w:p>
            <w:pPr>
              <w:spacing w:after="0"/>
              <w:rPr>
                <w:sz w:val="16"/>
                <w:szCs w:val="16"/>
                <w:color w:val="auto"/>
              </w:rPr>
            </w:pPr>
          </w:p>
        </w:tc>
        <w:tc>
          <w:tcPr>
            <w:tcW w:w="2740" w:type="dxa"/>
            <w:vAlign w:val="bottom"/>
          </w:tcPr>
          <w:p>
            <w:pPr>
              <w:ind w:left="100"/>
              <w:spacing w:after="0"/>
              <w:rPr>
                <w:sz w:val="20"/>
                <w:szCs w:val="20"/>
                <w:color w:val="auto"/>
              </w:rPr>
            </w:pPr>
            <w:r>
              <w:rPr>
                <w:rFonts w:ascii="Arial" w:cs="Arial" w:eastAsia="Arial" w:hAnsi="Arial"/>
                <w:sz w:val="12"/>
                <w:szCs w:val="12"/>
                <w:color w:val="auto"/>
              </w:rPr>
              <w:t>Prior to first anniversary of Vesting Start Date</w:t>
            </w:r>
          </w:p>
        </w:tc>
        <w:tc>
          <w:tcPr>
            <w:tcW w:w="700" w:type="dxa"/>
            <w:vAlign w:val="bottom"/>
          </w:tcPr>
          <w:p>
            <w:pPr>
              <w:spacing w:after="0"/>
              <w:rPr>
                <w:sz w:val="16"/>
                <w:szCs w:val="16"/>
                <w:color w:val="auto"/>
              </w:rPr>
            </w:pPr>
          </w:p>
        </w:tc>
        <w:tc>
          <w:tcPr>
            <w:tcW w:w="640" w:type="dxa"/>
            <w:vAlign w:val="bottom"/>
            <w:tcBorders>
              <w:top w:val="single" w:sz="8" w:color="auto"/>
            </w:tcBorders>
          </w:tcPr>
          <w:p>
            <w:pPr>
              <w:jc w:val="center"/>
              <w:spacing w:after="0"/>
              <w:rPr>
                <w:sz w:val="20"/>
                <w:szCs w:val="20"/>
                <w:color w:val="auto"/>
              </w:rPr>
            </w:pPr>
            <w:r>
              <w:rPr>
                <w:rFonts w:ascii="Arial" w:cs="Arial" w:eastAsia="Arial" w:hAnsi="Arial"/>
                <w:sz w:val="12"/>
                <w:szCs w:val="12"/>
                <w:color w:val="auto"/>
                <w:w w:val="91"/>
              </w:rPr>
              <w:t>0%</w:t>
            </w:r>
          </w:p>
        </w:tc>
        <w:tc>
          <w:tcPr>
            <w:tcW w:w="180" w:type="dxa"/>
            <w:vAlign w:val="bottom"/>
          </w:tcPr>
          <w:p>
            <w:pPr>
              <w:spacing w:after="0"/>
              <w:rPr>
                <w:sz w:val="16"/>
                <w:szCs w:val="16"/>
                <w:color w:val="auto"/>
              </w:rPr>
            </w:pPr>
          </w:p>
        </w:tc>
      </w:tr>
      <w:tr>
        <w:trPr>
          <w:trHeight w:val="207"/>
        </w:trPr>
        <w:tc>
          <w:tcPr>
            <w:tcW w:w="1460" w:type="dxa"/>
            <w:vAlign w:val="bottom"/>
          </w:tcPr>
          <w:p>
            <w:pPr>
              <w:spacing w:after="0"/>
              <w:rPr>
                <w:sz w:val="18"/>
                <w:szCs w:val="18"/>
                <w:color w:val="auto"/>
              </w:rPr>
            </w:pPr>
          </w:p>
        </w:tc>
        <w:tc>
          <w:tcPr>
            <w:tcW w:w="4260" w:type="dxa"/>
            <w:vAlign w:val="bottom"/>
            <w:gridSpan w:val="4"/>
          </w:tcPr>
          <w:p>
            <w:pPr>
              <w:ind w:left="100"/>
              <w:spacing w:after="0"/>
              <w:rPr>
                <w:sz w:val="20"/>
                <w:szCs w:val="20"/>
                <w:color w:val="auto"/>
              </w:rPr>
            </w:pPr>
            <w:r>
              <w:rPr>
                <w:rFonts w:ascii="Arial" w:cs="Arial" w:eastAsia="Arial" w:hAnsi="Arial"/>
                <w:sz w:val="12"/>
                <w:szCs w:val="12"/>
                <w:color w:val="auto"/>
              </w:rPr>
              <w:t xml:space="preserve">On first anniversary of Vesting Start Date (the </w:t>
            </w:r>
            <w:r>
              <w:rPr>
                <w:rFonts w:ascii="Arial" w:cs="Arial" w:eastAsia="Arial" w:hAnsi="Arial"/>
                <w:sz w:val="12"/>
                <w:szCs w:val="12"/>
                <w:i w:val="1"/>
                <w:iCs w:val="1"/>
                <w:color w:val="auto"/>
              </w:rPr>
              <w:t>“</w:t>
            </w:r>
            <w:r>
              <w:rPr>
                <w:rFonts w:ascii="Arial" w:cs="Arial" w:eastAsia="Arial" w:hAnsi="Arial"/>
                <w:sz w:val="12"/>
                <w:szCs w:val="12"/>
                <w:b w:val="1"/>
                <w:bCs w:val="1"/>
                <w:i w:val="1"/>
                <w:iCs w:val="1"/>
                <w:color w:val="auto"/>
              </w:rPr>
              <w:t>Initial Vesting</w:t>
            </w:r>
          </w:p>
        </w:tc>
      </w:tr>
      <w:tr>
        <w:trPr>
          <w:trHeight w:val="153"/>
        </w:trPr>
        <w:tc>
          <w:tcPr>
            <w:tcW w:w="1460" w:type="dxa"/>
            <w:vAlign w:val="bottom"/>
          </w:tcPr>
          <w:p>
            <w:pPr>
              <w:spacing w:after="0"/>
              <w:rPr>
                <w:sz w:val="13"/>
                <w:szCs w:val="13"/>
                <w:color w:val="auto"/>
              </w:rPr>
            </w:pPr>
          </w:p>
        </w:tc>
        <w:tc>
          <w:tcPr>
            <w:tcW w:w="2740" w:type="dxa"/>
            <w:vAlign w:val="bottom"/>
          </w:tcPr>
          <w:p>
            <w:pPr>
              <w:ind w:left="100"/>
              <w:spacing w:after="0"/>
              <w:rPr>
                <w:sz w:val="20"/>
                <w:szCs w:val="20"/>
                <w:color w:val="auto"/>
              </w:rPr>
            </w:pPr>
            <w:r>
              <w:rPr>
                <w:rFonts w:ascii="Arial" w:cs="Arial" w:eastAsia="Arial" w:hAnsi="Arial"/>
                <w:sz w:val="12"/>
                <w:szCs w:val="12"/>
                <w:b w:val="1"/>
                <w:bCs w:val="1"/>
                <w:i w:val="1"/>
                <w:iCs w:val="1"/>
                <w:color w:val="auto"/>
              </w:rPr>
              <w:t>Date</w:t>
            </w:r>
            <w:r>
              <w:rPr>
                <w:rFonts w:ascii="Arial" w:cs="Arial" w:eastAsia="Arial" w:hAnsi="Arial"/>
                <w:sz w:val="12"/>
                <w:szCs w:val="12"/>
                <w:i w:val="1"/>
                <w:iCs w:val="1"/>
                <w:color w:val="auto"/>
              </w:rPr>
              <w:t>”</w:t>
            </w:r>
            <w:r>
              <w:rPr>
                <w:rFonts w:ascii="Arial" w:cs="Arial" w:eastAsia="Arial" w:hAnsi="Arial"/>
                <w:sz w:val="12"/>
                <w:szCs w:val="12"/>
                <w:color w:val="auto"/>
              </w:rPr>
              <w:t>)</w:t>
            </w:r>
          </w:p>
        </w:tc>
        <w:tc>
          <w:tcPr>
            <w:tcW w:w="1340" w:type="dxa"/>
            <w:vAlign w:val="bottom"/>
            <w:gridSpan w:val="2"/>
          </w:tcPr>
          <w:p>
            <w:pPr>
              <w:jc w:val="center"/>
              <w:ind w:left="620"/>
              <w:spacing w:after="0"/>
              <w:rPr>
                <w:sz w:val="20"/>
                <w:szCs w:val="20"/>
                <w:color w:val="auto"/>
              </w:rPr>
            </w:pPr>
            <w:r>
              <w:rPr>
                <w:rFonts w:ascii="Arial" w:cs="Arial" w:eastAsia="Arial" w:hAnsi="Arial"/>
                <w:sz w:val="12"/>
                <w:szCs w:val="12"/>
                <w:color w:val="auto"/>
                <w:w w:val="91"/>
              </w:rPr>
              <w:t>25%</w:t>
            </w:r>
          </w:p>
        </w:tc>
        <w:tc>
          <w:tcPr>
            <w:tcW w:w="180" w:type="dxa"/>
            <w:vAlign w:val="bottom"/>
          </w:tcPr>
          <w:p>
            <w:pPr>
              <w:spacing w:after="0"/>
              <w:rPr>
                <w:sz w:val="13"/>
                <w:szCs w:val="13"/>
                <w:color w:val="auto"/>
              </w:rPr>
            </w:pPr>
          </w:p>
        </w:tc>
      </w:tr>
      <w:tr>
        <w:trPr>
          <w:trHeight w:val="180"/>
        </w:trPr>
        <w:tc>
          <w:tcPr>
            <w:tcW w:w="1460" w:type="dxa"/>
            <w:vAlign w:val="bottom"/>
          </w:tcPr>
          <w:p>
            <w:pPr>
              <w:spacing w:after="0"/>
              <w:rPr>
                <w:sz w:val="15"/>
                <w:szCs w:val="15"/>
                <w:color w:val="auto"/>
              </w:rPr>
            </w:pPr>
          </w:p>
        </w:tc>
        <w:tc>
          <w:tcPr>
            <w:tcW w:w="2740" w:type="dxa"/>
            <w:vAlign w:val="bottom"/>
          </w:tcPr>
          <w:p>
            <w:pPr>
              <w:ind w:left="100"/>
              <w:spacing w:after="0"/>
              <w:rPr>
                <w:sz w:val="20"/>
                <w:szCs w:val="20"/>
                <w:color w:val="auto"/>
              </w:rPr>
            </w:pPr>
            <w:r>
              <w:rPr>
                <w:rFonts w:ascii="Arial" w:cs="Arial" w:eastAsia="Arial" w:hAnsi="Arial"/>
                <w:sz w:val="12"/>
                <w:szCs w:val="12"/>
                <w:color w:val="auto"/>
              </w:rPr>
              <w:t>On 2nd anniversary of Vesting Start Date</w:t>
            </w:r>
          </w:p>
        </w:tc>
        <w:tc>
          <w:tcPr>
            <w:tcW w:w="1340" w:type="dxa"/>
            <w:vAlign w:val="bottom"/>
            <w:gridSpan w:val="2"/>
          </w:tcPr>
          <w:p>
            <w:pPr>
              <w:jc w:val="center"/>
              <w:ind w:left="620"/>
              <w:spacing w:after="0"/>
              <w:rPr>
                <w:sz w:val="20"/>
                <w:szCs w:val="20"/>
                <w:color w:val="auto"/>
              </w:rPr>
            </w:pPr>
            <w:r>
              <w:rPr>
                <w:rFonts w:ascii="Arial" w:cs="Arial" w:eastAsia="Arial" w:hAnsi="Arial"/>
                <w:sz w:val="12"/>
                <w:szCs w:val="12"/>
                <w:color w:val="auto"/>
                <w:w w:val="91"/>
              </w:rPr>
              <w:t>25%</w:t>
            </w:r>
          </w:p>
        </w:tc>
        <w:tc>
          <w:tcPr>
            <w:tcW w:w="180" w:type="dxa"/>
            <w:vAlign w:val="bottom"/>
          </w:tcPr>
          <w:p>
            <w:pPr>
              <w:spacing w:after="0"/>
              <w:rPr>
                <w:sz w:val="15"/>
                <w:szCs w:val="15"/>
                <w:color w:val="auto"/>
              </w:rPr>
            </w:pPr>
          </w:p>
        </w:tc>
      </w:tr>
      <w:tr>
        <w:trPr>
          <w:trHeight w:val="180"/>
        </w:trPr>
        <w:tc>
          <w:tcPr>
            <w:tcW w:w="1460" w:type="dxa"/>
            <w:vAlign w:val="bottom"/>
          </w:tcPr>
          <w:p>
            <w:pPr>
              <w:spacing w:after="0"/>
              <w:rPr>
                <w:sz w:val="15"/>
                <w:szCs w:val="15"/>
                <w:color w:val="auto"/>
              </w:rPr>
            </w:pPr>
          </w:p>
        </w:tc>
        <w:tc>
          <w:tcPr>
            <w:tcW w:w="2740" w:type="dxa"/>
            <w:vAlign w:val="bottom"/>
          </w:tcPr>
          <w:p>
            <w:pPr>
              <w:ind w:left="100"/>
              <w:spacing w:after="0"/>
              <w:rPr>
                <w:sz w:val="20"/>
                <w:szCs w:val="20"/>
                <w:color w:val="auto"/>
              </w:rPr>
            </w:pPr>
            <w:r>
              <w:rPr>
                <w:rFonts w:ascii="Arial" w:cs="Arial" w:eastAsia="Arial" w:hAnsi="Arial"/>
                <w:sz w:val="12"/>
                <w:szCs w:val="12"/>
                <w:color w:val="auto"/>
              </w:rPr>
              <w:t>On 3rd anniversary of Vesting Start Date</w:t>
            </w:r>
          </w:p>
        </w:tc>
        <w:tc>
          <w:tcPr>
            <w:tcW w:w="1340" w:type="dxa"/>
            <w:vAlign w:val="bottom"/>
            <w:gridSpan w:val="2"/>
          </w:tcPr>
          <w:p>
            <w:pPr>
              <w:jc w:val="center"/>
              <w:ind w:left="620"/>
              <w:spacing w:after="0"/>
              <w:rPr>
                <w:sz w:val="20"/>
                <w:szCs w:val="20"/>
                <w:color w:val="auto"/>
              </w:rPr>
            </w:pPr>
            <w:r>
              <w:rPr>
                <w:rFonts w:ascii="Arial" w:cs="Arial" w:eastAsia="Arial" w:hAnsi="Arial"/>
                <w:sz w:val="12"/>
                <w:szCs w:val="12"/>
                <w:color w:val="auto"/>
                <w:w w:val="91"/>
              </w:rPr>
              <w:t>25%</w:t>
            </w:r>
          </w:p>
        </w:tc>
        <w:tc>
          <w:tcPr>
            <w:tcW w:w="180" w:type="dxa"/>
            <w:vAlign w:val="bottom"/>
          </w:tcPr>
          <w:p>
            <w:pPr>
              <w:spacing w:after="0"/>
              <w:rPr>
                <w:sz w:val="15"/>
                <w:szCs w:val="15"/>
                <w:color w:val="auto"/>
              </w:rPr>
            </w:pPr>
          </w:p>
        </w:tc>
      </w:tr>
      <w:tr>
        <w:trPr>
          <w:trHeight w:val="216"/>
        </w:trPr>
        <w:tc>
          <w:tcPr>
            <w:tcW w:w="1460" w:type="dxa"/>
            <w:vAlign w:val="bottom"/>
          </w:tcPr>
          <w:p>
            <w:pPr>
              <w:spacing w:after="0"/>
              <w:rPr>
                <w:sz w:val="18"/>
                <w:szCs w:val="18"/>
                <w:color w:val="auto"/>
              </w:rPr>
            </w:pPr>
          </w:p>
        </w:tc>
        <w:tc>
          <w:tcPr>
            <w:tcW w:w="2740" w:type="dxa"/>
            <w:vAlign w:val="bottom"/>
          </w:tcPr>
          <w:p>
            <w:pPr>
              <w:ind w:left="100"/>
              <w:spacing w:after="0"/>
              <w:rPr>
                <w:sz w:val="20"/>
                <w:szCs w:val="20"/>
                <w:color w:val="auto"/>
              </w:rPr>
            </w:pPr>
            <w:r>
              <w:rPr>
                <w:rFonts w:ascii="Arial" w:cs="Arial" w:eastAsia="Arial" w:hAnsi="Arial"/>
                <w:sz w:val="12"/>
                <w:szCs w:val="12"/>
                <w:color w:val="auto"/>
              </w:rPr>
              <w:t>On 4th anniversary of Vesting Start Date</w:t>
            </w:r>
          </w:p>
        </w:tc>
        <w:tc>
          <w:tcPr>
            <w:tcW w:w="1340" w:type="dxa"/>
            <w:vAlign w:val="bottom"/>
            <w:gridSpan w:val="2"/>
          </w:tcPr>
          <w:p>
            <w:pPr>
              <w:jc w:val="center"/>
              <w:ind w:left="620"/>
              <w:spacing w:after="0"/>
              <w:rPr>
                <w:sz w:val="20"/>
                <w:szCs w:val="20"/>
                <w:color w:val="auto"/>
              </w:rPr>
            </w:pPr>
            <w:r>
              <w:rPr>
                <w:rFonts w:ascii="Arial" w:cs="Arial" w:eastAsia="Arial" w:hAnsi="Arial"/>
                <w:sz w:val="12"/>
                <w:szCs w:val="12"/>
                <w:color w:val="auto"/>
                <w:w w:val="91"/>
              </w:rPr>
              <w:t>25%</w:t>
            </w:r>
          </w:p>
        </w:tc>
        <w:tc>
          <w:tcPr>
            <w:tcW w:w="180" w:type="dxa"/>
            <w:vAlign w:val="bottom"/>
          </w:tcPr>
          <w:p>
            <w:pPr>
              <w:spacing w:after="0"/>
              <w:rPr>
                <w:sz w:val="18"/>
                <w:szCs w:val="18"/>
                <w:color w:val="auto"/>
              </w:rPr>
            </w:pPr>
          </w:p>
        </w:tc>
      </w:tr>
      <w:tr>
        <w:trPr>
          <w:trHeight w:val="216"/>
        </w:trPr>
        <w:tc>
          <w:tcPr>
            <w:tcW w:w="1460" w:type="dxa"/>
            <w:vAlign w:val="bottom"/>
          </w:tcPr>
          <w:p>
            <w:pPr>
              <w:spacing w:after="0"/>
              <w:rPr>
                <w:sz w:val="20"/>
                <w:szCs w:val="20"/>
                <w:color w:val="auto"/>
              </w:rPr>
            </w:pPr>
            <w:r>
              <w:rPr>
                <w:rFonts w:ascii="Arial" w:cs="Arial" w:eastAsia="Arial" w:hAnsi="Arial"/>
                <w:sz w:val="12"/>
                <w:szCs w:val="12"/>
                <w:b w:val="1"/>
                <w:bCs w:val="1"/>
                <w:color w:val="auto"/>
              </w:rPr>
              <w:t>Superseding Agreement:</w:t>
            </w:r>
          </w:p>
        </w:tc>
        <w:tc>
          <w:tcPr>
            <w:tcW w:w="2740" w:type="dxa"/>
            <w:vAlign w:val="bottom"/>
          </w:tcPr>
          <w:p>
            <w:pPr>
              <w:ind w:left="100"/>
              <w:spacing w:after="0"/>
              <w:rPr>
                <w:sz w:val="20"/>
                <w:szCs w:val="20"/>
                <w:color w:val="auto"/>
              </w:rPr>
            </w:pPr>
            <w:r>
              <w:rPr>
                <w:rFonts w:ascii="Arial" w:cs="Arial" w:eastAsia="Arial" w:hAnsi="Arial"/>
                <w:sz w:val="12"/>
                <w:szCs w:val="12"/>
                <w:color w:val="auto"/>
              </w:rPr>
              <w:t>[None]</w:t>
            </w: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r>
    </w:tbl>
    <w:p>
      <w:pPr>
        <w:spacing w:after="0" w:line="351" w:lineRule="exact"/>
        <w:rPr>
          <w:sz w:val="20"/>
          <w:szCs w:val="20"/>
          <w:color w:val="auto"/>
        </w:rPr>
      </w:pPr>
    </w:p>
    <w:p>
      <w:pPr>
        <w:jc w:val="both"/>
        <w:ind w:right="20"/>
        <w:spacing w:after="0" w:line="259" w:lineRule="auto"/>
        <w:rPr>
          <w:sz w:val="20"/>
          <w:szCs w:val="20"/>
          <w:color w:val="auto"/>
        </w:rPr>
      </w:pPr>
      <w:r>
        <w:rPr>
          <w:rFonts w:ascii="Arial" w:cs="Arial" w:eastAsia="Arial" w:hAnsi="Arial"/>
          <w:sz w:val="12"/>
          <w:szCs w:val="12"/>
          <w:color w:val="auto"/>
        </w:rPr>
        <w:t>By their signatures below or by electronic acceptance or authentication in a form authorized by the Company, the Company and the Participant agree that the Option is governed by this Grant Notice and by the provisions of the Option Agreement and the Plan, both of which are made a part of this document, and by the Superseding Agreement, if any. The Participant acknowledges that copies of the Plan, the Option Agreement and the prospectus for the Plan are available on the Company’s internal web site and may be viewed and printed by the Participant for attachment to the Participant’s copy of this Grant Notice. The Participant represents that the Participant has read and is familiar with the provisions of the Option Agreement and the Plan, and hereby accepts the Option subject to all of their terms and conditions.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2460" w:type="dxa"/>
            <w:vAlign w:val="bottom"/>
          </w:tcPr>
          <w:p>
            <w:pPr>
              <w:spacing w:after="0"/>
              <w:rPr>
                <w:sz w:val="20"/>
                <w:szCs w:val="20"/>
                <w:color w:val="auto"/>
              </w:rPr>
            </w:pPr>
            <w:r>
              <w:rPr>
                <w:rFonts w:ascii="Arial" w:cs="Arial" w:eastAsia="Arial" w:hAnsi="Arial"/>
                <w:sz w:val="12"/>
                <w:szCs w:val="12"/>
                <w:b w:val="1"/>
                <w:bCs w:val="1"/>
                <w:color w:val="auto"/>
              </w:rPr>
              <w:t>VERRA MOBILITY CORPORATION</w:t>
            </w:r>
          </w:p>
        </w:tc>
        <w:tc>
          <w:tcPr>
            <w:tcW w:w="9040" w:type="dxa"/>
            <w:vAlign w:val="bottom"/>
          </w:tcPr>
          <w:p>
            <w:pPr>
              <w:ind w:left="460"/>
              <w:spacing w:after="0"/>
              <w:rPr>
                <w:sz w:val="20"/>
                <w:szCs w:val="20"/>
                <w:color w:val="auto"/>
              </w:rPr>
            </w:pPr>
            <w:r>
              <w:rPr>
                <w:rFonts w:ascii="Arial" w:cs="Arial" w:eastAsia="Arial" w:hAnsi="Arial"/>
                <w:sz w:val="12"/>
                <w:szCs w:val="12"/>
                <w:b w:val="1"/>
                <w:bCs w:val="1"/>
                <w:color w:val="auto"/>
              </w:rPr>
              <w:t>PARTICIPANT</w:t>
            </w:r>
          </w:p>
        </w:tc>
        <w:tc>
          <w:tcPr>
            <w:tcW w:w="0" w:type="dxa"/>
            <w:vAlign w:val="bottom"/>
          </w:tcPr>
          <w:p>
            <w:pPr>
              <w:spacing w:after="0"/>
              <w:rPr>
                <w:sz w:val="1"/>
                <w:szCs w:val="1"/>
                <w:color w:val="auto"/>
              </w:rPr>
            </w:pPr>
          </w:p>
        </w:tc>
      </w:tr>
      <w:tr>
        <w:trPr>
          <w:trHeight w:val="279"/>
        </w:trPr>
        <w:tc>
          <w:tcPr>
            <w:tcW w:w="2460" w:type="dxa"/>
            <w:vAlign w:val="bottom"/>
          </w:tcPr>
          <w:p>
            <w:pPr>
              <w:spacing w:after="0"/>
              <w:rPr>
                <w:sz w:val="20"/>
                <w:szCs w:val="20"/>
                <w:color w:val="auto"/>
              </w:rPr>
            </w:pPr>
            <w:r>
              <w:rPr>
                <w:rFonts w:ascii="Arial" w:cs="Arial" w:eastAsia="Arial" w:hAnsi="Arial"/>
                <w:sz w:val="12"/>
                <w:szCs w:val="12"/>
                <w:color w:val="auto"/>
              </w:rPr>
              <w:t>By:</w:t>
            </w:r>
          </w:p>
        </w:tc>
        <w:tc>
          <w:tcPr>
            <w:tcW w:w="9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2460" w:type="dxa"/>
            <w:vAlign w:val="bottom"/>
          </w:tcPr>
          <w:p>
            <w:pPr>
              <w:ind w:left="420"/>
              <w:spacing w:after="0"/>
              <w:rPr>
                <w:sz w:val="20"/>
                <w:szCs w:val="20"/>
                <w:color w:val="auto"/>
              </w:rPr>
            </w:pPr>
            <w:r>
              <w:rPr>
                <w:rFonts w:ascii="Arial" w:cs="Arial" w:eastAsia="Arial" w:hAnsi="Arial"/>
                <w:sz w:val="12"/>
                <w:szCs w:val="12"/>
                <w:color w:val="auto"/>
              </w:rPr>
              <w:t>[officer name]</w:t>
            </w:r>
          </w:p>
        </w:tc>
        <w:tc>
          <w:tcPr>
            <w:tcW w:w="9040" w:type="dxa"/>
            <w:vAlign w:val="bottom"/>
          </w:tcPr>
          <w:p>
            <w:pPr>
              <w:ind w:left="460"/>
              <w:spacing w:after="0"/>
              <w:rPr>
                <w:sz w:val="20"/>
                <w:szCs w:val="20"/>
                <w:color w:val="auto"/>
              </w:rPr>
            </w:pPr>
            <w:r>
              <w:rPr>
                <w:rFonts w:ascii="Arial" w:cs="Arial" w:eastAsia="Arial" w:hAnsi="Arial"/>
                <w:sz w:val="12"/>
                <w:szCs w:val="12"/>
                <w:color w:val="auto"/>
              </w:rPr>
              <w:t>Signature</w:t>
            </w:r>
          </w:p>
        </w:tc>
        <w:tc>
          <w:tcPr>
            <w:tcW w:w="0" w:type="dxa"/>
            <w:vAlign w:val="bottom"/>
          </w:tcPr>
          <w:p>
            <w:pPr>
              <w:spacing w:after="0"/>
              <w:rPr>
                <w:sz w:val="1"/>
                <w:szCs w:val="1"/>
                <w:color w:val="auto"/>
              </w:rPr>
            </w:pPr>
          </w:p>
        </w:tc>
      </w:tr>
      <w:tr>
        <w:trPr>
          <w:trHeight w:val="153"/>
        </w:trPr>
        <w:tc>
          <w:tcPr>
            <w:tcW w:w="2460" w:type="dxa"/>
            <w:vAlign w:val="bottom"/>
          </w:tcPr>
          <w:p>
            <w:pPr>
              <w:ind w:left="420"/>
              <w:spacing w:after="0"/>
              <w:rPr>
                <w:sz w:val="20"/>
                <w:szCs w:val="20"/>
                <w:color w:val="auto"/>
              </w:rPr>
            </w:pPr>
            <w:r>
              <w:rPr>
                <w:rFonts w:ascii="Arial" w:cs="Arial" w:eastAsia="Arial" w:hAnsi="Arial"/>
                <w:sz w:val="12"/>
                <w:szCs w:val="12"/>
                <w:color w:val="auto"/>
              </w:rPr>
              <w:t>[officer title]</w:t>
            </w:r>
          </w:p>
        </w:tc>
        <w:tc>
          <w:tcPr>
            <w:tcW w:w="9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460" w:type="dxa"/>
            <w:vAlign w:val="bottom"/>
            <w:vMerge w:val="restart"/>
          </w:tcPr>
          <w:p>
            <w:pPr>
              <w:spacing w:after="0"/>
              <w:rPr>
                <w:sz w:val="20"/>
                <w:szCs w:val="20"/>
                <w:color w:val="auto"/>
              </w:rPr>
            </w:pPr>
            <w:r>
              <w:rPr>
                <w:rFonts w:ascii="Arial" w:cs="Arial" w:eastAsia="Arial" w:hAnsi="Arial"/>
                <w:sz w:val="12"/>
                <w:szCs w:val="12"/>
                <w:color w:val="auto"/>
              </w:rPr>
              <w:t>Address:</w:t>
            </w:r>
          </w:p>
        </w:tc>
        <w:tc>
          <w:tcPr>
            <w:tcW w:w="9040" w:type="dxa"/>
            <w:vAlign w:val="bottom"/>
          </w:tcPr>
          <w:p>
            <w:pPr>
              <w:ind w:left="460"/>
              <w:spacing w:after="0"/>
              <w:rPr>
                <w:sz w:val="20"/>
                <w:szCs w:val="20"/>
                <w:color w:val="auto"/>
              </w:rPr>
            </w:pPr>
            <w:r>
              <w:rPr>
                <w:rFonts w:ascii="Arial" w:cs="Arial" w:eastAsia="Arial" w:hAnsi="Arial"/>
                <w:sz w:val="12"/>
                <w:szCs w:val="12"/>
                <w:color w:val="auto"/>
              </w:rPr>
              <w:t>Date</w:t>
            </w:r>
          </w:p>
        </w:tc>
        <w:tc>
          <w:tcPr>
            <w:tcW w:w="0" w:type="dxa"/>
            <w:vAlign w:val="bottom"/>
          </w:tcPr>
          <w:p>
            <w:pPr>
              <w:spacing w:after="0"/>
              <w:rPr>
                <w:sz w:val="1"/>
                <w:szCs w:val="1"/>
                <w:color w:val="auto"/>
              </w:rPr>
            </w:pPr>
          </w:p>
        </w:tc>
      </w:tr>
      <w:tr>
        <w:trPr>
          <w:trHeight w:val="144"/>
        </w:trPr>
        <w:tc>
          <w:tcPr>
            <w:tcW w:w="2460" w:type="dxa"/>
            <w:vAlign w:val="bottom"/>
            <w:vMerge w:val="continue"/>
          </w:tcPr>
          <w:p>
            <w:pPr>
              <w:spacing w:after="0"/>
              <w:rPr>
                <w:sz w:val="12"/>
                <w:szCs w:val="12"/>
                <w:color w:val="auto"/>
              </w:rPr>
            </w:pPr>
          </w:p>
        </w:tc>
        <w:tc>
          <w:tcPr>
            <w:tcW w:w="9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04"/>
        </w:trPr>
        <w:tc>
          <w:tcPr>
            <w:tcW w:w="2460" w:type="dxa"/>
            <w:vAlign w:val="bottom"/>
            <w:tcBorders>
              <w:bottom w:val="single" w:sz="8" w:color="9A9A9A"/>
            </w:tcBorders>
          </w:tcPr>
          <w:p>
            <w:pPr>
              <w:spacing w:after="0"/>
              <w:rPr>
                <w:sz w:val="24"/>
                <w:szCs w:val="24"/>
                <w:color w:val="auto"/>
              </w:rPr>
            </w:pPr>
          </w:p>
        </w:tc>
        <w:tc>
          <w:tcPr>
            <w:tcW w:w="90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7280275</wp:posOffset>
            </wp:positionH>
            <wp:positionV relativeFrom="paragraph">
              <wp:posOffset>-23495</wp:posOffset>
            </wp:positionV>
            <wp:extent cx="31115" cy="3683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11">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12">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500"/>
          </w:cols>
          <w:pgMar w:left="220" w:top="128" w:right="179" w:bottom="1440" w:gutter="0" w:footer="0" w:header="0"/>
        </w:sectPr>
      </w:pPr>
    </w:p>
    <w:bookmarkStart w:id="133" w:name="page134"/>
    <w:bookmarkEnd w:id="133"/>
    <w:p>
      <w:pPr>
        <w:ind w:left="2920"/>
        <w:spacing w:after="0"/>
        <w:rPr>
          <w:sz w:val="20"/>
          <w:szCs w:val="20"/>
          <w:color w:val="auto"/>
        </w:rPr>
      </w:pPr>
      <w:r>
        <w:rPr>
          <w:rFonts w:ascii="Arial" w:cs="Arial" w:eastAsia="Arial" w:hAnsi="Arial"/>
          <w:sz w:val="12"/>
          <w:szCs w:val="12"/>
          <w:color w:val="auto"/>
        </w:rPr>
        <w:t>Address</w:t>
      </w:r>
    </w:p>
    <w:p>
      <w:pPr>
        <w:spacing w:after="0" w:line="150" w:lineRule="exact"/>
        <w:rPr>
          <w:sz w:val="20"/>
          <w:szCs w:val="20"/>
          <w:color w:val="auto"/>
        </w:rPr>
      </w:pPr>
    </w:p>
    <w:p>
      <w:pPr>
        <w:spacing w:after="0"/>
        <w:tabs>
          <w:tab w:leader="none" w:pos="2260" w:val="left"/>
        </w:tabs>
        <w:rPr>
          <w:sz w:val="20"/>
          <w:szCs w:val="20"/>
          <w:color w:val="auto"/>
        </w:rPr>
      </w:pPr>
      <w:r>
        <w:rPr>
          <w:rFonts w:ascii="Arial" w:cs="Arial" w:eastAsia="Arial" w:hAnsi="Arial"/>
          <w:sz w:val="12"/>
          <w:szCs w:val="12"/>
          <w:color w:val="auto"/>
        </w:rPr>
        <w:t>ATTACHMENTS:</w:t>
      </w:r>
      <w:r>
        <w:rPr>
          <w:sz w:val="20"/>
          <w:szCs w:val="20"/>
          <w:color w:val="auto"/>
        </w:rPr>
        <w:tab/>
      </w:r>
      <w:r>
        <w:rPr>
          <w:rFonts w:ascii="Arial" w:cs="Arial" w:eastAsia="Arial" w:hAnsi="Arial"/>
          <w:sz w:val="12"/>
          <w:szCs w:val="12"/>
          <w:color w:val="auto"/>
        </w:rPr>
        <w:t>2018 Equity Incentive Plan, as amended to the Date of Grant; Stock Option Agreement, Exercise Notice and Plan Prospectus</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VERRA MOBILITY CORPORATION</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STOCK OPTION AGREEMENT</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(For U.S. Participants)</w:t>
      </w:r>
    </w:p>
    <w:p>
      <w:pPr>
        <w:spacing w:after="0" w:line="133" w:lineRule="exact"/>
        <w:rPr>
          <w:sz w:val="20"/>
          <w:szCs w:val="20"/>
          <w:color w:val="auto"/>
        </w:rPr>
      </w:pPr>
    </w:p>
    <w:p>
      <w:pPr>
        <w:jc w:val="both"/>
        <w:ind w:firstLine="766"/>
        <w:spacing w:after="0" w:line="246" w:lineRule="auto"/>
        <w:rPr>
          <w:sz w:val="20"/>
          <w:szCs w:val="20"/>
          <w:color w:val="auto"/>
        </w:rPr>
      </w:pPr>
      <w:r>
        <w:rPr>
          <w:rFonts w:ascii="Arial" w:cs="Arial" w:eastAsia="Arial" w:hAnsi="Arial"/>
          <w:sz w:val="14"/>
          <w:szCs w:val="14"/>
          <w:color w:val="auto"/>
        </w:rPr>
        <w:t xml:space="preserve">Verra Mobility Corporation, a Delaware corporation (the </w:t>
      </w:r>
      <w:r>
        <w:rPr>
          <w:rFonts w:ascii="Arial" w:cs="Arial" w:eastAsia="Arial" w:hAnsi="Arial"/>
          <w:sz w:val="14"/>
          <w:szCs w:val="14"/>
          <w:i w:val="1"/>
          <w:iCs w:val="1"/>
          <w:color w:val="auto"/>
        </w:rPr>
        <w:t>“</w:t>
      </w:r>
      <w:r>
        <w:rPr>
          <w:rFonts w:ascii="Arial" w:cs="Arial" w:eastAsia="Arial" w:hAnsi="Arial"/>
          <w:sz w:val="14"/>
          <w:szCs w:val="14"/>
          <w:b w:val="1"/>
          <w:bCs w:val="1"/>
          <w:i w:val="1"/>
          <w:iCs w:val="1"/>
          <w:color w:val="auto"/>
        </w:rPr>
        <w:t>Company</w:t>
      </w:r>
      <w:r>
        <w:rPr>
          <w:rFonts w:ascii="Arial" w:cs="Arial" w:eastAsia="Arial" w:hAnsi="Arial"/>
          <w:sz w:val="14"/>
          <w:szCs w:val="14"/>
          <w:i w:val="1"/>
          <w:iCs w:val="1"/>
          <w:color w:val="auto"/>
        </w:rPr>
        <w:t>”</w:t>
      </w:r>
      <w:r>
        <w:rPr>
          <w:rFonts w:ascii="Arial" w:cs="Arial" w:eastAsia="Arial" w:hAnsi="Arial"/>
          <w:sz w:val="14"/>
          <w:szCs w:val="14"/>
          <w:color w:val="auto"/>
        </w:rPr>
        <w:t xml:space="preserve">) has granted to the Participant named in the </w:t>
      </w:r>
      <w:r>
        <w:rPr>
          <w:rFonts w:ascii="Arial" w:cs="Arial" w:eastAsia="Arial" w:hAnsi="Arial"/>
          <w:sz w:val="14"/>
          <w:szCs w:val="14"/>
          <w:i w:val="1"/>
          <w:iCs w:val="1"/>
          <w:color w:val="auto"/>
        </w:rPr>
        <w:t>Notice of Grant of Stock Option</w:t>
      </w:r>
      <w:r>
        <w:rPr>
          <w:rFonts w:ascii="Arial" w:cs="Arial" w:eastAsia="Arial" w:hAnsi="Arial"/>
          <w:sz w:val="14"/>
          <w:szCs w:val="14"/>
          <w:color w:val="auto"/>
        </w:rPr>
        <w:t xml:space="preserve"> (the </w:t>
      </w:r>
      <w:r>
        <w:rPr>
          <w:rFonts w:ascii="Arial" w:cs="Arial" w:eastAsia="Arial" w:hAnsi="Arial"/>
          <w:sz w:val="14"/>
          <w:szCs w:val="14"/>
          <w:i w:val="1"/>
          <w:iCs w:val="1"/>
          <w:color w:val="auto"/>
        </w:rPr>
        <w:t>“</w:t>
      </w:r>
      <w:r>
        <w:rPr>
          <w:rFonts w:ascii="Arial" w:cs="Arial" w:eastAsia="Arial" w:hAnsi="Arial"/>
          <w:sz w:val="14"/>
          <w:szCs w:val="14"/>
          <w:b w:val="1"/>
          <w:bCs w:val="1"/>
          <w:i w:val="1"/>
          <w:iCs w:val="1"/>
          <w:color w:val="auto"/>
        </w:rPr>
        <w:t>Grant Notice</w:t>
      </w:r>
      <w:r>
        <w:rPr>
          <w:rFonts w:ascii="Arial" w:cs="Arial" w:eastAsia="Arial" w:hAnsi="Arial"/>
          <w:sz w:val="14"/>
          <w:szCs w:val="14"/>
          <w:i w:val="1"/>
          <w:iCs w:val="1"/>
          <w:color w:val="auto"/>
        </w:rPr>
        <w:t>”</w:t>
      </w:r>
      <w:r>
        <w:rPr>
          <w:rFonts w:ascii="Arial" w:cs="Arial" w:eastAsia="Arial" w:hAnsi="Arial"/>
          <w:sz w:val="14"/>
          <w:szCs w:val="14"/>
          <w:color w:val="auto"/>
        </w:rPr>
        <w:t xml:space="preserve">) to which this Stock Option Agreement (the </w:t>
      </w:r>
      <w:r>
        <w:rPr>
          <w:rFonts w:ascii="Arial" w:cs="Arial" w:eastAsia="Arial" w:hAnsi="Arial"/>
          <w:sz w:val="14"/>
          <w:szCs w:val="14"/>
          <w:i w:val="1"/>
          <w:iCs w:val="1"/>
          <w:color w:val="auto"/>
        </w:rPr>
        <w:t>“</w:t>
      </w:r>
      <w:r>
        <w:rPr>
          <w:rFonts w:ascii="Arial" w:cs="Arial" w:eastAsia="Arial" w:hAnsi="Arial"/>
          <w:sz w:val="14"/>
          <w:szCs w:val="14"/>
          <w:b w:val="1"/>
          <w:bCs w:val="1"/>
          <w:i w:val="1"/>
          <w:iCs w:val="1"/>
          <w:color w:val="auto"/>
        </w:rPr>
        <w:t>Option Agreement</w:t>
      </w:r>
      <w:r>
        <w:rPr>
          <w:rFonts w:ascii="Arial" w:cs="Arial" w:eastAsia="Arial" w:hAnsi="Arial"/>
          <w:sz w:val="14"/>
          <w:szCs w:val="14"/>
          <w:i w:val="1"/>
          <w:iCs w:val="1"/>
          <w:color w:val="auto"/>
        </w:rPr>
        <w:t>”</w:t>
      </w:r>
      <w:r>
        <w:rPr>
          <w:rFonts w:ascii="Arial" w:cs="Arial" w:eastAsia="Arial" w:hAnsi="Arial"/>
          <w:sz w:val="14"/>
          <w:szCs w:val="14"/>
          <w:color w:val="auto"/>
        </w:rPr>
        <w:t xml:space="preserve">) is attached an option (the </w:t>
      </w:r>
      <w:r>
        <w:rPr>
          <w:rFonts w:ascii="Arial" w:cs="Arial" w:eastAsia="Arial" w:hAnsi="Arial"/>
          <w:sz w:val="14"/>
          <w:szCs w:val="14"/>
          <w:i w:val="1"/>
          <w:iCs w:val="1"/>
          <w:color w:val="auto"/>
        </w:rPr>
        <w:t>“</w:t>
      </w:r>
      <w:r>
        <w:rPr>
          <w:rFonts w:ascii="Arial" w:cs="Arial" w:eastAsia="Arial" w:hAnsi="Arial"/>
          <w:sz w:val="14"/>
          <w:szCs w:val="14"/>
          <w:b w:val="1"/>
          <w:bCs w:val="1"/>
          <w:i w:val="1"/>
          <w:iCs w:val="1"/>
          <w:color w:val="auto"/>
        </w:rPr>
        <w:t>Option</w:t>
      </w:r>
      <w:r>
        <w:rPr>
          <w:rFonts w:ascii="Arial" w:cs="Arial" w:eastAsia="Arial" w:hAnsi="Arial"/>
          <w:sz w:val="14"/>
          <w:szCs w:val="14"/>
          <w:i w:val="1"/>
          <w:iCs w:val="1"/>
          <w:color w:val="auto"/>
        </w:rPr>
        <w:t>”</w:t>
      </w:r>
      <w:r>
        <w:rPr>
          <w:rFonts w:ascii="Arial" w:cs="Arial" w:eastAsia="Arial" w:hAnsi="Arial"/>
          <w:sz w:val="14"/>
          <w:szCs w:val="14"/>
          <w:color w:val="auto"/>
        </w:rPr>
        <w:t xml:space="preserve">) to purchase certain shares of Stock upon the terms and conditions set forth in the Grant Notice and this Option Agreement. The Option has been granted pursuant to and shall in all respects be subject to the terms and conditions of the Verra Mobility Corporation 2018 Equity Incentive Plan (the </w:t>
      </w:r>
      <w:r>
        <w:rPr>
          <w:rFonts w:ascii="Arial" w:cs="Arial" w:eastAsia="Arial" w:hAnsi="Arial"/>
          <w:sz w:val="14"/>
          <w:szCs w:val="14"/>
          <w:i w:val="1"/>
          <w:iCs w:val="1"/>
          <w:color w:val="auto"/>
        </w:rPr>
        <w:t>“</w:t>
      </w:r>
      <w:r>
        <w:rPr>
          <w:rFonts w:ascii="Arial" w:cs="Arial" w:eastAsia="Arial" w:hAnsi="Arial"/>
          <w:sz w:val="14"/>
          <w:szCs w:val="14"/>
          <w:b w:val="1"/>
          <w:bCs w:val="1"/>
          <w:i w:val="1"/>
          <w:iCs w:val="1"/>
          <w:color w:val="auto"/>
        </w:rPr>
        <w:t>Plan</w:t>
      </w:r>
      <w:r>
        <w:rPr>
          <w:rFonts w:ascii="Arial" w:cs="Arial" w:eastAsia="Arial" w:hAnsi="Arial"/>
          <w:sz w:val="14"/>
          <w:szCs w:val="14"/>
          <w:i w:val="1"/>
          <w:iCs w:val="1"/>
          <w:color w:val="auto"/>
        </w:rPr>
        <w:t>”</w:t>
      </w:r>
      <w:r>
        <w:rPr>
          <w:rFonts w:ascii="Arial" w:cs="Arial" w:eastAsia="Arial" w:hAnsi="Arial"/>
          <w:sz w:val="14"/>
          <w:szCs w:val="14"/>
          <w:color w:val="auto"/>
        </w:rPr>
        <w:t>), as amended to the Date of Grant, the provisions of which are incorporated herein by reference. By signing the Grant Notice, the Participant: (a) acknowledges receipt of, and represents that</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the Participant has read and is familiar with, the Grant Notice, this Option Agreement, the Plan and a prospectus for the Plan prepared in connection with the registration with the Securities and Exchange Commission of shares issuable pursuant to the Option (the </w:t>
      </w:r>
      <w:r>
        <w:rPr>
          <w:rFonts w:ascii="Arial" w:cs="Arial" w:eastAsia="Arial" w:hAnsi="Arial"/>
          <w:sz w:val="14"/>
          <w:szCs w:val="14"/>
          <w:i w:val="1"/>
          <w:iCs w:val="1"/>
          <w:color w:val="auto"/>
        </w:rPr>
        <w:t>“</w:t>
      </w:r>
      <w:r>
        <w:rPr>
          <w:rFonts w:ascii="Arial" w:cs="Arial" w:eastAsia="Arial" w:hAnsi="Arial"/>
          <w:sz w:val="14"/>
          <w:szCs w:val="14"/>
          <w:b w:val="1"/>
          <w:bCs w:val="1"/>
          <w:i w:val="1"/>
          <w:iCs w:val="1"/>
          <w:color w:val="auto"/>
        </w:rPr>
        <w:t>Plan Prospectus</w:t>
      </w:r>
      <w:r>
        <w:rPr>
          <w:rFonts w:ascii="Arial" w:cs="Arial" w:eastAsia="Arial" w:hAnsi="Arial"/>
          <w:sz w:val="14"/>
          <w:szCs w:val="14"/>
          <w:i w:val="1"/>
          <w:iCs w:val="1"/>
          <w:color w:val="auto"/>
        </w:rPr>
        <w:t>”</w:t>
      </w:r>
      <w:r>
        <w:rPr>
          <w:rFonts w:ascii="Arial" w:cs="Arial" w:eastAsia="Arial" w:hAnsi="Arial"/>
          <w:sz w:val="14"/>
          <w:szCs w:val="14"/>
          <w:color w:val="auto"/>
        </w:rPr>
        <w:t>), (b) accepts the Option subject to all of the terms and conditions of the Grant Notice, this Option Agreement and the Plan and (c) agrees to accept as binding, conclusive and final all decisions or interpretations of the Committee upon any questions arising under the Grant Notice, this Option Agreement or the Plan.</w:t>
      </w:r>
    </w:p>
    <w:p>
      <w:pPr>
        <w:spacing w:after="0" w:line="117" w:lineRule="exact"/>
        <w:rPr>
          <w:sz w:val="20"/>
          <w:szCs w:val="20"/>
          <w:color w:val="auto"/>
        </w:rPr>
      </w:pPr>
    </w:p>
    <w:p>
      <w:pPr>
        <w:ind w:left="1300" w:hanging="542"/>
        <w:spacing w:after="0"/>
        <w:tabs>
          <w:tab w:leader="none" w:pos="1300" w:val="left"/>
        </w:tabs>
        <w:numPr>
          <w:ilvl w:val="0"/>
          <w:numId w:val="62"/>
        </w:numPr>
        <w:rPr>
          <w:rFonts w:ascii="Arial" w:cs="Arial" w:eastAsia="Arial" w:hAnsi="Arial"/>
          <w:sz w:val="14"/>
          <w:szCs w:val="14"/>
          <w:color w:val="auto"/>
        </w:rPr>
      </w:pPr>
      <w:r>
        <w:rPr>
          <w:rFonts w:ascii="Arial" w:cs="Arial" w:eastAsia="Arial" w:hAnsi="Arial"/>
          <w:sz w:val="14"/>
          <w:szCs w:val="14"/>
          <w:b w:val="1"/>
          <w:bCs w:val="1"/>
          <w:u w:val="single" w:color="auto"/>
          <w:color w:val="auto"/>
        </w:rPr>
        <w:t>D</w:t>
      </w:r>
      <w:r>
        <w:rPr>
          <w:rFonts w:ascii="Arial" w:cs="Arial" w:eastAsia="Arial" w:hAnsi="Arial"/>
          <w:sz w:val="9"/>
          <w:szCs w:val="9"/>
          <w:b w:val="1"/>
          <w:bCs w:val="1"/>
          <w:u w:val="single" w:color="auto"/>
          <w:color w:val="auto"/>
        </w:rPr>
        <w:t>EFINITIONS AND</w:t>
      </w:r>
      <w:r>
        <w:rPr>
          <w:rFonts w:ascii="Arial" w:cs="Arial" w:eastAsia="Arial" w:hAnsi="Arial"/>
          <w:sz w:val="14"/>
          <w:szCs w:val="14"/>
          <w:b w:val="1"/>
          <w:bCs w:val="1"/>
          <w:color w:val="auto"/>
        </w:rPr>
        <w:t xml:space="preserve"> </w:t>
      </w:r>
      <w:r>
        <w:rPr>
          <w:rFonts w:ascii="Arial" w:cs="Arial" w:eastAsia="Arial" w:hAnsi="Arial"/>
          <w:sz w:val="14"/>
          <w:szCs w:val="14"/>
          <w:b w:val="1"/>
          <w:bCs w:val="1"/>
          <w:u w:val="single" w:color="auto"/>
          <w:color w:val="auto"/>
        </w:rPr>
        <w:t>C</w:t>
      </w:r>
      <w:r>
        <w:rPr>
          <w:rFonts w:ascii="Arial" w:cs="Arial" w:eastAsia="Arial" w:hAnsi="Arial"/>
          <w:sz w:val="9"/>
          <w:szCs w:val="9"/>
          <w:b w:val="1"/>
          <w:bCs w:val="1"/>
          <w:u w:val="single" w:color="auto"/>
          <w:color w:val="auto"/>
        </w:rPr>
        <w:t>ONSTRUCTION</w:t>
      </w:r>
      <w:r>
        <w:rPr>
          <w:rFonts w:ascii="Arial" w:cs="Arial" w:eastAsia="Arial" w:hAnsi="Arial"/>
          <w:sz w:val="14"/>
          <w:szCs w:val="14"/>
          <w:b w:val="1"/>
          <w:bCs w:val="1"/>
          <w:color w:val="auto"/>
        </w:rPr>
        <w:t>.</w:t>
      </w:r>
    </w:p>
    <w:p>
      <w:pPr>
        <w:spacing w:after="0" w:line="145" w:lineRule="exact"/>
        <w:rPr>
          <w:sz w:val="20"/>
          <w:szCs w:val="20"/>
          <w:color w:val="auto"/>
        </w:rPr>
      </w:pPr>
    </w:p>
    <w:p>
      <w:pPr>
        <w:ind w:left="1520"/>
        <w:spacing w:after="0"/>
        <w:tabs>
          <w:tab w:leader="none" w:pos="2120" w:val="left"/>
        </w:tabs>
        <w:rPr>
          <w:sz w:val="20"/>
          <w:szCs w:val="20"/>
          <w:color w:val="auto"/>
        </w:rPr>
      </w:pPr>
      <w:r>
        <w:rPr>
          <w:rFonts w:ascii="Arial" w:cs="Arial" w:eastAsia="Arial" w:hAnsi="Arial"/>
          <w:sz w:val="14"/>
          <w:szCs w:val="14"/>
          <w:color w:val="auto"/>
        </w:rPr>
        <w:t>1.1</w:t>
      </w:r>
      <w:r>
        <w:rPr>
          <w:sz w:val="20"/>
          <w:szCs w:val="20"/>
          <w:color w:val="auto"/>
        </w:rPr>
        <w:tab/>
      </w:r>
      <w:r>
        <w:rPr>
          <w:rFonts w:ascii="Arial" w:cs="Arial" w:eastAsia="Arial" w:hAnsi="Arial"/>
          <w:sz w:val="13"/>
          <w:szCs w:val="13"/>
          <w:b w:val="1"/>
          <w:bCs w:val="1"/>
          <w:color w:val="auto"/>
        </w:rPr>
        <w:t>Definitions</w:t>
      </w:r>
      <w:r>
        <w:rPr>
          <w:rFonts w:ascii="Arial" w:cs="Arial" w:eastAsia="Arial" w:hAnsi="Arial"/>
          <w:sz w:val="13"/>
          <w:szCs w:val="13"/>
          <w:b w:val="1"/>
          <w:bCs w:val="1"/>
          <w:i w:val="1"/>
          <w:iCs w:val="1"/>
          <w:color w:val="auto"/>
        </w:rPr>
        <w:t>.</w:t>
      </w:r>
      <w:r>
        <w:rPr>
          <w:rFonts w:ascii="Arial" w:cs="Arial" w:eastAsia="Arial" w:hAnsi="Arial"/>
          <w:sz w:val="13"/>
          <w:szCs w:val="13"/>
          <w:b w:val="1"/>
          <w:bCs w:val="1"/>
          <w:color w:val="auto"/>
        </w:rPr>
        <w:t xml:space="preserve"> </w:t>
      </w:r>
      <w:r>
        <w:rPr>
          <w:rFonts w:ascii="Arial" w:cs="Arial" w:eastAsia="Arial" w:hAnsi="Arial"/>
          <w:sz w:val="13"/>
          <w:szCs w:val="13"/>
          <w:color w:val="auto"/>
        </w:rPr>
        <w:t>Unless otherwise defined herein, capitalized terms shall have the meanings assigned to such terms in the Grant Notice or the Plan.</w:t>
      </w:r>
    </w:p>
    <w:p>
      <w:pPr>
        <w:spacing w:after="0" w:line="145" w:lineRule="exact"/>
        <w:rPr>
          <w:sz w:val="20"/>
          <w:szCs w:val="20"/>
          <w:color w:val="auto"/>
        </w:rPr>
      </w:pPr>
    </w:p>
    <w:p>
      <w:pPr>
        <w:jc w:val="both"/>
        <w:ind w:firstLine="1531"/>
        <w:spacing w:after="0" w:line="260" w:lineRule="auto"/>
        <w:rPr>
          <w:sz w:val="20"/>
          <w:szCs w:val="20"/>
          <w:color w:val="auto"/>
        </w:rPr>
      </w:pPr>
      <w:r>
        <w:rPr>
          <w:rFonts w:ascii="Arial" w:cs="Arial" w:eastAsia="Arial" w:hAnsi="Arial"/>
          <w:sz w:val="14"/>
          <w:szCs w:val="14"/>
          <w:color w:val="auto"/>
        </w:rPr>
        <w:t xml:space="preserve">1.2 </w:t>
      </w:r>
      <w:r>
        <w:rPr>
          <w:rFonts w:ascii="Arial" w:cs="Arial" w:eastAsia="Arial" w:hAnsi="Arial"/>
          <w:sz w:val="14"/>
          <w:szCs w:val="14"/>
          <w:b w:val="1"/>
          <w:bCs w:val="1"/>
          <w:color w:val="auto"/>
        </w:rPr>
        <w:t>Construction</w:t>
      </w:r>
      <w:r>
        <w:rPr>
          <w:rFonts w:ascii="Arial" w:cs="Arial" w:eastAsia="Arial" w:hAnsi="Arial"/>
          <w:sz w:val="14"/>
          <w:szCs w:val="14"/>
          <w:b w:val="1"/>
          <w:bCs w:val="1"/>
          <w:i w:val="1"/>
          <w:iCs w:val="1"/>
          <w:color w:val="auto"/>
        </w:rPr>
        <w:t>.</w:t>
      </w:r>
      <w:r>
        <w:rPr>
          <w:rFonts w:ascii="Arial" w:cs="Arial" w:eastAsia="Arial" w:hAnsi="Arial"/>
          <w:sz w:val="14"/>
          <w:szCs w:val="14"/>
          <w:color w:val="auto"/>
        </w:rPr>
        <w:t xml:space="preserve"> Captions and titles contained herein are for convenience only and shall not affect the meaning or interpretation of any provision of this Option Agreement. Except when otherwise indicated by the context, the singular shall include the plural and the plural shall include the singular. Use of the term “or” is not intended to be exclusive, unless the context clearly requires otherwise.</w:t>
      </w:r>
    </w:p>
    <w:p>
      <w:pPr>
        <w:spacing w:after="0" w:line="107" w:lineRule="exact"/>
        <w:rPr>
          <w:sz w:val="20"/>
          <w:szCs w:val="20"/>
          <w:color w:val="auto"/>
        </w:rPr>
      </w:pPr>
    </w:p>
    <w:p>
      <w:pPr>
        <w:ind w:left="1300" w:hanging="542"/>
        <w:spacing w:after="0"/>
        <w:tabs>
          <w:tab w:leader="none" w:pos="1300" w:val="left"/>
        </w:tabs>
        <w:numPr>
          <w:ilvl w:val="0"/>
          <w:numId w:val="63"/>
        </w:numPr>
        <w:rPr>
          <w:rFonts w:ascii="Arial" w:cs="Arial" w:eastAsia="Arial" w:hAnsi="Arial"/>
          <w:sz w:val="14"/>
          <w:szCs w:val="14"/>
          <w:color w:val="auto"/>
        </w:rPr>
      </w:pPr>
      <w:r>
        <w:rPr>
          <w:rFonts w:ascii="Arial" w:cs="Arial" w:eastAsia="Arial" w:hAnsi="Arial"/>
          <w:sz w:val="14"/>
          <w:szCs w:val="14"/>
          <w:b w:val="1"/>
          <w:bCs w:val="1"/>
          <w:u w:val="single" w:color="auto"/>
          <w:color w:val="auto"/>
        </w:rPr>
        <w:t>T</w:t>
      </w:r>
      <w:r>
        <w:rPr>
          <w:rFonts w:ascii="Arial" w:cs="Arial" w:eastAsia="Arial" w:hAnsi="Arial"/>
          <w:sz w:val="9"/>
          <w:szCs w:val="9"/>
          <w:b w:val="1"/>
          <w:bCs w:val="1"/>
          <w:u w:val="single" w:color="auto"/>
          <w:color w:val="auto"/>
        </w:rPr>
        <w:t>AX</w:t>
      </w:r>
      <w:r>
        <w:rPr>
          <w:rFonts w:ascii="Arial" w:cs="Arial" w:eastAsia="Arial" w:hAnsi="Arial"/>
          <w:sz w:val="14"/>
          <w:szCs w:val="14"/>
          <w:b w:val="1"/>
          <w:bCs w:val="1"/>
          <w:color w:val="auto"/>
        </w:rPr>
        <w:t xml:space="preserve"> </w:t>
      </w:r>
      <w:r>
        <w:rPr>
          <w:rFonts w:ascii="Arial" w:cs="Arial" w:eastAsia="Arial" w:hAnsi="Arial"/>
          <w:sz w:val="14"/>
          <w:szCs w:val="14"/>
          <w:b w:val="1"/>
          <w:bCs w:val="1"/>
          <w:u w:val="single" w:color="auto"/>
          <w:color w:val="auto"/>
        </w:rPr>
        <w:t>C</w:t>
      </w:r>
      <w:r>
        <w:rPr>
          <w:rFonts w:ascii="Arial" w:cs="Arial" w:eastAsia="Arial" w:hAnsi="Arial"/>
          <w:sz w:val="9"/>
          <w:szCs w:val="9"/>
          <w:b w:val="1"/>
          <w:bCs w:val="1"/>
          <w:u w:val="single" w:color="auto"/>
          <w:color w:val="auto"/>
        </w:rPr>
        <w:t>ONSEQUENCES</w:t>
      </w:r>
      <w:r>
        <w:rPr>
          <w:rFonts w:ascii="Arial" w:cs="Arial" w:eastAsia="Arial" w:hAnsi="Arial"/>
          <w:sz w:val="14"/>
          <w:szCs w:val="14"/>
          <w:b w:val="1"/>
          <w:bCs w:val="1"/>
          <w:color w:val="auto"/>
        </w:rPr>
        <w:t>.</w:t>
      </w:r>
    </w:p>
    <w:p>
      <w:pPr>
        <w:spacing w:after="0" w:line="145" w:lineRule="exact"/>
        <w:rPr>
          <w:sz w:val="20"/>
          <w:szCs w:val="20"/>
          <w:color w:val="auto"/>
        </w:rPr>
      </w:pPr>
    </w:p>
    <w:p>
      <w:pPr>
        <w:ind w:left="1520"/>
        <w:spacing w:after="0"/>
        <w:tabs>
          <w:tab w:leader="none" w:pos="2120" w:val="left"/>
        </w:tabs>
        <w:rPr>
          <w:sz w:val="20"/>
          <w:szCs w:val="20"/>
          <w:color w:val="auto"/>
        </w:rPr>
      </w:pPr>
      <w:r>
        <w:rPr>
          <w:rFonts w:ascii="Arial" w:cs="Arial" w:eastAsia="Arial" w:hAnsi="Arial"/>
          <w:sz w:val="14"/>
          <w:szCs w:val="14"/>
          <w:color w:val="auto"/>
        </w:rPr>
        <w:t>2.1</w:t>
      </w:r>
      <w:r>
        <w:rPr>
          <w:sz w:val="20"/>
          <w:szCs w:val="20"/>
          <w:color w:val="auto"/>
        </w:rPr>
        <w:tab/>
      </w:r>
      <w:r>
        <w:rPr>
          <w:rFonts w:ascii="Arial" w:cs="Arial" w:eastAsia="Arial" w:hAnsi="Arial"/>
          <w:sz w:val="13"/>
          <w:szCs w:val="13"/>
          <w:b w:val="1"/>
          <w:bCs w:val="1"/>
          <w:color w:val="auto"/>
        </w:rPr>
        <w:t>Tax Status of Option</w:t>
      </w:r>
      <w:r>
        <w:rPr>
          <w:rFonts w:ascii="Arial" w:cs="Arial" w:eastAsia="Arial" w:hAnsi="Arial"/>
          <w:sz w:val="13"/>
          <w:szCs w:val="13"/>
          <w:b w:val="1"/>
          <w:bCs w:val="1"/>
          <w:i w:val="1"/>
          <w:iCs w:val="1"/>
          <w:color w:val="auto"/>
        </w:rPr>
        <w:t>.</w:t>
      </w:r>
      <w:r>
        <w:rPr>
          <w:rFonts w:ascii="Arial" w:cs="Arial" w:eastAsia="Arial" w:hAnsi="Arial"/>
          <w:sz w:val="13"/>
          <w:szCs w:val="13"/>
          <w:b w:val="1"/>
          <w:bCs w:val="1"/>
          <w:color w:val="auto"/>
        </w:rPr>
        <w:t xml:space="preserve"> </w:t>
      </w:r>
      <w:r>
        <w:rPr>
          <w:rFonts w:ascii="Arial" w:cs="Arial" w:eastAsia="Arial" w:hAnsi="Arial"/>
          <w:sz w:val="13"/>
          <w:szCs w:val="13"/>
          <w:color w:val="auto"/>
        </w:rPr>
        <w:t>This Option is intended to have the tax status designated in the Grant Notice.</w:t>
      </w:r>
    </w:p>
    <w:p>
      <w:pPr>
        <w:spacing w:after="0" w:line="145" w:lineRule="exact"/>
        <w:rPr>
          <w:sz w:val="20"/>
          <w:szCs w:val="20"/>
          <w:color w:val="auto"/>
        </w:rPr>
      </w:pPr>
    </w:p>
    <w:p>
      <w:pPr>
        <w:jc w:val="both"/>
        <w:ind w:firstLine="2289"/>
        <w:spacing w:after="0" w:line="275" w:lineRule="auto"/>
        <w:tabs>
          <w:tab w:leader="none" w:pos="2889" w:val="left"/>
        </w:tabs>
        <w:numPr>
          <w:ilvl w:val="0"/>
          <w:numId w:val="64"/>
        </w:numPr>
        <w:rPr>
          <w:rFonts w:ascii="Arial" w:cs="Arial" w:eastAsia="Arial" w:hAnsi="Arial"/>
          <w:sz w:val="13"/>
          <w:szCs w:val="13"/>
          <w:color w:val="auto"/>
        </w:rPr>
      </w:pPr>
      <w:r>
        <w:rPr>
          <w:rFonts w:ascii="Arial" w:cs="Arial" w:eastAsia="Arial" w:hAnsi="Arial"/>
          <w:sz w:val="13"/>
          <w:szCs w:val="13"/>
          <w:b w:val="1"/>
          <w:bCs w:val="1"/>
          <w:i w:val="1"/>
          <w:iCs w:val="1"/>
          <w:color w:val="auto"/>
        </w:rPr>
        <w:t>Incentive Stock Option</w:t>
      </w:r>
      <w:r>
        <w:rPr>
          <w:rFonts w:ascii="Arial" w:cs="Arial" w:eastAsia="Arial" w:hAnsi="Arial"/>
          <w:sz w:val="13"/>
          <w:szCs w:val="13"/>
          <w:b w:val="1"/>
          <w:bCs w:val="1"/>
          <w:color w:val="auto"/>
        </w:rPr>
        <w:t>.</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If the Grant Notice so designates, this Option is intended to be an Incentive Stock Option within the meaning of</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Section 422(b) of the Code, but the Company does not represent or warrant that this Option qualifies as such. The Participant should consult with the Participant’s own tax advisor regarding the tax effects of this Option and the requirements necessary to obtain favorable income tax treatment under Section 422 of the Code, including, but not limited to, holding period requirements. (NOTE TO PARTICIPANT: If the Option is exercised more than three (3) months after the date on which you cease to be an Employee (other than by reason of your death or permanent and total disability as defined in Section 22(e)(3) of the Code), the Option will be treated as a Nonstatutory Stock Option and not as an Incentive Stock Option to the extent required by Section 422 of the Code.)</w:t>
      </w:r>
    </w:p>
    <w:p>
      <w:pPr>
        <w:spacing w:after="0" w:line="84" w:lineRule="exact"/>
        <w:rPr>
          <w:sz w:val="20"/>
          <w:szCs w:val="20"/>
          <w:color w:val="auto"/>
        </w:rPr>
      </w:pPr>
    </w:p>
    <w:p>
      <w:pPr>
        <w:ind w:left="760"/>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100330</wp:posOffset>
            </wp:positionV>
            <wp:extent cx="7329170" cy="3683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13">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275" w:right="199" w:bottom="1440" w:gutter="0" w:footer="0" w:header="0"/>
        </w:sectPr>
      </w:pPr>
    </w:p>
    <w:bookmarkStart w:id="134" w:name="page135"/>
    <w:bookmarkEnd w:id="134"/>
    <w:p>
      <w:pPr>
        <w:ind w:firstLine="2289"/>
        <w:spacing w:after="0" w:line="273" w:lineRule="auto"/>
        <w:tabs>
          <w:tab w:leader="none" w:pos="2897" w:val="left"/>
        </w:tabs>
        <w:numPr>
          <w:ilvl w:val="0"/>
          <w:numId w:val="65"/>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Nonstatutory Stock Option. </w:t>
      </w:r>
      <w:r>
        <w:rPr>
          <w:rFonts w:ascii="Arial" w:cs="Arial" w:eastAsia="Arial" w:hAnsi="Arial"/>
          <w:sz w:val="14"/>
          <w:szCs w:val="14"/>
          <w:color w:val="auto"/>
        </w:rPr>
        <w:t>If the Grant Notice so designates, this Option is intended to be a Nonstatutory Stock Option and shall not be treated as</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an Incentive Stock Option within the meaning of Section 422(b) of the Code.</w:t>
      </w:r>
    </w:p>
    <w:p>
      <w:pPr>
        <w:spacing w:after="0" w:line="98" w:lineRule="exact"/>
        <w:rPr>
          <w:sz w:val="20"/>
          <w:szCs w:val="20"/>
          <w:color w:val="auto"/>
        </w:rPr>
      </w:pPr>
    </w:p>
    <w:p>
      <w:pPr>
        <w:jc w:val="both"/>
        <w:ind w:firstLine="1531"/>
        <w:spacing w:after="0" w:line="266" w:lineRule="auto"/>
        <w:rPr>
          <w:sz w:val="20"/>
          <w:szCs w:val="20"/>
          <w:color w:val="auto"/>
        </w:rPr>
      </w:pPr>
      <w:r>
        <w:rPr>
          <w:rFonts w:ascii="Arial" w:cs="Arial" w:eastAsia="Arial" w:hAnsi="Arial"/>
          <w:sz w:val="13"/>
          <w:szCs w:val="13"/>
          <w:color w:val="auto"/>
        </w:rPr>
        <w:t xml:space="preserve">2.2 </w:t>
      </w:r>
      <w:r>
        <w:rPr>
          <w:rFonts w:ascii="Arial" w:cs="Arial" w:eastAsia="Arial" w:hAnsi="Arial"/>
          <w:sz w:val="13"/>
          <w:szCs w:val="13"/>
          <w:b w:val="1"/>
          <w:bCs w:val="1"/>
          <w:color w:val="auto"/>
        </w:rPr>
        <w:t>ISO Fair Market Value Limitation.</w:t>
      </w:r>
      <w:r>
        <w:rPr>
          <w:rFonts w:ascii="Arial" w:cs="Arial" w:eastAsia="Arial" w:hAnsi="Arial"/>
          <w:sz w:val="13"/>
          <w:szCs w:val="13"/>
          <w:color w:val="auto"/>
        </w:rPr>
        <w:t xml:space="preserve"> </w:t>
      </w:r>
      <w:r>
        <w:rPr>
          <w:rFonts w:ascii="Arial" w:cs="Arial" w:eastAsia="Arial" w:hAnsi="Arial"/>
          <w:sz w:val="13"/>
          <w:szCs w:val="13"/>
          <w:i w:val="1"/>
          <w:iCs w:val="1"/>
          <w:color w:val="auto"/>
        </w:rPr>
        <w:t>If the Grant Notice designates this Option as an Incentive Stock Option,</w:t>
      </w:r>
      <w:r>
        <w:rPr>
          <w:rFonts w:ascii="Arial" w:cs="Arial" w:eastAsia="Arial" w:hAnsi="Arial"/>
          <w:sz w:val="13"/>
          <w:szCs w:val="13"/>
          <w:color w:val="auto"/>
        </w:rPr>
        <w:t xml:space="preserve"> then to the extent that the Option (together with all Incentive Stock Options granted to the Participant under all stock option plans of the Participating Company Group, including the Plan) becomes exercisable for the first time during any calendar year for shares having a Fair Market Value greater than One Hundred Thousand Dollars ($100,000), the portion of such options which exceeds such amount will be treated as Nonstatutory Stock Options. For purposes of this Section 2.2, options designated as Incentive Stock Options are taken into account in the order in which they were granted, and the Fair Market Value of stock is determined as of the time the option with respect to such stock is granted. If the Code is amended to provide for a different limitation from that set forth in this Section 2.2, such different limitation shall be deemed incorporated herein effective as of the date required or permitted by such amendment to the Code. If the Option is treated as an Incentive Stock Option in part and as a Nonstatutory Stock Option in part by reason of the limitation set forth in this Section 2.2, the Participant may designate which portion of such Option the Participant is exercising. In the absence of such designation, the Participant shall be deemed to have exercised the Incentive Stock Option portion of the Option first. Separate certificates representing each such portion shall be issued upon the exercise of the Option. (NOTE TO PARTICIPANT: If the aggregate Exercise Price of the Option (that is, the Exercise Price multiplied by the Number of Option Shares) plus the aggregate exercise price of any other Incentive Stock Options you hold (whether granted pursuant to the Plan or any other stock option plan of the Participating Company Group) is greater than $100,000, you should contact the Chief Financial Officer of the Company to ascertain whether the entire Option qualifies as an Incentive Stock Option.)</w:t>
      </w:r>
    </w:p>
    <w:p>
      <w:pPr>
        <w:spacing w:after="0" w:line="105" w:lineRule="exact"/>
        <w:rPr>
          <w:sz w:val="20"/>
          <w:szCs w:val="20"/>
          <w:color w:val="auto"/>
        </w:rPr>
      </w:pPr>
    </w:p>
    <w:p>
      <w:pPr>
        <w:ind w:left="1300" w:hanging="542"/>
        <w:spacing w:after="0"/>
        <w:tabs>
          <w:tab w:leader="none" w:pos="1300" w:val="left"/>
        </w:tabs>
        <w:numPr>
          <w:ilvl w:val="0"/>
          <w:numId w:val="66"/>
        </w:numPr>
        <w:rPr>
          <w:rFonts w:ascii="Arial" w:cs="Arial" w:eastAsia="Arial" w:hAnsi="Arial"/>
          <w:sz w:val="14"/>
          <w:szCs w:val="14"/>
          <w:color w:val="auto"/>
        </w:rPr>
      </w:pPr>
      <w:r>
        <w:rPr>
          <w:rFonts w:ascii="Arial" w:cs="Arial" w:eastAsia="Arial" w:hAnsi="Arial"/>
          <w:sz w:val="14"/>
          <w:szCs w:val="14"/>
          <w:b w:val="1"/>
          <w:bCs w:val="1"/>
          <w:u w:val="single" w:color="auto"/>
          <w:color w:val="auto"/>
        </w:rPr>
        <w:t>A</w:t>
      </w:r>
      <w:r>
        <w:rPr>
          <w:rFonts w:ascii="Arial" w:cs="Arial" w:eastAsia="Arial" w:hAnsi="Arial"/>
          <w:sz w:val="9"/>
          <w:szCs w:val="9"/>
          <w:b w:val="1"/>
          <w:bCs w:val="1"/>
          <w:u w:val="single" w:color="auto"/>
          <w:color w:val="auto"/>
        </w:rPr>
        <w:t>DMINISTRATION</w:t>
      </w:r>
      <w:r>
        <w:rPr>
          <w:rFonts w:ascii="Arial" w:cs="Arial" w:eastAsia="Arial" w:hAnsi="Arial"/>
          <w:sz w:val="14"/>
          <w:szCs w:val="14"/>
          <w:b w:val="1"/>
          <w:bCs w:val="1"/>
          <w:color w:val="auto"/>
        </w:rPr>
        <w:t>.</w:t>
      </w:r>
    </w:p>
    <w:p>
      <w:pPr>
        <w:spacing w:after="0" w:line="149" w:lineRule="exact"/>
        <w:rPr>
          <w:sz w:val="20"/>
          <w:szCs w:val="20"/>
          <w:color w:val="auto"/>
        </w:rPr>
      </w:pPr>
    </w:p>
    <w:p>
      <w:pPr>
        <w:jc w:val="both"/>
        <w:ind w:firstLine="1531"/>
        <w:spacing w:after="0" w:line="248" w:lineRule="auto"/>
        <w:rPr>
          <w:sz w:val="20"/>
          <w:szCs w:val="20"/>
          <w:color w:val="auto"/>
        </w:rPr>
      </w:pPr>
      <w:r>
        <w:rPr>
          <w:rFonts w:ascii="Arial" w:cs="Arial" w:eastAsia="Arial" w:hAnsi="Arial"/>
          <w:sz w:val="14"/>
          <w:szCs w:val="14"/>
          <w:color w:val="auto"/>
        </w:rPr>
        <w:t>All questions of interpretation concerning the Grant Notice, this Option Agreement, the Plan or any other form of agreement or other document employed by the Company in the administration of the Plan or the Option shall be determined by the Committee. All such determinations by the Committee shall be final, binding and conclusive upon all persons having an interest in the Option, unless fraudulent or made in bad faith. Any and all actions, decisions and determinations taken or made by the Committee in the exercise of its discretion pursuant to the Plan or the Option or other agreement thereunder (other than determining questions of interpretation pursuant to the preceding sentence) shall be final, binding and conclusive upon all persons having an interest in the Option. Any Officer shall have the authority to act on behalf of the Company with respect to any matter, right, obligation, or election which is the responsibility of or which is allocated to the Company herein, provided the Officer has apparent authority with respect to such matter, right, obligation, or election.</w:t>
      </w:r>
    </w:p>
    <w:p>
      <w:pPr>
        <w:spacing w:after="0" w:line="115" w:lineRule="exact"/>
        <w:rPr>
          <w:sz w:val="20"/>
          <w:szCs w:val="20"/>
          <w:color w:val="auto"/>
        </w:rPr>
      </w:pPr>
    </w:p>
    <w:p>
      <w:pPr>
        <w:ind w:left="1300" w:hanging="542"/>
        <w:spacing w:after="0"/>
        <w:tabs>
          <w:tab w:leader="none" w:pos="1300" w:val="left"/>
        </w:tabs>
        <w:numPr>
          <w:ilvl w:val="0"/>
          <w:numId w:val="67"/>
        </w:numPr>
        <w:rPr>
          <w:rFonts w:ascii="Arial" w:cs="Arial" w:eastAsia="Arial" w:hAnsi="Arial"/>
          <w:sz w:val="14"/>
          <w:szCs w:val="14"/>
          <w:color w:val="auto"/>
        </w:rPr>
      </w:pPr>
      <w:r>
        <w:rPr>
          <w:rFonts w:ascii="Arial" w:cs="Arial" w:eastAsia="Arial" w:hAnsi="Arial"/>
          <w:sz w:val="14"/>
          <w:szCs w:val="14"/>
          <w:b w:val="1"/>
          <w:bCs w:val="1"/>
          <w:u w:val="single" w:color="auto"/>
          <w:color w:val="auto"/>
        </w:rPr>
        <w:t>E</w:t>
      </w:r>
      <w:r>
        <w:rPr>
          <w:rFonts w:ascii="Arial" w:cs="Arial" w:eastAsia="Arial" w:hAnsi="Arial"/>
          <w:sz w:val="9"/>
          <w:szCs w:val="9"/>
          <w:b w:val="1"/>
          <w:bCs w:val="1"/>
          <w:u w:val="single" w:color="auto"/>
          <w:color w:val="auto"/>
        </w:rPr>
        <w:t>XERCISE OF THE</w:t>
      </w:r>
      <w:r>
        <w:rPr>
          <w:rFonts w:ascii="Arial" w:cs="Arial" w:eastAsia="Arial" w:hAnsi="Arial"/>
          <w:sz w:val="14"/>
          <w:szCs w:val="14"/>
          <w:b w:val="1"/>
          <w:bCs w:val="1"/>
          <w:color w:val="auto"/>
        </w:rPr>
        <w:t xml:space="preserve"> </w:t>
      </w:r>
      <w:r>
        <w:rPr>
          <w:rFonts w:ascii="Arial" w:cs="Arial" w:eastAsia="Arial" w:hAnsi="Arial"/>
          <w:sz w:val="14"/>
          <w:szCs w:val="14"/>
          <w:b w:val="1"/>
          <w:bCs w:val="1"/>
          <w:u w:val="single" w:color="auto"/>
          <w:color w:val="auto"/>
        </w:rPr>
        <w:t>O</w:t>
      </w:r>
      <w:r>
        <w:rPr>
          <w:rFonts w:ascii="Arial" w:cs="Arial" w:eastAsia="Arial" w:hAnsi="Arial"/>
          <w:sz w:val="9"/>
          <w:szCs w:val="9"/>
          <w:b w:val="1"/>
          <w:bCs w:val="1"/>
          <w:u w:val="single" w:color="auto"/>
          <w:color w:val="auto"/>
        </w:rPr>
        <w:t>PTION</w:t>
      </w:r>
      <w:r>
        <w:rPr>
          <w:rFonts w:ascii="Arial" w:cs="Arial" w:eastAsia="Arial" w:hAnsi="Arial"/>
          <w:sz w:val="14"/>
          <w:szCs w:val="14"/>
          <w:b w:val="1"/>
          <w:bCs w:val="1"/>
          <w:color w:val="auto"/>
        </w:rPr>
        <w:t>.</w:t>
      </w:r>
    </w:p>
    <w:p>
      <w:pPr>
        <w:spacing w:after="0" w:line="145" w:lineRule="exact"/>
        <w:rPr>
          <w:sz w:val="20"/>
          <w:szCs w:val="20"/>
          <w:color w:val="auto"/>
        </w:rPr>
      </w:pPr>
    </w:p>
    <w:p>
      <w:pPr>
        <w:jc w:val="both"/>
        <w:ind w:right="20" w:firstLine="1531"/>
        <w:spacing w:after="0" w:line="260" w:lineRule="auto"/>
        <w:rPr>
          <w:sz w:val="20"/>
          <w:szCs w:val="20"/>
          <w:color w:val="auto"/>
        </w:rPr>
      </w:pPr>
      <w:r>
        <w:rPr>
          <w:rFonts w:ascii="Arial" w:cs="Arial" w:eastAsia="Arial" w:hAnsi="Arial"/>
          <w:sz w:val="14"/>
          <w:szCs w:val="14"/>
          <w:color w:val="auto"/>
        </w:rPr>
        <w:t xml:space="preserve">4.1 </w:t>
      </w:r>
      <w:r>
        <w:rPr>
          <w:rFonts w:ascii="Arial" w:cs="Arial" w:eastAsia="Arial" w:hAnsi="Arial"/>
          <w:sz w:val="14"/>
          <w:szCs w:val="14"/>
          <w:b w:val="1"/>
          <w:bCs w:val="1"/>
          <w:color w:val="auto"/>
        </w:rPr>
        <w:t>Right to Exercise</w:t>
      </w:r>
      <w:r>
        <w:rPr>
          <w:rFonts w:ascii="Arial" w:cs="Arial" w:eastAsia="Arial" w:hAnsi="Arial"/>
          <w:sz w:val="14"/>
          <w:szCs w:val="14"/>
          <w:b w:val="1"/>
          <w:bCs w:val="1"/>
          <w:i w:val="1"/>
          <w:iCs w:val="1"/>
          <w:color w:val="auto"/>
        </w:rPr>
        <w:t>.</w:t>
      </w:r>
      <w:r>
        <w:rPr>
          <w:rFonts w:ascii="Arial" w:cs="Arial" w:eastAsia="Arial" w:hAnsi="Arial"/>
          <w:sz w:val="14"/>
          <w:szCs w:val="14"/>
          <w:color w:val="auto"/>
        </w:rPr>
        <w:t xml:space="preserve"> Except as otherwise provided herein, the Option shall be exercisable on and after the Initial Vesting Date and prior to the termination of the Option (as provided in Section 6) in an amount not to exceed the number of Vested Shares less the number of shares previously acquired upon exercise of the Option. In no event shall the Option be exercisable for more shares than the Number of Option Shares, as adjusted pursuant to Section 9.</w:t>
      </w:r>
    </w:p>
    <w:p>
      <w:pPr>
        <w:spacing w:after="0" w:line="107" w:lineRule="exact"/>
        <w:rPr>
          <w:sz w:val="20"/>
          <w:szCs w:val="20"/>
          <w:color w:val="auto"/>
        </w:rPr>
      </w:pPr>
    </w:p>
    <w:p>
      <w:pPr>
        <w:jc w:val="both"/>
        <w:ind w:firstLine="1531"/>
        <w:spacing w:after="0" w:line="254" w:lineRule="auto"/>
        <w:rPr>
          <w:sz w:val="20"/>
          <w:szCs w:val="20"/>
          <w:color w:val="auto"/>
        </w:rPr>
      </w:pPr>
      <w:r>
        <w:rPr>
          <w:rFonts w:ascii="Arial" w:cs="Arial" w:eastAsia="Arial" w:hAnsi="Arial"/>
          <w:sz w:val="14"/>
          <w:szCs w:val="14"/>
          <w:color w:val="auto"/>
        </w:rPr>
        <w:t xml:space="preserve">4.2 </w:t>
      </w:r>
      <w:r>
        <w:rPr>
          <w:rFonts w:ascii="Arial" w:cs="Arial" w:eastAsia="Arial" w:hAnsi="Arial"/>
          <w:sz w:val="14"/>
          <w:szCs w:val="14"/>
          <w:b w:val="1"/>
          <w:bCs w:val="1"/>
          <w:color w:val="auto"/>
        </w:rPr>
        <w:t>Method of Exercise</w:t>
      </w:r>
      <w:r>
        <w:rPr>
          <w:rFonts w:ascii="Arial" w:cs="Arial" w:eastAsia="Arial" w:hAnsi="Arial"/>
          <w:sz w:val="14"/>
          <w:szCs w:val="14"/>
          <w:b w:val="1"/>
          <w:bCs w:val="1"/>
          <w:i w:val="1"/>
          <w:iCs w:val="1"/>
          <w:color w:val="auto"/>
        </w:rPr>
        <w:t>.</w:t>
      </w:r>
      <w:r>
        <w:rPr>
          <w:rFonts w:ascii="Arial" w:cs="Arial" w:eastAsia="Arial" w:hAnsi="Arial"/>
          <w:sz w:val="14"/>
          <w:szCs w:val="14"/>
          <w:color w:val="auto"/>
        </w:rPr>
        <w:t xml:space="preserve"> Exercise of the Option shall be by means of electronic or written notice (the </w:t>
      </w:r>
      <w:r>
        <w:rPr>
          <w:rFonts w:ascii="Arial" w:cs="Arial" w:eastAsia="Arial" w:hAnsi="Arial"/>
          <w:sz w:val="14"/>
          <w:szCs w:val="14"/>
          <w:i w:val="1"/>
          <w:iCs w:val="1"/>
          <w:color w:val="auto"/>
        </w:rPr>
        <w:t>“</w:t>
      </w:r>
      <w:r>
        <w:rPr>
          <w:rFonts w:ascii="Arial" w:cs="Arial" w:eastAsia="Arial" w:hAnsi="Arial"/>
          <w:sz w:val="14"/>
          <w:szCs w:val="14"/>
          <w:b w:val="1"/>
          <w:bCs w:val="1"/>
          <w:i w:val="1"/>
          <w:iCs w:val="1"/>
          <w:color w:val="auto"/>
        </w:rPr>
        <w:t>Exercise Notice</w:t>
      </w:r>
      <w:r>
        <w:rPr>
          <w:rFonts w:ascii="Arial" w:cs="Arial" w:eastAsia="Arial" w:hAnsi="Arial"/>
          <w:sz w:val="14"/>
          <w:szCs w:val="14"/>
          <w:i w:val="1"/>
          <w:iCs w:val="1"/>
          <w:color w:val="auto"/>
        </w:rPr>
        <w:t>”</w:t>
      </w:r>
      <w:r>
        <w:rPr>
          <w:rFonts w:ascii="Arial" w:cs="Arial" w:eastAsia="Arial" w:hAnsi="Arial"/>
          <w:sz w:val="14"/>
          <w:szCs w:val="14"/>
          <w:color w:val="auto"/>
        </w:rPr>
        <w:t>) in a form authorized by the Company. An electronic Exercise Notice must be digitally signed or authenticated by the Participant in such manner as required by the notice and transmitted to the Company or an authorized representative of the Company (including a third-party administrator designated by the Company). In the event that the Participant is not authorized or is unable to provide an electronic Exercise Notice, the Option shall be exercised by a written Exercise Notice addressed to the Company, which shall be</w:t>
      </w:r>
    </w:p>
    <w:p>
      <w:pPr>
        <w:spacing w:after="0" w:line="97" w:lineRule="exact"/>
        <w:rPr>
          <w:sz w:val="20"/>
          <w:szCs w:val="20"/>
          <w:color w:val="auto"/>
        </w:rPr>
      </w:pPr>
    </w:p>
    <w:p>
      <w:pPr>
        <w:ind w:left="760"/>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100330</wp:posOffset>
            </wp:positionV>
            <wp:extent cx="7329170" cy="3683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14">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269" w:right="199" w:bottom="1440" w:gutter="0" w:footer="0" w:header="0"/>
        </w:sectPr>
      </w:pPr>
    </w:p>
    <w:bookmarkStart w:id="135" w:name="page136"/>
    <w:bookmarkEnd w:id="135"/>
    <w:p>
      <w:pPr>
        <w:jc w:val="both"/>
        <w:ind w:left="8"/>
        <w:spacing w:after="0" w:line="270" w:lineRule="auto"/>
        <w:rPr>
          <w:sz w:val="20"/>
          <w:szCs w:val="20"/>
          <w:color w:val="auto"/>
        </w:rPr>
      </w:pPr>
      <w:r>
        <w:rPr>
          <w:rFonts w:ascii="Arial" w:cs="Arial" w:eastAsia="Arial" w:hAnsi="Arial"/>
          <w:sz w:val="13"/>
          <w:szCs w:val="13"/>
          <w:color w:val="auto"/>
        </w:rPr>
        <w:t>signed by the Participant and delivered in person, by certified or registered mail, return receipt requested, by confirmed facsimile transmission, or by such other means as the Company may permit, to the Company, or an authorized representative of the Company (including a third-party administrator designated by the Company). Each Exercise Notice, whether electronic or written, must state the Participant’s election to exercise the Option, the number of whole shares of Stock for which the Option is being exercised and such other representations and agreements as to the Participant’s investment intent with respect to such shares as may be required pursuant to the provisions of this Option Agreement. Further, each Exercise Notice must be received by the Company prior to the termination of the Option as set forth in Section 6 and must be accompanied by full payment of the aggregate Exercise Price for the number of shares of Stock being purchased. The Option shall be deemed to be exercised upon receipt by the Company of such electronic or written Exercise Notice and the aggregate Exercise Price.</w:t>
      </w:r>
    </w:p>
    <w:p>
      <w:pPr>
        <w:spacing w:after="0" w:line="104" w:lineRule="exact"/>
        <w:rPr>
          <w:sz w:val="20"/>
          <w:szCs w:val="20"/>
          <w:color w:val="auto"/>
        </w:rPr>
      </w:pPr>
    </w:p>
    <w:p>
      <w:pPr>
        <w:ind w:left="1528"/>
        <w:spacing w:after="0"/>
        <w:tabs>
          <w:tab w:leader="none" w:pos="2128" w:val="left"/>
        </w:tabs>
        <w:rPr>
          <w:sz w:val="20"/>
          <w:szCs w:val="20"/>
          <w:color w:val="auto"/>
        </w:rPr>
      </w:pPr>
      <w:r>
        <w:rPr>
          <w:rFonts w:ascii="Arial" w:cs="Arial" w:eastAsia="Arial" w:hAnsi="Arial"/>
          <w:sz w:val="14"/>
          <w:szCs w:val="14"/>
          <w:color w:val="auto"/>
        </w:rPr>
        <w:t>4.3</w:t>
      </w:r>
      <w:r>
        <w:rPr>
          <w:sz w:val="20"/>
          <w:szCs w:val="20"/>
          <w:color w:val="auto"/>
        </w:rPr>
        <w:tab/>
      </w:r>
      <w:r>
        <w:rPr>
          <w:rFonts w:ascii="Arial" w:cs="Arial" w:eastAsia="Arial" w:hAnsi="Arial"/>
          <w:sz w:val="12"/>
          <w:szCs w:val="12"/>
          <w:b w:val="1"/>
          <w:bCs w:val="1"/>
          <w:color w:val="auto"/>
        </w:rPr>
        <w:t>Payment of Exercise Price.</w:t>
      </w:r>
    </w:p>
    <w:p>
      <w:pPr>
        <w:spacing w:after="0" w:line="145" w:lineRule="exact"/>
        <w:rPr>
          <w:sz w:val="20"/>
          <w:szCs w:val="20"/>
          <w:color w:val="auto"/>
        </w:rPr>
      </w:pPr>
    </w:p>
    <w:p>
      <w:pPr>
        <w:jc w:val="both"/>
        <w:ind w:left="8" w:firstLine="2289"/>
        <w:spacing w:after="0" w:line="260" w:lineRule="auto"/>
        <w:tabs>
          <w:tab w:leader="none" w:pos="2897" w:val="left"/>
        </w:tabs>
        <w:numPr>
          <w:ilvl w:val="1"/>
          <w:numId w:val="68"/>
        </w:numPr>
        <w:rPr>
          <w:rFonts w:ascii="Arial" w:cs="Arial" w:eastAsia="Arial" w:hAnsi="Arial"/>
          <w:sz w:val="14"/>
          <w:szCs w:val="14"/>
          <w:color w:val="auto"/>
        </w:rPr>
      </w:pPr>
      <w:r>
        <w:rPr>
          <w:rFonts w:ascii="Arial" w:cs="Arial" w:eastAsia="Arial" w:hAnsi="Arial"/>
          <w:sz w:val="14"/>
          <w:szCs w:val="14"/>
          <w:b w:val="1"/>
          <w:bCs w:val="1"/>
          <w:i w:val="1"/>
          <w:iCs w:val="1"/>
          <w:color w:val="auto"/>
        </w:rPr>
        <w:t>Forms of Consideration Authorized</w:t>
      </w:r>
      <w:r>
        <w:rPr>
          <w:rFonts w:ascii="Arial" w:cs="Arial" w:eastAsia="Arial" w:hAnsi="Arial"/>
          <w:sz w:val="14"/>
          <w:szCs w:val="14"/>
          <w:b w:val="1"/>
          <w:bCs w:val="1"/>
          <w:color w:val="auto"/>
        </w:rPr>
        <w: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Except as otherwise provided below, payment of the aggregate Exercise Price for the number of shares of</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Stock for which the Option is being exercised shall be made (i) in cash, by check or in cash equivalent; (ii) if permitted by the Company and subject to the limitations contained in Section 4.3(b), by means of (1) a Cashless Exercise, (2) a Net-Exercise, or (3) a Stock Tender Exercise; or (iii) by any combination of the foregoing.</w:t>
      </w:r>
    </w:p>
    <w:p>
      <w:pPr>
        <w:spacing w:after="0" w:line="111" w:lineRule="exact"/>
        <w:rPr>
          <w:rFonts w:ascii="Arial" w:cs="Arial" w:eastAsia="Arial" w:hAnsi="Arial"/>
          <w:sz w:val="14"/>
          <w:szCs w:val="14"/>
          <w:color w:val="auto"/>
        </w:rPr>
      </w:pPr>
    </w:p>
    <w:p>
      <w:pPr>
        <w:jc w:val="both"/>
        <w:ind w:left="8" w:firstLine="2289"/>
        <w:spacing w:after="0" w:line="257" w:lineRule="auto"/>
        <w:tabs>
          <w:tab w:leader="none" w:pos="2905" w:val="left"/>
        </w:tabs>
        <w:numPr>
          <w:ilvl w:val="1"/>
          <w:numId w:val="68"/>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Limitations on Forms of Consideration. </w:t>
      </w:r>
      <w:r>
        <w:rPr>
          <w:rFonts w:ascii="Arial" w:cs="Arial" w:eastAsia="Arial" w:hAnsi="Arial"/>
          <w:sz w:val="14"/>
          <w:szCs w:val="14"/>
          <w:color w:val="auto"/>
        </w:rPr>
        <w:t>The Company reserves, at any and all times, the right, in the Company’s sole and absolute discretion, to</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establish, decline to approve or terminate any program or procedure providing for payment of the Exercise Price through any of the means described below, including with respect to the Participant notwithstanding that such program or procedures may be available to others.</w:t>
      </w:r>
    </w:p>
    <w:p>
      <w:pPr>
        <w:spacing w:after="0" w:line="109" w:lineRule="exact"/>
        <w:rPr>
          <w:rFonts w:ascii="Arial" w:cs="Arial" w:eastAsia="Arial" w:hAnsi="Arial"/>
          <w:sz w:val="14"/>
          <w:szCs w:val="14"/>
          <w:color w:val="auto"/>
        </w:rPr>
      </w:pPr>
    </w:p>
    <w:p>
      <w:pPr>
        <w:jc w:val="both"/>
        <w:ind w:left="8" w:firstLine="3055"/>
        <w:spacing w:after="0" w:line="254" w:lineRule="auto"/>
        <w:tabs>
          <w:tab w:leader="none" w:pos="3639" w:val="left"/>
        </w:tabs>
        <w:numPr>
          <w:ilvl w:val="2"/>
          <w:numId w:val="68"/>
        </w:numPr>
        <w:rPr>
          <w:rFonts w:ascii="Arial" w:cs="Arial" w:eastAsia="Arial" w:hAnsi="Arial"/>
          <w:sz w:val="14"/>
          <w:szCs w:val="14"/>
          <w:color w:val="auto"/>
        </w:rPr>
      </w:pPr>
      <w:r>
        <w:rPr>
          <w:rFonts w:ascii="Arial" w:cs="Arial" w:eastAsia="Arial" w:hAnsi="Arial"/>
          <w:sz w:val="14"/>
          <w:szCs w:val="14"/>
          <w:b w:val="1"/>
          <w:bCs w:val="1"/>
          <w:color w:val="auto"/>
        </w:rPr>
        <w:t xml:space="preserve">Cashless Exercise. </w:t>
      </w:r>
      <w:r>
        <w:rPr>
          <w:rFonts w:ascii="Arial" w:cs="Arial" w:eastAsia="Arial" w:hAnsi="Arial"/>
          <w:sz w:val="14"/>
          <w:szCs w:val="14"/>
          <w:color w:val="auto"/>
        </w:rPr>
        <w:t>A</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w:t>
      </w:r>
      <w:r>
        <w:rPr>
          <w:rFonts w:ascii="Arial" w:cs="Arial" w:eastAsia="Arial" w:hAnsi="Arial"/>
          <w:sz w:val="14"/>
          <w:szCs w:val="14"/>
          <w:b w:val="1"/>
          <w:bCs w:val="1"/>
          <w:i w:val="1"/>
          <w:iCs w:val="1"/>
          <w:color w:val="auto"/>
        </w:rPr>
        <w:t>Cashless Exercise</w:t>
      </w:r>
      <w:r>
        <w:rPr>
          <w:rFonts w:ascii="Arial" w:cs="Arial" w:eastAsia="Arial" w:hAnsi="Arial"/>
          <w:sz w:val="14"/>
          <w:szCs w:val="14"/>
          <w:i w:val="1"/>
          <w:iCs w:val="1"/>
          <w:color w:val="auto"/>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means the delivery of a properly executed Exercise Notice together with irrevocable</w:t>
      </w:r>
      <w:r>
        <w:rPr>
          <w:rFonts w:ascii="Arial" w:cs="Arial" w:eastAsia="Arial" w:hAnsi="Arial"/>
          <w:sz w:val="14"/>
          <w:szCs w:val="14"/>
          <w:b w:val="1"/>
          <w:bCs w:val="1"/>
          <w:color w:val="auto"/>
        </w:rPr>
        <w:t xml:space="preserve"> </w:t>
      </w:r>
      <w:r>
        <w:rPr>
          <w:rFonts w:ascii="Arial" w:cs="Arial" w:eastAsia="Arial" w:hAnsi="Arial"/>
          <w:sz w:val="14"/>
          <w:szCs w:val="14"/>
          <w:color w:val="auto"/>
        </w:rPr>
        <w:t>instructions to a broker in a form acceptable to the Company providing for the assignment to the Company of the proceeds of a sale or loan with respect to shares of Stock acquired upon the exercise of the Option in an amount not less than the aggregate Exercise Price for such shares (including, without limitation, through an exercise complying with the provisions of Regulation T as promulgated from time to time by the Board of Governors of the Federal Reserve System).</w:t>
      </w:r>
    </w:p>
    <w:p>
      <w:pPr>
        <w:spacing w:after="0" w:line="111" w:lineRule="exact"/>
        <w:rPr>
          <w:rFonts w:ascii="Arial" w:cs="Arial" w:eastAsia="Arial" w:hAnsi="Arial"/>
          <w:sz w:val="14"/>
          <w:szCs w:val="14"/>
          <w:color w:val="auto"/>
        </w:rPr>
      </w:pPr>
    </w:p>
    <w:p>
      <w:pPr>
        <w:ind w:left="3668" w:hanging="605"/>
        <w:spacing w:after="0"/>
        <w:tabs>
          <w:tab w:leader="none" w:pos="3668" w:val="left"/>
        </w:tabs>
        <w:numPr>
          <w:ilvl w:val="2"/>
          <w:numId w:val="68"/>
        </w:numPr>
        <w:rPr>
          <w:rFonts w:ascii="Arial" w:cs="Arial" w:eastAsia="Arial" w:hAnsi="Arial"/>
          <w:sz w:val="13"/>
          <w:szCs w:val="13"/>
          <w:color w:val="auto"/>
        </w:rPr>
      </w:pPr>
      <w:r>
        <w:rPr>
          <w:rFonts w:ascii="Arial" w:cs="Arial" w:eastAsia="Arial" w:hAnsi="Arial"/>
          <w:sz w:val="13"/>
          <w:szCs w:val="13"/>
          <w:b w:val="1"/>
          <w:bCs w:val="1"/>
          <w:color w:val="auto"/>
        </w:rPr>
        <w:t xml:space="preserve">Net-Exercise. </w:t>
      </w:r>
      <w:r>
        <w:rPr>
          <w:rFonts w:ascii="Arial" w:cs="Arial" w:eastAsia="Arial" w:hAnsi="Arial"/>
          <w:sz w:val="13"/>
          <w:szCs w:val="13"/>
          <w:color w:val="auto"/>
        </w:rPr>
        <w:t>A</w:t>
      </w:r>
      <w:r>
        <w:rPr>
          <w:rFonts w:ascii="Arial" w:cs="Arial" w:eastAsia="Arial" w:hAnsi="Arial"/>
          <w:sz w:val="13"/>
          <w:szCs w:val="13"/>
          <w:b w:val="1"/>
          <w:bCs w:val="1"/>
          <w:color w:val="auto"/>
        </w:rPr>
        <w:t xml:space="preserve"> </w:t>
      </w:r>
      <w:r>
        <w:rPr>
          <w:rFonts w:ascii="Arial" w:cs="Arial" w:eastAsia="Arial" w:hAnsi="Arial"/>
          <w:sz w:val="13"/>
          <w:szCs w:val="13"/>
          <w:i w:val="1"/>
          <w:iCs w:val="1"/>
          <w:color w:val="auto"/>
        </w:rPr>
        <w:t>“</w:t>
      </w:r>
      <w:r>
        <w:rPr>
          <w:rFonts w:ascii="Arial" w:cs="Arial" w:eastAsia="Arial" w:hAnsi="Arial"/>
          <w:sz w:val="13"/>
          <w:szCs w:val="13"/>
          <w:b w:val="1"/>
          <w:bCs w:val="1"/>
          <w:i w:val="1"/>
          <w:iCs w:val="1"/>
          <w:color w:val="auto"/>
        </w:rPr>
        <w:t>Net-Exercise</w:t>
      </w:r>
      <w:r>
        <w:rPr>
          <w:rFonts w:ascii="Arial" w:cs="Arial" w:eastAsia="Arial" w:hAnsi="Arial"/>
          <w:sz w:val="13"/>
          <w:szCs w:val="13"/>
          <w:i w:val="1"/>
          <w:iCs w:val="1"/>
          <w:color w:val="auto"/>
        </w:rPr>
        <w:t>”</w:t>
      </w:r>
      <w:r>
        <w:rPr>
          <w:rFonts w:ascii="Arial" w:cs="Arial" w:eastAsia="Arial" w:hAnsi="Arial"/>
          <w:sz w:val="13"/>
          <w:szCs w:val="13"/>
          <w:b w:val="1"/>
          <w:bCs w:val="1"/>
          <w:color w:val="auto"/>
        </w:rPr>
        <w:t xml:space="preserve"> </w:t>
      </w:r>
      <w:r>
        <w:rPr>
          <w:rFonts w:ascii="Arial" w:cs="Arial" w:eastAsia="Arial" w:hAnsi="Arial"/>
          <w:sz w:val="13"/>
          <w:szCs w:val="13"/>
          <w:color w:val="auto"/>
        </w:rPr>
        <w:t>means the delivery of a properly executed Exercise Notice electing a procedure pursuant to which</w:t>
      </w:r>
    </w:p>
    <w:p>
      <w:pPr>
        <w:spacing w:after="0" w:line="28" w:lineRule="exact"/>
        <w:rPr>
          <w:rFonts w:ascii="Arial" w:cs="Arial" w:eastAsia="Arial" w:hAnsi="Arial"/>
          <w:sz w:val="13"/>
          <w:szCs w:val="13"/>
          <w:color w:val="auto"/>
        </w:rPr>
      </w:pPr>
    </w:p>
    <w:p>
      <w:pPr>
        <w:jc w:val="both"/>
        <w:ind w:left="8" w:hanging="8"/>
        <w:spacing w:after="0" w:line="271" w:lineRule="auto"/>
        <w:tabs>
          <w:tab w:leader="none" w:pos="212" w:val="left"/>
        </w:tabs>
        <w:numPr>
          <w:ilvl w:val="0"/>
          <w:numId w:val="69"/>
        </w:numPr>
        <w:rPr>
          <w:rFonts w:ascii="Arial" w:cs="Arial" w:eastAsia="Arial" w:hAnsi="Arial"/>
          <w:sz w:val="13"/>
          <w:szCs w:val="13"/>
          <w:color w:val="auto"/>
        </w:rPr>
      </w:pPr>
      <w:r>
        <w:rPr>
          <w:rFonts w:ascii="Arial" w:cs="Arial" w:eastAsia="Arial" w:hAnsi="Arial"/>
          <w:sz w:val="13"/>
          <w:szCs w:val="13"/>
          <w:color w:val="auto"/>
        </w:rPr>
        <w:t>the Company will reduce the number of shares otherwise issuable to the Participant upon the exercise of the Option by the largest whole number of shares having a Fair Market Value that does not exceed the aggregate Exercise Price for the shares with respect to which the Option is exercised, and (2) the Participant shall pay to the Company in cash the remaining balance of such aggregate Exercise Price not satisfied by such reduction in the number of whole shares to be issued. Following a Net-Exercise, the number of shares remaining subject to the Option, if any, shall be reduced by the sum of (1) the net number of shares issued to the Participant upon such exercise, and (2) the number of shares deducted by the Company for payment of the aggregate Exercise Price.</w:t>
      </w:r>
    </w:p>
    <w:p>
      <w:pPr>
        <w:spacing w:after="0" w:line="101" w:lineRule="exact"/>
        <w:rPr>
          <w:rFonts w:ascii="Arial" w:cs="Arial" w:eastAsia="Arial" w:hAnsi="Arial"/>
          <w:sz w:val="13"/>
          <w:szCs w:val="13"/>
          <w:color w:val="auto"/>
        </w:rPr>
      </w:pPr>
    </w:p>
    <w:p>
      <w:pPr>
        <w:ind w:left="3708" w:hanging="645"/>
        <w:spacing w:after="0"/>
        <w:tabs>
          <w:tab w:leader="none" w:pos="3708" w:val="left"/>
        </w:tabs>
        <w:numPr>
          <w:ilvl w:val="2"/>
          <w:numId w:val="69"/>
        </w:numPr>
        <w:rPr>
          <w:rFonts w:ascii="Arial" w:cs="Arial" w:eastAsia="Arial" w:hAnsi="Arial"/>
          <w:sz w:val="13"/>
          <w:szCs w:val="13"/>
          <w:color w:val="auto"/>
        </w:rPr>
      </w:pPr>
      <w:r>
        <w:rPr>
          <w:rFonts w:ascii="Arial" w:cs="Arial" w:eastAsia="Arial" w:hAnsi="Arial"/>
          <w:sz w:val="13"/>
          <w:szCs w:val="13"/>
          <w:b w:val="1"/>
          <w:bCs w:val="1"/>
          <w:color w:val="auto"/>
        </w:rPr>
        <w:t xml:space="preserve">Stock Tender Exercise. </w:t>
      </w:r>
      <w:r>
        <w:rPr>
          <w:rFonts w:ascii="Arial" w:cs="Arial" w:eastAsia="Arial" w:hAnsi="Arial"/>
          <w:sz w:val="13"/>
          <w:szCs w:val="13"/>
          <w:color w:val="auto"/>
        </w:rPr>
        <w:t>A</w:t>
      </w:r>
      <w:r>
        <w:rPr>
          <w:rFonts w:ascii="Arial" w:cs="Arial" w:eastAsia="Arial" w:hAnsi="Arial"/>
          <w:sz w:val="13"/>
          <w:szCs w:val="13"/>
          <w:b w:val="1"/>
          <w:bCs w:val="1"/>
          <w:color w:val="auto"/>
        </w:rPr>
        <w:t xml:space="preserve"> </w:t>
      </w:r>
      <w:r>
        <w:rPr>
          <w:rFonts w:ascii="Arial" w:cs="Arial" w:eastAsia="Arial" w:hAnsi="Arial"/>
          <w:sz w:val="13"/>
          <w:szCs w:val="13"/>
          <w:i w:val="1"/>
          <w:iCs w:val="1"/>
          <w:color w:val="auto"/>
        </w:rPr>
        <w:t>“</w:t>
      </w:r>
      <w:r>
        <w:rPr>
          <w:rFonts w:ascii="Arial" w:cs="Arial" w:eastAsia="Arial" w:hAnsi="Arial"/>
          <w:sz w:val="13"/>
          <w:szCs w:val="13"/>
          <w:b w:val="1"/>
          <w:bCs w:val="1"/>
          <w:i w:val="1"/>
          <w:iCs w:val="1"/>
          <w:color w:val="auto"/>
        </w:rPr>
        <w:t>Stock Tender Exercise</w:t>
      </w:r>
      <w:r>
        <w:rPr>
          <w:rFonts w:ascii="Arial" w:cs="Arial" w:eastAsia="Arial" w:hAnsi="Arial"/>
          <w:sz w:val="13"/>
          <w:szCs w:val="13"/>
          <w:i w:val="1"/>
          <w:iCs w:val="1"/>
          <w:color w:val="auto"/>
        </w:rPr>
        <w:t>”</w:t>
      </w:r>
      <w:r>
        <w:rPr>
          <w:rFonts w:ascii="Arial" w:cs="Arial" w:eastAsia="Arial" w:hAnsi="Arial"/>
          <w:sz w:val="13"/>
          <w:szCs w:val="13"/>
          <w:b w:val="1"/>
          <w:bCs w:val="1"/>
          <w:color w:val="auto"/>
        </w:rPr>
        <w:t xml:space="preserve"> </w:t>
      </w:r>
      <w:r>
        <w:rPr>
          <w:rFonts w:ascii="Arial" w:cs="Arial" w:eastAsia="Arial" w:hAnsi="Arial"/>
          <w:sz w:val="13"/>
          <w:szCs w:val="13"/>
          <w:color w:val="auto"/>
        </w:rPr>
        <w:t>means the delivery of a properly executed Exercise Notice accompanied by</w:t>
      </w:r>
    </w:p>
    <w:p>
      <w:pPr>
        <w:spacing w:after="0" w:line="28" w:lineRule="exact"/>
        <w:rPr>
          <w:rFonts w:ascii="Arial" w:cs="Arial" w:eastAsia="Arial" w:hAnsi="Arial"/>
          <w:sz w:val="13"/>
          <w:szCs w:val="13"/>
          <w:color w:val="auto"/>
        </w:rPr>
      </w:pPr>
    </w:p>
    <w:p>
      <w:pPr>
        <w:jc w:val="both"/>
        <w:ind w:left="8" w:hanging="8"/>
        <w:spacing w:after="0" w:line="245" w:lineRule="auto"/>
        <w:tabs>
          <w:tab w:leader="none" w:pos="227" w:val="left"/>
        </w:tabs>
        <w:numPr>
          <w:ilvl w:val="0"/>
          <w:numId w:val="70"/>
        </w:numPr>
        <w:rPr>
          <w:rFonts w:ascii="Arial" w:cs="Arial" w:eastAsia="Arial" w:hAnsi="Arial"/>
          <w:sz w:val="14"/>
          <w:szCs w:val="14"/>
          <w:color w:val="auto"/>
        </w:rPr>
      </w:pPr>
      <w:r>
        <w:rPr>
          <w:rFonts w:ascii="Arial" w:cs="Arial" w:eastAsia="Arial" w:hAnsi="Arial"/>
          <w:sz w:val="14"/>
          <w:szCs w:val="14"/>
          <w:color w:val="auto"/>
        </w:rPr>
        <w:t>the Participant’s tender to the Company, or attestation to the ownership, in a form acceptable to the Company of whole shares of Stock having a Fair Market Value that does not exceed the aggregate Exercise Price for the shares with respect to which the Option is exercised, and (2) the Participant’s payment to the Company in cash of the remaining balance of such aggregate Exercise Price not satisfied by such shares’ Fair Market Value. A Stock Tender Exercise shall not be permitted if it would constitute a violation of the provisions of any law, regulation or agreement restricting the redemption of the Company’s stock. If required by the Company, the Option may not be exercised by tender to the Company, or attestation to the ownership, of shares of Stock unless such shares either have been owned by the Participant for</w:t>
      </w:r>
    </w:p>
    <w:p>
      <w:pPr>
        <w:spacing w:after="0" w:line="103" w:lineRule="exact"/>
        <w:rPr>
          <w:sz w:val="20"/>
          <w:szCs w:val="20"/>
          <w:color w:val="auto"/>
        </w:rPr>
      </w:pPr>
    </w:p>
    <w:p>
      <w:pPr>
        <w:ind w:left="768"/>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100330</wp:posOffset>
            </wp:positionV>
            <wp:extent cx="7329170" cy="3683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15">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8"/>
          </w:cols>
          <w:pgMar w:left="212" w:top="269" w:right="199" w:bottom="1440" w:gutter="0" w:footer="0" w:header="0"/>
        </w:sectPr>
      </w:pPr>
    </w:p>
    <w:bookmarkStart w:id="136" w:name="page137"/>
    <w:bookmarkEnd w:id="136"/>
    <w:p>
      <w:pPr>
        <w:spacing w:after="0"/>
        <w:rPr>
          <w:sz w:val="20"/>
          <w:szCs w:val="20"/>
          <w:color w:val="auto"/>
        </w:rPr>
      </w:pPr>
      <w:r>
        <w:rPr>
          <w:rFonts w:ascii="Arial" w:cs="Arial" w:eastAsia="Arial" w:hAnsi="Arial"/>
          <w:sz w:val="14"/>
          <w:szCs w:val="14"/>
          <w:color w:val="auto"/>
        </w:rPr>
        <w:t>a period of time required by the Company (and not used for another option exercise by attestation during such period) or were not acquired, directly or indirectly, from the Company.</w:t>
      </w:r>
    </w:p>
    <w:p>
      <w:pPr>
        <w:spacing w:after="0" w:line="141" w:lineRule="exact"/>
        <w:rPr>
          <w:sz w:val="20"/>
          <w:szCs w:val="20"/>
          <w:color w:val="auto"/>
        </w:rPr>
      </w:pPr>
    </w:p>
    <w:p>
      <w:pPr>
        <w:ind w:left="1520"/>
        <w:spacing w:after="0"/>
        <w:tabs>
          <w:tab w:leader="none" w:pos="2120" w:val="left"/>
        </w:tabs>
        <w:rPr>
          <w:sz w:val="20"/>
          <w:szCs w:val="20"/>
          <w:color w:val="auto"/>
        </w:rPr>
      </w:pPr>
      <w:r>
        <w:rPr>
          <w:rFonts w:ascii="Arial" w:cs="Arial" w:eastAsia="Arial" w:hAnsi="Arial"/>
          <w:sz w:val="14"/>
          <w:szCs w:val="14"/>
          <w:color w:val="auto"/>
        </w:rPr>
        <w:t>4.4</w:t>
      </w:r>
      <w:r>
        <w:rPr>
          <w:sz w:val="20"/>
          <w:szCs w:val="20"/>
          <w:color w:val="auto"/>
        </w:rPr>
        <w:tab/>
      </w:r>
      <w:r>
        <w:rPr>
          <w:rFonts w:ascii="Arial" w:cs="Arial" w:eastAsia="Arial" w:hAnsi="Arial"/>
          <w:sz w:val="13"/>
          <w:szCs w:val="13"/>
          <w:b w:val="1"/>
          <w:bCs w:val="1"/>
          <w:color w:val="auto"/>
        </w:rPr>
        <w:t>Tax Withholding</w:t>
      </w:r>
      <w:r>
        <w:rPr>
          <w:rFonts w:ascii="Arial" w:cs="Arial" w:eastAsia="Arial" w:hAnsi="Arial"/>
          <w:sz w:val="13"/>
          <w:szCs w:val="13"/>
          <w:b w:val="1"/>
          <w:bCs w:val="1"/>
          <w:i w:val="1"/>
          <w:iCs w:val="1"/>
          <w:color w:val="auto"/>
        </w:rPr>
        <w:t>.</w:t>
      </w:r>
    </w:p>
    <w:p>
      <w:pPr>
        <w:spacing w:after="0" w:line="149" w:lineRule="exact"/>
        <w:rPr>
          <w:sz w:val="20"/>
          <w:szCs w:val="20"/>
          <w:color w:val="auto"/>
        </w:rPr>
      </w:pPr>
    </w:p>
    <w:p>
      <w:pPr>
        <w:jc w:val="both"/>
        <w:ind w:firstLine="2289"/>
        <w:spacing w:after="0" w:line="249" w:lineRule="auto"/>
        <w:tabs>
          <w:tab w:leader="none" w:pos="2889" w:val="left"/>
        </w:tabs>
        <w:numPr>
          <w:ilvl w:val="0"/>
          <w:numId w:val="71"/>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In General. </w:t>
      </w:r>
      <w:r>
        <w:rPr>
          <w:rFonts w:ascii="Arial" w:cs="Arial" w:eastAsia="Arial" w:hAnsi="Arial"/>
          <w:sz w:val="14"/>
          <w:szCs w:val="14"/>
          <w:color w:val="auto"/>
        </w:rPr>
        <w:t>At the time the Option is exercised, in whole or in part, or at any time thereafter as requested by a Participating Company, the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Participant hereby authorizes withholding from payroll and any other amounts payable to the Participant, and otherwise agrees to make adequate provision for (including by means of a Cashless Exercise to the extent permitted by the Company), any sums required to satisfy the federal, state, local and foreign tax (including any social insurance) withholding obligations of the Participating Company Group, if any, which arise in connection with the Option. The Company shall have no obligation to deliver shares of Stock until the tax withholding obligations of the Participating Company Group have been satisfied by the Participant.</w:t>
      </w:r>
    </w:p>
    <w:p>
      <w:pPr>
        <w:spacing w:after="0" w:line="115" w:lineRule="exact"/>
        <w:rPr>
          <w:rFonts w:ascii="Arial" w:cs="Arial" w:eastAsia="Arial" w:hAnsi="Arial"/>
          <w:sz w:val="14"/>
          <w:szCs w:val="14"/>
          <w:color w:val="auto"/>
        </w:rPr>
      </w:pPr>
    </w:p>
    <w:p>
      <w:pPr>
        <w:jc w:val="both"/>
        <w:ind w:firstLine="2289"/>
        <w:spacing w:after="0" w:line="254" w:lineRule="auto"/>
        <w:tabs>
          <w:tab w:leader="none" w:pos="2897" w:val="left"/>
        </w:tabs>
        <w:numPr>
          <w:ilvl w:val="0"/>
          <w:numId w:val="71"/>
        </w:numPr>
        <w:rPr>
          <w:rFonts w:ascii="Arial" w:cs="Arial" w:eastAsia="Arial" w:hAnsi="Arial"/>
          <w:sz w:val="14"/>
          <w:szCs w:val="14"/>
          <w:color w:val="auto"/>
        </w:rPr>
      </w:pPr>
      <w:r>
        <w:rPr>
          <w:rFonts w:ascii="Arial" w:cs="Arial" w:eastAsia="Arial" w:hAnsi="Arial"/>
          <w:sz w:val="14"/>
          <w:szCs w:val="14"/>
          <w:b w:val="1"/>
          <w:bCs w:val="1"/>
          <w:i w:val="1"/>
          <w:iCs w:val="1"/>
          <w:color w:val="auto"/>
        </w:rPr>
        <w:t>Withholding in Shares</w:t>
      </w:r>
      <w:r>
        <w:rPr>
          <w:rFonts w:ascii="Arial" w:cs="Arial" w:eastAsia="Arial" w:hAnsi="Arial"/>
          <w:sz w:val="14"/>
          <w:szCs w:val="14"/>
          <w:b w:val="1"/>
          <w:bCs w:val="1"/>
          <w:color w:val="auto"/>
        </w:rPr>
        <w: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The Company shall have the right, but not the obligation, to require the Participant to satisfy all or any portion of a</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Participating Company’s tax withholding obligations upon exercise of the Option by deducting from the shares of Stock otherwise issuable to the Participant upon such exercise a number of whole shares having a fair market value, as determined by the Company as of the date of exercise, not in excess of the amount of such tax withholding obligations determined by the applicable minimum statutory withholding rates if required to avoid liability classification of the Option under generally accepted accounting principles in the United States.</w:t>
      </w:r>
    </w:p>
    <w:p>
      <w:pPr>
        <w:spacing w:after="0" w:line="111" w:lineRule="exact"/>
        <w:rPr>
          <w:sz w:val="20"/>
          <w:szCs w:val="20"/>
          <w:color w:val="auto"/>
        </w:rPr>
      </w:pPr>
    </w:p>
    <w:p>
      <w:pPr>
        <w:jc w:val="both"/>
        <w:ind w:firstLine="1531"/>
        <w:spacing w:after="0" w:line="254" w:lineRule="auto"/>
        <w:rPr>
          <w:sz w:val="20"/>
          <w:szCs w:val="20"/>
          <w:color w:val="auto"/>
        </w:rPr>
      </w:pPr>
      <w:r>
        <w:rPr>
          <w:rFonts w:ascii="Arial" w:cs="Arial" w:eastAsia="Arial" w:hAnsi="Arial"/>
          <w:sz w:val="14"/>
          <w:szCs w:val="14"/>
          <w:color w:val="auto"/>
        </w:rPr>
        <w:t xml:space="preserve">4.5 </w:t>
      </w:r>
      <w:r>
        <w:rPr>
          <w:rFonts w:ascii="Arial" w:cs="Arial" w:eastAsia="Arial" w:hAnsi="Arial"/>
          <w:sz w:val="14"/>
          <w:szCs w:val="14"/>
          <w:b w:val="1"/>
          <w:bCs w:val="1"/>
          <w:color w:val="auto"/>
        </w:rPr>
        <w:t>Beneficial Ownership of Shares; Certificate Registration</w:t>
      </w:r>
      <w:r>
        <w:rPr>
          <w:rFonts w:ascii="Arial" w:cs="Arial" w:eastAsia="Arial" w:hAnsi="Arial"/>
          <w:sz w:val="14"/>
          <w:szCs w:val="14"/>
          <w:b w:val="1"/>
          <w:bCs w:val="1"/>
          <w:i w:val="1"/>
          <w:iCs w:val="1"/>
          <w:color w:val="auto"/>
        </w:rPr>
        <w:t>.</w:t>
      </w:r>
      <w:r>
        <w:rPr>
          <w:rFonts w:ascii="Arial" w:cs="Arial" w:eastAsia="Arial" w:hAnsi="Arial"/>
          <w:sz w:val="14"/>
          <w:szCs w:val="14"/>
          <w:color w:val="auto"/>
        </w:rPr>
        <w:t xml:space="preserve"> The Participant hereby authorizes the Company, in its sole discretion, to deposit for the benefit of the Participant with any broker with which the Participant has an account relationship of which the Company has notice any or all shares acquired by the Participant pursuant to the exercise of the Option. Except as provided by the preceding sentence, a certificate for the shares as to which the Option is exercised shall be registered in the name of the Participant, or, if applicable, in the names of the heirs of the Participant.</w:t>
      </w:r>
    </w:p>
    <w:p>
      <w:pPr>
        <w:spacing w:after="0" w:line="111" w:lineRule="exact"/>
        <w:rPr>
          <w:sz w:val="20"/>
          <w:szCs w:val="20"/>
          <w:color w:val="auto"/>
        </w:rPr>
      </w:pPr>
    </w:p>
    <w:p>
      <w:pPr>
        <w:jc w:val="both"/>
        <w:ind w:firstLine="1531"/>
        <w:spacing w:after="0" w:line="266" w:lineRule="auto"/>
        <w:rPr>
          <w:sz w:val="20"/>
          <w:szCs w:val="20"/>
          <w:color w:val="auto"/>
        </w:rPr>
      </w:pPr>
      <w:r>
        <w:rPr>
          <w:rFonts w:ascii="Arial" w:cs="Arial" w:eastAsia="Arial" w:hAnsi="Arial"/>
          <w:sz w:val="13"/>
          <w:szCs w:val="13"/>
          <w:color w:val="auto"/>
        </w:rPr>
        <w:t xml:space="preserve">4.6 </w:t>
      </w:r>
      <w:r>
        <w:rPr>
          <w:rFonts w:ascii="Arial" w:cs="Arial" w:eastAsia="Arial" w:hAnsi="Arial"/>
          <w:sz w:val="13"/>
          <w:szCs w:val="13"/>
          <w:b w:val="1"/>
          <w:bCs w:val="1"/>
          <w:color w:val="auto"/>
        </w:rPr>
        <w:t>Restrictions on Grant of the Option and Issuance of Shares</w:t>
      </w:r>
      <w:r>
        <w:rPr>
          <w:rFonts w:ascii="Arial" w:cs="Arial" w:eastAsia="Arial" w:hAnsi="Arial"/>
          <w:sz w:val="13"/>
          <w:szCs w:val="13"/>
          <w:b w:val="1"/>
          <w:bCs w:val="1"/>
          <w:i w:val="1"/>
          <w:iCs w:val="1"/>
          <w:color w:val="auto"/>
        </w:rPr>
        <w:t>.</w:t>
      </w:r>
      <w:r>
        <w:rPr>
          <w:rFonts w:ascii="Arial" w:cs="Arial" w:eastAsia="Arial" w:hAnsi="Arial"/>
          <w:sz w:val="13"/>
          <w:szCs w:val="13"/>
          <w:color w:val="auto"/>
        </w:rPr>
        <w:t xml:space="preserve"> The grant of the Option and the issuance of shares of Stock upon exercise of the Option shall be subject to compliance with all applicable requirements of federal, state or foreign law with respect to such securities. The Option may not be exercised if the issuance of shares of Stock upon exercise would constitute a violation of any applicable federal, state or foreign securities laws or other law or regulations or the requirements of any stock exchange or market system upon which the Stock may then be listed. In addition, the Option may not be exercised unless (i) a registration statement under the Securities Act shall at the time of exercise of the Option be in effect with respect to the shares issuable upon exercise of the Option or (ii) in the opinion of legal counsel to the Company, the shares issuable upon exercise of the Option may be issued in accordance with the terms of an applicable exemption from the registration requirements of the Securities Act. THE PARTICIPANT IS CAUTIONED THAT THE OPTION MAY NOT BE EXERCISED UNLESS THE FOREGOING CONDITIONS ARE SATISFIED. ACCORDINGLY, THE PARTICIPANT MAY NOT BE ABLE TO EXERCISE THE OPTION WHEN DESIRED EVEN THOUGH THE OPTION IS VESTED. The inability of the Company to obtain from any regulatory body having jurisdiction the authority, if any, deemed by the Company’s legal counsel to be necessary to the lawful issuance and sale of any shares subject to the Option shall relieve the Company of any liability in respect of the failure to issue or sell such shares as to which such requisite authority shall not have been obtained. As a condition to the exercise of the Option, the Company may require the Participant to satisfy any qualifications that may be necessary or appropriate, to evidence compliance with any applicable law or regulation and to make any representation or warranty with respect thereto as may be requested by the Company.</w:t>
      </w:r>
    </w:p>
    <w:p>
      <w:pPr>
        <w:spacing w:after="0" w:line="105" w:lineRule="exact"/>
        <w:rPr>
          <w:sz w:val="20"/>
          <w:szCs w:val="20"/>
          <w:color w:val="auto"/>
        </w:rPr>
      </w:pPr>
    </w:p>
    <w:p>
      <w:pPr>
        <w:ind w:left="1520"/>
        <w:spacing w:after="0"/>
        <w:tabs>
          <w:tab w:leader="none" w:pos="2120" w:val="left"/>
        </w:tabs>
        <w:rPr>
          <w:sz w:val="20"/>
          <w:szCs w:val="20"/>
          <w:color w:val="auto"/>
        </w:rPr>
      </w:pPr>
      <w:r>
        <w:rPr>
          <w:rFonts w:ascii="Arial" w:cs="Arial" w:eastAsia="Arial" w:hAnsi="Arial"/>
          <w:sz w:val="14"/>
          <w:szCs w:val="14"/>
          <w:color w:val="auto"/>
        </w:rPr>
        <w:t>4.7</w:t>
      </w:r>
      <w:r>
        <w:rPr>
          <w:sz w:val="20"/>
          <w:szCs w:val="20"/>
          <w:color w:val="auto"/>
        </w:rPr>
        <w:tab/>
      </w:r>
      <w:r>
        <w:rPr>
          <w:rFonts w:ascii="Arial" w:cs="Arial" w:eastAsia="Arial" w:hAnsi="Arial"/>
          <w:sz w:val="13"/>
          <w:szCs w:val="13"/>
          <w:b w:val="1"/>
          <w:bCs w:val="1"/>
          <w:color w:val="auto"/>
        </w:rPr>
        <w:t>Fractional Shares</w:t>
      </w:r>
      <w:r>
        <w:rPr>
          <w:rFonts w:ascii="Arial" w:cs="Arial" w:eastAsia="Arial" w:hAnsi="Arial"/>
          <w:sz w:val="13"/>
          <w:szCs w:val="13"/>
          <w:b w:val="1"/>
          <w:bCs w:val="1"/>
          <w:i w:val="1"/>
          <w:iCs w:val="1"/>
          <w:color w:val="auto"/>
        </w:rPr>
        <w:t>.</w:t>
      </w:r>
      <w:r>
        <w:rPr>
          <w:rFonts w:ascii="Arial" w:cs="Arial" w:eastAsia="Arial" w:hAnsi="Arial"/>
          <w:sz w:val="13"/>
          <w:szCs w:val="13"/>
          <w:b w:val="1"/>
          <w:bCs w:val="1"/>
          <w:color w:val="auto"/>
        </w:rPr>
        <w:t xml:space="preserve"> </w:t>
      </w:r>
      <w:r>
        <w:rPr>
          <w:rFonts w:ascii="Arial" w:cs="Arial" w:eastAsia="Arial" w:hAnsi="Arial"/>
          <w:sz w:val="13"/>
          <w:szCs w:val="13"/>
          <w:color w:val="auto"/>
        </w:rPr>
        <w:t>The Company shall not be required to issue fractional shares upon the exercise of the Option.</w:t>
      </w:r>
    </w:p>
    <w:p>
      <w:pPr>
        <w:spacing w:after="0" w:line="131" w:lineRule="exact"/>
        <w:rPr>
          <w:sz w:val="20"/>
          <w:szCs w:val="20"/>
          <w:color w:val="auto"/>
        </w:rPr>
      </w:pPr>
    </w:p>
    <w:p>
      <w:pPr>
        <w:ind w:left="760"/>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100330</wp:posOffset>
            </wp:positionV>
            <wp:extent cx="7329170" cy="3683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16">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269" w:right="199" w:bottom="1440" w:gutter="0" w:footer="0" w:header="0"/>
        </w:sectPr>
      </w:pPr>
    </w:p>
    <w:bookmarkStart w:id="137" w:name="page138"/>
    <w:bookmarkEnd w:id="137"/>
    <w:p>
      <w:pPr>
        <w:ind w:left="1300" w:hanging="542"/>
        <w:spacing w:after="0"/>
        <w:tabs>
          <w:tab w:leader="none" w:pos="1300" w:val="left"/>
        </w:tabs>
        <w:numPr>
          <w:ilvl w:val="0"/>
          <w:numId w:val="72"/>
        </w:numPr>
        <w:rPr>
          <w:rFonts w:ascii="Arial" w:cs="Arial" w:eastAsia="Arial" w:hAnsi="Arial"/>
          <w:sz w:val="14"/>
          <w:szCs w:val="14"/>
          <w:color w:val="auto"/>
        </w:rPr>
      </w:pPr>
      <w:r>
        <w:rPr>
          <w:rFonts w:ascii="Arial" w:cs="Arial" w:eastAsia="Arial" w:hAnsi="Arial"/>
          <w:sz w:val="14"/>
          <w:szCs w:val="14"/>
          <w:b w:val="1"/>
          <w:bCs w:val="1"/>
          <w:u w:val="single" w:color="auto"/>
          <w:color w:val="auto"/>
        </w:rPr>
        <w:t>N</w:t>
      </w:r>
      <w:r>
        <w:rPr>
          <w:rFonts w:ascii="Arial" w:cs="Arial" w:eastAsia="Arial" w:hAnsi="Arial"/>
          <w:sz w:val="9"/>
          <w:szCs w:val="9"/>
          <w:b w:val="1"/>
          <w:bCs w:val="1"/>
          <w:u w:val="single" w:color="auto"/>
          <w:color w:val="auto"/>
        </w:rPr>
        <w:t>ONTRANSFERABILITY OF THE</w:t>
      </w:r>
      <w:r>
        <w:rPr>
          <w:rFonts w:ascii="Arial" w:cs="Arial" w:eastAsia="Arial" w:hAnsi="Arial"/>
          <w:sz w:val="14"/>
          <w:szCs w:val="14"/>
          <w:b w:val="1"/>
          <w:bCs w:val="1"/>
          <w:color w:val="auto"/>
        </w:rPr>
        <w:t xml:space="preserve"> </w:t>
      </w:r>
      <w:r>
        <w:rPr>
          <w:rFonts w:ascii="Arial" w:cs="Arial" w:eastAsia="Arial" w:hAnsi="Arial"/>
          <w:sz w:val="14"/>
          <w:szCs w:val="14"/>
          <w:b w:val="1"/>
          <w:bCs w:val="1"/>
          <w:u w:val="single" w:color="auto"/>
          <w:color w:val="auto"/>
        </w:rPr>
        <w:t>O</w:t>
      </w:r>
      <w:r>
        <w:rPr>
          <w:rFonts w:ascii="Arial" w:cs="Arial" w:eastAsia="Arial" w:hAnsi="Arial"/>
          <w:sz w:val="9"/>
          <w:szCs w:val="9"/>
          <w:b w:val="1"/>
          <w:bCs w:val="1"/>
          <w:u w:val="single" w:color="auto"/>
          <w:color w:val="auto"/>
        </w:rPr>
        <w:t>PTION</w:t>
      </w:r>
      <w:r>
        <w:rPr>
          <w:rFonts w:ascii="Arial" w:cs="Arial" w:eastAsia="Arial" w:hAnsi="Arial"/>
          <w:sz w:val="14"/>
          <w:szCs w:val="14"/>
          <w:b w:val="1"/>
          <w:bCs w:val="1"/>
          <w:color w:val="auto"/>
        </w:rPr>
        <w:t>.</w:t>
      </w:r>
    </w:p>
    <w:p>
      <w:pPr>
        <w:spacing w:after="0" w:line="149" w:lineRule="exact"/>
        <w:rPr>
          <w:sz w:val="20"/>
          <w:szCs w:val="20"/>
          <w:color w:val="auto"/>
        </w:rPr>
      </w:pPr>
    </w:p>
    <w:p>
      <w:pPr>
        <w:jc w:val="both"/>
        <w:ind w:firstLine="1531"/>
        <w:spacing w:after="0" w:line="252" w:lineRule="auto"/>
        <w:rPr>
          <w:sz w:val="20"/>
          <w:szCs w:val="20"/>
          <w:color w:val="auto"/>
        </w:rPr>
      </w:pPr>
      <w:r>
        <w:rPr>
          <w:rFonts w:ascii="Arial" w:cs="Arial" w:eastAsia="Arial" w:hAnsi="Arial"/>
          <w:sz w:val="14"/>
          <w:szCs w:val="14"/>
          <w:color w:val="auto"/>
        </w:rPr>
        <w:t>During the lifetime of the Participant, the Option shall be exercisable only by the Participant or the Participant’s guardian or legal representative. The Option shall not be subject in any manner to anticipation, alienation, sale, exchange, transfer, assignment, pledge, encumbrance, or garnishment by creditors of the Participant or the Participant’s beneficiary, except transfer by will or by the laws of descent and distribution. Following the death of the Participant, the Option, to the extent provided in Section 7, may be exercised by the Participant’s legal representative or by any person empowered to do so under the deceased Participant’s will or under the then applicable laws of descent and distribution.</w:t>
      </w:r>
    </w:p>
    <w:p>
      <w:pPr>
        <w:spacing w:after="0" w:line="112" w:lineRule="exact"/>
        <w:rPr>
          <w:sz w:val="20"/>
          <w:szCs w:val="20"/>
          <w:color w:val="auto"/>
        </w:rPr>
      </w:pPr>
    </w:p>
    <w:p>
      <w:pPr>
        <w:ind w:left="1300" w:hanging="542"/>
        <w:spacing w:after="0"/>
        <w:tabs>
          <w:tab w:leader="none" w:pos="1300" w:val="left"/>
        </w:tabs>
        <w:numPr>
          <w:ilvl w:val="0"/>
          <w:numId w:val="73"/>
        </w:numPr>
        <w:rPr>
          <w:rFonts w:ascii="Arial" w:cs="Arial" w:eastAsia="Arial" w:hAnsi="Arial"/>
          <w:sz w:val="14"/>
          <w:szCs w:val="14"/>
          <w:color w:val="auto"/>
        </w:rPr>
      </w:pPr>
      <w:r>
        <w:rPr>
          <w:rFonts w:ascii="Arial" w:cs="Arial" w:eastAsia="Arial" w:hAnsi="Arial"/>
          <w:sz w:val="14"/>
          <w:szCs w:val="14"/>
          <w:b w:val="1"/>
          <w:bCs w:val="1"/>
          <w:u w:val="single" w:color="auto"/>
          <w:color w:val="auto"/>
        </w:rPr>
        <w:t>T</w:t>
      </w:r>
      <w:r>
        <w:rPr>
          <w:rFonts w:ascii="Arial" w:cs="Arial" w:eastAsia="Arial" w:hAnsi="Arial"/>
          <w:sz w:val="9"/>
          <w:szCs w:val="9"/>
          <w:b w:val="1"/>
          <w:bCs w:val="1"/>
          <w:u w:val="single" w:color="auto"/>
          <w:color w:val="auto"/>
        </w:rPr>
        <w:t>ERMINATION OF THE</w:t>
      </w:r>
      <w:r>
        <w:rPr>
          <w:rFonts w:ascii="Arial" w:cs="Arial" w:eastAsia="Arial" w:hAnsi="Arial"/>
          <w:sz w:val="14"/>
          <w:szCs w:val="14"/>
          <w:b w:val="1"/>
          <w:bCs w:val="1"/>
          <w:color w:val="auto"/>
        </w:rPr>
        <w:t xml:space="preserve"> </w:t>
      </w:r>
      <w:r>
        <w:rPr>
          <w:rFonts w:ascii="Arial" w:cs="Arial" w:eastAsia="Arial" w:hAnsi="Arial"/>
          <w:sz w:val="14"/>
          <w:szCs w:val="14"/>
          <w:b w:val="1"/>
          <w:bCs w:val="1"/>
          <w:u w:val="single" w:color="auto"/>
          <w:color w:val="auto"/>
        </w:rPr>
        <w:t>O</w:t>
      </w:r>
      <w:r>
        <w:rPr>
          <w:rFonts w:ascii="Arial" w:cs="Arial" w:eastAsia="Arial" w:hAnsi="Arial"/>
          <w:sz w:val="9"/>
          <w:szCs w:val="9"/>
          <w:b w:val="1"/>
          <w:bCs w:val="1"/>
          <w:u w:val="single" w:color="auto"/>
          <w:color w:val="auto"/>
        </w:rPr>
        <w:t>PTION</w:t>
      </w:r>
      <w:r>
        <w:rPr>
          <w:rFonts w:ascii="Arial" w:cs="Arial" w:eastAsia="Arial" w:hAnsi="Arial"/>
          <w:sz w:val="14"/>
          <w:szCs w:val="14"/>
          <w:b w:val="1"/>
          <w:bCs w:val="1"/>
          <w:color w:val="auto"/>
        </w:rPr>
        <w:t>.</w:t>
      </w:r>
    </w:p>
    <w:p>
      <w:pPr>
        <w:spacing w:after="0" w:line="149" w:lineRule="exact"/>
        <w:rPr>
          <w:sz w:val="20"/>
          <w:szCs w:val="20"/>
          <w:color w:val="auto"/>
        </w:rPr>
      </w:pPr>
    </w:p>
    <w:p>
      <w:pPr>
        <w:ind w:firstLine="1531"/>
        <w:spacing w:after="0" w:line="313" w:lineRule="auto"/>
        <w:rPr>
          <w:sz w:val="20"/>
          <w:szCs w:val="20"/>
          <w:color w:val="auto"/>
        </w:rPr>
      </w:pPr>
      <w:r>
        <w:rPr>
          <w:rFonts w:ascii="Arial" w:cs="Arial" w:eastAsia="Arial" w:hAnsi="Arial"/>
          <w:sz w:val="13"/>
          <w:szCs w:val="13"/>
          <w:color w:val="auto"/>
        </w:rPr>
        <w:t>The Option shall terminate and may no longer be exercised after the first to occur of (a) the close of business on the Option Expiration Date, (b) the close of business on the last date for exercising the Option following termination of the Participant’s Service as described in Section 7, or (c) a Change in Control to the extent provided in Section 8.</w:t>
      </w:r>
    </w:p>
    <w:p>
      <w:pPr>
        <w:spacing w:after="0" w:line="74" w:lineRule="exact"/>
        <w:rPr>
          <w:sz w:val="20"/>
          <w:szCs w:val="20"/>
          <w:color w:val="auto"/>
        </w:rPr>
      </w:pPr>
    </w:p>
    <w:p>
      <w:pPr>
        <w:ind w:left="1300" w:hanging="542"/>
        <w:spacing w:after="0"/>
        <w:tabs>
          <w:tab w:leader="none" w:pos="1300" w:val="left"/>
        </w:tabs>
        <w:numPr>
          <w:ilvl w:val="0"/>
          <w:numId w:val="74"/>
        </w:numPr>
        <w:rPr>
          <w:rFonts w:ascii="Arial" w:cs="Arial" w:eastAsia="Arial" w:hAnsi="Arial"/>
          <w:sz w:val="14"/>
          <w:szCs w:val="14"/>
          <w:color w:val="auto"/>
        </w:rPr>
      </w:pPr>
      <w:r>
        <w:rPr>
          <w:rFonts w:ascii="Arial" w:cs="Arial" w:eastAsia="Arial" w:hAnsi="Arial"/>
          <w:sz w:val="14"/>
          <w:szCs w:val="14"/>
          <w:b w:val="1"/>
          <w:bCs w:val="1"/>
          <w:u w:val="single" w:color="auto"/>
          <w:color w:val="auto"/>
        </w:rPr>
        <w:t>E</w:t>
      </w:r>
      <w:r>
        <w:rPr>
          <w:rFonts w:ascii="Arial" w:cs="Arial" w:eastAsia="Arial" w:hAnsi="Arial"/>
          <w:sz w:val="9"/>
          <w:szCs w:val="9"/>
          <w:b w:val="1"/>
          <w:bCs w:val="1"/>
          <w:u w:val="single" w:color="auto"/>
          <w:color w:val="auto"/>
        </w:rPr>
        <w:t>FFECT OF</w:t>
      </w:r>
      <w:r>
        <w:rPr>
          <w:rFonts w:ascii="Arial" w:cs="Arial" w:eastAsia="Arial" w:hAnsi="Arial"/>
          <w:sz w:val="14"/>
          <w:szCs w:val="14"/>
          <w:b w:val="1"/>
          <w:bCs w:val="1"/>
          <w:color w:val="auto"/>
        </w:rPr>
        <w:t xml:space="preserve"> </w:t>
      </w:r>
      <w:r>
        <w:rPr>
          <w:rFonts w:ascii="Arial" w:cs="Arial" w:eastAsia="Arial" w:hAnsi="Arial"/>
          <w:sz w:val="14"/>
          <w:szCs w:val="14"/>
          <w:b w:val="1"/>
          <w:bCs w:val="1"/>
          <w:u w:val="single" w:color="auto"/>
          <w:color w:val="auto"/>
        </w:rPr>
        <w:t>T</w:t>
      </w:r>
      <w:r>
        <w:rPr>
          <w:rFonts w:ascii="Arial" w:cs="Arial" w:eastAsia="Arial" w:hAnsi="Arial"/>
          <w:sz w:val="9"/>
          <w:szCs w:val="9"/>
          <w:b w:val="1"/>
          <w:bCs w:val="1"/>
          <w:u w:val="single" w:color="auto"/>
          <w:color w:val="auto"/>
        </w:rPr>
        <w:t>ERMINATION OF</w:t>
      </w:r>
      <w:r>
        <w:rPr>
          <w:rFonts w:ascii="Arial" w:cs="Arial" w:eastAsia="Arial" w:hAnsi="Arial"/>
          <w:sz w:val="14"/>
          <w:szCs w:val="14"/>
          <w:b w:val="1"/>
          <w:bCs w:val="1"/>
          <w:color w:val="auto"/>
        </w:rPr>
        <w:t xml:space="preserve"> </w:t>
      </w:r>
      <w:r>
        <w:rPr>
          <w:rFonts w:ascii="Arial" w:cs="Arial" w:eastAsia="Arial" w:hAnsi="Arial"/>
          <w:sz w:val="14"/>
          <w:szCs w:val="14"/>
          <w:b w:val="1"/>
          <w:bCs w:val="1"/>
          <w:u w:val="single" w:color="auto"/>
          <w:color w:val="auto"/>
        </w:rPr>
        <w:t>S</w:t>
      </w:r>
      <w:r>
        <w:rPr>
          <w:rFonts w:ascii="Arial" w:cs="Arial" w:eastAsia="Arial" w:hAnsi="Arial"/>
          <w:sz w:val="9"/>
          <w:szCs w:val="9"/>
          <w:b w:val="1"/>
          <w:bCs w:val="1"/>
          <w:u w:val="single" w:color="auto"/>
          <w:color w:val="auto"/>
        </w:rPr>
        <w:t>ERVICE</w:t>
      </w:r>
      <w:r>
        <w:rPr>
          <w:rFonts w:ascii="Arial" w:cs="Arial" w:eastAsia="Arial" w:hAnsi="Arial"/>
          <w:sz w:val="14"/>
          <w:szCs w:val="14"/>
          <w:b w:val="1"/>
          <w:bCs w:val="1"/>
          <w:color w:val="auto"/>
        </w:rPr>
        <w:t>.</w:t>
      </w:r>
    </w:p>
    <w:p>
      <w:pPr>
        <w:spacing w:after="0" w:line="145" w:lineRule="exact"/>
        <w:rPr>
          <w:sz w:val="20"/>
          <w:szCs w:val="20"/>
          <w:color w:val="auto"/>
        </w:rPr>
      </w:pPr>
    </w:p>
    <w:p>
      <w:pPr>
        <w:ind w:firstLine="1531"/>
        <w:spacing w:after="0" w:line="279" w:lineRule="auto"/>
        <w:rPr>
          <w:sz w:val="20"/>
          <w:szCs w:val="20"/>
          <w:color w:val="auto"/>
        </w:rPr>
      </w:pPr>
      <w:r>
        <w:rPr>
          <w:rFonts w:ascii="Arial" w:cs="Arial" w:eastAsia="Arial" w:hAnsi="Arial"/>
          <w:sz w:val="14"/>
          <w:szCs w:val="14"/>
          <w:color w:val="auto"/>
        </w:rPr>
        <w:t xml:space="preserve">7.1 </w:t>
      </w:r>
      <w:r>
        <w:rPr>
          <w:rFonts w:ascii="Arial" w:cs="Arial" w:eastAsia="Arial" w:hAnsi="Arial"/>
          <w:sz w:val="14"/>
          <w:szCs w:val="14"/>
          <w:b w:val="1"/>
          <w:bCs w:val="1"/>
          <w:color w:val="auto"/>
        </w:rPr>
        <w:t>Option Exercisability.</w:t>
      </w:r>
      <w:r>
        <w:rPr>
          <w:rFonts w:ascii="Arial" w:cs="Arial" w:eastAsia="Arial" w:hAnsi="Arial"/>
          <w:sz w:val="14"/>
          <w:szCs w:val="14"/>
          <w:color w:val="auto"/>
        </w:rPr>
        <w:t xml:space="preserve"> The Option shall terminate immediately upon the Participant’s termination of Service to the extent that it is then unvested and shall be exercisable after the Participant’s termination of Service to the extent it is then vested only during the applicable time period as determined below and thereafter shall terminate.</w:t>
      </w:r>
    </w:p>
    <w:p>
      <w:pPr>
        <w:spacing w:after="0" w:line="94" w:lineRule="exact"/>
        <w:rPr>
          <w:sz w:val="20"/>
          <w:szCs w:val="20"/>
          <w:color w:val="auto"/>
        </w:rPr>
      </w:pPr>
    </w:p>
    <w:p>
      <w:pPr>
        <w:jc w:val="both"/>
        <w:ind w:firstLine="2289"/>
        <w:spacing w:after="0" w:line="260" w:lineRule="auto"/>
        <w:tabs>
          <w:tab w:leader="none" w:pos="2889" w:val="left"/>
        </w:tabs>
        <w:numPr>
          <w:ilvl w:val="0"/>
          <w:numId w:val="75"/>
        </w:numPr>
        <w:rPr>
          <w:rFonts w:ascii="Arial" w:cs="Arial" w:eastAsia="Arial" w:hAnsi="Arial"/>
          <w:sz w:val="14"/>
          <w:szCs w:val="14"/>
          <w:color w:val="auto"/>
        </w:rPr>
      </w:pPr>
      <w:r>
        <w:rPr>
          <w:rFonts w:ascii="Arial" w:cs="Arial" w:eastAsia="Arial" w:hAnsi="Arial"/>
          <w:sz w:val="14"/>
          <w:szCs w:val="14"/>
          <w:b w:val="1"/>
          <w:bCs w:val="1"/>
          <w:i w:val="1"/>
          <w:iCs w:val="1"/>
          <w:color w:val="auto"/>
        </w:rPr>
        <w:t>Disability</w:t>
      </w:r>
      <w:r>
        <w:rPr>
          <w:rFonts w:ascii="Arial" w:cs="Arial" w:eastAsia="Arial" w:hAnsi="Arial"/>
          <w:sz w:val="14"/>
          <w:szCs w:val="14"/>
          <w:b w:val="1"/>
          <w:bCs w:val="1"/>
          <w:color w:val="auto"/>
        </w:rPr>
        <w: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If the Participant’s Service terminates because of the Disability of the Participant, the Option, to the extent unexercised and exercisable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for Vested Shares on the date on which the Participant’s Service terminated, may be exercised by the Participant (or the Participant’s guardian or legal representative) at any time prior to the expiration of twelve (12) months after the date on which the Participant’s Service terminated, but in any event no later than the Option Expiration Date.</w:t>
      </w:r>
    </w:p>
    <w:p>
      <w:pPr>
        <w:spacing w:after="0" w:line="107" w:lineRule="exact"/>
        <w:rPr>
          <w:rFonts w:ascii="Arial" w:cs="Arial" w:eastAsia="Arial" w:hAnsi="Arial"/>
          <w:sz w:val="14"/>
          <w:szCs w:val="14"/>
          <w:color w:val="auto"/>
        </w:rPr>
      </w:pPr>
    </w:p>
    <w:p>
      <w:pPr>
        <w:jc w:val="both"/>
        <w:ind w:firstLine="2289"/>
        <w:spacing w:after="0" w:line="280" w:lineRule="auto"/>
        <w:tabs>
          <w:tab w:leader="none" w:pos="2897" w:val="left"/>
        </w:tabs>
        <w:numPr>
          <w:ilvl w:val="0"/>
          <w:numId w:val="75"/>
        </w:numPr>
        <w:rPr>
          <w:rFonts w:ascii="Arial" w:cs="Arial" w:eastAsia="Arial" w:hAnsi="Arial"/>
          <w:sz w:val="13"/>
          <w:szCs w:val="13"/>
          <w:color w:val="auto"/>
        </w:rPr>
      </w:pPr>
      <w:r>
        <w:rPr>
          <w:rFonts w:ascii="Arial" w:cs="Arial" w:eastAsia="Arial" w:hAnsi="Arial"/>
          <w:sz w:val="13"/>
          <w:szCs w:val="13"/>
          <w:b w:val="1"/>
          <w:bCs w:val="1"/>
          <w:i w:val="1"/>
          <w:iCs w:val="1"/>
          <w:color w:val="auto"/>
        </w:rPr>
        <w:t>Death</w:t>
      </w:r>
      <w:r>
        <w:rPr>
          <w:rFonts w:ascii="Arial" w:cs="Arial" w:eastAsia="Arial" w:hAnsi="Arial"/>
          <w:sz w:val="13"/>
          <w:szCs w:val="13"/>
          <w:b w:val="1"/>
          <w:bCs w:val="1"/>
          <w:color w:val="auto"/>
        </w:rPr>
        <w:t>.</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If the Participant’s Service terminates because of the death of the Participant, the Option, to the extent unexercised and exercisable for</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Vested Shares on the date on which the Participant’s Service terminated, may be exercised by the Participant’s legal representative or other person who acquired the right to exercise the Option by reason of the Participant’s death at any time prior to the expiration of twelve (12) months after the date on which the Participant’s Service terminated, but in any event no later than the Option Expiration Date. The Participant’s Service shall be deemed to have terminated on account of death if the Participant dies within three (3) months after the Participant’s termination of Service.</w:t>
      </w:r>
    </w:p>
    <w:p>
      <w:pPr>
        <w:spacing w:after="0" w:line="98" w:lineRule="exact"/>
        <w:rPr>
          <w:rFonts w:ascii="Arial" w:cs="Arial" w:eastAsia="Arial" w:hAnsi="Arial"/>
          <w:sz w:val="13"/>
          <w:szCs w:val="13"/>
          <w:color w:val="auto"/>
        </w:rPr>
      </w:pPr>
    </w:p>
    <w:p>
      <w:pPr>
        <w:jc w:val="both"/>
        <w:ind w:firstLine="2289"/>
        <w:spacing w:after="0" w:line="257" w:lineRule="auto"/>
        <w:tabs>
          <w:tab w:leader="none" w:pos="2889" w:val="left"/>
        </w:tabs>
        <w:numPr>
          <w:ilvl w:val="0"/>
          <w:numId w:val="75"/>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Termination for Cause. </w:t>
      </w:r>
      <w:r>
        <w:rPr>
          <w:rFonts w:ascii="Arial" w:cs="Arial" w:eastAsia="Arial" w:hAnsi="Arial"/>
          <w:sz w:val="14"/>
          <w:szCs w:val="14"/>
          <w:color w:val="auto"/>
        </w:rPr>
        <w:t>Notwithstanding any other provision of this Option Agreement to the contrary, if the Participant’s Service is terminated for</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Cause or if, following the Participant’s termination of Service and during any period in which the Option otherwise would remain exercisable, the Participant engages in any act that would constitute Cause, the Option shall terminate in its entirety and cease to be exercisable immediately upon such termination of Service or act.</w:t>
      </w:r>
    </w:p>
    <w:p>
      <w:pPr>
        <w:spacing w:after="0" w:line="109" w:lineRule="exact"/>
        <w:rPr>
          <w:rFonts w:ascii="Arial" w:cs="Arial" w:eastAsia="Arial" w:hAnsi="Arial"/>
          <w:sz w:val="14"/>
          <w:szCs w:val="14"/>
          <w:color w:val="auto"/>
        </w:rPr>
      </w:pPr>
    </w:p>
    <w:p>
      <w:pPr>
        <w:jc w:val="both"/>
        <w:ind w:firstLine="2289"/>
        <w:spacing w:after="0" w:line="260" w:lineRule="auto"/>
        <w:tabs>
          <w:tab w:leader="none" w:pos="2897" w:val="left"/>
        </w:tabs>
        <w:numPr>
          <w:ilvl w:val="0"/>
          <w:numId w:val="75"/>
        </w:numPr>
        <w:rPr>
          <w:rFonts w:ascii="Arial" w:cs="Arial" w:eastAsia="Arial" w:hAnsi="Arial"/>
          <w:sz w:val="14"/>
          <w:szCs w:val="14"/>
          <w:color w:val="auto"/>
        </w:rPr>
      </w:pPr>
      <w:r>
        <w:rPr>
          <w:rFonts w:ascii="Arial" w:cs="Arial" w:eastAsia="Arial" w:hAnsi="Arial"/>
          <w:sz w:val="14"/>
          <w:szCs w:val="14"/>
          <w:b w:val="1"/>
          <w:bCs w:val="1"/>
          <w:i w:val="1"/>
          <w:iCs w:val="1"/>
          <w:color w:val="auto"/>
        </w:rPr>
        <w:t>Other Termination of Service</w:t>
      </w:r>
      <w:r>
        <w:rPr>
          <w:rFonts w:ascii="Arial" w:cs="Arial" w:eastAsia="Arial" w:hAnsi="Arial"/>
          <w:sz w:val="14"/>
          <w:szCs w:val="14"/>
          <w:b w:val="1"/>
          <w:bCs w:val="1"/>
          <w:color w:val="auto"/>
        </w:rPr>
        <w: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If the Participant’s Service terminates for any reason, except Disability, death or Cause, the Option, to the extent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unexercised and exercisable for Vested Shares by the Participant on the date on which the Participant’s Service terminated, may be exercised by the Participant at any time prior to the expiration of three (3) months after the date on which the Participant’s Service terminated, but in any event no later than the Option Expiration Date.</w:t>
      </w:r>
    </w:p>
    <w:p>
      <w:pPr>
        <w:spacing w:after="0" w:line="107" w:lineRule="exact"/>
        <w:rPr>
          <w:sz w:val="20"/>
          <w:szCs w:val="20"/>
          <w:color w:val="auto"/>
        </w:rPr>
      </w:pPr>
    </w:p>
    <w:p>
      <w:pPr>
        <w:ind w:firstLine="1531"/>
        <w:spacing w:after="0" w:line="279" w:lineRule="auto"/>
        <w:rPr>
          <w:sz w:val="20"/>
          <w:szCs w:val="20"/>
          <w:color w:val="auto"/>
        </w:rPr>
      </w:pPr>
      <w:r>
        <w:rPr>
          <w:rFonts w:ascii="Arial" w:cs="Arial" w:eastAsia="Arial" w:hAnsi="Arial"/>
          <w:sz w:val="14"/>
          <w:szCs w:val="14"/>
          <w:color w:val="auto"/>
        </w:rPr>
        <w:t xml:space="preserve">7.2 </w:t>
      </w:r>
      <w:r>
        <w:rPr>
          <w:rFonts w:ascii="Arial" w:cs="Arial" w:eastAsia="Arial" w:hAnsi="Arial"/>
          <w:sz w:val="14"/>
          <w:szCs w:val="14"/>
          <w:b w:val="1"/>
          <w:bCs w:val="1"/>
          <w:color w:val="auto"/>
        </w:rPr>
        <w:t>Extension if Exercise Prevented by Law</w:t>
      </w:r>
      <w:r>
        <w:rPr>
          <w:rFonts w:ascii="Arial" w:cs="Arial" w:eastAsia="Arial" w:hAnsi="Arial"/>
          <w:sz w:val="14"/>
          <w:szCs w:val="14"/>
          <w:b w:val="1"/>
          <w:bCs w:val="1"/>
          <w:i w:val="1"/>
          <w:iCs w:val="1"/>
          <w:color w:val="auto"/>
        </w:rPr>
        <w:t>.</w:t>
      </w:r>
      <w:r>
        <w:rPr>
          <w:rFonts w:ascii="Arial" w:cs="Arial" w:eastAsia="Arial" w:hAnsi="Arial"/>
          <w:sz w:val="14"/>
          <w:szCs w:val="14"/>
          <w:color w:val="auto"/>
        </w:rPr>
        <w:t xml:space="preserve"> Notwithstanding the foregoing, other than termination of the Participant’s Service for Cause, if the exercise of the Option within the applicable time periods</w:t>
      </w:r>
    </w:p>
    <w:p>
      <w:pPr>
        <w:spacing w:after="0" w:line="80" w:lineRule="exact"/>
        <w:rPr>
          <w:sz w:val="20"/>
          <w:szCs w:val="20"/>
          <w:color w:val="auto"/>
        </w:rPr>
      </w:pPr>
    </w:p>
    <w:p>
      <w:pPr>
        <w:ind w:left="760"/>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100330</wp:posOffset>
            </wp:positionV>
            <wp:extent cx="7329170" cy="3683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17">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265" w:right="199" w:bottom="1440" w:gutter="0" w:footer="0" w:header="0"/>
        </w:sectPr>
      </w:pPr>
    </w:p>
    <w:bookmarkStart w:id="138" w:name="page139"/>
    <w:bookmarkEnd w:id="138"/>
    <w:p>
      <w:pPr>
        <w:ind w:right="20"/>
        <w:spacing w:after="0" w:line="273" w:lineRule="auto"/>
        <w:rPr>
          <w:sz w:val="20"/>
          <w:szCs w:val="20"/>
          <w:color w:val="auto"/>
        </w:rPr>
      </w:pPr>
      <w:r>
        <w:rPr>
          <w:rFonts w:ascii="Arial" w:cs="Arial" w:eastAsia="Arial" w:hAnsi="Arial"/>
          <w:sz w:val="14"/>
          <w:szCs w:val="14"/>
          <w:color w:val="auto"/>
        </w:rPr>
        <w:t>set forth in Section 7.1 is prevented by the provisions of Section 4.6, the Option shall remain exercisable until the later of (a) thirty (30) days after the date such exercise first would no longer be prevented by such provisions, or (b) the end of the applicable time period under Section 7.1, but in any event no later than the Option Expiration Date.</w:t>
      </w:r>
    </w:p>
    <w:p>
      <w:pPr>
        <w:spacing w:after="0" w:line="98" w:lineRule="exact"/>
        <w:rPr>
          <w:sz w:val="20"/>
          <w:szCs w:val="20"/>
          <w:color w:val="auto"/>
        </w:rPr>
      </w:pPr>
    </w:p>
    <w:p>
      <w:pPr>
        <w:ind w:left="1300" w:hanging="542"/>
        <w:spacing w:after="0"/>
        <w:tabs>
          <w:tab w:leader="none" w:pos="1300" w:val="left"/>
        </w:tabs>
        <w:numPr>
          <w:ilvl w:val="0"/>
          <w:numId w:val="76"/>
        </w:numPr>
        <w:rPr>
          <w:rFonts w:ascii="Arial" w:cs="Arial" w:eastAsia="Arial" w:hAnsi="Arial"/>
          <w:sz w:val="14"/>
          <w:szCs w:val="14"/>
          <w:color w:val="auto"/>
        </w:rPr>
      </w:pPr>
      <w:r>
        <w:rPr>
          <w:rFonts w:ascii="Arial" w:cs="Arial" w:eastAsia="Arial" w:hAnsi="Arial"/>
          <w:sz w:val="14"/>
          <w:szCs w:val="14"/>
          <w:b w:val="1"/>
          <w:bCs w:val="1"/>
          <w:u w:val="single" w:color="auto"/>
          <w:color w:val="auto"/>
        </w:rPr>
        <w:t>E</w:t>
      </w:r>
      <w:r>
        <w:rPr>
          <w:rFonts w:ascii="Arial" w:cs="Arial" w:eastAsia="Arial" w:hAnsi="Arial"/>
          <w:sz w:val="9"/>
          <w:szCs w:val="9"/>
          <w:b w:val="1"/>
          <w:bCs w:val="1"/>
          <w:u w:val="single" w:color="auto"/>
          <w:color w:val="auto"/>
        </w:rPr>
        <w:t>FFECT OF</w:t>
      </w:r>
      <w:r>
        <w:rPr>
          <w:rFonts w:ascii="Arial" w:cs="Arial" w:eastAsia="Arial" w:hAnsi="Arial"/>
          <w:sz w:val="14"/>
          <w:szCs w:val="14"/>
          <w:b w:val="1"/>
          <w:bCs w:val="1"/>
          <w:color w:val="auto"/>
        </w:rPr>
        <w:t xml:space="preserve"> </w:t>
      </w:r>
      <w:r>
        <w:rPr>
          <w:rFonts w:ascii="Arial" w:cs="Arial" w:eastAsia="Arial" w:hAnsi="Arial"/>
          <w:sz w:val="14"/>
          <w:szCs w:val="14"/>
          <w:b w:val="1"/>
          <w:bCs w:val="1"/>
          <w:u w:val="single" w:color="auto"/>
          <w:color w:val="auto"/>
        </w:rPr>
        <w:t>C</w:t>
      </w:r>
      <w:r>
        <w:rPr>
          <w:rFonts w:ascii="Arial" w:cs="Arial" w:eastAsia="Arial" w:hAnsi="Arial"/>
          <w:sz w:val="9"/>
          <w:szCs w:val="9"/>
          <w:b w:val="1"/>
          <w:bCs w:val="1"/>
          <w:u w:val="single" w:color="auto"/>
          <w:color w:val="auto"/>
        </w:rPr>
        <w:t>HANGE IN</w:t>
      </w:r>
      <w:r>
        <w:rPr>
          <w:rFonts w:ascii="Arial" w:cs="Arial" w:eastAsia="Arial" w:hAnsi="Arial"/>
          <w:sz w:val="14"/>
          <w:szCs w:val="14"/>
          <w:b w:val="1"/>
          <w:bCs w:val="1"/>
          <w:color w:val="auto"/>
        </w:rPr>
        <w:t xml:space="preserve"> </w:t>
      </w:r>
      <w:r>
        <w:rPr>
          <w:rFonts w:ascii="Arial" w:cs="Arial" w:eastAsia="Arial" w:hAnsi="Arial"/>
          <w:sz w:val="14"/>
          <w:szCs w:val="14"/>
          <w:b w:val="1"/>
          <w:bCs w:val="1"/>
          <w:u w:val="single" w:color="auto"/>
          <w:color w:val="auto"/>
        </w:rPr>
        <w:t>C</w:t>
      </w:r>
      <w:r>
        <w:rPr>
          <w:rFonts w:ascii="Arial" w:cs="Arial" w:eastAsia="Arial" w:hAnsi="Arial"/>
          <w:sz w:val="9"/>
          <w:szCs w:val="9"/>
          <w:b w:val="1"/>
          <w:bCs w:val="1"/>
          <w:u w:val="single" w:color="auto"/>
          <w:color w:val="auto"/>
        </w:rPr>
        <w:t>ONTROL</w:t>
      </w:r>
      <w:r>
        <w:rPr>
          <w:rFonts w:ascii="Arial" w:cs="Arial" w:eastAsia="Arial" w:hAnsi="Arial"/>
          <w:sz w:val="14"/>
          <w:szCs w:val="14"/>
          <w:b w:val="1"/>
          <w:bCs w:val="1"/>
          <w:color w:val="auto"/>
        </w:rPr>
        <w:t>.</w:t>
      </w:r>
    </w:p>
    <w:p>
      <w:pPr>
        <w:spacing w:after="0" w:line="149" w:lineRule="exact"/>
        <w:rPr>
          <w:sz w:val="20"/>
          <w:szCs w:val="20"/>
          <w:color w:val="auto"/>
        </w:rPr>
      </w:pPr>
    </w:p>
    <w:p>
      <w:pPr>
        <w:ind w:left="1520"/>
        <w:spacing w:after="0"/>
        <w:rPr>
          <w:sz w:val="20"/>
          <w:szCs w:val="20"/>
          <w:color w:val="auto"/>
        </w:rPr>
      </w:pPr>
      <w:r>
        <w:rPr>
          <w:rFonts w:ascii="Arial" w:cs="Arial" w:eastAsia="Arial" w:hAnsi="Arial"/>
          <w:sz w:val="14"/>
          <w:szCs w:val="14"/>
          <w:color w:val="auto"/>
        </w:rPr>
        <w:t>In the event of a Change in Control, the Option shall be treated as set forth in Section 13 of the Plan.</w:t>
      </w:r>
    </w:p>
    <w:p>
      <w:pPr>
        <w:spacing w:after="0" w:line="141" w:lineRule="exact"/>
        <w:rPr>
          <w:sz w:val="20"/>
          <w:szCs w:val="20"/>
          <w:color w:val="auto"/>
        </w:rPr>
      </w:pPr>
    </w:p>
    <w:p>
      <w:pPr>
        <w:ind w:left="1300" w:hanging="542"/>
        <w:spacing w:after="0"/>
        <w:tabs>
          <w:tab w:leader="none" w:pos="1300" w:val="left"/>
        </w:tabs>
        <w:numPr>
          <w:ilvl w:val="0"/>
          <w:numId w:val="77"/>
        </w:numPr>
        <w:rPr>
          <w:rFonts w:ascii="Arial" w:cs="Arial" w:eastAsia="Arial" w:hAnsi="Arial"/>
          <w:sz w:val="14"/>
          <w:szCs w:val="14"/>
          <w:color w:val="auto"/>
        </w:rPr>
      </w:pPr>
      <w:r>
        <w:rPr>
          <w:rFonts w:ascii="Arial" w:cs="Arial" w:eastAsia="Arial" w:hAnsi="Arial"/>
          <w:sz w:val="14"/>
          <w:szCs w:val="14"/>
          <w:b w:val="1"/>
          <w:bCs w:val="1"/>
          <w:u w:val="single" w:color="auto"/>
          <w:color w:val="auto"/>
        </w:rPr>
        <w:t>A</w:t>
      </w:r>
      <w:r>
        <w:rPr>
          <w:rFonts w:ascii="Arial" w:cs="Arial" w:eastAsia="Arial" w:hAnsi="Arial"/>
          <w:sz w:val="9"/>
          <w:szCs w:val="9"/>
          <w:b w:val="1"/>
          <w:bCs w:val="1"/>
          <w:u w:val="single" w:color="auto"/>
          <w:color w:val="auto"/>
        </w:rPr>
        <w:t>DJUSTMENTS FOR</w:t>
      </w:r>
      <w:r>
        <w:rPr>
          <w:rFonts w:ascii="Arial" w:cs="Arial" w:eastAsia="Arial" w:hAnsi="Arial"/>
          <w:sz w:val="14"/>
          <w:szCs w:val="14"/>
          <w:b w:val="1"/>
          <w:bCs w:val="1"/>
          <w:color w:val="auto"/>
        </w:rPr>
        <w:t xml:space="preserve"> </w:t>
      </w:r>
      <w:r>
        <w:rPr>
          <w:rFonts w:ascii="Arial" w:cs="Arial" w:eastAsia="Arial" w:hAnsi="Arial"/>
          <w:sz w:val="14"/>
          <w:szCs w:val="14"/>
          <w:b w:val="1"/>
          <w:bCs w:val="1"/>
          <w:u w:val="single" w:color="auto"/>
          <w:color w:val="auto"/>
        </w:rPr>
        <w:t>C</w:t>
      </w:r>
      <w:r>
        <w:rPr>
          <w:rFonts w:ascii="Arial" w:cs="Arial" w:eastAsia="Arial" w:hAnsi="Arial"/>
          <w:sz w:val="9"/>
          <w:szCs w:val="9"/>
          <w:b w:val="1"/>
          <w:bCs w:val="1"/>
          <w:u w:val="single" w:color="auto"/>
          <w:color w:val="auto"/>
        </w:rPr>
        <w:t>HANGES IN</w:t>
      </w:r>
      <w:r>
        <w:rPr>
          <w:rFonts w:ascii="Arial" w:cs="Arial" w:eastAsia="Arial" w:hAnsi="Arial"/>
          <w:sz w:val="14"/>
          <w:szCs w:val="14"/>
          <w:b w:val="1"/>
          <w:bCs w:val="1"/>
          <w:color w:val="auto"/>
        </w:rPr>
        <w:t xml:space="preserve"> </w:t>
      </w:r>
      <w:r>
        <w:rPr>
          <w:rFonts w:ascii="Arial" w:cs="Arial" w:eastAsia="Arial" w:hAnsi="Arial"/>
          <w:sz w:val="14"/>
          <w:szCs w:val="14"/>
          <w:b w:val="1"/>
          <w:bCs w:val="1"/>
          <w:u w:val="single" w:color="auto"/>
          <w:color w:val="auto"/>
        </w:rPr>
        <w:t>C</w:t>
      </w:r>
      <w:r>
        <w:rPr>
          <w:rFonts w:ascii="Arial" w:cs="Arial" w:eastAsia="Arial" w:hAnsi="Arial"/>
          <w:sz w:val="9"/>
          <w:szCs w:val="9"/>
          <w:b w:val="1"/>
          <w:bCs w:val="1"/>
          <w:u w:val="single" w:color="auto"/>
          <w:color w:val="auto"/>
        </w:rPr>
        <w:t>APITAL</w:t>
      </w:r>
      <w:r>
        <w:rPr>
          <w:rFonts w:ascii="Arial" w:cs="Arial" w:eastAsia="Arial" w:hAnsi="Arial"/>
          <w:sz w:val="14"/>
          <w:szCs w:val="14"/>
          <w:b w:val="1"/>
          <w:bCs w:val="1"/>
          <w:color w:val="auto"/>
        </w:rPr>
        <w:t xml:space="preserve"> </w:t>
      </w:r>
      <w:r>
        <w:rPr>
          <w:rFonts w:ascii="Arial" w:cs="Arial" w:eastAsia="Arial" w:hAnsi="Arial"/>
          <w:sz w:val="14"/>
          <w:szCs w:val="14"/>
          <w:b w:val="1"/>
          <w:bCs w:val="1"/>
          <w:u w:val="single" w:color="auto"/>
          <w:color w:val="auto"/>
        </w:rPr>
        <w:t>S</w:t>
      </w:r>
      <w:r>
        <w:rPr>
          <w:rFonts w:ascii="Arial" w:cs="Arial" w:eastAsia="Arial" w:hAnsi="Arial"/>
          <w:sz w:val="9"/>
          <w:szCs w:val="9"/>
          <w:b w:val="1"/>
          <w:bCs w:val="1"/>
          <w:u w:val="single" w:color="auto"/>
          <w:color w:val="auto"/>
        </w:rPr>
        <w:t>TRUCTURE</w:t>
      </w:r>
      <w:r>
        <w:rPr>
          <w:rFonts w:ascii="Arial" w:cs="Arial" w:eastAsia="Arial" w:hAnsi="Arial"/>
          <w:sz w:val="14"/>
          <w:szCs w:val="14"/>
          <w:b w:val="1"/>
          <w:bCs w:val="1"/>
          <w:color w:val="auto"/>
        </w:rPr>
        <w:t>.</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color w:val="auto"/>
        </w:rPr>
        <w:t>The Option shall be subject to and treated as set forth in Section 4.3 of the Plan.</w:t>
      </w:r>
    </w:p>
    <w:p>
      <w:pPr>
        <w:spacing w:after="0" w:line="141" w:lineRule="exact"/>
        <w:rPr>
          <w:sz w:val="20"/>
          <w:szCs w:val="20"/>
          <w:color w:val="auto"/>
        </w:rPr>
      </w:pPr>
    </w:p>
    <w:p>
      <w:pPr>
        <w:ind w:left="1380" w:hanging="622"/>
        <w:spacing w:after="0"/>
        <w:tabs>
          <w:tab w:leader="none" w:pos="1380" w:val="left"/>
        </w:tabs>
        <w:numPr>
          <w:ilvl w:val="0"/>
          <w:numId w:val="78"/>
        </w:numPr>
        <w:rPr>
          <w:rFonts w:ascii="Arial" w:cs="Arial" w:eastAsia="Arial" w:hAnsi="Arial"/>
          <w:sz w:val="14"/>
          <w:szCs w:val="14"/>
          <w:color w:val="auto"/>
        </w:rPr>
      </w:pPr>
      <w:r>
        <w:rPr>
          <w:rFonts w:ascii="Arial" w:cs="Arial" w:eastAsia="Arial" w:hAnsi="Arial"/>
          <w:sz w:val="14"/>
          <w:szCs w:val="14"/>
          <w:b w:val="1"/>
          <w:bCs w:val="1"/>
          <w:u w:val="single" w:color="auto"/>
          <w:color w:val="auto"/>
        </w:rPr>
        <w:t>R</w:t>
      </w:r>
      <w:r>
        <w:rPr>
          <w:rFonts w:ascii="Arial" w:cs="Arial" w:eastAsia="Arial" w:hAnsi="Arial"/>
          <w:sz w:val="9"/>
          <w:szCs w:val="9"/>
          <w:b w:val="1"/>
          <w:bCs w:val="1"/>
          <w:u w:val="single" w:color="auto"/>
          <w:color w:val="auto"/>
        </w:rPr>
        <w:t>IGHTS AS A</w:t>
      </w:r>
      <w:r>
        <w:rPr>
          <w:rFonts w:ascii="Arial" w:cs="Arial" w:eastAsia="Arial" w:hAnsi="Arial"/>
          <w:sz w:val="14"/>
          <w:szCs w:val="14"/>
          <w:b w:val="1"/>
          <w:bCs w:val="1"/>
          <w:color w:val="auto"/>
        </w:rPr>
        <w:t xml:space="preserve"> </w:t>
      </w:r>
      <w:r>
        <w:rPr>
          <w:rFonts w:ascii="Arial" w:cs="Arial" w:eastAsia="Arial" w:hAnsi="Arial"/>
          <w:sz w:val="14"/>
          <w:szCs w:val="14"/>
          <w:b w:val="1"/>
          <w:bCs w:val="1"/>
          <w:u w:val="single" w:color="auto"/>
          <w:color w:val="auto"/>
        </w:rPr>
        <w:t>S</w:t>
      </w:r>
      <w:r>
        <w:rPr>
          <w:rFonts w:ascii="Arial" w:cs="Arial" w:eastAsia="Arial" w:hAnsi="Arial"/>
          <w:sz w:val="9"/>
          <w:szCs w:val="9"/>
          <w:b w:val="1"/>
          <w:bCs w:val="1"/>
          <w:u w:val="single" w:color="auto"/>
          <w:color w:val="auto"/>
        </w:rPr>
        <w:t>TOCKHOLDER</w:t>
      </w:r>
      <w:r>
        <w:rPr>
          <w:rFonts w:ascii="Arial" w:cs="Arial" w:eastAsia="Arial" w:hAnsi="Arial"/>
          <w:sz w:val="14"/>
          <w:szCs w:val="14"/>
          <w:b w:val="1"/>
          <w:bCs w:val="1"/>
          <w:u w:val="single" w:color="auto"/>
          <w:color w:val="auto"/>
        </w:rPr>
        <w:t>, D</w:t>
      </w:r>
      <w:r>
        <w:rPr>
          <w:rFonts w:ascii="Arial" w:cs="Arial" w:eastAsia="Arial" w:hAnsi="Arial"/>
          <w:sz w:val="9"/>
          <w:szCs w:val="9"/>
          <w:b w:val="1"/>
          <w:bCs w:val="1"/>
          <w:u w:val="single" w:color="auto"/>
          <w:color w:val="auto"/>
        </w:rPr>
        <w:t>IRECTOR</w:t>
      </w:r>
      <w:r>
        <w:rPr>
          <w:rFonts w:ascii="Arial" w:cs="Arial" w:eastAsia="Arial" w:hAnsi="Arial"/>
          <w:sz w:val="14"/>
          <w:szCs w:val="14"/>
          <w:b w:val="1"/>
          <w:bCs w:val="1"/>
          <w:u w:val="single" w:color="auto"/>
          <w:color w:val="auto"/>
        </w:rPr>
        <w:t>, E</w:t>
      </w:r>
      <w:r>
        <w:rPr>
          <w:rFonts w:ascii="Arial" w:cs="Arial" w:eastAsia="Arial" w:hAnsi="Arial"/>
          <w:sz w:val="9"/>
          <w:szCs w:val="9"/>
          <w:b w:val="1"/>
          <w:bCs w:val="1"/>
          <w:u w:val="single" w:color="auto"/>
          <w:color w:val="auto"/>
        </w:rPr>
        <w:t>MPLOYEE OR</w:t>
      </w:r>
      <w:r>
        <w:rPr>
          <w:rFonts w:ascii="Arial" w:cs="Arial" w:eastAsia="Arial" w:hAnsi="Arial"/>
          <w:sz w:val="14"/>
          <w:szCs w:val="14"/>
          <w:b w:val="1"/>
          <w:bCs w:val="1"/>
          <w:color w:val="auto"/>
        </w:rPr>
        <w:t xml:space="preserve"> </w:t>
      </w:r>
      <w:r>
        <w:rPr>
          <w:rFonts w:ascii="Arial" w:cs="Arial" w:eastAsia="Arial" w:hAnsi="Arial"/>
          <w:sz w:val="14"/>
          <w:szCs w:val="14"/>
          <w:b w:val="1"/>
          <w:bCs w:val="1"/>
          <w:u w:val="single" w:color="auto"/>
          <w:color w:val="auto"/>
        </w:rPr>
        <w:t>C</w:t>
      </w:r>
      <w:r>
        <w:rPr>
          <w:rFonts w:ascii="Arial" w:cs="Arial" w:eastAsia="Arial" w:hAnsi="Arial"/>
          <w:sz w:val="9"/>
          <w:szCs w:val="9"/>
          <w:b w:val="1"/>
          <w:bCs w:val="1"/>
          <w:u w:val="single" w:color="auto"/>
          <w:color w:val="auto"/>
        </w:rPr>
        <w:t>ONSULTANT</w:t>
      </w:r>
      <w:r>
        <w:rPr>
          <w:rFonts w:ascii="Arial" w:cs="Arial" w:eastAsia="Arial" w:hAnsi="Arial"/>
          <w:sz w:val="14"/>
          <w:szCs w:val="14"/>
          <w:b w:val="1"/>
          <w:bCs w:val="1"/>
          <w:color w:val="auto"/>
        </w:rPr>
        <w:t>.</w:t>
      </w:r>
    </w:p>
    <w:p>
      <w:pPr>
        <w:spacing w:after="0" w:line="149" w:lineRule="exact"/>
        <w:rPr>
          <w:sz w:val="20"/>
          <w:szCs w:val="20"/>
          <w:color w:val="auto"/>
        </w:rPr>
      </w:pPr>
    </w:p>
    <w:p>
      <w:pPr>
        <w:jc w:val="both"/>
        <w:ind w:firstLine="1531"/>
        <w:spacing w:after="0" w:line="270" w:lineRule="auto"/>
        <w:rPr>
          <w:sz w:val="20"/>
          <w:szCs w:val="20"/>
          <w:color w:val="auto"/>
        </w:rPr>
      </w:pPr>
      <w:r>
        <w:rPr>
          <w:rFonts w:ascii="Arial" w:cs="Arial" w:eastAsia="Arial" w:hAnsi="Arial"/>
          <w:sz w:val="13"/>
          <w:szCs w:val="13"/>
          <w:color w:val="auto"/>
        </w:rPr>
        <w:t>The Participant shall have no rights as a stockholder with respect to any shares covered by the Option until the date of the issuance of the shares for which the Option has been exercised (as evidenced by the appropriate entry on the books of the Company or of a duly authorized transfer agent of the Company). No adjustment shall be made for dividends, distributions or other rights for which the record date is prior to the date the shares are issued, except as provided in Section 9. If the Participant is an Employee, the Participant understands and acknowledges that, except as otherwise provided in a separate, written employment agreement between a Participating Company and the Participant, the Participant’s employment is “at will” and is for no specified term. Nothing in this Option Agreement shall confer upon the Participant any right to continue in the Service of a Participating Company or interfere in any way with any right of the Participating Company Group to terminate the Participant’s Service as a Director, an Employee or Consultant, as the case may be, at any time.</w:t>
      </w:r>
    </w:p>
    <w:p>
      <w:pPr>
        <w:spacing w:after="0" w:line="104" w:lineRule="exact"/>
        <w:rPr>
          <w:sz w:val="20"/>
          <w:szCs w:val="20"/>
          <w:color w:val="auto"/>
        </w:rPr>
      </w:pPr>
    </w:p>
    <w:p>
      <w:pPr>
        <w:ind w:left="1360" w:hanging="602"/>
        <w:spacing w:after="0"/>
        <w:tabs>
          <w:tab w:leader="none" w:pos="1360" w:val="left"/>
        </w:tabs>
        <w:numPr>
          <w:ilvl w:val="0"/>
          <w:numId w:val="79"/>
        </w:numPr>
        <w:rPr>
          <w:rFonts w:ascii="Arial" w:cs="Arial" w:eastAsia="Arial" w:hAnsi="Arial"/>
          <w:sz w:val="14"/>
          <w:szCs w:val="14"/>
          <w:color w:val="auto"/>
        </w:rPr>
      </w:pPr>
      <w:r>
        <w:rPr>
          <w:rFonts w:ascii="Arial" w:cs="Arial" w:eastAsia="Arial" w:hAnsi="Arial"/>
          <w:sz w:val="14"/>
          <w:szCs w:val="14"/>
          <w:b w:val="1"/>
          <w:bCs w:val="1"/>
          <w:u w:val="single" w:color="auto"/>
          <w:color w:val="auto"/>
        </w:rPr>
        <w:t>N</w:t>
      </w:r>
      <w:r>
        <w:rPr>
          <w:rFonts w:ascii="Arial" w:cs="Arial" w:eastAsia="Arial" w:hAnsi="Arial"/>
          <w:sz w:val="9"/>
          <w:szCs w:val="9"/>
          <w:b w:val="1"/>
          <w:bCs w:val="1"/>
          <w:u w:val="single" w:color="auto"/>
          <w:color w:val="auto"/>
        </w:rPr>
        <w:t>OTICE OF</w:t>
      </w:r>
      <w:r>
        <w:rPr>
          <w:rFonts w:ascii="Arial" w:cs="Arial" w:eastAsia="Arial" w:hAnsi="Arial"/>
          <w:sz w:val="14"/>
          <w:szCs w:val="14"/>
          <w:b w:val="1"/>
          <w:bCs w:val="1"/>
          <w:color w:val="auto"/>
        </w:rPr>
        <w:t xml:space="preserve"> </w:t>
      </w:r>
      <w:r>
        <w:rPr>
          <w:rFonts w:ascii="Arial" w:cs="Arial" w:eastAsia="Arial" w:hAnsi="Arial"/>
          <w:sz w:val="14"/>
          <w:szCs w:val="14"/>
          <w:b w:val="1"/>
          <w:bCs w:val="1"/>
          <w:u w:val="single" w:color="auto"/>
          <w:color w:val="auto"/>
        </w:rPr>
        <w:t>S</w:t>
      </w:r>
      <w:r>
        <w:rPr>
          <w:rFonts w:ascii="Arial" w:cs="Arial" w:eastAsia="Arial" w:hAnsi="Arial"/>
          <w:sz w:val="9"/>
          <w:szCs w:val="9"/>
          <w:b w:val="1"/>
          <w:bCs w:val="1"/>
          <w:u w:val="single" w:color="auto"/>
          <w:color w:val="auto"/>
        </w:rPr>
        <w:t>ALES</w:t>
      </w:r>
      <w:r>
        <w:rPr>
          <w:rFonts w:ascii="Arial" w:cs="Arial" w:eastAsia="Arial" w:hAnsi="Arial"/>
          <w:sz w:val="14"/>
          <w:szCs w:val="14"/>
          <w:b w:val="1"/>
          <w:bCs w:val="1"/>
          <w:color w:val="auto"/>
        </w:rPr>
        <w:t xml:space="preserve"> </w:t>
      </w:r>
      <w:r>
        <w:rPr>
          <w:rFonts w:ascii="Arial" w:cs="Arial" w:eastAsia="Arial" w:hAnsi="Arial"/>
          <w:sz w:val="14"/>
          <w:szCs w:val="14"/>
          <w:b w:val="1"/>
          <w:bCs w:val="1"/>
          <w:u w:val="single" w:color="auto"/>
          <w:color w:val="auto"/>
        </w:rPr>
        <w:t>U</w:t>
      </w:r>
      <w:r>
        <w:rPr>
          <w:rFonts w:ascii="Arial" w:cs="Arial" w:eastAsia="Arial" w:hAnsi="Arial"/>
          <w:sz w:val="9"/>
          <w:szCs w:val="9"/>
          <w:b w:val="1"/>
          <w:bCs w:val="1"/>
          <w:u w:val="single" w:color="auto"/>
          <w:color w:val="auto"/>
        </w:rPr>
        <w:t>PON</w:t>
      </w:r>
      <w:r>
        <w:rPr>
          <w:rFonts w:ascii="Arial" w:cs="Arial" w:eastAsia="Arial" w:hAnsi="Arial"/>
          <w:sz w:val="14"/>
          <w:szCs w:val="14"/>
          <w:b w:val="1"/>
          <w:bCs w:val="1"/>
          <w:color w:val="auto"/>
        </w:rPr>
        <w:t xml:space="preserve"> </w:t>
      </w:r>
      <w:r>
        <w:rPr>
          <w:rFonts w:ascii="Arial" w:cs="Arial" w:eastAsia="Arial" w:hAnsi="Arial"/>
          <w:sz w:val="14"/>
          <w:szCs w:val="14"/>
          <w:b w:val="1"/>
          <w:bCs w:val="1"/>
          <w:u w:val="single" w:color="auto"/>
          <w:color w:val="auto"/>
        </w:rPr>
        <w:t>D</w:t>
      </w:r>
      <w:r>
        <w:rPr>
          <w:rFonts w:ascii="Arial" w:cs="Arial" w:eastAsia="Arial" w:hAnsi="Arial"/>
          <w:sz w:val="9"/>
          <w:szCs w:val="9"/>
          <w:b w:val="1"/>
          <w:bCs w:val="1"/>
          <w:u w:val="single" w:color="auto"/>
          <w:color w:val="auto"/>
        </w:rPr>
        <w:t>ISQUALIFYING</w:t>
      </w:r>
      <w:r>
        <w:rPr>
          <w:rFonts w:ascii="Arial" w:cs="Arial" w:eastAsia="Arial" w:hAnsi="Arial"/>
          <w:sz w:val="14"/>
          <w:szCs w:val="14"/>
          <w:b w:val="1"/>
          <w:bCs w:val="1"/>
          <w:color w:val="auto"/>
        </w:rPr>
        <w:t xml:space="preserve"> </w:t>
      </w:r>
      <w:r>
        <w:rPr>
          <w:rFonts w:ascii="Arial" w:cs="Arial" w:eastAsia="Arial" w:hAnsi="Arial"/>
          <w:sz w:val="14"/>
          <w:szCs w:val="14"/>
          <w:b w:val="1"/>
          <w:bCs w:val="1"/>
          <w:u w:val="single" w:color="auto"/>
          <w:color w:val="auto"/>
        </w:rPr>
        <w:t>D</w:t>
      </w:r>
      <w:r>
        <w:rPr>
          <w:rFonts w:ascii="Arial" w:cs="Arial" w:eastAsia="Arial" w:hAnsi="Arial"/>
          <w:sz w:val="9"/>
          <w:szCs w:val="9"/>
          <w:b w:val="1"/>
          <w:bCs w:val="1"/>
          <w:u w:val="single" w:color="auto"/>
          <w:color w:val="auto"/>
        </w:rPr>
        <w:t>ISPOSITION</w:t>
      </w:r>
      <w:r>
        <w:rPr>
          <w:rFonts w:ascii="Arial" w:cs="Arial" w:eastAsia="Arial" w:hAnsi="Arial"/>
          <w:sz w:val="14"/>
          <w:szCs w:val="14"/>
          <w:b w:val="1"/>
          <w:bCs w:val="1"/>
          <w:color w:val="auto"/>
        </w:rPr>
        <w:t>.</w:t>
      </w:r>
    </w:p>
    <w:p>
      <w:pPr>
        <w:spacing w:after="0" w:line="149" w:lineRule="exact"/>
        <w:rPr>
          <w:sz w:val="20"/>
          <w:szCs w:val="20"/>
          <w:color w:val="auto"/>
        </w:rPr>
      </w:pPr>
    </w:p>
    <w:p>
      <w:pPr>
        <w:jc w:val="both"/>
        <w:ind w:firstLine="1531"/>
        <w:spacing w:after="0" w:line="267" w:lineRule="auto"/>
        <w:rPr>
          <w:sz w:val="20"/>
          <w:szCs w:val="20"/>
          <w:color w:val="auto"/>
        </w:rPr>
      </w:pPr>
      <w:r>
        <w:rPr>
          <w:rFonts w:ascii="Arial" w:cs="Arial" w:eastAsia="Arial" w:hAnsi="Arial"/>
          <w:sz w:val="13"/>
          <w:szCs w:val="13"/>
          <w:color w:val="auto"/>
        </w:rPr>
        <w:t xml:space="preserve">The Participant shall dispose of the shares acquired pursuant to the Option only in accordance with the provisions of this Option Agreement. In addition, </w:t>
      </w:r>
      <w:r>
        <w:rPr>
          <w:rFonts w:ascii="Arial" w:cs="Arial" w:eastAsia="Arial" w:hAnsi="Arial"/>
          <w:sz w:val="13"/>
          <w:szCs w:val="13"/>
          <w:i w:val="1"/>
          <w:iCs w:val="1"/>
          <w:color w:val="auto"/>
        </w:rPr>
        <w:t>if the Grant</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Notice designates this Option as an Incentive Stock Option, </w:t>
      </w:r>
      <w:r>
        <w:rPr>
          <w:rFonts w:ascii="Arial" w:cs="Arial" w:eastAsia="Arial" w:hAnsi="Arial"/>
          <w:sz w:val="13"/>
          <w:szCs w:val="13"/>
          <w:color w:val="auto"/>
        </w:rPr>
        <w:t>the Participant shall (a) promptly notify the Chief Financial Officer of the Company if the Participant disposes of any of the shares</w:t>
      </w:r>
      <w:r>
        <w:rPr>
          <w:rFonts w:ascii="Arial" w:cs="Arial" w:eastAsia="Arial" w:hAnsi="Arial"/>
          <w:sz w:val="13"/>
          <w:szCs w:val="13"/>
          <w:i w:val="1"/>
          <w:iCs w:val="1"/>
          <w:color w:val="auto"/>
        </w:rPr>
        <w:t xml:space="preserve"> </w:t>
      </w:r>
      <w:r>
        <w:rPr>
          <w:rFonts w:ascii="Arial" w:cs="Arial" w:eastAsia="Arial" w:hAnsi="Arial"/>
          <w:sz w:val="13"/>
          <w:szCs w:val="13"/>
          <w:color w:val="auto"/>
        </w:rPr>
        <w:t>acquired pursuant to the Option within one (1) year after the date the Participant exercises all or part of the Option or within two (2) years after the Date of Grant and (b) provide the Company with a description of the circumstances of such disposition. Until such time as the Participant disposes of such shares in a manner consistent with the provisions of this Option Agreement, unless otherwise expressly authorized by the Company, the Participant shall hold all shares acquired pursuant to the Option in the Participant’s name (and not in the name of any nominee) for the one-year period immediately after the exercise of the Option and the two-year period immediately after Date of Grant. At any time during the one-year or two-year periods set forth above, the Company may place a legend on any certificate representing shares acquired pursuant to the Option requesting the transfer agent for the Company’s stock to notify the Company of any such transfers. The obligation of the Participant to notify the Company of any such transfer shall continue notwithstanding that a legend has been placed on the certificate pursuant to the preceding sentence.</w:t>
      </w:r>
    </w:p>
    <w:p>
      <w:pPr>
        <w:spacing w:after="0" w:line="107" w:lineRule="exact"/>
        <w:rPr>
          <w:sz w:val="20"/>
          <w:szCs w:val="20"/>
          <w:color w:val="auto"/>
        </w:rPr>
      </w:pPr>
    </w:p>
    <w:p>
      <w:pPr>
        <w:ind w:left="1380" w:hanging="622"/>
        <w:spacing w:after="0"/>
        <w:tabs>
          <w:tab w:leader="none" w:pos="1380" w:val="left"/>
        </w:tabs>
        <w:numPr>
          <w:ilvl w:val="0"/>
          <w:numId w:val="80"/>
        </w:numPr>
        <w:rPr>
          <w:rFonts w:ascii="Arial" w:cs="Arial" w:eastAsia="Arial" w:hAnsi="Arial"/>
          <w:sz w:val="14"/>
          <w:szCs w:val="14"/>
          <w:color w:val="auto"/>
        </w:rPr>
      </w:pPr>
      <w:r>
        <w:rPr>
          <w:rFonts w:ascii="Arial" w:cs="Arial" w:eastAsia="Arial" w:hAnsi="Arial"/>
          <w:sz w:val="14"/>
          <w:szCs w:val="14"/>
          <w:b w:val="1"/>
          <w:bCs w:val="1"/>
          <w:u w:val="single" w:color="auto"/>
          <w:color w:val="auto"/>
        </w:rPr>
        <w:t>L</w:t>
      </w:r>
      <w:r>
        <w:rPr>
          <w:rFonts w:ascii="Arial" w:cs="Arial" w:eastAsia="Arial" w:hAnsi="Arial"/>
          <w:sz w:val="9"/>
          <w:szCs w:val="9"/>
          <w:b w:val="1"/>
          <w:bCs w:val="1"/>
          <w:u w:val="single" w:color="auto"/>
          <w:color w:val="auto"/>
        </w:rPr>
        <w:t>EGENDS</w:t>
      </w:r>
      <w:r>
        <w:rPr>
          <w:rFonts w:ascii="Arial" w:cs="Arial" w:eastAsia="Arial" w:hAnsi="Arial"/>
          <w:sz w:val="14"/>
          <w:szCs w:val="14"/>
          <w:b w:val="1"/>
          <w:bCs w:val="1"/>
          <w:color w:val="auto"/>
        </w:rPr>
        <w:t>.</w:t>
      </w:r>
    </w:p>
    <w:p>
      <w:pPr>
        <w:spacing w:after="0" w:line="149" w:lineRule="exact"/>
        <w:rPr>
          <w:sz w:val="20"/>
          <w:szCs w:val="20"/>
          <w:color w:val="auto"/>
        </w:rPr>
      </w:pPr>
    </w:p>
    <w:p>
      <w:pPr>
        <w:jc w:val="both"/>
        <w:ind w:firstLine="1531"/>
        <w:spacing w:after="0" w:line="252" w:lineRule="auto"/>
        <w:rPr>
          <w:sz w:val="20"/>
          <w:szCs w:val="20"/>
          <w:color w:val="auto"/>
        </w:rPr>
      </w:pPr>
      <w:r>
        <w:rPr>
          <w:rFonts w:ascii="Arial" w:cs="Arial" w:eastAsia="Arial" w:hAnsi="Arial"/>
          <w:sz w:val="14"/>
          <w:szCs w:val="14"/>
          <w:color w:val="auto"/>
        </w:rPr>
        <w:t>The Company may at any time place legends referencing any applicable federal, state or foreign securities law restrictions on all certificates representing shares of stock subject to the provisions of this Option Agreement. The Participant shall, at the request of the Company, promptly present to the Company any and all certificates representing shares acquired pursuant to the Option in the possession of the Participant in order to carry out the provisions of this Section. Unless otherwise specified by the Company, legends placed on such certificates may include, but shall not be limited to, the following:</w:t>
      </w:r>
    </w:p>
    <w:p>
      <w:pPr>
        <w:spacing w:after="0" w:line="98" w:lineRule="exact"/>
        <w:rPr>
          <w:sz w:val="20"/>
          <w:szCs w:val="20"/>
          <w:color w:val="auto"/>
        </w:rPr>
      </w:pPr>
    </w:p>
    <w:p>
      <w:pPr>
        <w:ind w:left="760"/>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100330</wp:posOffset>
            </wp:positionV>
            <wp:extent cx="7329170" cy="3683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18">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269" w:right="199" w:bottom="1440" w:gutter="0" w:footer="0" w:header="0"/>
        </w:sectPr>
      </w:pPr>
    </w:p>
    <w:bookmarkStart w:id="139" w:name="page140"/>
    <w:bookmarkEnd w:id="139"/>
    <w:p>
      <w:pPr>
        <w:jc w:val="both"/>
        <w:ind w:left="1520"/>
        <w:spacing w:after="0" w:line="246" w:lineRule="auto"/>
        <w:rPr>
          <w:sz w:val="20"/>
          <w:szCs w:val="20"/>
          <w:color w:val="auto"/>
        </w:rPr>
      </w:pPr>
      <w:r>
        <w:rPr>
          <w:rFonts w:ascii="Arial" w:cs="Arial" w:eastAsia="Arial" w:hAnsi="Arial"/>
          <w:sz w:val="14"/>
          <w:szCs w:val="14"/>
          <w:color w:val="auto"/>
        </w:rPr>
        <w:t>“THE SHARES EVIDENCED BY THIS CERTIFICATE WERE ISSUED BY THE CORPORATION TO THE REGISTERED HOLDER UPON EXERCISE OF AN INCENTIVE STOCK OPTION AS DEFINED IN SECTION 422 OF THE INTERNAL REVENUE CODE OF 1986, AS AMENDED (“ISO</w:t>
      </w:r>
      <w:r>
        <w:rPr>
          <w:rFonts w:ascii="Arial" w:cs="Arial" w:eastAsia="Arial" w:hAnsi="Arial"/>
          <w:sz w:val="14"/>
          <w:szCs w:val="14"/>
          <w:i w:val="1"/>
          <w:iCs w:val="1"/>
          <w:color w:val="auto"/>
        </w:rPr>
        <w:t>”</w:t>
      </w:r>
      <w:r>
        <w:rPr>
          <w:rFonts w:ascii="Arial" w:cs="Arial" w:eastAsia="Arial" w:hAnsi="Arial"/>
          <w:sz w:val="14"/>
          <w:szCs w:val="14"/>
          <w:color w:val="auto"/>
        </w:rPr>
        <w:t>). IN ORDER TO OBTAIN THE PREFERENTIAL TAX TREATMENT AFFORDED TO ISOs, THE SHARES SHOULD NOT BE TRANSFERRED PRIOR TO EITHER THE TWO YEAR ANNIVERSARY OF THE DATE OF GRANT OR THE ONE-YEAR ANNIVERSARY OF THE DATE OF EXERCISE. SHOULD THE REGISTERED HOLDER ELECT TO TRANSFER ANY OF THE SHARES PRIOR TO THIS DATE AND FOREGO ISO TAX TREATMENT, THE TRANSFER AGENT FOR THE SHARES SHALL NOTIFY THE CORPORATION IMMEDIATELY. THE REGISTERED HOLDER SHALL HOLD ALL SHARES PURCHASED UNDER THE INCENTIVE STOCK OPTION IN THE REGISTERED HOLDER’S NAME (AND NOT IN THE NAME OF ANY NOMINEE) PRIOR TO THIS DATE OR UNTIL TRANSFERRED AS DESCRIBED ABOVE.”</w:t>
      </w:r>
    </w:p>
    <w:p>
      <w:pPr>
        <w:spacing w:after="0" w:line="117" w:lineRule="exact"/>
        <w:rPr>
          <w:sz w:val="20"/>
          <w:szCs w:val="20"/>
          <w:color w:val="auto"/>
        </w:rPr>
      </w:pPr>
    </w:p>
    <w:p>
      <w:pPr>
        <w:ind w:left="1380" w:hanging="622"/>
        <w:spacing w:after="0"/>
        <w:tabs>
          <w:tab w:leader="none" w:pos="1380" w:val="left"/>
        </w:tabs>
        <w:numPr>
          <w:ilvl w:val="0"/>
          <w:numId w:val="81"/>
        </w:numPr>
        <w:rPr>
          <w:rFonts w:ascii="Arial" w:cs="Arial" w:eastAsia="Arial" w:hAnsi="Arial"/>
          <w:sz w:val="14"/>
          <w:szCs w:val="14"/>
          <w:color w:val="auto"/>
        </w:rPr>
      </w:pPr>
      <w:r>
        <w:rPr>
          <w:rFonts w:ascii="Arial" w:cs="Arial" w:eastAsia="Arial" w:hAnsi="Arial"/>
          <w:sz w:val="14"/>
          <w:szCs w:val="14"/>
          <w:b w:val="1"/>
          <w:bCs w:val="1"/>
          <w:u w:val="single" w:color="auto"/>
          <w:color w:val="auto"/>
        </w:rPr>
        <w:t>M</w:t>
      </w:r>
      <w:r>
        <w:rPr>
          <w:rFonts w:ascii="Arial" w:cs="Arial" w:eastAsia="Arial" w:hAnsi="Arial"/>
          <w:sz w:val="9"/>
          <w:szCs w:val="9"/>
          <w:b w:val="1"/>
          <w:bCs w:val="1"/>
          <w:u w:val="single" w:color="auto"/>
          <w:color w:val="auto"/>
        </w:rPr>
        <w:t>ISCELLANEOUS</w:t>
      </w:r>
      <w:r>
        <w:rPr>
          <w:rFonts w:ascii="Arial" w:cs="Arial" w:eastAsia="Arial" w:hAnsi="Arial"/>
          <w:sz w:val="14"/>
          <w:szCs w:val="14"/>
          <w:b w:val="1"/>
          <w:bCs w:val="1"/>
          <w:color w:val="auto"/>
        </w:rPr>
        <w:t xml:space="preserve"> </w:t>
      </w:r>
      <w:r>
        <w:rPr>
          <w:rFonts w:ascii="Arial" w:cs="Arial" w:eastAsia="Arial" w:hAnsi="Arial"/>
          <w:sz w:val="14"/>
          <w:szCs w:val="14"/>
          <w:b w:val="1"/>
          <w:bCs w:val="1"/>
          <w:u w:val="single" w:color="auto"/>
          <w:color w:val="auto"/>
        </w:rPr>
        <w:t>P</w:t>
      </w:r>
      <w:r>
        <w:rPr>
          <w:rFonts w:ascii="Arial" w:cs="Arial" w:eastAsia="Arial" w:hAnsi="Arial"/>
          <w:sz w:val="9"/>
          <w:szCs w:val="9"/>
          <w:b w:val="1"/>
          <w:bCs w:val="1"/>
          <w:u w:val="single" w:color="auto"/>
          <w:color w:val="auto"/>
        </w:rPr>
        <w:t>ROVISIONS</w:t>
      </w:r>
      <w:r>
        <w:rPr>
          <w:rFonts w:ascii="Arial" w:cs="Arial" w:eastAsia="Arial" w:hAnsi="Arial"/>
          <w:sz w:val="14"/>
          <w:szCs w:val="14"/>
          <w:b w:val="1"/>
          <w:bCs w:val="1"/>
          <w:color w:val="auto"/>
        </w:rPr>
        <w:t>.</w:t>
      </w:r>
    </w:p>
    <w:p>
      <w:pPr>
        <w:spacing w:after="0" w:line="145" w:lineRule="exact"/>
        <w:rPr>
          <w:sz w:val="20"/>
          <w:szCs w:val="20"/>
          <w:color w:val="auto"/>
        </w:rPr>
      </w:pPr>
    </w:p>
    <w:p>
      <w:pPr>
        <w:jc w:val="both"/>
        <w:ind w:firstLine="1531"/>
        <w:spacing w:after="0" w:line="254" w:lineRule="auto"/>
        <w:rPr>
          <w:sz w:val="20"/>
          <w:szCs w:val="20"/>
          <w:color w:val="auto"/>
        </w:rPr>
      </w:pPr>
      <w:r>
        <w:rPr>
          <w:rFonts w:ascii="Arial" w:cs="Arial" w:eastAsia="Arial" w:hAnsi="Arial"/>
          <w:sz w:val="14"/>
          <w:szCs w:val="14"/>
          <w:color w:val="auto"/>
        </w:rPr>
        <w:t xml:space="preserve">13.1 </w:t>
      </w:r>
      <w:r>
        <w:rPr>
          <w:rFonts w:ascii="Arial" w:cs="Arial" w:eastAsia="Arial" w:hAnsi="Arial"/>
          <w:sz w:val="14"/>
          <w:szCs w:val="14"/>
          <w:b w:val="1"/>
          <w:bCs w:val="1"/>
          <w:color w:val="auto"/>
        </w:rPr>
        <w:t>Termination or Amendment.</w:t>
      </w:r>
      <w:r>
        <w:rPr>
          <w:rFonts w:ascii="Arial" w:cs="Arial" w:eastAsia="Arial" w:hAnsi="Arial"/>
          <w:sz w:val="14"/>
          <w:szCs w:val="14"/>
          <w:color w:val="auto"/>
        </w:rPr>
        <w:t xml:space="preserve"> The Committee may terminate or amend the Plan or the Option at any time; provided, however, that except as provided in Section 8 in connection with a Change in Control, no such termination or amendment may have a materially adverse effect on the Option or any unexercised portion thereof without the consent of the Participant unless such termination or amendment is necessary to comply with any applicable law or government regulation. No amendment or addition to this Option Agreement shall be effective unless in writing.</w:t>
      </w:r>
    </w:p>
    <w:p>
      <w:pPr>
        <w:spacing w:after="0" w:line="111" w:lineRule="exact"/>
        <w:rPr>
          <w:sz w:val="20"/>
          <w:szCs w:val="20"/>
          <w:color w:val="auto"/>
        </w:rPr>
      </w:pPr>
    </w:p>
    <w:p>
      <w:pPr>
        <w:jc w:val="both"/>
        <w:ind w:firstLine="1531"/>
        <w:spacing w:after="0" w:line="279" w:lineRule="auto"/>
        <w:rPr>
          <w:sz w:val="20"/>
          <w:szCs w:val="20"/>
          <w:color w:val="auto"/>
        </w:rPr>
      </w:pPr>
      <w:r>
        <w:rPr>
          <w:rFonts w:ascii="Arial" w:cs="Arial" w:eastAsia="Arial" w:hAnsi="Arial"/>
          <w:sz w:val="14"/>
          <w:szCs w:val="14"/>
          <w:color w:val="auto"/>
        </w:rPr>
        <w:t xml:space="preserve">13.2 </w:t>
      </w:r>
      <w:r>
        <w:rPr>
          <w:rFonts w:ascii="Arial" w:cs="Arial" w:eastAsia="Arial" w:hAnsi="Arial"/>
          <w:sz w:val="14"/>
          <w:szCs w:val="14"/>
          <w:b w:val="1"/>
          <w:bCs w:val="1"/>
          <w:color w:val="auto"/>
        </w:rPr>
        <w:t>Further Instruments.</w:t>
      </w:r>
      <w:r>
        <w:rPr>
          <w:rFonts w:ascii="Arial" w:cs="Arial" w:eastAsia="Arial" w:hAnsi="Arial"/>
          <w:sz w:val="14"/>
          <w:szCs w:val="14"/>
          <w:color w:val="auto"/>
        </w:rPr>
        <w:t xml:space="preserve"> The parties hereto agree to execute such further instruments and to take such further action as may reasonably be necessary to carry out the intent of this Option Agreement.</w:t>
      </w:r>
    </w:p>
    <w:p>
      <w:pPr>
        <w:spacing w:after="0" w:line="94" w:lineRule="exact"/>
        <w:rPr>
          <w:sz w:val="20"/>
          <w:szCs w:val="20"/>
          <w:color w:val="auto"/>
        </w:rPr>
      </w:pPr>
    </w:p>
    <w:p>
      <w:pPr>
        <w:jc w:val="both"/>
        <w:ind w:right="20" w:firstLine="1531"/>
        <w:spacing w:after="0" w:line="279" w:lineRule="auto"/>
        <w:rPr>
          <w:sz w:val="20"/>
          <w:szCs w:val="20"/>
          <w:color w:val="auto"/>
        </w:rPr>
      </w:pPr>
      <w:r>
        <w:rPr>
          <w:rFonts w:ascii="Arial" w:cs="Arial" w:eastAsia="Arial" w:hAnsi="Arial"/>
          <w:sz w:val="14"/>
          <w:szCs w:val="14"/>
          <w:color w:val="auto"/>
        </w:rPr>
        <w:t xml:space="preserve">13.3 </w:t>
      </w:r>
      <w:r>
        <w:rPr>
          <w:rFonts w:ascii="Arial" w:cs="Arial" w:eastAsia="Arial" w:hAnsi="Arial"/>
          <w:sz w:val="14"/>
          <w:szCs w:val="14"/>
          <w:b w:val="1"/>
          <w:bCs w:val="1"/>
          <w:color w:val="auto"/>
        </w:rPr>
        <w:t>Binding Effect.</w:t>
      </w:r>
      <w:r>
        <w:rPr>
          <w:rFonts w:ascii="Arial" w:cs="Arial" w:eastAsia="Arial" w:hAnsi="Arial"/>
          <w:sz w:val="14"/>
          <w:szCs w:val="14"/>
          <w:color w:val="auto"/>
        </w:rPr>
        <w:t xml:space="preserve"> This Option Agreement shall inure to the benefit of the successors and assigns of the Company and, subject to the restrictions on transfer set forth herein, be binding upon the Participant and the Participant’s heirs, executors, administrators, successors and assigns.</w:t>
      </w:r>
    </w:p>
    <w:p>
      <w:pPr>
        <w:spacing w:after="0" w:line="94" w:lineRule="exact"/>
        <w:rPr>
          <w:sz w:val="20"/>
          <w:szCs w:val="20"/>
          <w:color w:val="auto"/>
        </w:rPr>
      </w:pPr>
    </w:p>
    <w:p>
      <w:pPr>
        <w:jc w:val="both"/>
        <w:ind w:firstLine="1531"/>
        <w:spacing w:after="0" w:line="251" w:lineRule="auto"/>
        <w:rPr>
          <w:sz w:val="20"/>
          <w:szCs w:val="20"/>
          <w:color w:val="auto"/>
        </w:rPr>
      </w:pPr>
      <w:r>
        <w:rPr>
          <w:rFonts w:ascii="Arial" w:cs="Arial" w:eastAsia="Arial" w:hAnsi="Arial"/>
          <w:sz w:val="14"/>
          <w:szCs w:val="14"/>
          <w:color w:val="auto"/>
        </w:rPr>
        <w:t xml:space="preserve">13.4 </w:t>
      </w:r>
      <w:r>
        <w:rPr>
          <w:rFonts w:ascii="Arial" w:cs="Arial" w:eastAsia="Arial" w:hAnsi="Arial"/>
          <w:sz w:val="14"/>
          <w:szCs w:val="14"/>
          <w:b w:val="1"/>
          <w:bCs w:val="1"/>
          <w:color w:val="auto"/>
        </w:rPr>
        <w:t>Delivery of Documents and Notices.</w:t>
      </w:r>
      <w:r>
        <w:rPr>
          <w:rFonts w:ascii="Arial" w:cs="Arial" w:eastAsia="Arial" w:hAnsi="Arial"/>
          <w:sz w:val="14"/>
          <w:szCs w:val="14"/>
          <w:color w:val="auto"/>
        </w:rPr>
        <w:t xml:space="preserve"> Any document relating to participation in the Plan or any notice required or permitted hereunder shall be given in writing and shall be deemed effectively given (except to the extent that this Option Agreement provides for effectiveness only upon actual receipt of such notice) upon personal delivery, electronic delivery at the e-mail address, if any, provided for the Participant by a Participating Company, or upon deposit in the U.S. Post Office or foreign postal service, by registered or certified mail, or with a nationally recognized overnight courier service, with postage and fees prepaid, addressed to the other party at the address of such party set forth in the Grant Notice or at such other address as such party may designate in writing from time to time to the other party.</w:t>
      </w:r>
    </w:p>
    <w:p>
      <w:pPr>
        <w:spacing w:after="0" w:line="117" w:lineRule="exact"/>
        <w:rPr>
          <w:sz w:val="20"/>
          <w:szCs w:val="20"/>
          <w:color w:val="auto"/>
        </w:rPr>
      </w:pPr>
    </w:p>
    <w:p>
      <w:pPr>
        <w:jc w:val="both"/>
        <w:ind w:firstLine="2289"/>
        <w:spacing w:after="0" w:line="248" w:lineRule="auto"/>
        <w:tabs>
          <w:tab w:leader="none" w:pos="2889" w:val="left"/>
        </w:tabs>
        <w:numPr>
          <w:ilvl w:val="0"/>
          <w:numId w:val="82"/>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Description of Electronic Delivery and Signature. </w:t>
      </w:r>
      <w:r>
        <w:rPr>
          <w:rFonts w:ascii="Arial" w:cs="Arial" w:eastAsia="Arial" w:hAnsi="Arial"/>
          <w:sz w:val="14"/>
          <w:szCs w:val="14"/>
          <w:color w:val="auto"/>
        </w:rPr>
        <w:t>The Plan documents, which may include but do not necessarily include: the Plan, the Grant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Notice, this Option Agreement, the Plan Prospectus, and any reports of the Company provided generally to the Company’s stockholders, may be delivered to the Participant electronically. In addition, if permitted by the Company, the Participant may deliver electronically the Grant Notice and Exercise Notice called for by Section 4.2 to the Company or to such third party involved in administering the Plan as the Company may designate from time to time. Such means of electronic delivery may include but do not necessarily include the delivery of a link to a Company intranet or the Internet site of a third party involved in administering the Plan, the delivery of the document via e-mail or such other means of electronic delivery specified by the Company. Any and all such documents and notices may be electronically signed.</w:t>
      </w:r>
    </w:p>
    <w:p>
      <w:pPr>
        <w:spacing w:after="0" w:line="101" w:lineRule="exact"/>
        <w:rPr>
          <w:sz w:val="20"/>
          <w:szCs w:val="20"/>
          <w:color w:val="auto"/>
        </w:rPr>
      </w:pPr>
    </w:p>
    <w:p>
      <w:pPr>
        <w:ind w:left="760"/>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100330</wp:posOffset>
            </wp:positionV>
            <wp:extent cx="7329170" cy="3683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19">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269" w:right="199" w:bottom="1440" w:gutter="0" w:footer="0" w:header="0"/>
        </w:sectPr>
      </w:pPr>
    </w:p>
    <w:bookmarkStart w:id="140" w:name="page141"/>
    <w:bookmarkEnd w:id="140"/>
    <w:p>
      <w:pPr>
        <w:jc w:val="both"/>
        <w:ind w:firstLine="2289"/>
        <w:spacing w:after="0" w:line="245" w:lineRule="auto"/>
        <w:tabs>
          <w:tab w:leader="none" w:pos="2897" w:val="left"/>
        </w:tabs>
        <w:numPr>
          <w:ilvl w:val="0"/>
          <w:numId w:val="83"/>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Consent to Electronic Delivery and Signature. </w:t>
      </w:r>
      <w:r>
        <w:rPr>
          <w:rFonts w:ascii="Arial" w:cs="Arial" w:eastAsia="Arial" w:hAnsi="Arial"/>
          <w:sz w:val="14"/>
          <w:szCs w:val="14"/>
          <w:color w:val="auto"/>
        </w:rPr>
        <w:t>The Participant acknowledges that the Participant has read Section 13.4(a) of this Option</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Agreement and consents to the electronic delivery of the Plan documents and, if permitted by the Company, the delivery of the Grant Notice and Exercise Notice, as described in Section 13.4(a). The Participant agrees that any and all such documents requiring a signature may be electronically signed and that such electronic signature shall have the same effect as handwritten signature for the purposes of validity, enforceability and admissibility. The Participant acknowledges that he or she may receive from the Company a paper copy of any documents delivered electronically at no cost to the Participant by contacting the Company by telephone or in writing. The Participant further acknowledges that the Participant will be provided with a paper copy of any documents if the attempted electronic delivery of such documents fails. Similarly, the Participant understands that the Participant must provide the Company or any designated third party administrator with a paper copy of any documents if the attempted electronic delivery of such documents fails. The Participant may revoke his or her consent to the electronic delivery of documents described in Section 13.4(a) or may change the electronic mail address to which such documents are to be delivered (if the Participant has provided an electronic mail address) at any time by notifying the Company of such revoked consent or revised e-mail address by telephone, postal service or electronic mail. Finally, the Participant understands that he or she is not required to consent to electronic delivery of documents described in Section 13.4(a).</w:t>
      </w:r>
    </w:p>
    <w:p>
      <w:pPr>
        <w:spacing w:after="0" w:line="118" w:lineRule="exact"/>
        <w:rPr>
          <w:sz w:val="20"/>
          <w:szCs w:val="20"/>
          <w:color w:val="auto"/>
        </w:rPr>
      </w:pPr>
    </w:p>
    <w:p>
      <w:pPr>
        <w:jc w:val="both"/>
        <w:ind w:firstLine="1531"/>
        <w:spacing w:after="0" w:line="254" w:lineRule="auto"/>
        <w:rPr>
          <w:sz w:val="20"/>
          <w:szCs w:val="20"/>
          <w:color w:val="auto"/>
        </w:rPr>
      </w:pPr>
      <w:r>
        <w:rPr>
          <w:rFonts w:ascii="Arial" w:cs="Arial" w:eastAsia="Arial" w:hAnsi="Arial"/>
          <w:sz w:val="14"/>
          <w:szCs w:val="14"/>
          <w:color w:val="auto"/>
        </w:rPr>
        <w:t xml:space="preserve">13.5 </w:t>
      </w:r>
      <w:r>
        <w:rPr>
          <w:rFonts w:ascii="Arial" w:cs="Arial" w:eastAsia="Arial" w:hAnsi="Arial"/>
          <w:sz w:val="14"/>
          <w:szCs w:val="14"/>
          <w:b w:val="1"/>
          <w:bCs w:val="1"/>
          <w:color w:val="auto"/>
        </w:rPr>
        <w:t>Integrated Agreement.</w:t>
      </w:r>
      <w:r>
        <w:rPr>
          <w:rFonts w:ascii="Arial" w:cs="Arial" w:eastAsia="Arial" w:hAnsi="Arial"/>
          <w:sz w:val="14"/>
          <w:szCs w:val="14"/>
          <w:color w:val="auto"/>
        </w:rPr>
        <w:t xml:space="preserve"> The Grant Notice, this Option Agreement and the Plan, together with the Superseding Agreement, if any, shall constitute the entire understanding and agreement of the Participant and the Participating Company Group with respect to the subject matter contained herein and supersede any prior agreements, understandings, restrictions, representations, or warranties among the Participant and the Participating Company Group with respect to such subject matter. To the extent contemplated herein, the provisions of the Grant Notice, the Option Agreement and the Plan shall survive any exercise of the Option and shall remain in full force and effect.</w:t>
      </w:r>
    </w:p>
    <w:p>
      <w:pPr>
        <w:spacing w:after="0" w:line="111" w:lineRule="exact"/>
        <w:rPr>
          <w:sz w:val="20"/>
          <w:szCs w:val="20"/>
          <w:color w:val="auto"/>
        </w:rPr>
      </w:pPr>
    </w:p>
    <w:p>
      <w:pPr>
        <w:jc w:val="both"/>
        <w:ind w:firstLine="1531"/>
        <w:spacing w:after="0" w:line="279" w:lineRule="auto"/>
        <w:rPr>
          <w:sz w:val="20"/>
          <w:szCs w:val="20"/>
          <w:color w:val="auto"/>
        </w:rPr>
      </w:pPr>
      <w:r>
        <w:rPr>
          <w:rFonts w:ascii="Arial" w:cs="Arial" w:eastAsia="Arial" w:hAnsi="Arial"/>
          <w:sz w:val="14"/>
          <w:szCs w:val="14"/>
          <w:color w:val="auto"/>
        </w:rPr>
        <w:t xml:space="preserve">13.6 </w:t>
      </w:r>
      <w:r>
        <w:rPr>
          <w:rFonts w:ascii="Arial" w:cs="Arial" w:eastAsia="Arial" w:hAnsi="Arial"/>
          <w:sz w:val="14"/>
          <w:szCs w:val="14"/>
          <w:b w:val="1"/>
          <w:bCs w:val="1"/>
          <w:color w:val="auto"/>
        </w:rPr>
        <w:t>Applicable Law.</w:t>
      </w:r>
      <w:r>
        <w:rPr>
          <w:rFonts w:ascii="Arial" w:cs="Arial" w:eastAsia="Arial" w:hAnsi="Arial"/>
          <w:sz w:val="14"/>
          <w:szCs w:val="14"/>
          <w:color w:val="auto"/>
        </w:rPr>
        <w:t xml:space="preserve"> This Option Agreement shall be governed by the laws of the State of Delaware as such laws are applied to agreements between Delaware residents entered into and to be performed entirely within the State of Delaware.</w:t>
      </w:r>
    </w:p>
    <w:p>
      <w:pPr>
        <w:spacing w:after="0" w:line="94" w:lineRule="exact"/>
        <w:rPr>
          <w:sz w:val="20"/>
          <w:szCs w:val="20"/>
          <w:color w:val="auto"/>
        </w:rPr>
      </w:pPr>
    </w:p>
    <w:p>
      <w:pPr>
        <w:ind w:left="1520"/>
        <w:spacing w:after="0"/>
        <w:tabs>
          <w:tab w:leader="none" w:pos="2180" w:val="left"/>
        </w:tabs>
        <w:rPr>
          <w:sz w:val="20"/>
          <w:szCs w:val="20"/>
          <w:color w:val="auto"/>
        </w:rPr>
      </w:pPr>
      <w:r>
        <w:rPr>
          <w:rFonts w:ascii="Arial" w:cs="Arial" w:eastAsia="Arial" w:hAnsi="Arial"/>
          <w:sz w:val="14"/>
          <w:szCs w:val="14"/>
          <w:color w:val="auto"/>
        </w:rPr>
        <w:t>13.7</w:t>
      </w:r>
      <w:r>
        <w:rPr>
          <w:sz w:val="20"/>
          <w:szCs w:val="20"/>
          <w:color w:val="auto"/>
        </w:rPr>
        <w:tab/>
      </w:r>
      <w:r>
        <w:rPr>
          <w:rFonts w:ascii="Arial" w:cs="Arial" w:eastAsia="Arial" w:hAnsi="Arial"/>
          <w:sz w:val="13"/>
          <w:szCs w:val="13"/>
          <w:b w:val="1"/>
          <w:bCs w:val="1"/>
          <w:color w:val="auto"/>
        </w:rPr>
        <w:t xml:space="preserve">Counterparts. </w:t>
      </w:r>
      <w:r>
        <w:rPr>
          <w:rFonts w:ascii="Arial" w:cs="Arial" w:eastAsia="Arial" w:hAnsi="Arial"/>
          <w:sz w:val="13"/>
          <w:szCs w:val="13"/>
          <w:color w:val="auto"/>
        </w:rPr>
        <w:t>The Grant Notice may be executed in counterparts, each of which shall be deemed an original, but all of which together shall constitute one and</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the same instrument.</w:t>
      </w:r>
    </w:p>
    <w:p>
      <w:pPr>
        <w:spacing w:after="0" w:line="115" w:lineRule="exact"/>
        <w:rPr>
          <w:sz w:val="20"/>
          <w:szCs w:val="20"/>
          <w:color w:val="auto"/>
        </w:rPr>
      </w:pPr>
    </w:p>
    <w:p>
      <w:pPr>
        <w:ind w:left="760"/>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1480"/>
          </w:cols>
          <w:pgMar w:left="220" w:top="269" w:right="199" w:bottom="1440" w:gutter="0" w:footer="0" w:header="0"/>
        </w:sectPr>
      </w:pPr>
    </w:p>
    <w:bookmarkStart w:id="141" w:name="page142"/>
    <w:bookmarkEnd w:id="141"/>
    <w:p>
      <w:pPr>
        <w:jc w:val="right"/>
        <w:ind w:right="20"/>
        <w:spacing w:after="0"/>
        <w:rPr>
          <w:sz w:val="20"/>
          <w:szCs w:val="20"/>
          <w:color w:val="auto"/>
        </w:rPr>
      </w:pPr>
      <w:r>
        <w:rPr>
          <w:rFonts w:ascii="Arial" w:cs="Arial" w:eastAsia="Arial" w:hAnsi="Arial"/>
          <w:sz w:val="13"/>
          <w:szCs w:val="13"/>
          <w:color w:val="auto"/>
        </w:rPr>
        <w:t>Exhibit 10.25</w:t>
      </w:r>
    </w:p>
    <w:p>
      <w:pPr>
        <w:spacing w:after="0" w:line="18"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VERRA MOBILITY CORPORATION</w:t>
      </w:r>
    </w:p>
    <w:p>
      <w:pPr>
        <w:spacing w:after="0" w:line="3"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NOTICE OF GRANT OF STOCK OPTION</w:t>
      </w:r>
    </w:p>
    <w:p>
      <w:pPr>
        <w:jc w:val="center"/>
        <w:ind w:right="20"/>
        <w:spacing w:after="0"/>
        <w:rPr>
          <w:sz w:val="20"/>
          <w:szCs w:val="20"/>
          <w:color w:val="auto"/>
        </w:rPr>
      </w:pPr>
      <w:r>
        <w:rPr>
          <w:rFonts w:ascii="Arial" w:cs="Arial" w:eastAsia="Arial" w:hAnsi="Arial"/>
          <w:sz w:val="13"/>
          <w:szCs w:val="13"/>
          <w:b w:val="1"/>
          <w:bCs w:val="1"/>
          <w:color w:val="auto"/>
        </w:rPr>
        <w:t>(For U.K. Participants)</w:t>
      </w:r>
    </w:p>
    <w:p>
      <w:pPr>
        <w:spacing w:after="0" w:line="139" w:lineRule="exact"/>
        <w:rPr>
          <w:sz w:val="20"/>
          <w:szCs w:val="20"/>
          <w:color w:val="auto"/>
        </w:rPr>
      </w:pPr>
    </w:p>
    <w:p>
      <w:pPr>
        <w:jc w:val="both"/>
        <w:ind w:right="40"/>
        <w:spacing w:after="0" w:line="276" w:lineRule="auto"/>
        <w:rPr>
          <w:sz w:val="20"/>
          <w:szCs w:val="20"/>
          <w:color w:val="auto"/>
        </w:rPr>
      </w:pPr>
      <w:r>
        <w:rPr>
          <w:rFonts w:ascii="Arial" w:cs="Arial" w:eastAsia="Arial" w:hAnsi="Arial"/>
          <w:sz w:val="12"/>
          <w:szCs w:val="12"/>
          <w:color w:val="auto"/>
        </w:rPr>
        <w:t xml:space="preserve">Verra Mobility Corporation, a Delaware corporation (the </w:t>
      </w:r>
      <w:r>
        <w:rPr>
          <w:rFonts w:ascii="Arial" w:cs="Arial" w:eastAsia="Arial" w:hAnsi="Arial"/>
          <w:sz w:val="12"/>
          <w:szCs w:val="12"/>
          <w:i w:val="1"/>
          <w:iCs w:val="1"/>
          <w:color w:val="auto"/>
        </w:rPr>
        <w:t>“</w:t>
      </w:r>
      <w:r>
        <w:rPr>
          <w:rFonts w:ascii="Arial" w:cs="Arial" w:eastAsia="Arial" w:hAnsi="Arial"/>
          <w:sz w:val="12"/>
          <w:szCs w:val="12"/>
          <w:b w:val="1"/>
          <w:bCs w:val="1"/>
          <w:i w:val="1"/>
          <w:iCs w:val="1"/>
          <w:color w:val="auto"/>
        </w:rPr>
        <w:t>Company</w:t>
      </w:r>
      <w:r>
        <w:rPr>
          <w:rFonts w:ascii="Arial" w:cs="Arial" w:eastAsia="Arial" w:hAnsi="Arial"/>
          <w:sz w:val="12"/>
          <w:szCs w:val="12"/>
          <w:i w:val="1"/>
          <w:iCs w:val="1"/>
          <w:color w:val="auto"/>
        </w:rPr>
        <w:t>”</w:t>
      </w:r>
      <w:r>
        <w:rPr>
          <w:rFonts w:ascii="Arial" w:cs="Arial" w:eastAsia="Arial" w:hAnsi="Arial"/>
          <w:sz w:val="12"/>
          <w:szCs w:val="12"/>
          <w:color w:val="auto"/>
        </w:rPr>
        <w:t xml:space="preserve">) has granted to the Participant an option (the </w:t>
      </w:r>
      <w:r>
        <w:rPr>
          <w:rFonts w:ascii="Arial" w:cs="Arial" w:eastAsia="Arial" w:hAnsi="Arial"/>
          <w:sz w:val="12"/>
          <w:szCs w:val="12"/>
          <w:i w:val="1"/>
          <w:iCs w:val="1"/>
          <w:color w:val="auto"/>
        </w:rPr>
        <w:t>“</w:t>
      </w:r>
      <w:r>
        <w:rPr>
          <w:rFonts w:ascii="Arial" w:cs="Arial" w:eastAsia="Arial" w:hAnsi="Arial"/>
          <w:sz w:val="12"/>
          <w:szCs w:val="12"/>
          <w:b w:val="1"/>
          <w:bCs w:val="1"/>
          <w:i w:val="1"/>
          <w:iCs w:val="1"/>
          <w:color w:val="auto"/>
        </w:rPr>
        <w:t>Option</w:t>
      </w:r>
      <w:r>
        <w:rPr>
          <w:rFonts w:ascii="Arial" w:cs="Arial" w:eastAsia="Arial" w:hAnsi="Arial"/>
          <w:sz w:val="12"/>
          <w:szCs w:val="12"/>
          <w:i w:val="1"/>
          <w:iCs w:val="1"/>
          <w:color w:val="auto"/>
        </w:rPr>
        <w:t>”</w:t>
      </w:r>
      <w:r>
        <w:rPr>
          <w:rFonts w:ascii="Arial" w:cs="Arial" w:eastAsia="Arial" w:hAnsi="Arial"/>
          <w:sz w:val="12"/>
          <w:szCs w:val="12"/>
          <w:color w:val="auto"/>
        </w:rPr>
        <w:t xml:space="preserve">) to purchase certain shares of Stock pursuant to the Verra Mobility Corporation 2018 Equity Incentive Plan (the </w:t>
      </w:r>
      <w:r>
        <w:rPr>
          <w:rFonts w:ascii="Arial" w:cs="Arial" w:eastAsia="Arial" w:hAnsi="Arial"/>
          <w:sz w:val="12"/>
          <w:szCs w:val="12"/>
          <w:i w:val="1"/>
          <w:iCs w:val="1"/>
          <w:color w:val="auto"/>
        </w:rPr>
        <w:t>“</w:t>
      </w:r>
      <w:r>
        <w:rPr>
          <w:rFonts w:ascii="Arial" w:cs="Arial" w:eastAsia="Arial" w:hAnsi="Arial"/>
          <w:sz w:val="12"/>
          <w:szCs w:val="12"/>
          <w:b w:val="1"/>
          <w:bCs w:val="1"/>
          <w:i w:val="1"/>
          <w:iCs w:val="1"/>
          <w:color w:val="auto"/>
        </w:rPr>
        <w:t>Plan</w:t>
      </w:r>
      <w:r>
        <w:rPr>
          <w:rFonts w:ascii="Arial" w:cs="Arial" w:eastAsia="Arial" w:hAnsi="Arial"/>
          <w:sz w:val="12"/>
          <w:szCs w:val="12"/>
          <w:i w:val="1"/>
          <w:iCs w:val="1"/>
          <w:color w:val="auto"/>
        </w:rPr>
        <w:t>”</w:t>
      </w:r>
      <w:r>
        <w:rPr>
          <w:rFonts w:ascii="Arial" w:cs="Arial" w:eastAsia="Arial" w:hAnsi="Arial"/>
          <w:sz w:val="12"/>
          <w:szCs w:val="12"/>
          <w:color w:val="auto"/>
        </w:rPr>
        <w:t>), as follows: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1460" w:type="dxa"/>
            <w:vAlign w:val="bottom"/>
          </w:tcPr>
          <w:p>
            <w:pPr>
              <w:spacing w:after="0"/>
              <w:rPr>
                <w:sz w:val="20"/>
                <w:szCs w:val="20"/>
                <w:color w:val="auto"/>
              </w:rPr>
            </w:pPr>
            <w:r>
              <w:rPr>
                <w:rFonts w:ascii="Arial" w:cs="Arial" w:eastAsia="Arial" w:hAnsi="Arial"/>
                <w:sz w:val="12"/>
                <w:szCs w:val="12"/>
                <w:b w:val="1"/>
                <w:bCs w:val="1"/>
                <w:color w:val="auto"/>
              </w:rPr>
              <w:t>Participant:</w:t>
            </w:r>
          </w:p>
        </w:tc>
        <w:tc>
          <w:tcPr>
            <w:tcW w:w="3340" w:type="dxa"/>
            <w:vAlign w:val="bottom"/>
          </w:tcPr>
          <w:p>
            <w:pPr>
              <w:ind w:left="2320"/>
              <w:spacing w:after="0"/>
              <w:rPr>
                <w:sz w:val="20"/>
                <w:szCs w:val="20"/>
                <w:color w:val="auto"/>
              </w:rPr>
            </w:pPr>
            <w:r>
              <w:rPr>
                <w:rFonts w:ascii="Arial" w:cs="Arial" w:eastAsia="Arial" w:hAnsi="Arial"/>
                <w:sz w:val="12"/>
                <w:szCs w:val="12"/>
                <w:b w:val="1"/>
                <w:bCs w:val="1"/>
                <w:color w:val="auto"/>
              </w:rPr>
              <w:t>Employee ID:</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216"/>
        </w:trPr>
        <w:tc>
          <w:tcPr>
            <w:tcW w:w="1460" w:type="dxa"/>
            <w:vAlign w:val="bottom"/>
          </w:tcPr>
          <w:p>
            <w:pPr>
              <w:spacing w:after="0"/>
              <w:rPr>
                <w:sz w:val="20"/>
                <w:szCs w:val="20"/>
                <w:color w:val="auto"/>
              </w:rPr>
            </w:pPr>
            <w:r>
              <w:rPr>
                <w:rFonts w:ascii="Arial" w:cs="Arial" w:eastAsia="Arial" w:hAnsi="Arial"/>
                <w:sz w:val="12"/>
                <w:szCs w:val="12"/>
                <w:b w:val="1"/>
                <w:bCs w:val="1"/>
                <w:color w:val="auto"/>
              </w:rPr>
              <w:t>Date of Grant:</w:t>
            </w:r>
          </w:p>
        </w:tc>
        <w:tc>
          <w:tcPr>
            <w:tcW w:w="3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1460" w:type="dxa"/>
            <w:vAlign w:val="bottom"/>
          </w:tcPr>
          <w:p>
            <w:pPr>
              <w:spacing w:after="0"/>
              <w:rPr>
                <w:sz w:val="20"/>
                <w:szCs w:val="20"/>
                <w:color w:val="auto"/>
              </w:rPr>
            </w:pPr>
            <w:r>
              <w:rPr>
                <w:rFonts w:ascii="Arial" w:cs="Arial" w:eastAsia="Arial" w:hAnsi="Arial"/>
                <w:sz w:val="12"/>
                <w:szCs w:val="12"/>
                <w:b w:val="1"/>
                <w:bCs w:val="1"/>
                <w:color w:val="auto"/>
                <w:w w:val="96"/>
              </w:rPr>
              <w:t>Number of Option Shares:</w:t>
            </w:r>
          </w:p>
        </w:tc>
        <w:tc>
          <w:tcPr>
            <w:tcW w:w="3340" w:type="dxa"/>
            <w:vAlign w:val="bottom"/>
          </w:tcPr>
          <w:p>
            <w:pPr>
              <w:ind w:left="100"/>
              <w:spacing w:after="0"/>
              <w:rPr>
                <w:sz w:val="20"/>
                <w:szCs w:val="20"/>
                <w:color w:val="auto"/>
              </w:rPr>
            </w:pPr>
            <w:r>
              <w:rPr>
                <w:rFonts w:ascii="Arial" w:cs="Arial" w:eastAsia="Arial" w:hAnsi="Arial"/>
                <w:sz w:val="12"/>
                <w:szCs w:val="12"/>
                <w:color w:val="auto"/>
                <w:w w:val="98"/>
              </w:rPr>
              <w:t>, subject to adjustment as provided by the Option Agreement.</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1460" w:type="dxa"/>
            <w:vAlign w:val="bottom"/>
          </w:tcPr>
          <w:p>
            <w:pPr>
              <w:spacing w:after="0"/>
              <w:rPr>
                <w:sz w:val="20"/>
                <w:szCs w:val="20"/>
                <w:color w:val="auto"/>
              </w:rPr>
            </w:pPr>
            <w:r>
              <w:rPr>
                <w:rFonts w:ascii="Arial" w:cs="Arial" w:eastAsia="Arial" w:hAnsi="Arial"/>
                <w:sz w:val="12"/>
                <w:szCs w:val="12"/>
                <w:b w:val="1"/>
                <w:bCs w:val="1"/>
                <w:color w:val="auto"/>
              </w:rPr>
              <w:t>Exercise Price:</w:t>
            </w:r>
          </w:p>
        </w:tc>
        <w:tc>
          <w:tcPr>
            <w:tcW w:w="3340" w:type="dxa"/>
            <w:vAlign w:val="bottom"/>
          </w:tcPr>
          <w:p>
            <w:pPr>
              <w:ind w:left="100"/>
              <w:spacing w:after="0"/>
              <w:rPr>
                <w:sz w:val="20"/>
                <w:szCs w:val="20"/>
                <w:color w:val="auto"/>
              </w:rPr>
            </w:pPr>
            <w:r>
              <w:rPr>
                <w:rFonts w:ascii="Arial" w:cs="Arial" w:eastAsia="Arial" w:hAnsi="Arial"/>
                <w:sz w:val="12"/>
                <w:szCs w:val="12"/>
                <w:color w:val="auto"/>
              </w:rPr>
              <w:t>US$</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1460" w:type="dxa"/>
            <w:vAlign w:val="bottom"/>
          </w:tcPr>
          <w:p>
            <w:pPr>
              <w:spacing w:after="0"/>
              <w:rPr>
                <w:sz w:val="20"/>
                <w:szCs w:val="20"/>
                <w:color w:val="auto"/>
              </w:rPr>
            </w:pPr>
            <w:r>
              <w:rPr>
                <w:rFonts w:ascii="Arial" w:cs="Arial" w:eastAsia="Arial" w:hAnsi="Arial"/>
                <w:sz w:val="12"/>
                <w:szCs w:val="12"/>
                <w:b w:val="1"/>
                <w:bCs w:val="1"/>
                <w:color w:val="auto"/>
              </w:rPr>
              <w:t>Vesting Start Date:</w:t>
            </w:r>
          </w:p>
        </w:tc>
        <w:tc>
          <w:tcPr>
            <w:tcW w:w="3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1460" w:type="dxa"/>
            <w:vAlign w:val="bottom"/>
          </w:tcPr>
          <w:p>
            <w:pPr>
              <w:spacing w:after="0"/>
              <w:rPr>
                <w:sz w:val="20"/>
                <w:szCs w:val="20"/>
                <w:color w:val="auto"/>
              </w:rPr>
            </w:pPr>
            <w:r>
              <w:rPr>
                <w:rFonts w:ascii="Arial" w:cs="Arial" w:eastAsia="Arial" w:hAnsi="Arial"/>
                <w:sz w:val="12"/>
                <w:szCs w:val="12"/>
                <w:b w:val="1"/>
                <w:bCs w:val="1"/>
                <w:color w:val="auto"/>
              </w:rPr>
              <w:t>Option Expiration Date:</w:t>
            </w:r>
          </w:p>
        </w:tc>
        <w:tc>
          <w:tcPr>
            <w:tcW w:w="3340" w:type="dxa"/>
            <w:vAlign w:val="bottom"/>
          </w:tcPr>
          <w:p>
            <w:pPr>
              <w:ind w:left="100"/>
              <w:spacing w:after="0"/>
              <w:rPr>
                <w:sz w:val="20"/>
                <w:szCs w:val="20"/>
                <w:color w:val="auto"/>
              </w:rPr>
            </w:pPr>
            <w:r>
              <w:rPr>
                <w:rFonts w:ascii="Arial" w:cs="Arial" w:eastAsia="Arial" w:hAnsi="Arial"/>
                <w:sz w:val="12"/>
                <w:szCs w:val="12"/>
                <w:color w:val="auto"/>
              </w:rPr>
              <w:t>The tenth anniversary of the Date of Grant.</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1460" w:type="dxa"/>
            <w:vAlign w:val="bottom"/>
          </w:tcPr>
          <w:p>
            <w:pPr>
              <w:spacing w:after="0"/>
              <w:rPr>
                <w:sz w:val="20"/>
                <w:szCs w:val="20"/>
                <w:color w:val="auto"/>
              </w:rPr>
            </w:pPr>
            <w:r>
              <w:rPr>
                <w:rFonts w:ascii="Arial" w:cs="Arial" w:eastAsia="Arial" w:hAnsi="Arial"/>
                <w:sz w:val="12"/>
                <w:szCs w:val="12"/>
                <w:b w:val="1"/>
                <w:bCs w:val="1"/>
                <w:color w:val="auto"/>
              </w:rPr>
              <w:t>US Tax Status of Option:</w:t>
            </w:r>
          </w:p>
        </w:tc>
        <w:tc>
          <w:tcPr>
            <w:tcW w:w="3340" w:type="dxa"/>
            <w:vAlign w:val="bottom"/>
          </w:tcPr>
          <w:p>
            <w:pPr>
              <w:ind w:left="100"/>
              <w:spacing w:after="0"/>
              <w:rPr>
                <w:sz w:val="20"/>
                <w:szCs w:val="20"/>
                <w:color w:val="auto"/>
              </w:rPr>
            </w:pPr>
            <w:r>
              <w:rPr>
                <w:rFonts w:ascii="Arial" w:cs="Arial" w:eastAsia="Arial" w:hAnsi="Arial"/>
                <w:sz w:val="12"/>
                <w:szCs w:val="12"/>
                <w:color w:val="auto"/>
              </w:rPr>
              <w:t>Nonstatutory Stock Option.</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07"/>
        </w:trPr>
        <w:tc>
          <w:tcPr>
            <w:tcW w:w="1460" w:type="dxa"/>
            <w:vAlign w:val="bottom"/>
          </w:tcPr>
          <w:p>
            <w:pPr>
              <w:spacing w:after="0"/>
              <w:rPr>
                <w:sz w:val="20"/>
                <w:szCs w:val="20"/>
                <w:color w:val="auto"/>
              </w:rPr>
            </w:pPr>
            <w:r>
              <w:rPr>
                <w:rFonts w:ascii="Arial" w:cs="Arial" w:eastAsia="Arial" w:hAnsi="Arial"/>
                <w:sz w:val="12"/>
                <w:szCs w:val="12"/>
                <w:b w:val="1"/>
                <w:bCs w:val="1"/>
                <w:color w:val="auto"/>
              </w:rPr>
              <w:t>Vested Shares:</w:t>
            </w:r>
          </w:p>
        </w:tc>
        <w:tc>
          <w:tcPr>
            <w:tcW w:w="4260" w:type="dxa"/>
            <w:vAlign w:val="bottom"/>
            <w:gridSpan w:val="4"/>
          </w:tcPr>
          <w:p>
            <w:pPr>
              <w:ind w:left="100"/>
              <w:spacing w:after="0"/>
              <w:rPr>
                <w:sz w:val="20"/>
                <w:szCs w:val="20"/>
                <w:color w:val="auto"/>
              </w:rPr>
            </w:pPr>
            <w:r>
              <w:rPr>
                <w:rFonts w:ascii="Arial" w:cs="Arial" w:eastAsia="Arial" w:hAnsi="Arial"/>
                <w:sz w:val="12"/>
                <w:szCs w:val="12"/>
                <w:color w:val="auto"/>
                <w:w w:val="94"/>
              </w:rPr>
              <w:t>Except as provided in the Option Agreement and provided the Participant’s Service</w:t>
            </w:r>
          </w:p>
        </w:tc>
      </w:tr>
      <w:tr>
        <w:trPr>
          <w:trHeight w:val="144"/>
        </w:trPr>
        <w:tc>
          <w:tcPr>
            <w:tcW w:w="1460" w:type="dxa"/>
            <w:vAlign w:val="bottom"/>
          </w:tcPr>
          <w:p>
            <w:pPr>
              <w:spacing w:after="0"/>
              <w:rPr>
                <w:sz w:val="12"/>
                <w:szCs w:val="12"/>
                <w:color w:val="auto"/>
              </w:rPr>
            </w:pPr>
          </w:p>
        </w:tc>
        <w:tc>
          <w:tcPr>
            <w:tcW w:w="4260" w:type="dxa"/>
            <w:vAlign w:val="bottom"/>
            <w:gridSpan w:val="4"/>
          </w:tcPr>
          <w:p>
            <w:pPr>
              <w:ind w:left="100"/>
              <w:spacing w:after="0"/>
              <w:rPr>
                <w:sz w:val="20"/>
                <w:szCs w:val="20"/>
                <w:color w:val="auto"/>
              </w:rPr>
            </w:pPr>
            <w:r>
              <w:rPr>
                <w:rFonts w:ascii="Arial" w:cs="Arial" w:eastAsia="Arial" w:hAnsi="Arial"/>
                <w:sz w:val="12"/>
                <w:szCs w:val="12"/>
                <w:color w:val="auto"/>
              </w:rPr>
              <w:t>has not terminated prior to the applicable date, the number of Vested Shares</w:t>
            </w:r>
          </w:p>
        </w:tc>
      </w:tr>
      <w:tr>
        <w:trPr>
          <w:trHeight w:val="144"/>
        </w:trPr>
        <w:tc>
          <w:tcPr>
            <w:tcW w:w="1460" w:type="dxa"/>
            <w:vAlign w:val="bottom"/>
          </w:tcPr>
          <w:p>
            <w:pPr>
              <w:spacing w:after="0"/>
              <w:rPr>
                <w:sz w:val="12"/>
                <w:szCs w:val="12"/>
                <w:color w:val="auto"/>
              </w:rPr>
            </w:pPr>
          </w:p>
        </w:tc>
        <w:tc>
          <w:tcPr>
            <w:tcW w:w="4260" w:type="dxa"/>
            <w:vAlign w:val="bottom"/>
            <w:gridSpan w:val="4"/>
          </w:tcPr>
          <w:p>
            <w:pPr>
              <w:ind w:left="100"/>
              <w:spacing w:after="0"/>
              <w:rPr>
                <w:sz w:val="20"/>
                <w:szCs w:val="20"/>
                <w:color w:val="auto"/>
              </w:rPr>
            </w:pPr>
            <w:r>
              <w:rPr>
                <w:rFonts w:ascii="Arial" w:cs="Arial" w:eastAsia="Arial" w:hAnsi="Arial"/>
                <w:sz w:val="12"/>
                <w:szCs w:val="12"/>
                <w:color w:val="auto"/>
              </w:rPr>
              <w:t>(disregarding any resulting fractional share) as of any date is determined by</w:t>
            </w:r>
          </w:p>
        </w:tc>
      </w:tr>
      <w:tr>
        <w:trPr>
          <w:trHeight w:val="144"/>
        </w:trPr>
        <w:tc>
          <w:tcPr>
            <w:tcW w:w="1460" w:type="dxa"/>
            <w:vAlign w:val="bottom"/>
          </w:tcPr>
          <w:p>
            <w:pPr>
              <w:spacing w:after="0"/>
              <w:rPr>
                <w:sz w:val="12"/>
                <w:szCs w:val="12"/>
                <w:color w:val="auto"/>
              </w:rPr>
            </w:pPr>
          </w:p>
        </w:tc>
        <w:tc>
          <w:tcPr>
            <w:tcW w:w="4260" w:type="dxa"/>
            <w:vAlign w:val="bottom"/>
            <w:gridSpan w:val="4"/>
          </w:tcPr>
          <w:p>
            <w:pPr>
              <w:ind w:left="100"/>
              <w:spacing w:after="0"/>
              <w:rPr>
                <w:sz w:val="20"/>
                <w:szCs w:val="20"/>
                <w:color w:val="auto"/>
              </w:rPr>
            </w:pPr>
            <w:r>
              <w:rPr>
                <w:rFonts w:ascii="Arial" w:cs="Arial" w:eastAsia="Arial" w:hAnsi="Arial"/>
                <w:sz w:val="12"/>
                <w:szCs w:val="12"/>
                <w:color w:val="auto"/>
                <w:w w:val="96"/>
              </w:rPr>
              <w:t xml:space="preserve">multiplying the Number of Option Shares by the </w:t>
            </w:r>
            <w:r>
              <w:rPr>
                <w:rFonts w:ascii="Arial" w:cs="Arial" w:eastAsia="Arial" w:hAnsi="Arial"/>
                <w:sz w:val="12"/>
                <w:szCs w:val="12"/>
                <w:i w:val="1"/>
                <w:iCs w:val="1"/>
                <w:color w:val="auto"/>
                <w:w w:val="96"/>
              </w:rPr>
              <w:t>“</w:t>
            </w:r>
            <w:r>
              <w:rPr>
                <w:rFonts w:ascii="Arial" w:cs="Arial" w:eastAsia="Arial" w:hAnsi="Arial"/>
                <w:sz w:val="12"/>
                <w:szCs w:val="12"/>
                <w:b w:val="1"/>
                <w:bCs w:val="1"/>
                <w:i w:val="1"/>
                <w:iCs w:val="1"/>
                <w:color w:val="auto"/>
                <w:w w:val="96"/>
              </w:rPr>
              <w:t>Vested Ratio</w:t>
            </w:r>
            <w:r>
              <w:rPr>
                <w:rFonts w:ascii="Arial" w:cs="Arial" w:eastAsia="Arial" w:hAnsi="Arial"/>
                <w:sz w:val="12"/>
                <w:szCs w:val="12"/>
                <w:i w:val="1"/>
                <w:iCs w:val="1"/>
                <w:color w:val="auto"/>
                <w:w w:val="96"/>
              </w:rPr>
              <w:t>”</w:t>
            </w:r>
            <w:r>
              <w:rPr>
                <w:rFonts w:ascii="Arial" w:cs="Arial" w:eastAsia="Arial" w:hAnsi="Arial"/>
                <w:sz w:val="12"/>
                <w:szCs w:val="12"/>
                <w:color w:val="auto"/>
                <w:w w:val="96"/>
              </w:rPr>
              <w:t xml:space="preserve"> determined as of</w:t>
            </w:r>
          </w:p>
        </w:tc>
      </w:tr>
      <w:tr>
        <w:trPr>
          <w:trHeight w:val="153"/>
        </w:trPr>
        <w:tc>
          <w:tcPr>
            <w:tcW w:w="1460" w:type="dxa"/>
            <w:vAlign w:val="bottom"/>
          </w:tcPr>
          <w:p>
            <w:pPr>
              <w:spacing w:after="0"/>
              <w:rPr>
                <w:sz w:val="13"/>
                <w:szCs w:val="13"/>
                <w:color w:val="auto"/>
              </w:rPr>
            </w:pPr>
          </w:p>
        </w:tc>
        <w:tc>
          <w:tcPr>
            <w:tcW w:w="3340" w:type="dxa"/>
            <w:vAlign w:val="bottom"/>
          </w:tcPr>
          <w:p>
            <w:pPr>
              <w:ind w:left="100"/>
              <w:spacing w:after="0"/>
              <w:rPr>
                <w:sz w:val="20"/>
                <w:szCs w:val="20"/>
                <w:color w:val="auto"/>
              </w:rPr>
            </w:pPr>
            <w:r>
              <w:rPr>
                <w:rFonts w:ascii="Arial" w:cs="Arial" w:eastAsia="Arial" w:hAnsi="Arial"/>
                <w:sz w:val="12"/>
                <w:szCs w:val="12"/>
                <w:color w:val="auto"/>
              </w:rPr>
              <w:t>such date, as follows:</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153"/>
        </w:trPr>
        <w:tc>
          <w:tcPr>
            <w:tcW w:w="146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920" w:type="dxa"/>
            <w:vAlign w:val="bottom"/>
            <w:gridSpan w:val="3"/>
          </w:tcPr>
          <w:p>
            <w:pPr>
              <w:ind w:left="100"/>
              <w:spacing w:after="0"/>
              <w:rPr>
                <w:sz w:val="20"/>
                <w:szCs w:val="20"/>
                <w:color w:val="auto"/>
              </w:rPr>
            </w:pPr>
            <w:r>
              <w:rPr>
                <w:rFonts w:ascii="Arial" w:cs="Arial" w:eastAsia="Arial" w:hAnsi="Arial"/>
                <w:sz w:val="12"/>
                <w:szCs w:val="12"/>
                <w:b w:val="1"/>
                <w:bCs w:val="1"/>
                <w:color w:val="auto"/>
              </w:rPr>
              <w:t>Vested Ratio</w:t>
            </w:r>
          </w:p>
        </w:tc>
      </w:tr>
      <w:tr>
        <w:trPr>
          <w:trHeight w:val="187"/>
        </w:trPr>
        <w:tc>
          <w:tcPr>
            <w:tcW w:w="1460" w:type="dxa"/>
            <w:vAlign w:val="bottom"/>
          </w:tcPr>
          <w:p>
            <w:pPr>
              <w:spacing w:after="0"/>
              <w:rPr>
                <w:sz w:val="16"/>
                <w:szCs w:val="16"/>
                <w:color w:val="auto"/>
              </w:rPr>
            </w:pPr>
          </w:p>
        </w:tc>
        <w:tc>
          <w:tcPr>
            <w:tcW w:w="3340" w:type="dxa"/>
            <w:vAlign w:val="bottom"/>
          </w:tcPr>
          <w:p>
            <w:pPr>
              <w:ind w:left="100"/>
              <w:spacing w:after="0"/>
              <w:rPr>
                <w:sz w:val="20"/>
                <w:szCs w:val="20"/>
                <w:color w:val="auto"/>
              </w:rPr>
            </w:pPr>
            <w:r>
              <w:rPr>
                <w:rFonts w:ascii="Arial" w:cs="Arial" w:eastAsia="Arial" w:hAnsi="Arial"/>
                <w:sz w:val="12"/>
                <w:szCs w:val="12"/>
                <w:color w:val="auto"/>
              </w:rPr>
              <w:t>Prior to first anniversary of Vesting Start Date</w:t>
            </w:r>
          </w:p>
        </w:tc>
        <w:tc>
          <w:tcPr>
            <w:tcW w:w="100" w:type="dxa"/>
            <w:vAlign w:val="bottom"/>
          </w:tcPr>
          <w:p>
            <w:pPr>
              <w:spacing w:after="0"/>
              <w:rPr>
                <w:sz w:val="16"/>
                <w:szCs w:val="16"/>
                <w:color w:val="auto"/>
              </w:rPr>
            </w:pPr>
          </w:p>
        </w:tc>
        <w:tc>
          <w:tcPr>
            <w:tcW w:w="640" w:type="dxa"/>
            <w:vAlign w:val="bottom"/>
            <w:tcBorders>
              <w:top w:val="single" w:sz="8" w:color="auto"/>
            </w:tcBorders>
          </w:tcPr>
          <w:p>
            <w:pPr>
              <w:jc w:val="center"/>
              <w:spacing w:after="0"/>
              <w:rPr>
                <w:sz w:val="20"/>
                <w:szCs w:val="20"/>
                <w:color w:val="auto"/>
              </w:rPr>
            </w:pPr>
            <w:r>
              <w:rPr>
                <w:rFonts w:ascii="Arial" w:cs="Arial" w:eastAsia="Arial" w:hAnsi="Arial"/>
                <w:sz w:val="12"/>
                <w:szCs w:val="12"/>
                <w:color w:val="auto"/>
                <w:w w:val="89"/>
              </w:rPr>
              <w:t>0</w:t>
            </w:r>
          </w:p>
        </w:tc>
        <w:tc>
          <w:tcPr>
            <w:tcW w:w="180" w:type="dxa"/>
            <w:vAlign w:val="bottom"/>
          </w:tcPr>
          <w:p>
            <w:pPr>
              <w:spacing w:after="0"/>
              <w:rPr>
                <w:sz w:val="16"/>
                <w:szCs w:val="16"/>
                <w:color w:val="auto"/>
              </w:rPr>
            </w:pPr>
          </w:p>
        </w:tc>
      </w:tr>
      <w:tr>
        <w:trPr>
          <w:trHeight w:val="207"/>
        </w:trPr>
        <w:tc>
          <w:tcPr>
            <w:tcW w:w="1460" w:type="dxa"/>
            <w:vAlign w:val="bottom"/>
          </w:tcPr>
          <w:p>
            <w:pPr>
              <w:spacing w:after="0"/>
              <w:rPr>
                <w:sz w:val="18"/>
                <w:szCs w:val="18"/>
                <w:color w:val="auto"/>
              </w:rPr>
            </w:pPr>
          </w:p>
        </w:tc>
        <w:tc>
          <w:tcPr>
            <w:tcW w:w="3340" w:type="dxa"/>
            <w:vAlign w:val="bottom"/>
          </w:tcPr>
          <w:p>
            <w:pPr>
              <w:ind w:left="100"/>
              <w:spacing w:after="0"/>
              <w:rPr>
                <w:sz w:val="20"/>
                <w:szCs w:val="20"/>
                <w:color w:val="auto"/>
              </w:rPr>
            </w:pPr>
            <w:r>
              <w:rPr>
                <w:rFonts w:ascii="Arial" w:cs="Arial" w:eastAsia="Arial" w:hAnsi="Arial"/>
                <w:sz w:val="12"/>
                <w:szCs w:val="12"/>
                <w:color w:val="auto"/>
                <w:w w:val="98"/>
              </w:rPr>
              <w:t xml:space="preserve">On first anniversary of Vesting Start Date (the </w:t>
            </w:r>
            <w:r>
              <w:rPr>
                <w:rFonts w:ascii="Arial" w:cs="Arial" w:eastAsia="Arial" w:hAnsi="Arial"/>
                <w:sz w:val="12"/>
                <w:szCs w:val="12"/>
                <w:i w:val="1"/>
                <w:iCs w:val="1"/>
                <w:color w:val="auto"/>
                <w:w w:val="98"/>
              </w:rPr>
              <w:t>“</w:t>
            </w:r>
            <w:r>
              <w:rPr>
                <w:rFonts w:ascii="Arial" w:cs="Arial" w:eastAsia="Arial" w:hAnsi="Arial"/>
                <w:sz w:val="12"/>
                <w:szCs w:val="12"/>
                <w:b w:val="1"/>
                <w:bCs w:val="1"/>
                <w:i w:val="1"/>
                <w:iCs w:val="1"/>
                <w:color w:val="auto"/>
                <w:w w:val="98"/>
              </w:rPr>
              <w:t>Initial Vesting</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153"/>
        </w:trPr>
        <w:tc>
          <w:tcPr>
            <w:tcW w:w="1460" w:type="dxa"/>
            <w:vAlign w:val="bottom"/>
          </w:tcPr>
          <w:p>
            <w:pPr>
              <w:spacing w:after="0"/>
              <w:rPr>
                <w:sz w:val="13"/>
                <w:szCs w:val="13"/>
                <w:color w:val="auto"/>
              </w:rPr>
            </w:pPr>
          </w:p>
        </w:tc>
        <w:tc>
          <w:tcPr>
            <w:tcW w:w="3340" w:type="dxa"/>
            <w:vAlign w:val="bottom"/>
          </w:tcPr>
          <w:p>
            <w:pPr>
              <w:ind w:left="100"/>
              <w:spacing w:after="0"/>
              <w:rPr>
                <w:sz w:val="20"/>
                <w:szCs w:val="20"/>
                <w:color w:val="auto"/>
              </w:rPr>
            </w:pPr>
            <w:r>
              <w:rPr>
                <w:rFonts w:ascii="Arial" w:cs="Arial" w:eastAsia="Arial" w:hAnsi="Arial"/>
                <w:sz w:val="12"/>
                <w:szCs w:val="12"/>
                <w:b w:val="1"/>
                <w:bCs w:val="1"/>
                <w:i w:val="1"/>
                <w:iCs w:val="1"/>
                <w:color w:val="auto"/>
              </w:rPr>
              <w:t>Date</w:t>
            </w:r>
            <w:r>
              <w:rPr>
                <w:rFonts w:ascii="Arial" w:cs="Arial" w:eastAsia="Arial" w:hAnsi="Arial"/>
                <w:sz w:val="12"/>
                <w:szCs w:val="12"/>
                <w:i w:val="1"/>
                <w:iCs w:val="1"/>
                <w:color w:val="auto"/>
              </w:rPr>
              <w:t>”</w:t>
            </w:r>
            <w:r>
              <w:rPr>
                <w:rFonts w:ascii="Arial" w:cs="Arial" w:eastAsia="Arial" w:hAnsi="Arial"/>
                <w:sz w:val="12"/>
                <w:szCs w:val="12"/>
                <w:color w:val="auto"/>
              </w:rPr>
              <w:t>)</w:t>
            </w:r>
          </w:p>
        </w:tc>
        <w:tc>
          <w:tcPr>
            <w:tcW w:w="740" w:type="dxa"/>
            <w:vAlign w:val="bottom"/>
            <w:gridSpan w:val="2"/>
          </w:tcPr>
          <w:p>
            <w:pPr>
              <w:jc w:val="center"/>
              <w:ind w:left="20"/>
              <w:spacing w:after="0"/>
              <w:rPr>
                <w:sz w:val="20"/>
                <w:szCs w:val="20"/>
                <w:color w:val="auto"/>
              </w:rPr>
            </w:pPr>
            <w:r>
              <w:rPr>
                <w:rFonts w:ascii="Arial" w:cs="Arial" w:eastAsia="Arial" w:hAnsi="Arial"/>
                <w:sz w:val="12"/>
                <w:szCs w:val="12"/>
                <w:color w:val="auto"/>
                <w:w w:val="91"/>
              </w:rPr>
              <w:t>25%</w:t>
            </w:r>
          </w:p>
        </w:tc>
        <w:tc>
          <w:tcPr>
            <w:tcW w:w="180" w:type="dxa"/>
            <w:vAlign w:val="bottom"/>
          </w:tcPr>
          <w:p>
            <w:pPr>
              <w:spacing w:after="0"/>
              <w:rPr>
                <w:sz w:val="13"/>
                <w:szCs w:val="13"/>
                <w:color w:val="auto"/>
              </w:rPr>
            </w:pPr>
          </w:p>
        </w:tc>
      </w:tr>
      <w:tr>
        <w:trPr>
          <w:trHeight w:val="180"/>
        </w:trPr>
        <w:tc>
          <w:tcPr>
            <w:tcW w:w="1460" w:type="dxa"/>
            <w:vAlign w:val="bottom"/>
          </w:tcPr>
          <w:p>
            <w:pPr>
              <w:spacing w:after="0"/>
              <w:rPr>
                <w:sz w:val="15"/>
                <w:szCs w:val="15"/>
                <w:color w:val="auto"/>
              </w:rPr>
            </w:pPr>
          </w:p>
        </w:tc>
        <w:tc>
          <w:tcPr>
            <w:tcW w:w="3340" w:type="dxa"/>
            <w:vAlign w:val="bottom"/>
          </w:tcPr>
          <w:p>
            <w:pPr>
              <w:ind w:left="100"/>
              <w:spacing w:after="0"/>
              <w:rPr>
                <w:sz w:val="20"/>
                <w:szCs w:val="20"/>
                <w:color w:val="auto"/>
              </w:rPr>
            </w:pPr>
            <w:r>
              <w:rPr>
                <w:rFonts w:ascii="Arial" w:cs="Arial" w:eastAsia="Arial" w:hAnsi="Arial"/>
                <w:sz w:val="12"/>
                <w:szCs w:val="12"/>
                <w:color w:val="auto"/>
              </w:rPr>
              <w:t>On 2</w:t>
            </w:r>
            <w:r>
              <w:rPr>
                <w:rFonts w:ascii="Arial" w:cs="Arial" w:eastAsia="Arial" w:hAnsi="Arial"/>
                <w:sz w:val="10"/>
                <w:szCs w:val="10"/>
                <w:color w:val="auto"/>
              </w:rPr>
              <w:t>nd</w:t>
            </w:r>
            <w:r>
              <w:rPr>
                <w:rFonts w:ascii="Arial" w:cs="Arial" w:eastAsia="Arial" w:hAnsi="Arial"/>
                <w:sz w:val="12"/>
                <w:szCs w:val="12"/>
                <w:color w:val="auto"/>
              </w:rPr>
              <w:t xml:space="preserve"> anniversary of Vesting Start Date</w:t>
            </w:r>
          </w:p>
        </w:tc>
        <w:tc>
          <w:tcPr>
            <w:tcW w:w="740" w:type="dxa"/>
            <w:vAlign w:val="bottom"/>
            <w:gridSpan w:val="2"/>
          </w:tcPr>
          <w:p>
            <w:pPr>
              <w:jc w:val="center"/>
              <w:ind w:left="20"/>
              <w:spacing w:after="0"/>
              <w:rPr>
                <w:sz w:val="20"/>
                <w:szCs w:val="20"/>
                <w:color w:val="auto"/>
              </w:rPr>
            </w:pPr>
            <w:r>
              <w:rPr>
                <w:rFonts w:ascii="Arial" w:cs="Arial" w:eastAsia="Arial" w:hAnsi="Arial"/>
                <w:sz w:val="12"/>
                <w:szCs w:val="12"/>
                <w:color w:val="auto"/>
                <w:w w:val="91"/>
              </w:rPr>
              <w:t>25%</w:t>
            </w:r>
          </w:p>
        </w:tc>
        <w:tc>
          <w:tcPr>
            <w:tcW w:w="180" w:type="dxa"/>
            <w:vAlign w:val="bottom"/>
          </w:tcPr>
          <w:p>
            <w:pPr>
              <w:spacing w:after="0"/>
              <w:rPr>
                <w:sz w:val="15"/>
                <w:szCs w:val="15"/>
                <w:color w:val="auto"/>
              </w:rPr>
            </w:pPr>
          </w:p>
        </w:tc>
      </w:tr>
      <w:tr>
        <w:trPr>
          <w:trHeight w:val="180"/>
        </w:trPr>
        <w:tc>
          <w:tcPr>
            <w:tcW w:w="1460" w:type="dxa"/>
            <w:vAlign w:val="bottom"/>
          </w:tcPr>
          <w:p>
            <w:pPr>
              <w:spacing w:after="0"/>
              <w:rPr>
                <w:sz w:val="15"/>
                <w:szCs w:val="15"/>
                <w:color w:val="auto"/>
              </w:rPr>
            </w:pPr>
          </w:p>
        </w:tc>
        <w:tc>
          <w:tcPr>
            <w:tcW w:w="3340" w:type="dxa"/>
            <w:vAlign w:val="bottom"/>
          </w:tcPr>
          <w:p>
            <w:pPr>
              <w:ind w:left="100"/>
              <w:spacing w:after="0"/>
              <w:rPr>
                <w:sz w:val="20"/>
                <w:szCs w:val="20"/>
                <w:color w:val="auto"/>
              </w:rPr>
            </w:pPr>
            <w:r>
              <w:rPr>
                <w:rFonts w:ascii="Arial" w:cs="Arial" w:eastAsia="Arial" w:hAnsi="Arial"/>
                <w:sz w:val="12"/>
                <w:szCs w:val="12"/>
                <w:color w:val="auto"/>
              </w:rPr>
              <w:t>On 3</w:t>
            </w:r>
            <w:r>
              <w:rPr>
                <w:rFonts w:ascii="Arial" w:cs="Arial" w:eastAsia="Arial" w:hAnsi="Arial"/>
                <w:sz w:val="10"/>
                <w:szCs w:val="10"/>
                <w:color w:val="auto"/>
              </w:rPr>
              <w:t>rd</w:t>
            </w:r>
            <w:r>
              <w:rPr>
                <w:rFonts w:ascii="Arial" w:cs="Arial" w:eastAsia="Arial" w:hAnsi="Arial"/>
                <w:sz w:val="12"/>
                <w:szCs w:val="12"/>
                <w:color w:val="auto"/>
              </w:rPr>
              <w:t xml:space="preserve"> anniversary of Vesting Start Date</w:t>
            </w:r>
          </w:p>
        </w:tc>
        <w:tc>
          <w:tcPr>
            <w:tcW w:w="740" w:type="dxa"/>
            <w:vAlign w:val="bottom"/>
            <w:gridSpan w:val="2"/>
          </w:tcPr>
          <w:p>
            <w:pPr>
              <w:jc w:val="center"/>
              <w:ind w:left="20"/>
              <w:spacing w:after="0"/>
              <w:rPr>
                <w:sz w:val="20"/>
                <w:szCs w:val="20"/>
                <w:color w:val="auto"/>
              </w:rPr>
            </w:pPr>
            <w:r>
              <w:rPr>
                <w:rFonts w:ascii="Arial" w:cs="Arial" w:eastAsia="Arial" w:hAnsi="Arial"/>
                <w:sz w:val="12"/>
                <w:szCs w:val="12"/>
                <w:color w:val="auto"/>
                <w:w w:val="91"/>
              </w:rPr>
              <w:t>25%</w:t>
            </w:r>
          </w:p>
        </w:tc>
        <w:tc>
          <w:tcPr>
            <w:tcW w:w="180" w:type="dxa"/>
            <w:vAlign w:val="bottom"/>
          </w:tcPr>
          <w:p>
            <w:pPr>
              <w:spacing w:after="0"/>
              <w:rPr>
                <w:sz w:val="15"/>
                <w:szCs w:val="15"/>
                <w:color w:val="auto"/>
              </w:rPr>
            </w:pPr>
          </w:p>
        </w:tc>
      </w:tr>
      <w:tr>
        <w:trPr>
          <w:trHeight w:val="216"/>
        </w:trPr>
        <w:tc>
          <w:tcPr>
            <w:tcW w:w="1460" w:type="dxa"/>
            <w:vAlign w:val="bottom"/>
          </w:tcPr>
          <w:p>
            <w:pPr>
              <w:spacing w:after="0"/>
              <w:rPr>
                <w:sz w:val="18"/>
                <w:szCs w:val="18"/>
                <w:color w:val="auto"/>
              </w:rPr>
            </w:pPr>
          </w:p>
        </w:tc>
        <w:tc>
          <w:tcPr>
            <w:tcW w:w="3340" w:type="dxa"/>
            <w:vAlign w:val="bottom"/>
          </w:tcPr>
          <w:p>
            <w:pPr>
              <w:ind w:left="100"/>
              <w:spacing w:after="0"/>
              <w:rPr>
                <w:sz w:val="20"/>
                <w:szCs w:val="20"/>
                <w:color w:val="auto"/>
              </w:rPr>
            </w:pPr>
            <w:r>
              <w:rPr>
                <w:rFonts w:ascii="Arial" w:cs="Arial" w:eastAsia="Arial" w:hAnsi="Arial"/>
                <w:sz w:val="12"/>
                <w:szCs w:val="12"/>
                <w:color w:val="auto"/>
              </w:rPr>
              <w:t>On 4</w:t>
            </w:r>
            <w:r>
              <w:rPr>
                <w:rFonts w:ascii="Arial" w:cs="Arial" w:eastAsia="Arial" w:hAnsi="Arial"/>
                <w:sz w:val="10"/>
                <w:szCs w:val="10"/>
                <w:color w:val="auto"/>
              </w:rPr>
              <w:t>th</w:t>
            </w:r>
            <w:r>
              <w:rPr>
                <w:rFonts w:ascii="Arial" w:cs="Arial" w:eastAsia="Arial" w:hAnsi="Arial"/>
                <w:sz w:val="12"/>
                <w:szCs w:val="12"/>
                <w:color w:val="auto"/>
              </w:rPr>
              <w:t xml:space="preserve"> anniversary of Vesting Start Date</w:t>
            </w:r>
          </w:p>
        </w:tc>
        <w:tc>
          <w:tcPr>
            <w:tcW w:w="740" w:type="dxa"/>
            <w:vAlign w:val="bottom"/>
            <w:gridSpan w:val="2"/>
          </w:tcPr>
          <w:p>
            <w:pPr>
              <w:jc w:val="center"/>
              <w:ind w:left="20"/>
              <w:spacing w:after="0"/>
              <w:rPr>
                <w:sz w:val="20"/>
                <w:szCs w:val="20"/>
                <w:color w:val="auto"/>
              </w:rPr>
            </w:pPr>
            <w:r>
              <w:rPr>
                <w:rFonts w:ascii="Arial" w:cs="Arial" w:eastAsia="Arial" w:hAnsi="Arial"/>
                <w:sz w:val="12"/>
                <w:szCs w:val="12"/>
                <w:color w:val="auto"/>
                <w:w w:val="91"/>
              </w:rPr>
              <w:t>25%</w:t>
            </w:r>
          </w:p>
        </w:tc>
        <w:tc>
          <w:tcPr>
            <w:tcW w:w="180" w:type="dxa"/>
            <w:vAlign w:val="bottom"/>
          </w:tcPr>
          <w:p>
            <w:pPr>
              <w:spacing w:after="0"/>
              <w:rPr>
                <w:sz w:val="18"/>
                <w:szCs w:val="18"/>
                <w:color w:val="auto"/>
              </w:rPr>
            </w:pPr>
          </w:p>
        </w:tc>
      </w:tr>
      <w:tr>
        <w:trPr>
          <w:trHeight w:val="216"/>
        </w:trPr>
        <w:tc>
          <w:tcPr>
            <w:tcW w:w="1460" w:type="dxa"/>
            <w:vAlign w:val="bottom"/>
          </w:tcPr>
          <w:p>
            <w:pPr>
              <w:spacing w:after="0"/>
              <w:rPr>
                <w:sz w:val="20"/>
                <w:szCs w:val="20"/>
                <w:color w:val="auto"/>
              </w:rPr>
            </w:pPr>
            <w:r>
              <w:rPr>
                <w:rFonts w:ascii="Arial" w:cs="Arial" w:eastAsia="Arial" w:hAnsi="Arial"/>
                <w:sz w:val="12"/>
                <w:szCs w:val="12"/>
                <w:b w:val="1"/>
                <w:bCs w:val="1"/>
                <w:color w:val="auto"/>
              </w:rPr>
              <w:t>Superseding Agreement:</w:t>
            </w:r>
          </w:p>
        </w:tc>
        <w:tc>
          <w:tcPr>
            <w:tcW w:w="3340" w:type="dxa"/>
            <w:vAlign w:val="bottom"/>
          </w:tcPr>
          <w:p>
            <w:pPr>
              <w:ind w:left="100"/>
              <w:spacing w:after="0"/>
              <w:rPr>
                <w:sz w:val="20"/>
                <w:szCs w:val="20"/>
                <w:color w:val="auto"/>
              </w:rPr>
            </w:pPr>
            <w:r>
              <w:rPr>
                <w:rFonts w:ascii="Arial" w:cs="Arial" w:eastAsia="Arial" w:hAnsi="Arial"/>
                <w:sz w:val="12"/>
                <w:szCs w:val="12"/>
                <w:color w:val="auto"/>
              </w:rPr>
              <w:t>[None]</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r>
    </w:tbl>
    <w:p>
      <w:pPr>
        <w:spacing w:after="0" w:line="351" w:lineRule="exact"/>
        <w:rPr>
          <w:sz w:val="20"/>
          <w:szCs w:val="20"/>
          <w:color w:val="auto"/>
        </w:rPr>
      </w:pPr>
    </w:p>
    <w:p>
      <w:pPr>
        <w:jc w:val="both"/>
        <w:ind w:right="20"/>
        <w:spacing w:after="0" w:line="259" w:lineRule="auto"/>
        <w:rPr>
          <w:sz w:val="20"/>
          <w:szCs w:val="20"/>
          <w:color w:val="auto"/>
        </w:rPr>
      </w:pPr>
      <w:r>
        <w:rPr>
          <w:rFonts w:ascii="Arial" w:cs="Arial" w:eastAsia="Arial" w:hAnsi="Arial"/>
          <w:sz w:val="12"/>
          <w:szCs w:val="12"/>
          <w:color w:val="auto"/>
        </w:rPr>
        <w:t>By their signatures below or by electronic acceptance or authentication in a form authorized by the Company, the Company and the Participant agree that the Option is governed by this Grant Notice and by the provisions of the Option Agreement and the Plan, both of which are made a part of this document, and by the Superseding Agreement, if any. The Participant acknowledges that copies of the Plan, the Option Agreement and the prospectus for the Plan are available on the Company’s internal web site and may be viewed and printed by the Participant for attachment to the Participant’s copy of this Grant Notice. The Participant represents that the Participant has read and is familiar with the provisions of the Option Agreement and the Plan, and hereby accepts the Option subject to all of their terms and conditions.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2460" w:type="dxa"/>
            <w:vAlign w:val="bottom"/>
          </w:tcPr>
          <w:p>
            <w:pPr>
              <w:spacing w:after="0"/>
              <w:rPr>
                <w:sz w:val="20"/>
                <w:szCs w:val="20"/>
                <w:color w:val="auto"/>
              </w:rPr>
            </w:pPr>
            <w:r>
              <w:rPr>
                <w:rFonts w:ascii="Arial" w:cs="Arial" w:eastAsia="Arial" w:hAnsi="Arial"/>
                <w:sz w:val="12"/>
                <w:szCs w:val="12"/>
                <w:b w:val="1"/>
                <w:bCs w:val="1"/>
                <w:color w:val="auto"/>
              </w:rPr>
              <w:t>VERRA MOBILITY CORPORATION</w:t>
            </w:r>
          </w:p>
        </w:tc>
        <w:tc>
          <w:tcPr>
            <w:tcW w:w="9040" w:type="dxa"/>
            <w:vAlign w:val="bottom"/>
          </w:tcPr>
          <w:p>
            <w:pPr>
              <w:ind w:left="460"/>
              <w:spacing w:after="0"/>
              <w:rPr>
                <w:sz w:val="20"/>
                <w:szCs w:val="20"/>
                <w:color w:val="auto"/>
              </w:rPr>
            </w:pPr>
            <w:r>
              <w:rPr>
                <w:rFonts w:ascii="Arial" w:cs="Arial" w:eastAsia="Arial" w:hAnsi="Arial"/>
                <w:sz w:val="12"/>
                <w:szCs w:val="12"/>
                <w:b w:val="1"/>
                <w:bCs w:val="1"/>
                <w:color w:val="auto"/>
              </w:rPr>
              <w:t>PARTICIPANT</w:t>
            </w:r>
          </w:p>
        </w:tc>
      </w:tr>
      <w:tr>
        <w:trPr>
          <w:trHeight w:val="279"/>
        </w:trPr>
        <w:tc>
          <w:tcPr>
            <w:tcW w:w="2460" w:type="dxa"/>
            <w:vAlign w:val="bottom"/>
          </w:tcPr>
          <w:p>
            <w:pPr>
              <w:spacing w:after="0"/>
              <w:rPr>
                <w:sz w:val="20"/>
                <w:szCs w:val="20"/>
                <w:color w:val="auto"/>
              </w:rPr>
            </w:pPr>
            <w:r>
              <w:rPr>
                <w:rFonts w:ascii="Arial" w:cs="Arial" w:eastAsia="Arial" w:hAnsi="Arial"/>
                <w:sz w:val="12"/>
                <w:szCs w:val="12"/>
                <w:color w:val="auto"/>
              </w:rPr>
              <w:t>By:</w:t>
            </w:r>
          </w:p>
        </w:tc>
        <w:tc>
          <w:tcPr>
            <w:tcW w:w="9040" w:type="dxa"/>
            <w:vAlign w:val="bottom"/>
          </w:tcPr>
          <w:p>
            <w:pPr>
              <w:spacing w:after="0"/>
              <w:rPr>
                <w:sz w:val="24"/>
                <w:szCs w:val="24"/>
                <w:color w:val="auto"/>
              </w:rPr>
            </w:pPr>
          </w:p>
        </w:tc>
      </w:tr>
      <w:tr>
        <w:trPr>
          <w:trHeight w:val="153"/>
        </w:trPr>
        <w:tc>
          <w:tcPr>
            <w:tcW w:w="2460" w:type="dxa"/>
            <w:vAlign w:val="bottom"/>
          </w:tcPr>
          <w:p>
            <w:pPr>
              <w:ind w:left="420"/>
              <w:spacing w:after="0"/>
              <w:rPr>
                <w:sz w:val="20"/>
                <w:szCs w:val="20"/>
                <w:color w:val="auto"/>
              </w:rPr>
            </w:pPr>
            <w:r>
              <w:rPr>
                <w:rFonts w:ascii="Arial" w:cs="Arial" w:eastAsia="Arial" w:hAnsi="Arial"/>
                <w:sz w:val="12"/>
                <w:szCs w:val="12"/>
                <w:color w:val="auto"/>
              </w:rPr>
              <w:t>[officer name]</w:t>
            </w:r>
          </w:p>
        </w:tc>
        <w:tc>
          <w:tcPr>
            <w:tcW w:w="9040" w:type="dxa"/>
            <w:vAlign w:val="bottom"/>
          </w:tcPr>
          <w:p>
            <w:pPr>
              <w:ind w:left="460"/>
              <w:spacing w:after="0"/>
              <w:rPr>
                <w:sz w:val="20"/>
                <w:szCs w:val="20"/>
                <w:color w:val="auto"/>
              </w:rPr>
            </w:pPr>
            <w:r>
              <w:rPr>
                <w:rFonts w:ascii="Arial" w:cs="Arial" w:eastAsia="Arial" w:hAnsi="Arial"/>
                <w:sz w:val="12"/>
                <w:szCs w:val="12"/>
                <w:color w:val="auto"/>
              </w:rPr>
              <w:t>Signature</w:t>
            </w:r>
          </w:p>
        </w:tc>
      </w:tr>
      <w:tr>
        <w:trPr>
          <w:trHeight w:val="504"/>
        </w:trPr>
        <w:tc>
          <w:tcPr>
            <w:tcW w:w="2460" w:type="dxa"/>
            <w:vAlign w:val="bottom"/>
            <w:tcBorders>
              <w:bottom w:val="single" w:sz="8" w:color="9A9A9A"/>
            </w:tcBorders>
          </w:tcPr>
          <w:p>
            <w:pPr>
              <w:spacing w:after="0"/>
              <w:rPr>
                <w:sz w:val="24"/>
                <w:szCs w:val="24"/>
                <w:color w:val="auto"/>
              </w:rPr>
            </w:pPr>
          </w:p>
        </w:tc>
        <w:tc>
          <w:tcPr>
            <w:tcW w:w="90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7280275</wp:posOffset>
            </wp:positionH>
            <wp:positionV relativeFrom="paragraph">
              <wp:posOffset>-23495</wp:posOffset>
            </wp:positionV>
            <wp:extent cx="31115" cy="3683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20">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21">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500"/>
          </w:cols>
          <w:pgMar w:left="220" w:top="128" w:right="179" w:bottom="1440" w:gutter="0" w:footer="0" w:header="0"/>
        </w:sectPr>
      </w:pPr>
    </w:p>
    <w:bookmarkStart w:id="142" w:name="page143"/>
    <w:bookmarkEnd w:id="142"/>
    <w:p>
      <w:pPr>
        <w:ind w:left="420"/>
        <w:spacing w:after="0"/>
        <w:rPr>
          <w:sz w:val="20"/>
          <w:szCs w:val="20"/>
          <w:color w:val="auto"/>
        </w:rPr>
      </w:pPr>
      <w:r>
        <w:rPr>
          <w:rFonts w:ascii="Arial" w:cs="Arial" w:eastAsia="Arial" w:hAnsi="Arial"/>
          <w:sz w:val="12"/>
          <w:szCs w:val="12"/>
          <w:color w:val="auto"/>
        </w:rPr>
        <w:t>[officer title]</w:t>
      </w:r>
    </w:p>
    <w:p>
      <w:pPr>
        <w:spacing w:after="0" w:line="33" w:lineRule="exact"/>
        <w:rPr>
          <w:sz w:val="20"/>
          <w:szCs w:val="20"/>
          <w:color w:val="auto"/>
        </w:rPr>
      </w:pPr>
    </w:p>
    <w:p>
      <w:pPr>
        <w:ind w:left="2920"/>
        <w:spacing w:after="0"/>
        <w:rPr>
          <w:sz w:val="20"/>
          <w:szCs w:val="20"/>
          <w:color w:val="auto"/>
        </w:rPr>
      </w:pPr>
      <w:r>
        <w:rPr>
          <w:rFonts w:ascii="Arial" w:cs="Arial" w:eastAsia="Arial" w:hAnsi="Arial"/>
          <w:sz w:val="12"/>
          <w:szCs w:val="12"/>
          <w:color w:val="auto"/>
        </w:rPr>
        <w:t>Date</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Address:</w:t>
      </w:r>
    </w:p>
    <w:p>
      <w:pPr>
        <w:spacing w:after="0" w:line="6" w:lineRule="exact"/>
        <w:rPr>
          <w:sz w:val="20"/>
          <w:szCs w:val="20"/>
          <w:color w:val="auto"/>
        </w:rPr>
      </w:pPr>
    </w:p>
    <w:p>
      <w:pPr>
        <w:ind w:left="2920"/>
        <w:spacing w:after="0"/>
        <w:rPr>
          <w:sz w:val="20"/>
          <w:szCs w:val="20"/>
          <w:color w:val="auto"/>
        </w:rPr>
      </w:pPr>
      <w:r>
        <w:rPr>
          <w:rFonts w:ascii="Arial" w:cs="Arial" w:eastAsia="Arial" w:hAnsi="Arial"/>
          <w:sz w:val="12"/>
          <w:szCs w:val="12"/>
          <w:color w:val="auto"/>
        </w:rPr>
        <w:t>Address</w:t>
      </w:r>
    </w:p>
    <w:p>
      <w:pPr>
        <w:spacing w:after="0" w:line="141" w:lineRule="exact"/>
        <w:rPr>
          <w:sz w:val="20"/>
          <w:szCs w:val="20"/>
          <w:color w:val="auto"/>
        </w:rPr>
      </w:pPr>
    </w:p>
    <w:p>
      <w:pPr>
        <w:spacing w:after="0"/>
        <w:tabs>
          <w:tab w:leader="none" w:pos="2260" w:val="left"/>
        </w:tabs>
        <w:rPr>
          <w:sz w:val="20"/>
          <w:szCs w:val="20"/>
          <w:color w:val="auto"/>
        </w:rPr>
      </w:pPr>
      <w:r>
        <w:rPr>
          <w:rFonts w:ascii="Arial" w:cs="Arial" w:eastAsia="Arial" w:hAnsi="Arial"/>
          <w:sz w:val="12"/>
          <w:szCs w:val="12"/>
          <w:color w:val="auto"/>
        </w:rPr>
        <w:t>ATTACHMENTS:</w:t>
      </w:r>
      <w:r>
        <w:rPr>
          <w:sz w:val="20"/>
          <w:szCs w:val="20"/>
          <w:color w:val="auto"/>
        </w:rPr>
        <w:tab/>
      </w:r>
      <w:r>
        <w:rPr>
          <w:rFonts w:ascii="Arial" w:cs="Arial" w:eastAsia="Arial" w:hAnsi="Arial"/>
          <w:sz w:val="12"/>
          <w:szCs w:val="12"/>
          <w:color w:val="auto"/>
        </w:rPr>
        <w:t>2018 Equity Incentive Plan, as amended to the Date of Grant; Stock Option Agreement, Exercise Notice and Plan Prospectus</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VERRA MOBILITY CORPORATION</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STOCK OPTION AGREEMENT</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(For U.K. Participants)</w:t>
      </w:r>
    </w:p>
    <w:p>
      <w:pPr>
        <w:spacing w:after="0" w:line="133" w:lineRule="exact"/>
        <w:rPr>
          <w:sz w:val="20"/>
          <w:szCs w:val="20"/>
          <w:color w:val="auto"/>
        </w:rPr>
      </w:pPr>
    </w:p>
    <w:p>
      <w:pPr>
        <w:jc w:val="both"/>
        <w:ind w:firstLine="766"/>
        <w:spacing w:after="0" w:line="246" w:lineRule="auto"/>
        <w:rPr>
          <w:sz w:val="20"/>
          <w:szCs w:val="20"/>
          <w:color w:val="auto"/>
        </w:rPr>
      </w:pPr>
      <w:r>
        <w:rPr>
          <w:rFonts w:ascii="Arial" w:cs="Arial" w:eastAsia="Arial" w:hAnsi="Arial"/>
          <w:sz w:val="14"/>
          <w:szCs w:val="14"/>
          <w:color w:val="auto"/>
        </w:rPr>
        <w:t xml:space="preserve">Verra Mobility Corporation, a Delaware corporation (the </w:t>
      </w:r>
      <w:r>
        <w:rPr>
          <w:rFonts w:ascii="Arial" w:cs="Arial" w:eastAsia="Arial" w:hAnsi="Arial"/>
          <w:sz w:val="14"/>
          <w:szCs w:val="14"/>
          <w:i w:val="1"/>
          <w:iCs w:val="1"/>
          <w:color w:val="auto"/>
        </w:rPr>
        <w:t>“</w:t>
      </w:r>
      <w:r>
        <w:rPr>
          <w:rFonts w:ascii="Arial" w:cs="Arial" w:eastAsia="Arial" w:hAnsi="Arial"/>
          <w:sz w:val="14"/>
          <w:szCs w:val="14"/>
          <w:b w:val="1"/>
          <w:bCs w:val="1"/>
          <w:i w:val="1"/>
          <w:iCs w:val="1"/>
          <w:color w:val="auto"/>
        </w:rPr>
        <w:t>Company</w:t>
      </w:r>
      <w:r>
        <w:rPr>
          <w:rFonts w:ascii="Arial" w:cs="Arial" w:eastAsia="Arial" w:hAnsi="Arial"/>
          <w:sz w:val="14"/>
          <w:szCs w:val="14"/>
          <w:i w:val="1"/>
          <w:iCs w:val="1"/>
          <w:color w:val="auto"/>
        </w:rPr>
        <w:t>”</w:t>
      </w:r>
      <w:r>
        <w:rPr>
          <w:rFonts w:ascii="Arial" w:cs="Arial" w:eastAsia="Arial" w:hAnsi="Arial"/>
          <w:sz w:val="14"/>
          <w:szCs w:val="14"/>
          <w:color w:val="auto"/>
        </w:rPr>
        <w:t xml:space="preserve">) has granted to the Participant named in the </w:t>
      </w:r>
      <w:r>
        <w:rPr>
          <w:rFonts w:ascii="Arial" w:cs="Arial" w:eastAsia="Arial" w:hAnsi="Arial"/>
          <w:sz w:val="14"/>
          <w:szCs w:val="14"/>
          <w:i w:val="1"/>
          <w:iCs w:val="1"/>
          <w:color w:val="auto"/>
        </w:rPr>
        <w:t>Notice of Grant of Stock Option</w:t>
      </w:r>
      <w:r>
        <w:rPr>
          <w:rFonts w:ascii="Arial" w:cs="Arial" w:eastAsia="Arial" w:hAnsi="Arial"/>
          <w:sz w:val="14"/>
          <w:szCs w:val="14"/>
          <w:color w:val="auto"/>
        </w:rPr>
        <w:t xml:space="preserve"> (the </w:t>
      </w:r>
      <w:r>
        <w:rPr>
          <w:rFonts w:ascii="Arial" w:cs="Arial" w:eastAsia="Arial" w:hAnsi="Arial"/>
          <w:sz w:val="14"/>
          <w:szCs w:val="14"/>
          <w:i w:val="1"/>
          <w:iCs w:val="1"/>
          <w:color w:val="auto"/>
        </w:rPr>
        <w:t>“</w:t>
      </w:r>
      <w:r>
        <w:rPr>
          <w:rFonts w:ascii="Arial" w:cs="Arial" w:eastAsia="Arial" w:hAnsi="Arial"/>
          <w:sz w:val="14"/>
          <w:szCs w:val="14"/>
          <w:b w:val="1"/>
          <w:bCs w:val="1"/>
          <w:i w:val="1"/>
          <w:iCs w:val="1"/>
          <w:color w:val="auto"/>
        </w:rPr>
        <w:t>Grant Notice</w:t>
      </w:r>
      <w:r>
        <w:rPr>
          <w:rFonts w:ascii="Arial" w:cs="Arial" w:eastAsia="Arial" w:hAnsi="Arial"/>
          <w:sz w:val="14"/>
          <w:szCs w:val="14"/>
          <w:i w:val="1"/>
          <w:iCs w:val="1"/>
          <w:color w:val="auto"/>
        </w:rPr>
        <w:t>”</w:t>
      </w:r>
      <w:r>
        <w:rPr>
          <w:rFonts w:ascii="Arial" w:cs="Arial" w:eastAsia="Arial" w:hAnsi="Arial"/>
          <w:sz w:val="14"/>
          <w:szCs w:val="14"/>
          <w:color w:val="auto"/>
        </w:rPr>
        <w:t xml:space="preserve">) to which this Stock Option Agreement (the </w:t>
      </w:r>
      <w:r>
        <w:rPr>
          <w:rFonts w:ascii="Arial" w:cs="Arial" w:eastAsia="Arial" w:hAnsi="Arial"/>
          <w:sz w:val="14"/>
          <w:szCs w:val="14"/>
          <w:i w:val="1"/>
          <w:iCs w:val="1"/>
          <w:color w:val="auto"/>
        </w:rPr>
        <w:t>“</w:t>
      </w:r>
      <w:r>
        <w:rPr>
          <w:rFonts w:ascii="Arial" w:cs="Arial" w:eastAsia="Arial" w:hAnsi="Arial"/>
          <w:sz w:val="14"/>
          <w:szCs w:val="14"/>
          <w:b w:val="1"/>
          <w:bCs w:val="1"/>
          <w:i w:val="1"/>
          <w:iCs w:val="1"/>
          <w:color w:val="auto"/>
        </w:rPr>
        <w:t>Option Agreement</w:t>
      </w:r>
      <w:r>
        <w:rPr>
          <w:rFonts w:ascii="Arial" w:cs="Arial" w:eastAsia="Arial" w:hAnsi="Arial"/>
          <w:sz w:val="14"/>
          <w:szCs w:val="14"/>
          <w:i w:val="1"/>
          <w:iCs w:val="1"/>
          <w:color w:val="auto"/>
        </w:rPr>
        <w:t>”</w:t>
      </w:r>
      <w:r>
        <w:rPr>
          <w:rFonts w:ascii="Arial" w:cs="Arial" w:eastAsia="Arial" w:hAnsi="Arial"/>
          <w:sz w:val="14"/>
          <w:szCs w:val="14"/>
          <w:color w:val="auto"/>
        </w:rPr>
        <w:t xml:space="preserve">) is attached an option (the </w:t>
      </w:r>
      <w:r>
        <w:rPr>
          <w:rFonts w:ascii="Arial" w:cs="Arial" w:eastAsia="Arial" w:hAnsi="Arial"/>
          <w:sz w:val="14"/>
          <w:szCs w:val="14"/>
          <w:i w:val="1"/>
          <w:iCs w:val="1"/>
          <w:color w:val="auto"/>
        </w:rPr>
        <w:t>“</w:t>
      </w:r>
      <w:r>
        <w:rPr>
          <w:rFonts w:ascii="Arial" w:cs="Arial" w:eastAsia="Arial" w:hAnsi="Arial"/>
          <w:sz w:val="14"/>
          <w:szCs w:val="14"/>
          <w:b w:val="1"/>
          <w:bCs w:val="1"/>
          <w:i w:val="1"/>
          <w:iCs w:val="1"/>
          <w:color w:val="auto"/>
        </w:rPr>
        <w:t>Option</w:t>
      </w:r>
      <w:r>
        <w:rPr>
          <w:rFonts w:ascii="Arial" w:cs="Arial" w:eastAsia="Arial" w:hAnsi="Arial"/>
          <w:sz w:val="14"/>
          <w:szCs w:val="14"/>
          <w:i w:val="1"/>
          <w:iCs w:val="1"/>
          <w:color w:val="auto"/>
        </w:rPr>
        <w:t>”</w:t>
      </w:r>
      <w:r>
        <w:rPr>
          <w:rFonts w:ascii="Arial" w:cs="Arial" w:eastAsia="Arial" w:hAnsi="Arial"/>
          <w:sz w:val="14"/>
          <w:szCs w:val="14"/>
          <w:color w:val="auto"/>
        </w:rPr>
        <w:t xml:space="preserve">) to purchase certain shares of Stock upon the terms and conditions set forth in the Grant Notice and this Option Agreement. The Option has been granted pursuant to and shall in all respects be subject to the terms and conditions of the Verra Mobility Corporation 2018 Equity Incentive Plan (the </w:t>
      </w:r>
      <w:r>
        <w:rPr>
          <w:rFonts w:ascii="Arial" w:cs="Arial" w:eastAsia="Arial" w:hAnsi="Arial"/>
          <w:sz w:val="14"/>
          <w:szCs w:val="14"/>
          <w:i w:val="1"/>
          <w:iCs w:val="1"/>
          <w:color w:val="auto"/>
        </w:rPr>
        <w:t>“</w:t>
      </w:r>
      <w:r>
        <w:rPr>
          <w:rFonts w:ascii="Arial" w:cs="Arial" w:eastAsia="Arial" w:hAnsi="Arial"/>
          <w:sz w:val="14"/>
          <w:szCs w:val="14"/>
          <w:b w:val="1"/>
          <w:bCs w:val="1"/>
          <w:i w:val="1"/>
          <w:iCs w:val="1"/>
          <w:color w:val="auto"/>
        </w:rPr>
        <w:t>Plan</w:t>
      </w:r>
      <w:r>
        <w:rPr>
          <w:rFonts w:ascii="Arial" w:cs="Arial" w:eastAsia="Arial" w:hAnsi="Arial"/>
          <w:sz w:val="14"/>
          <w:szCs w:val="14"/>
          <w:i w:val="1"/>
          <w:iCs w:val="1"/>
          <w:color w:val="auto"/>
        </w:rPr>
        <w:t>”</w:t>
      </w:r>
      <w:r>
        <w:rPr>
          <w:rFonts w:ascii="Arial" w:cs="Arial" w:eastAsia="Arial" w:hAnsi="Arial"/>
          <w:sz w:val="14"/>
          <w:szCs w:val="14"/>
          <w:color w:val="auto"/>
        </w:rPr>
        <w:t>), as amended to the Date of Grant, the provisions of which are incorporated herein by reference. By signing the Grant Notice, the Participant: (a) acknowledges receipt of, and represents that</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the Participant has read and is familiar with, the Grant Notice, this Option Agreement, the Plan and a prospectus for the Plan prepared in connection with the registration with the Securities and Exchange Commission of shares issuable pursuant to the Option (the </w:t>
      </w:r>
      <w:r>
        <w:rPr>
          <w:rFonts w:ascii="Arial" w:cs="Arial" w:eastAsia="Arial" w:hAnsi="Arial"/>
          <w:sz w:val="14"/>
          <w:szCs w:val="14"/>
          <w:i w:val="1"/>
          <w:iCs w:val="1"/>
          <w:color w:val="auto"/>
        </w:rPr>
        <w:t>“</w:t>
      </w:r>
      <w:r>
        <w:rPr>
          <w:rFonts w:ascii="Arial" w:cs="Arial" w:eastAsia="Arial" w:hAnsi="Arial"/>
          <w:sz w:val="14"/>
          <w:szCs w:val="14"/>
          <w:b w:val="1"/>
          <w:bCs w:val="1"/>
          <w:i w:val="1"/>
          <w:iCs w:val="1"/>
          <w:color w:val="auto"/>
        </w:rPr>
        <w:t>Plan Prospectus</w:t>
      </w:r>
      <w:r>
        <w:rPr>
          <w:rFonts w:ascii="Arial" w:cs="Arial" w:eastAsia="Arial" w:hAnsi="Arial"/>
          <w:sz w:val="14"/>
          <w:szCs w:val="14"/>
          <w:i w:val="1"/>
          <w:iCs w:val="1"/>
          <w:color w:val="auto"/>
        </w:rPr>
        <w:t>”</w:t>
      </w:r>
      <w:r>
        <w:rPr>
          <w:rFonts w:ascii="Arial" w:cs="Arial" w:eastAsia="Arial" w:hAnsi="Arial"/>
          <w:sz w:val="14"/>
          <w:szCs w:val="14"/>
          <w:color w:val="auto"/>
        </w:rPr>
        <w:t>), (b) accepts the Option subject to all of the terms and conditions of the Grant Notice, this Option Agreement and the Plan and (c) agrees to accept as binding, conclusive and final all decisions or interpretations of the Committee upon any questions arising under the Grant Notice, this Option Agreement or the Plan.</w:t>
      </w:r>
    </w:p>
    <w:p>
      <w:pPr>
        <w:spacing w:after="0" w:line="117" w:lineRule="exact"/>
        <w:rPr>
          <w:sz w:val="20"/>
          <w:szCs w:val="20"/>
          <w:color w:val="auto"/>
        </w:rPr>
      </w:pPr>
    </w:p>
    <w:p>
      <w:pPr>
        <w:ind w:left="1300" w:hanging="542"/>
        <w:spacing w:after="0"/>
        <w:tabs>
          <w:tab w:leader="none" w:pos="1300" w:val="left"/>
        </w:tabs>
        <w:numPr>
          <w:ilvl w:val="0"/>
          <w:numId w:val="84"/>
        </w:numPr>
        <w:rPr>
          <w:rFonts w:ascii="Arial" w:cs="Arial" w:eastAsia="Arial" w:hAnsi="Arial"/>
          <w:sz w:val="14"/>
          <w:szCs w:val="14"/>
          <w:color w:val="auto"/>
        </w:rPr>
      </w:pPr>
      <w:r>
        <w:rPr>
          <w:rFonts w:ascii="Arial" w:cs="Arial" w:eastAsia="Arial" w:hAnsi="Arial"/>
          <w:sz w:val="14"/>
          <w:szCs w:val="14"/>
          <w:b w:val="1"/>
          <w:bCs w:val="1"/>
          <w:u w:val="single" w:color="auto"/>
          <w:color w:val="auto"/>
        </w:rPr>
        <w:t>D</w:t>
      </w:r>
      <w:r>
        <w:rPr>
          <w:rFonts w:ascii="Arial" w:cs="Arial" w:eastAsia="Arial" w:hAnsi="Arial"/>
          <w:sz w:val="9"/>
          <w:szCs w:val="9"/>
          <w:b w:val="1"/>
          <w:bCs w:val="1"/>
          <w:u w:val="single" w:color="auto"/>
          <w:color w:val="auto"/>
        </w:rPr>
        <w:t>EFINITIONS AND</w:t>
      </w:r>
      <w:r>
        <w:rPr>
          <w:rFonts w:ascii="Arial" w:cs="Arial" w:eastAsia="Arial" w:hAnsi="Arial"/>
          <w:sz w:val="14"/>
          <w:szCs w:val="14"/>
          <w:b w:val="1"/>
          <w:bCs w:val="1"/>
          <w:color w:val="auto"/>
        </w:rPr>
        <w:t xml:space="preserve"> </w:t>
      </w:r>
      <w:r>
        <w:rPr>
          <w:rFonts w:ascii="Arial" w:cs="Arial" w:eastAsia="Arial" w:hAnsi="Arial"/>
          <w:sz w:val="14"/>
          <w:szCs w:val="14"/>
          <w:b w:val="1"/>
          <w:bCs w:val="1"/>
          <w:u w:val="single" w:color="auto"/>
          <w:color w:val="auto"/>
        </w:rPr>
        <w:t>C</w:t>
      </w:r>
      <w:r>
        <w:rPr>
          <w:rFonts w:ascii="Arial" w:cs="Arial" w:eastAsia="Arial" w:hAnsi="Arial"/>
          <w:sz w:val="9"/>
          <w:szCs w:val="9"/>
          <w:b w:val="1"/>
          <w:bCs w:val="1"/>
          <w:u w:val="single" w:color="auto"/>
          <w:color w:val="auto"/>
        </w:rPr>
        <w:t>ONSTRUCTION</w:t>
      </w:r>
      <w:r>
        <w:rPr>
          <w:rFonts w:ascii="Arial" w:cs="Arial" w:eastAsia="Arial" w:hAnsi="Arial"/>
          <w:sz w:val="14"/>
          <w:szCs w:val="14"/>
          <w:b w:val="1"/>
          <w:bCs w:val="1"/>
          <w:color w:val="auto"/>
        </w:rPr>
        <w:t>.</w:t>
      </w:r>
    </w:p>
    <w:p>
      <w:pPr>
        <w:spacing w:after="0" w:line="145" w:lineRule="exact"/>
        <w:rPr>
          <w:sz w:val="20"/>
          <w:szCs w:val="20"/>
          <w:color w:val="auto"/>
        </w:rPr>
      </w:pPr>
    </w:p>
    <w:p>
      <w:pPr>
        <w:ind w:left="1520"/>
        <w:spacing w:after="0"/>
        <w:tabs>
          <w:tab w:leader="none" w:pos="2120" w:val="left"/>
        </w:tabs>
        <w:rPr>
          <w:sz w:val="20"/>
          <w:szCs w:val="20"/>
          <w:color w:val="auto"/>
        </w:rPr>
      </w:pPr>
      <w:r>
        <w:rPr>
          <w:rFonts w:ascii="Arial" w:cs="Arial" w:eastAsia="Arial" w:hAnsi="Arial"/>
          <w:sz w:val="14"/>
          <w:szCs w:val="14"/>
          <w:color w:val="auto"/>
        </w:rPr>
        <w:t>1.1</w:t>
      </w:r>
      <w:r>
        <w:rPr>
          <w:sz w:val="20"/>
          <w:szCs w:val="20"/>
          <w:color w:val="auto"/>
        </w:rPr>
        <w:tab/>
      </w:r>
      <w:r>
        <w:rPr>
          <w:rFonts w:ascii="Arial" w:cs="Arial" w:eastAsia="Arial" w:hAnsi="Arial"/>
          <w:sz w:val="13"/>
          <w:szCs w:val="13"/>
          <w:b w:val="1"/>
          <w:bCs w:val="1"/>
          <w:color w:val="auto"/>
        </w:rPr>
        <w:t>Definitions</w:t>
      </w:r>
      <w:r>
        <w:rPr>
          <w:rFonts w:ascii="Arial" w:cs="Arial" w:eastAsia="Arial" w:hAnsi="Arial"/>
          <w:sz w:val="13"/>
          <w:szCs w:val="13"/>
          <w:b w:val="1"/>
          <w:bCs w:val="1"/>
          <w:i w:val="1"/>
          <w:iCs w:val="1"/>
          <w:color w:val="auto"/>
        </w:rPr>
        <w:t>.</w:t>
      </w:r>
      <w:r>
        <w:rPr>
          <w:rFonts w:ascii="Arial" w:cs="Arial" w:eastAsia="Arial" w:hAnsi="Arial"/>
          <w:sz w:val="13"/>
          <w:szCs w:val="13"/>
          <w:b w:val="1"/>
          <w:bCs w:val="1"/>
          <w:color w:val="auto"/>
        </w:rPr>
        <w:t xml:space="preserve"> </w:t>
      </w:r>
      <w:r>
        <w:rPr>
          <w:rFonts w:ascii="Arial" w:cs="Arial" w:eastAsia="Arial" w:hAnsi="Arial"/>
          <w:sz w:val="13"/>
          <w:szCs w:val="13"/>
          <w:color w:val="auto"/>
        </w:rPr>
        <w:t>Unless otherwise defined herein, capitalized terms shall have the meanings assigned to such terms in the Grant Notice or the Plan.</w:t>
      </w:r>
    </w:p>
    <w:p>
      <w:pPr>
        <w:spacing w:after="0" w:line="145" w:lineRule="exact"/>
        <w:rPr>
          <w:sz w:val="20"/>
          <w:szCs w:val="20"/>
          <w:color w:val="auto"/>
        </w:rPr>
      </w:pPr>
    </w:p>
    <w:p>
      <w:pPr>
        <w:jc w:val="both"/>
        <w:ind w:firstLine="1531"/>
        <w:spacing w:after="0" w:line="260" w:lineRule="auto"/>
        <w:rPr>
          <w:sz w:val="20"/>
          <w:szCs w:val="20"/>
          <w:color w:val="auto"/>
        </w:rPr>
      </w:pPr>
      <w:r>
        <w:rPr>
          <w:rFonts w:ascii="Arial" w:cs="Arial" w:eastAsia="Arial" w:hAnsi="Arial"/>
          <w:sz w:val="14"/>
          <w:szCs w:val="14"/>
          <w:color w:val="auto"/>
        </w:rPr>
        <w:t xml:space="preserve">1.2 </w:t>
      </w:r>
      <w:r>
        <w:rPr>
          <w:rFonts w:ascii="Arial" w:cs="Arial" w:eastAsia="Arial" w:hAnsi="Arial"/>
          <w:sz w:val="14"/>
          <w:szCs w:val="14"/>
          <w:b w:val="1"/>
          <w:bCs w:val="1"/>
          <w:color w:val="auto"/>
        </w:rPr>
        <w:t>Construction</w:t>
      </w:r>
      <w:r>
        <w:rPr>
          <w:rFonts w:ascii="Arial" w:cs="Arial" w:eastAsia="Arial" w:hAnsi="Arial"/>
          <w:sz w:val="14"/>
          <w:szCs w:val="14"/>
          <w:b w:val="1"/>
          <w:bCs w:val="1"/>
          <w:i w:val="1"/>
          <w:iCs w:val="1"/>
          <w:color w:val="auto"/>
        </w:rPr>
        <w:t>.</w:t>
      </w:r>
      <w:r>
        <w:rPr>
          <w:rFonts w:ascii="Arial" w:cs="Arial" w:eastAsia="Arial" w:hAnsi="Arial"/>
          <w:sz w:val="14"/>
          <w:szCs w:val="14"/>
          <w:color w:val="auto"/>
        </w:rPr>
        <w:t xml:space="preserve"> Captions and titles contained herein are for convenience only and shall not affect the meaning or interpretation of any provision of this Option Agreement. Except when otherwise indicated by the context, the singular shall include the plural and the plural shall include the singular. Use of the term “or” is not intended to be exclusive, unless the context clearly requires otherwise.</w:t>
      </w:r>
    </w:p>
    <w:p>
      <w:pPr>
        <w:spacing w:after="0" w:line="107" w:lineRule="exact"/>
        <w:rPr>
          <w:sz w:val="20"/>
          <w:szCs w:val="20"/>
          <w:color w:val="auto"/>
        </w:rPr>
      </w:pPr>
    </w:p>
    <w:p>
      <w:pPr>
        <w:ind w:left="1300" w:hanging="542"/>
        <w:spacing w:after="0"/>
        <w:tabs>
          <w:tab w:leader="none" w:pos="1300" w:val="left"/>
        </w:tabs>
        <w:numPr>
          <w:ilvl w:val="0"/>
          <w:numId w:val="85"/>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U.S. T</w:t>
      </w:r>
      <w:r>
        <w:rPr>
          <w:rFonts w:ascii="Arial" w:cs="Arial" w:eastAsia="Arial" w:hAnsi="Arial"/>
          <w:sz w:val="9"/>
          <w:szCs w:val="9"/>
          <w:b w:val="1"/>
          <w:bCs w:val="1"/>
          <w:u w:val="single" w:color="auto"/>
          <w:color w:val="auto"/>
        </w:rPr>
        <w:t>AX</w:t>
      </w:r>
      <w:r>
        <w:rPr>
          <w:rFonts w:ascii="Arial" w:cs="Arial" w:eastAsia="Arial" w:hAnsi="Arial"/>
          <w:sz w:val="14"/>
          <w:szCs w:val="14"/>
          <w:b w:val="1"/>
          <w:bCs w:val="1"/>
          <w:u w:val="single" w:color="auto"/>
          <w:color w:val="auto"/>
        </w:rPr>
        <w:t xml:space="preserve"> S</w:t>
      </w:r>
      <w:r>
        <w:rPr>
          <w:rFonts w:ascii="Arial" w:cs="Arial" w:eastAsia="Arial" w:hAnsi="Arial"/>
          <w:sz w:val="9"/>
          <w:szCs w:val="9"/>
          <w:b w:val="1"/>
          <w:bCs w:val="1"/>
          <w:u w:val="single" w:color="auto"/>
          <w:color w:val="auto"/>
        </w:rPr>
        <w:t>TATUS OF</w:t>
      </w:r>
      <w:r>
        <w:rPr>
          <w:rFonts w:ascii="Arial" w:cs="Arial" w:eastAsia="Arial" w:hAnsi="Arial"/>
          <w:sz w:val="14"/>
          <w:szCs w:val="14"/>
          <w:b w:val="1"/>
          <w:bCs w:val="1"/>
          <w:u w:val="single" w:color="auto"/>
          <w:color w:val="auto"/>
        </w:rPr>
        <w:t xml:space="preserve"> O</w:t>
      </w:r>
      <w:r>
        <w:rPr>
          <w:rFonts w:ascii="Arial" w:cs="Arial" w:eastAsia="Arial" w:hAnsi="Arial"/>
          <w:sz w:val="9"/>
          <w:szCs w:val="9"/>
          <w:b w:val="1"/>
          <w:bCs w:val="1"/>
          <w:u w:val="single" w:color="auto"/>
          <w:color w:val="auto"/>
        </w:rPr>
        <w:t>PTION</w:t>
      </w:r>
      <w:r>
        <w:rPr>
          <w:rFonts w:ascii="Arial" w:cs="Arial" w:eastAsia="Arial" w:hAnsi="Arial"/>
          <w:sz w:val="14"/>
          <w:szCs w:val="14"/>
          <w:b w:val="1"/>
          <w:bCs w:val="1"/>
          <w:i w:val="1"/>
          <w:iCs w:val="1"/>
          <w:u w:val="single" w:color="auto"/>
          <w:color w:val="auto"/>
        </w:rPr>
        <w:t>.</w:t>
      </w:r>
    </w:p>
    <w:p>
      <w:pPr>
        <w:spacing w:after="0" w:line="149" w:lineRule="exact"/>
        <w:rPr>
          <w:sz w:val="20"/>
          <w:szCs w:val="20"/>
          <w:color w:val="auto"/>
        </w:rPr>
      </w:pPr>
    </w:p>
    <w:p>
      <w:pPr>
        <w:ind w:firstLine="766"/>
        <w:spacing w:after="0" w:line="273" w:lineRule="auto"/>
        <w:rPr>
          <w:sz w:val="20"/>
          <w:szCs w:val="20"/>
          <w:color w:val="auto"/>
        </w:rPr>
      </w:pPr>
      <w:r>
        <w:rPr>
          <w:rFonts w:ascii="Arial" w:cs="Arial" w:eastAsia="Arial" w:hAnsi="Arial"/>
          <w:sz w:val="14"/>
          <w:szCs w:val="14"/>
          <w:color w:val="auto"/>
        </w:rPr>
        <w:t>For US tax purposes, to the extent applicable, this Option is intended to be a Nonstatutory Stock Option and shall not be treated as an Incentive Stock Option within the meaning of Section 422(b) of the Code.</w:t>
      </w:r>
    </w:p>
    <w:p>
      <w:pPr>
        <w:spacing w:after="0" w:line="98" w:lineRule="exact"/>
        <w:rPr>
          <w:sz w:val="20"/>
          <w:szCs w:val="20"/>
          <w:color w:val="auto"/>
        </w:rPr>
      </w:pPr>
    </w:p>
    <w:p>
      <w:pPr>
        <w:ind w:left="1300" w:hanging="542"/>
        <w:spacing w:after="0"/>
        <w:tabs>
          <w:tab w:leader="none" w:pos="1300" w:val="left"/>
        </w:tabs>
        <w:numPr>
          <w:ilvl w:val="0"/>
          <w:numId w:val="86"/>
        </w:numPr>
        <w:rPr>
          <w:rFonts w:ascii="Arial" w:cs="Arial" w:eastAsia="Arial" w:hAnsi="Arial"/>
          <w:sz w:val="14"/>
          <w:szCs w:val="14"/>
          <w:color w:val="auto"/>
        </w:rPr>
      </w:pPr>
      <w:r>
        <w:rPr>
          <w:rFonts w:ascii="Arial" w:cs="Arial" w:eastAsia="Arial" w:hAnsi="Arial"/>
          <w:sz w:val="14"/>
          <w:szCs w:val="14"/>
          <w:b w:val="1"/>
          <w:bCs w:val="1"/>
          <w:u w:val="single" w:color="auto"/>
          <w:color w:val="auto"/>
        </w:rPr>
        <w:t>A</w:t>
      </w:r>
      <w:r>
        <w:rPr>
          <w:rFonts w:ascii="Arial" w:cs="Arial" w:eastAsia="Arial" w:hAnsi="Arial"/>
          <w:sz w:val="9"/>
          <w:szCs w:val="9"/>
          <w:b w:val="1"/>
          <w:bCs w:val="1"/>
          <w:u w:val="single" w:color="auto"/>
          <w:color w:val="auto"/>
        </w:rPr>
        <w:t>DMINISTRATION</w:t>
      </w:r>
      <w:r>
        <w:rPr>
          <w:rFonts w:ascii="Arial" w:cs="Arial" w:eastAsia="Arial" w:hAnsi="Arial"/>
          <w:sz w:val="14"/>
          <w:szCs w:val="14"/>
          <w:b w:val="1"/>
          <w:bCs w:val="1"/>
          <w:color w:val="auto"/>
        </w:rPr>
        <w:t>.</w:t>
      </w:r>
    </w:p>
    <w:p>
      <w:pPr>
        <w:spacing w:after="0" w:line="149" w:lineRule="exact"/>
        <w:rPr>
          <w:sz w:val="20"/>
          <w:szCs w:val="20"/>
          <w:color w:val="auto"/>
        </w:rPr>
      </w:pPr>
    </w:p>
    <w:p>
      <w:pPr>
        <w:jc w:val="both"/>
        <w:ind w:firstLine="1531"/>
        <w:spacing w:after="0" w:line="252" w:lineRule="auto"/>
        <w:rPr>
          <w:sz w:val="20"/>
          <w:szCs w:val="20"/>
          <w:color w:val="auto"/>
        </w:rPr>
      </w:pPr>
      <w:r>
        <w:rPr>
          <w:rFonts w:ascii="Arial" w:cs="Arial" w:eastAsia="Arial" w:hAnsi="Arial"/>
          <w:sz w:val="14"/>
          <w:szCs w:val="14"/>
          <w:color w:val="auto"/>
        </w:rPr>
        <w:t>All questions of interpretation concerning the Grant Notice, this Option Agreement, the Plan or any other form of agreement or other document employed by the Company in the administration of the Plan or the Option shall be determined by the Committee. All such determinations by the Committee shall be final, binding and conclusive upon all persons having an interest in the Option, unless fraudulent or made in bad faith. Any and all actions, decisions and determinations taken or made by the Committee in the exercise of its discretion pursuant to the Plan or the Option or other agreement thereunder (other than determining questions of</w:t>
      </w:r>
    </w:p>
    <w:p>
      <w:pPr>
        <w:spacing w:after="0" w:line="98" w:lineRule="exact"/>
        <w:rPr>
          <w:sz w:val="20"/>
          <w:szCs w:val="20"/>
          <w:color w:val="auto"/>
        </w:rPr>
      </w:pPr>
    </w:p>
    <w:p>
      <w:pPr>
        <w:ind w:left="760"/>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100330</wp:posOffset>
            </wp:positionV>
            <wp:extent cx="7329170" cy="3683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22">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275" w:right="199" w:bottom="1440" w:gutter="0" w:footer="0" w:header="0"/>
        </w:sectPr>
      </w:pPr>
    </w:p>
    <w:bookmarkStart w:id="143" w:name="page144"/>
    <w:bookmarkEnd w:id="143"/>
    <w:p>
      <w:pPr>
        <w:jc w:val="both"/>
        <w:spacing w:after="0" w:line="257" w:lineRule="auto"/>
        <w:rPr>
          <w:sz w:val="20"/>
          <w:szCs w:val="20"/>
          <w:color w:val="auto"/>
        </w:rPr>
      </w:pPr>
      <w:r>
        <w:rPr>
          <w:rFonts w:ascii="Arial" w:cs="Arial" w:eastAsia="Arial" w:hAnsi="Arial"/>
          <w:sz w:val="14"/>
          <w:szCs w:val="14"/>
          <w:color w:val="auto"/>
        </w:rPr>
        <w:t>interpretation pursuant to the preceding sentence) shall be final, binding and conclusive upon all persons having an interest in the Option. Any Officer shall have the authority to act on behalf of the Company with respect to any matter, right, obligation, or election which is the responsibility of or which is allocated to the Company herein, provided the Officer has apparent authority with respect to such matter, right, obligation, or election.</w:t>
      </w:r>
    </w:p>
    <w:p>
      <w:pPr>
        <w:spacing w:after="0" w:line="109" w:lineRule="exact"/>
        <w:rPr>
          <w:sz w:val="20"/>
          <w:szCs w:val="20"/>
          <w:color w:val="auto"/>
        </w:rPr>
      </w:pPr>
    </w:p>
    <w:p>
      <w:pPr>
        <w:ind w:left="1300" w:hanging="542"/>
        <w:spacing w:after="0"/>
        <w:tabs>
          <w:tab w:leader="none" w:pos="1300" w:val="left"/>
        </w:tabs>
        <w:numPr>
          <w:ilvl w:val="0"/>
          <w:numId w:val="87"/>
        </w:numPr>
        <w:rPr>
          <w:rFonts w:ascii="Arial" w:cs="Arial" w:eastAsia="Arial" w:hAnsi="Arial"/>
          <w:sz w:val="14"/>
          <w:szCs w:val="14"/>
          <w:color w:val="auto"/>
        </w:rPr>
      </w:pPr>
      <w:r>
        <w:rPr>
          <w:rFonts w:ascii="Arial" w:cs="Arial" w:eastAsia="Arial" w:hAnsi="Arial"/>
          <w:sz w:val="14"/>
          <w:szCs w:val="14"/>
          <w:b w:val="1"/>
          <w:bCs w:val="1"/>
          <w:u w:val="single" w:color="auto"/>
          <w:color w:val="auto"/>
        </w:rPr>
        <w:t>E</w:t>
      </w:r>
      <w:r>
        <w:rPr>
          <w:rFonts w:ascii="Arial" w:cs="Arial" w:eastAsia="Arial" w:hAnsi="Arial"/>
          <w:sz w:val="9"/>
          <w:szCs w:val="9"/>
          <w:b w:val="1"/>
          <w:bCs w:val="1"/>
          <w:u w:val="single" w:color="auto"/>
          <w:color w:val="auto"/>
        </w:rPr>
        <w:t>XERCISE OF THE</w:t>
      </w:r>
      <w:r>
        <w:rPr>
          <w:rFonts w:ascii="Arial" w:cs="Arial" w:eastAsia="Arial" w:hAnsi="Arial"/>
          <w:sz w:val="14"/>
          <w:szCs w:val="14"/>
          <w:b w:val="1"/>
          <w:bCs w:val="1"/>
          <w:color w:val="auto"/>
        </w:rPr>
        <w:t xml:space="preserve"> </w:t>
      </w:r>
      <w:r>
        <w:rPr>
          <w:rFonts w:ascii="Arial" w:cs="Arial" w:eastAsia="Arial" w:hAnsi="Arial"/>
          <w:sz w:val="14"/>
          <w:szCs w:val="14"/>
          <w:b w:val="1"/>
          <w:bCs w:val="1"/>
          <w:u w:val="single" w:color="auto"/>
          <w:color w:val="auto"/>
        </w:rPr>
        <w:t>O</w:t>
      </w:r>
      <w:r>
        <w:rPr>
          <w:rFonts w:ascii="Arial" w:cs="Arial" w:eastAsia="Arial" w:hAnsi="Arial"/>
          <w:sz w:val="9"/>
          <w:szCs w:val="9"/>
          <w:b w:val="1"/>
          <w:bCs w:val="1"/>
          <w:u w:val="single" w:color="auto"/>
          <w:color w:val="auto"/>
        </w:rPr>
        <w:t>PTION</w:t>
      </w:r>
      <w:r>
        <w:rPr>
          <w:rFonts w:ascii="Arial" w:cs="Arial" w:eastAsia="Arial" w:hAnsi="Arial"/>
          <w:sz w:val="14"/>
          <w:szCs w:val="14"/>
          <w:b w:val="1"/>
          <w:bCs w:val="1"/>
          <w:color w:val="auto"/>
        </w:rPr>
        <w:t>.</w:t>
      </w:r>
    </w:p>
    <w:p>
      <w:pPr>
        <w:spacing w:after="0" w:line="145" w:lineRule="exact"/>
        <w:rPr>
          <w:sz w:val="20"/>
          <w:szCs w:val="20"/>
          <w:color w:val="auto"/>
        </w:rPr>
      </w:pPr>
    </w:p>
    <w:p>
      <w:pPr>
        <w:jc w:val="both"/>
        <w:ind w:right="20" w:firstLine="1531"/>
        <w:spacing w:after="0" w:line="260" w:lineRule="auto"/>
        <w:rPr>
          <w:sz w:val="20"/>
          <w:szCs w:val="20"/>
          <w:color w:val="auto"/>
        </w:rPr>
      </w:pPr>
      <w:r>
        <w:rPr>
          <w:rFonts w:ascii="Arial" w:cs="Arial" w:eastAsia="Arial" w:hAnsi="Arial"/>
          <w:sz w:val="14"/>
          <w:szCs w:val="14"/>
          <w:color w:val="auto"/>
        </w:rPr>
        <w:t xml:space="preserve">4.1 </w:t>
      </w:r>
      <w:r>
        <w:rPr>
          <w:rFonts w:ascii="Arial" w:cs="Arial" w:eastAsia="Arial" w:hAnsi="Arial"/>
          <w:sz w:val="14"/>
          <w:szCs w:val="14"/>
          <w:b w:val="1"/>
          <w:bCs w:val="1"/>
          <w:color w:val="auto"/>
        </w:rPr>
        <w:t>Right to Exercise</w:t>
      </w:r>
      <w:r>
        <w:rPr>
          <w:rFonts w:ascii="Arial" w:cs="Arial" w:eastAsia="Arial" w:hAnsi="Arial"/>
          <w:sz w:val="14"/>
          <w:szCs w:val="14"/>
          <w:b w:val="1"/>
          <w:bCs w:val="1"/>
          <w:i w:val="1"/>
          <w:iCs w:val="1"/>
          <w:color w:val="auto"/>
        </w:rPr>
        <w:t>.</w:t>
      </w:r>
      <w:r>
        <w:rPr>
          <w:rFonts w:ascii="Arial" w:cs="Arial" w:eastAsia="Arial" w:hAnsi="Arial"/>
          <w:sz w:val="14"/>
          <w:szCs w:val="14"/>
          <w:color w:val="auto"/>
        </w:rPr>
        <w:t xml:space="preserve"> Except as otherwise provided herein, the Option shall be exercisable on and after the Initial Vesting Date and prior to the termination of the Option (as provided in Section 6) in an amount not to exceed the number of Vested Shares less the number of shares previously acquired upon exercise of the Option. In no event shall the Option be exercisable for more shares than the Number of Option Shares, as adjusted pursuant to Section 9.</w:t>
      </w:r>
    </w:p>
    <w:p>
      <w:pPr>
        <w:spacing w:after="0" w:line="107" w:lineRule="exact"/>
        <w:rPr>
          <w:sz w:val="20"/>
          <w:szCs w:val="20"/>
          <w:color w:val="auto"/>
        </w:rPr>
      </w:pPr>
    </w:p>
    <w:p>
      <w:pPr>
        <w:jc w:val="both"/>
        <w:ind w:firstLine="1531"/>
        <w:spacing w:after="0" w:line="245" w:lineRule="auto"/>
        <w:rPr>
          <w:sz w:val="20"/>
          <w:szCs w:val="20"/>
          <w:color w:val="auto"/>
        </w:rPr>
      </w:pPr>
      <w:r>
        <w:rPr>
          <w:rFonts w:ascii="Arial" w:cs="Arial" w:eastAsia="Arial" w:hAnsi="Arial"/>
          <w:sz w:val="14"/>
          <w:szCs w:val="14"/>
          <w:color w:val="auto"/>
        </w:rPr>
        <w:t xml:space="preserve">4.2 </w:t>
      </w:r>
      <w:r>
        <w:rPr>
          <w:rFonts w:ascii="Arial" w:cs="Arial" w:eastAsia="Arial" w:hAnsi="Arial"/>
          <w:sz w:val="14"/>
          <w:szCs w:val="14"/>
          <w:b w:val="1"/>
          <w:bCs w:val="1"/>
          <w:color w:val="auto"/>
        </w:rPr>
        <w:t>Method of Exercise</w:t>
      </w:r>
      <w:r>
        <w:rPr>
          <w:rFonts w:ascii="Arial" w:cs="Arial" w:eastAsia="Arial" w:hAnsi="Arial"/>
          <w:sz w:val="14"/>
          <w:szCs w:val="14"/>
          <w:b w:val="1"/>
          <w:bCs w:val="1"/>
          <w:i w:val="1"/>
          <w:iCs w:val="1"/>
          <w:color w:val="auto"/>
        </w:rPr>
        <w:t>.</w:t>
      </w:r>
      <w:r>
        <w:rPr>
          <w:rFonts w:ascii="Arial" w:cs="Arial" w:eastAsia="Arial" w:hAnsi="Arial"/>
          <w:sz w:val="14"/>
          <w:szCs w:val="14"/>
          <w:color w:val="auto"/>
        </w:rPr>
        <w:t xml:space="preserve"> Exercise of the Option shall be by means of electronic or written notice (the </w:t>
      </w:r>
      <w:r>
        <w:rPr>
          <w:rFonts w:ascii="Arial" w:cs="Arial" w:eastAsia="Arial" w:hAnsi="Arial"/>
          <w:sz w:val="14"/>
          <w:szCs w:val="14"/>
          <w:i w:val="1"/>
          <w:iCs w:val="1"/>
          <w:color w:val="auto"/>
        </w:rPr>
        <w:t>“</w:t>
      </w:r>
      <w:r>
        <w:rPr>
          <w:rFonts w:ascii="Arial" w:cs="Arial" w:eastAsia="Arial" w:hAnsi="Arial"/>
          <w:sz w:val="14"/>
          <w:szCs w:val="14"/>
          <w:b w:val="1"/>
          <w:bCs w:val="1"/>
          <w:i w:val="1"/>
          <w:iCs w:val="1"/>
          <w:color w:val="auto"/>
        </w:rPr>
        <w:t>Exercise Notice</w:t>
      </w:r>
      <w:r>
        <w:rPr>
          <w:rFonts w:ascii="Arial" w:cs="Arial" w:eastAsia="Arial" w:hAnsi="Arial"/>
          <w:sz w:val="14"/>
          <w:szCs w:val="14"/>
          <w:i w:val="1"/>
          <w:iCs w:val="1"/>
          <w:color w:val="auto"/>
        </w:rPr>
        <w:t>”</w:t>
      </w:r>
      <w:r>
        <w:rPr>
          <w:rFonts w:ascii="Arial" w:cs="Arial" w:eastAsia="Arial" w:hAnsi="Arial"/>
          <w:sz w:val="14"/>
          <w:szCs w:val="14"/>
          <w:color w:val="auto"/>
        </w:rPr>
        <w:t>) in a form authorized by the Company. An electronic Exercise Notice must be digitally signed or authenticated by the Participant in such manner as required by the notice and transmitted to the Company or an authorized representative of the Company (including a third-party administrator designated by the Company). In the event that the Participant is not authorized or is unable to provide an electronic Exercise Notice, the Option shall be exercised by a written Exercise Notice addressed to the Company, which shall be signed by the Participant and delivered in person, by certified or registered mail, return receipt requested, by confirmed facsimile transmission, or by such other means as the Company may permit, to the Company, or an authorized representative of the Company (including a third-party administrator designated by the Company). Each Exercise Notice, whether electronic or written, must state the Participant’s election to exercise the Option, the number of whole shares of Stock for which the Option is being exercised and such other representations and agreements as to the Participant’s investment intent with respect to such shares as may be required pursuant to the provisions of this Option Agreement. Further, each Exercise Notice must be received by the Company prior to the termination of the Option as set forth in Section 6 and must be accompanied by full payment of the aggregate Exercise Price for the number of shares of Stock being purchased. The Option shall be deemed to be exercised upon receipt by the Company of such electronic or written Exercise Notice and the aggregate Exercise Price.</w:t>
      </w:r>
    </w:p>
    <w:p>
      <w:pPr>
        <w:spacing w:after="0" w:line="122" w:lineRule="exact"/>
        <w:rPr>
          <w:sz w:val="20"/>
          <w:szCs w:val="20"/>
          <w:color w:val="auto"/>
        </w:rPr>
      </w:pPr>
    </w:p>
    <w:p>
      <w:pPr>
        <w:ind w:left="1520"/>
        <w:spacing w:after="0"/>
        <w:tabs>
          <w:tab w:leader="none" w:pos="2120" w:val="left"/>
        </w:tabs>
        <w:rPr>
          <w:sz w:val="20"/>
          <w:szCs w:val="20"/>
          <w:color w:val="auto"/>
        </w:rPr>
      </w:pPr>
      <w:r>
        <w:rPr>
          <w:rFonts w:ascii="Arial" w:cs="Arial" w:eastAsia="Arial" w:hAnsi="Arial"/>
          <w:sz w:val="14"/>
          <w:szCs w:val="14"/>
          <w:color w:val="auto"/>
        </w:rPr>
        <w:t>4.3</w:t>
      </w:r>
      <w:r>
        <w:rPr>
          <w:sz w:val="20"/>
          <w:szCs w:val="20"/>
          <w:color w:val="auto"/>
        </w:rPr>
        <w:tab/>
      </w:r>
      <w:r>
        <w:rPr>
          <w:rFonts w:ascii="Arial" w:cs="Arial" w:eastAsia="Arial" w:hAnsi="Arial"/>
          <w:sz w:val="12"/>
          <w:szCs w:val="12"/>
          <w:b w:val="1"/>
          <w:bCs w:val="1"/>
          <w:color w:val="auto"/>
        </w:rPr>
        <w:t>Payment of Exercise Price.</w:t>
      </w:r>
    </w:p>
    <w:p>
      <w:pPr>
        <w:spacing w:after="0" w:line="145" w:lineRule="exact"/>
        <w:rPr>
          <w:sz w:val="20"/>
          <w:szCs w:val="20"/>
          <w:color w:val="auto"/>
        </w:rPr>
      </w:pPr>
    </w:p>
    <w:p>
      <w:pPr>
        <w:jc w:val="both"/>
        <w:ind w:firstLine="2289"/>
        <w:spacing w:after="0" w:line="260" w:lineRule="auto"/>
        <w:tabs>
          <w:tab w:leader="none" w:pos="2889" w:val="left"/>
        </w:tabs>
        <w:numPr>
          <w:ilvl w:val="0"/>
          <w:numId w:val="88"/>
        </w:numPr>
        <w:rPr>
          <w:rFonts w:ascii="Arial" w:cs="Arial" w:eastAsia="Arial" w:hAnsi="Arial"/>
          <w:sz w:val="14"/>
          <w:szCs w:val="14"/>
          <w:color w:val="auto"/>
        </w:rPr>
      </w:pPr>
      <w:r>
        <w:rPr>
          <w:rFonts w:ascii="Arial" w:cs="Arial" w:eastAsia="Arial" w:hAnsi="Arial"/>
          <w:sz w:val="14"/>
          <w:szCs w:val="14"/>
          <w:b w:val="1"/>
          <w:bCs w:val="1"/>
          <w:i w:val="1"/>
          <w:iCs w:val="1"/>
          <w:color w:val="auto"/>
        </w:rPr>
        <w:t>Forms of Consideration Authorized</w:t>
      </w:r>
      <w:r>
        <w:rPr>
          <w:rFonts w:ascii="Arial" w:cs="Arial" w:eastAsia="Arial" w:hAnsi="Arial"/>
          <w:sz w:val="14"/>
          <w:szCs w:val="14"/>
          <w:b w:val="1"/>
          <w:bCs w:val="1"/>
          <w:color w:val="auto"/>
        </w:rPr>
        <w: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Except as otherwise provided below, payment of the aggregate Exercise Price for the number of shares of</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Stock for which the Option is being exercised shall be made (i) in cash, by check or in cash equivalent; (ii) if permitted by the Company and subject to the limitations contained in Section 4.3(b), by means of (1) a Cashless Exercise, (2) a Net-Exercise, or (3) a Stock Tender Exercise; or (iii) by any combination of the foregoing.</w:t>
      </w:r>
    </w:p>
    <w:p>
      <w:pPr>
        <w:spacing w:after="0" w:line="111" w:lineRule="exact"/>
        <w:rPr>
          <w:rFonts w:ascii="Arial" w:cs="Arial" w:eastAsia="Arial" w:hAnsi="Arial"/>
          <w:sz w:val="14"/>
          <w:szCs w:val="14"/>
          <w:color w:val="auto"/>
        </w:rPr>
      </w:pPr>
    </w:p>
    <w:p>
      <w:pPr>
        <w:jc w:val="both"/>
        <w:ind w:firstLine="2289"/>
        <w:spacing w:after="0" w:line="257" w:lineRule="auto"/>
        <w:tabs>
          <w:tab w:leader="none" w:pos="2897" w:val="left"/>
        </w:tabs>
        <w:numPr>
          <w:ilvl w:val="0"/>
          <w:numId w:val="88"/>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Limitations on Forms of Consideration. </w:t>
      </w:r>
      <w:r>
        <w:rPr>
          <w:rFonts w:ascii="Arial" w:cs="Arial" w:eastAsia="Arial" w:hAnsi="Arial"/>
          <w:sz w:val="14"/>
          <w:szCs w:val="14"/>
          <w:color w:val="auto"/>
        </w:rPr>
        <w:t>The Company reserves, at any and all times, the right, in the Company’s sole and absolute discretion, to</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establish, decline to approve or terminate any program or procedure providing for payment of the Exercise Price through any of the means described below, including with respect to the Participant notwithstanding that such program or procedures may be available to others.</w:t>
      </w:r>
    </w:p>
    <w:p>
      <w:pPr>
        <w:spacing w:after="0" w:line="109" w:lineRule="exact"/>
        <w:rPr>
          <w:rFonts w:ascii="Arial" w:cs="Arial" w:eastAsia="Arial" w:hAnsi="Arial"/>
          <w:sz w:val="14"/>
          <w:szCs w:val="14"/>
          <w:color w:val="auto"/>
        </w:rPr>
      </w:pPr>
    </w:p>
    <w:p>
      <w:pPr>
        <w:jc w:val="both"/>
        <w:ind w:firstLine="3055"/>
        <w:spacing w:after="0" w:line="254" w:lineRule="auto"/>
        <w:tabs>
          <w:tab w:leader="none" w:pos="3631" w:val="left"/>
        </w:tabs>
        <w:numPr>
          <w:ilvl w:val="1"/>
          <w:numId w:val="88"/>
        </w:numPr>
        <w:rPr>
          <w:rFonts w:ascii="Arial" w:cs="Arial" w:eastAsia="Arial" w:hAnsi="Arial"/>
          <w:sz w:val="14"/>
          <w:szCs w:val="14"/>
          <w:color w:val="auto"/>
        </w:rPr>
      </w:pPr>
      <w:r>
        <w:rPr>
          <w:rFonts w:ascii="Arial" w:cs="Arial" w:eastAsia="Arial" w:hAnsi="Arial"/>
          <w:sz w:val="14"/>
          <w:szCs w:val="14"/>
          <w:b w:val="1"/>
          <w:bCs w:val="1"/>
          <w:color w:val="auto"/>
        </w:rPr>
        <w:t xml:space="preserve">Cashless Exercise. </w:t>
      </w:r>
      <w:r>
        <w:rPr>
          <w:rFonts w:ascii="Arial" w:cs="Arial" w:eastAsia="Arial" w:hAnsi="Arial"/>
          <w:sz w:val="14"/>
          <w:szCs w:val="14"/>
          <w:color w:val="auto"/>
        </w:rPr>
        <w:t>A</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w:t>
      </w:r>
      <w:r>
        <w:rPr>
          <w:rFonts w:ascii="Arial" w:cs="Arial" w:eastAsia="Arial" w:hAnsi="Arial"/>
          <w:sz w:val="14"/>
          <w:szCs w:val="14"/>
          <w:b w:val="1"/>
          <w:bCs w:val="1"/>
          <w:i w:val="1"/>
          <w:iCs w:val="1"/>
          <w:color w:val="auto"/>
        </w:rPr>
        <w:t>Cashless Exercise</w:t>
      </w:r>
      <w:r>
        <w:rPr>
          <w:rFonts w:ascii="Arial" w:cs="Arial" w:eastAsia="Arial" w:hAnsi="Arial"/>
          <w:sz w:val="14"/>
          <w:szCs w:val="14"/>
          <w:i w:val="1"/>
          <w:iCs w:val="1"/>
          <w:color w:val="auto"/>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means the delivery of a properly executed Exercise Notice together with irrevocable</w:t>
      </w:r>
      <w:r>
        <w:rPr>
          <w:rFonts w:ascii="Arial" w:cs="Arial" w:eastAsia="Arial" w:hAnsi="Arial"/>
          <w:sz w:val="14"/>
          <w:szCs w:val="14"/>
          <w:b w:val="1"/>
          <w:bCs w:val="1"/>
          <w:color w:val="auto"/>
        </w:rPr>
        <w:t xml:space="preserve"> </w:t>
      </w:r>
      <w:r>
        <w:rPr>
          <w:rFonts w:ascii="Arial" w:cs="Arial" w:eastAsia="Arial" w:hAnsi="Arial"/>
          <w:sz w:val="14"/>
          <w:szCs w:val="14"/>
          <w:color w:val="auto"/>
        </w:rPr>
        <w:t>instructions to a broker in a form acceptable to the Company providing for the assignment to the Company of the proceeds of a sale or loan with respect to shares of Stock acquired upon the exercise of the Option in an amount not less than the aggregate Exercise Price for such shares (including, without limitation, through an exercise complying with the provisions of Regulation T as promulgated from time to time by the Board of Governors of the Federal Reserve System).</w:t>
      </w:r>
    </w:p>
    <w:p>
      <w:pPr>
        <w:spacing w:after="0" w:line="97" w:lineRule="exact"/>
        <w:rPr>
          <w:sz w:val="20"/>
          <w:szCs w:val="20"/>
          <w:color w:val="auto"/>
        </w:rPr>
      </w:pPr>
    </w:p>
    <w:p>
      <w:pPr>
        <w:ind w:left="760"/>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100330</wp:posOffset>
            </wp:positionV>
            <wp:extent cx="7329170" cy="3683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23">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269" w:right="199" w:bottom="1440" w:gutter="0" w:footer="0" w:header="0"/>
        </w:sectPr>
      </w:pPr>
    </w:p>
    <w:bookmarkStart w:id="144" w:name="page145"/>
    <w:bookmarkEnd w:id="144"/>
    <w:p>
      <w:pPr>
        <w:ind w:left="3668" w:hanging="605"/>
        <w:spacing w:after="0"/>
        <w:tabs>
          <w:tab w:leader="none" w:pos="3668" w:val="left"/>
        </w:tabs>
        <w:numPr>
          <w:ilvl w:val="1"/>
          <w:numId w:val="89"/>
        </w:numPr>
        <w:rPr>
          <w:rFonts w:ascii="Arial" w:cs="Arial" w:eastAsia="Arial" w:hAnsi="Arial"/>
          <w:sz w:val="13"/>
          <w:szCs w:val="13"/>
          <w:color w:val="auto"/>
        </w:rPr>
      </w:pPr>
      <w:r>
        <w:rPr>
          <w:rFonts w:ascii="Arial" w:cs="Arial" w:eastAsia="Arial" w:hAnsi="Arial"/>
          <w:sz w:val="13"/>
          <w:szCs w:val="13"/>
          <w:b w:val="1"/>
          <w:bCs w:val="1"/>
          <w:color w:val="auto"/>
        </w:rPr>
        <w:t xml:space="preserve">Net-Exercise. </w:t>
      </w:r>
      <w:r>
        <w:rPr>
          <w:rFonts w:ascii="Arial" w:cs="Arial" w:eastAsia="Arial" w:hAnsi="Arial"/>
          <w:sz w:val="13"/>
          <w:szCs w:val="13"/>
          <w:color w:val="auto"/>
        </w:rPr>
        <w:t>A</w:t>
      </w:r>
      <w:r>
        <w:rPr>
          <w:rFonts w:ascii="Arial" w:cs="Arial" w:eastAsia="Arial" w:hAnsi="Arial"/>
          <w:sz w:val="13"/>
          <w:szCs w:val="13"/>
          <w:b w:val="1"/>
          <w:bCs w:val="1"/>
          <w:color w:val="auto"/>
        </w:rPr>
        <w:t xml:space="preserve"> </w:t>
      </w:r>
      <w:r>
        <w:rPr>
          <w:rFonts w:ascii="Arial" w:cs="Arial" w:eastAsia="Arial" w:hAnsi="Arial"/>
          <w:sz w:val="13"/>
          <w:szCs w:val="13"/>
          <w:i w:val="1"/>
          <w:iCs w:val="1"/>
          <w:color w:val="auto"/>
        </w:rPr>
        <w:t>“</w:t>
      </w:r>
      <w:r>
        <w:rPr>
          <w:rFonts w:ascii="Arial" w:cs="Arial" w:eastAsia="Arial" w:hAnsi="Arial"/>
          <w:sz w:val="13"/>
          <w:szCs w:val="13"/>
          <w:b w:val="1"/>
          <w:bCs w:val="1"/>
          <w:i w:val="1"/>
          <w:iCs w:val="1"/>
          <w:color w:val="auto"/>
        </w:rPr>
        <w:t>Net-Exercise</w:t>
      </w:r>
      <w:r>
        <w:rPr>
          <w:rFonts w:ascii="Arial" w:cs="Arial" w:eastAsia="Arial" w:hAnsi="Arial"/>
          <w:sz w:val="13"/>
          <w:szCs w:val="13"/>
          <w:i w:val="1"/>
          <w:iCs w:val="1"/>
          <w:color w:val="auto"/>
        </w:rPr>
        <w:t>”</w:t>
      </w:r>
      <w:r>
        <w:rPr>
          <w:rFonts w:ascii="Arial" w:cs="Arial" w:eastAsia="Arial" w:hAnsi="Arial"/>
          <w:sz w:val="13"/>
          <w:szCs w:val="13"/>
          <w:b w:val="1"/>
          <w:bCs w:val="1"/>
          <w:color w:val="auto"/>
        </w:rPr>
        <w:t xml:space="preserve"> </w:t>
      </w:r>
      <w:r>
        <w:rPr>
          <w:rFonts w:ascii="Arial" w:cs="Arial" w:eastAsia="Arial" w:hAnsi="Arial"/>
          <w:sz w:val="13"/>
          <w:szCs w:val="13"/>
          <w:color w:val="auto"/>
        </w:rPr>
        <w:t>means the delivery of a properly executed Exercise Notice electing a procedure pursuant to which</w:t>
      </w:r>
    </w:p>
    <w:p>
      <w:pPr>
        <w:spacing w:after="0" w:line="28" w:lineRule="exact"/>
        <w:rPr>
          <w:rFonts w:ascii="Arial" w:cs="Arial" w:eastAsia="Arial" w:hAnsi="Arial"/>
          <w:sz w:val="13"/>
          <w:szCs w:val="13"/>
          <w:color w:val="auto"/>
        </w:rPr>
      </w:pPr>
    </w:p>
    <w:p>
      <w:pPr>
        <w:jc w:val="both"/>
        <w:ind w:left="8" w:hanging="8"/>
        <w:spacing w:after="0" w:line="271" w:lineRule="auto"/>
        <w:tabs>
          <w:tab w:leader="none" w:pos="212" w:val="left"/>
        </w:tabs>
        <w:numPr>
          <w:ilvl w:val="0"/>
          <w:numId w:val="90"/>
        </w:numPr>
        <w:rPr>
          <w:rFonts w:ascii="Arial" w:cs="Arial" w:eastAsia="Arial" w:hAnsi="Arial"/>
          <w:sz w:val="13"/>
          <w:szCs w:val="13"/>
          <w:color w:val="auto"/>
        </w:rPr>
      </w:pPr>
      <w:r>
        <w:rPr>
          <w:rFonts w:ascii="Arial" w:cs="Arial" w:eastAsia="Arial" w:hAnsi="Arial"/>
          <w:sz w:val="13"/>
          <w:szCs w:val="13"/>
          <w:color w:val="auto"/>
        </w:rPr>
        <w:t>the Company will reduce the number of shares otherwise issuable to the Participant upon the exercise of the Option by the largest whole number of shares having a Fair Market Value that does not exceed the aggregate Exercise Price for the shares with respect to which the Option is exercised, and (2) the Participant shall pay to the Company in cash the remaining balance of such aggregate Exercise Price not satisfied by such reduction in the number of whole shares to be issued. Following a Net-Exercise, the number of shares remaining subject to the Option, if any, shall be reduced by the sum of (1) the net number of shares issued to the Participant upon such exercise, and (2) the number of shares deducted by the Company for payment of the aggregate Exercise Price.</w:t>
      </w:r>
    </w:p>
    <w:p>
      <w:pPr>
        <w:spacing w:after="0" w:line="101" w:lineRule="exact"/>
        <w:rPr>
          <w:rFonts w:ascii="Arial" w:cs="Arial" w:eastAsia="Arial" w:hAnsi="Arial"/>
          <w:sz w:val="13"/>
          <w:szCs w:val="13"/>
          <w:color w:val="auto"/>
        </w:rPr>
      </w:pPr>
    </w:p>
    <w:p>
      <w:pPr>
        <w:ind w:left="3708" w:hanging="645"/>
        <w:spacing w:after="0"/>
        <w:tabs>
          <w:tab w:leader="none" w:pos="3708" w:val="left"/>
        </w:tabs>
        <w:numPr>
          <w:ilvl w:val="1"/>
          <w:numId w:val="90"/>
        </w:numPr>
        <w:rPr>
          <w:rFonts w:ascii="Arial" w:cs="Arial" w:eastAsia="Arial" w:hAnsi="Arial"/>
          <w:sz w:val="13"/>
          <w:szCs w:val="13"/>
          <w:color w:val="auto"/>
        </w:rPr>
      </w:pPr>
      <w:r>
        <w:rPr>
          <w:rFonts w:ascii="Arial" w:cs="Arial" w:eastAsia="Arial" w:hAnsi="Arial"/>
          <w:sz w:val="13"/>
          <w:szCs w:val="13"/>
          <w:b w:val="1"/>
          <w:bCs w:val="1"/>
          <w:color w:val="auto"/>
        </w:rPr>
        <w:t xml:space="preserve">Stock Tender Exercise. </w:t>
      </w:r>
      <w:r>
        <w:rPr>
          <w:rFonts w:ascii="Arial" w:cs="Arial" w:eastAsia="Arial" w:hAnsi="Arial"/>
          <w:sz w:val="13"/>
          <w:szCs w:val="13"/>
          <w:color w:val="auto"/>
        </w:rPr>
        <w:t>A</w:t>
      </w:r>
      <w:r>
        <w:rPr>
          <w:rFonts w:ascii="Arial" w:cs="Arial" w:eastAsia="Arial" w:hAnsi="Arial"/>
          <w:sz w:val="13"/>
          <w:szCs w:val="13"/>
          <w:b w:val="1"/>
          <w:bCs w:val="1"/>
          <w:color w:val="auto"/>
        </w:rPr>
        <w:t xml:space="preserve"> </w:t>
      </w:r>
      <w:r>
        <w:rPr>
          <w:rFonts w:ascii="Arial" w:cs="Arial" w:eastAsia="Arial" w:hAnsi="Arial"/>
          <w:sz w:val="13"/>
          <w:szCs w:val="13"/>
          <w:i w:val="1"/>
          <w:iCs w:val="1"/>
          <w:color w:val="auto"/>
        </w:rPr>
        <w:t>“</w:t>
      </w:r>
      <w:r>
        <w:rPr>
          <w:rFonts w:ascii="Arial" w:cs="Arial" w:eastAsia="Arial" w:hAnsi="Arial"/>
          <w:sz w:val="13"/>
          <w:szCs w:val="13"/>
          <w:b w:val="1"/>
          <w:bCs w:val="1"/>
          <w:i w:val="1"/>
          <w:iCs w:val="1"/>
          <w:color w:val="auto"/>
        </w:rPr>
        <w:t>Stock Tender Exercise</w:t>
      </w:r>
      <w:r>
        <w:rPr>
          <w:rFonts w:ascii="Arial" w:cs="Arial" w:eastAsia="Arial" w:hAnsi="Arial"/>
          <w:sz w:val="13"/>
          <w:szCs w:val="13"/>
          <w:i w:val="1"/>
          <w:iCs w:val="1"/>
          <w:color w:val="auto"/>
        </w:rPr>
        <w:t>”</w:t>
      </w:r>
      <w:r>
        <w:rPr>
          <w:rFonts w:ascii="Arial" w:cs="Arial" w:eastAsia="Arial" w:hAnsi="Arial"/>
          <w:sz w:val="13"/>
          <w:szCs w:val="13"/>
          <w:b w:val="1"/>
          <w:bCs w:val="1"/>
          <w:color w:val="auto"/>
        </w:rPr>
        <w:t xml:space="preserve"> </w:t>
      </w:r>
      <w:r>
        <w:rPr>
          <w:rFonts w:ascii="Arial" w:cs="Arial" w:eastAsia="Arial" w:hAnsi="Arial"/>
          <w:sz w:val="13"/>
          <w:szCs w:val="13"/>
          <w:color w:val="auto"/>
        </w:rPr>
        <w:t>means the delivery of a properly executed Exercise Notice accompanied by</w:t>
      </w:r>
    </w:p>
    <w:p>
      <w:pPr>
        <w:spacing w:after="0" w:line="28" w:lineRule="exact"/>
        <w:rPr>
          <w:rFonts w:ascii="Arial" w:cs="Arial" w:eastAsia="Arial" w:hAnsi="Arial"/>
          <w:sz w:val="13"/>
          <w:szCs w:val="13"/>
          <w:color w:val="auto"/>
        </w:rPr>
      </w:pPr>
    </w:p>
    <w:p>
      <w:pPr>
        <w:jc w:val="both"/>
        <w:ind w:left="8" w:hanging="8"/>
        <w:spacing w:after="0" w:line="244" w:lineRule="auto"/>
        <w:tabs>
          <w:tab w:leader="none" w:pos="227" w:val="left"/>
        </w:tabs>
        <w:numPr>
          <w:ilvl w:val="0"/>
          <w:numId w:val="91"/>
        </w:numPr>
        <w:rPr>
          <w:rFonts w:ascii="Arial" w:cs="Arial" w:eastAsia="Arial" w:hAnsi="Arial"/>
          <w:sz w:val="14"/>
          <w:szCs w:val="14"/>
          <w:color w:val="auto"/>
        </w:rPr>
      </w:pPr>
      <w:r>
        <w:rPr>
          <w:rFonts w:ascii="Arial" w:cs="Arial" w:eastAsia="Arial" w:hAnsi="Arial"/>
          <w:sz w:val="14"/>
          <w:szCs w:val="14"/>
          <w:color w:val="auto"/>
        </w:rPr>
        <w:t>the Participant’s tender to the Company, or attestation to the ownership, in a form acceptable to the Company of whole shares of Stock having a Fair Market Value that does not exceed the aggregate Exercise Price for the shares with respect to which the Option is exercised, and (2) the Participant’s payment to the Company in cash of the remaining balance of such aggregate Exercise Price not satisfied by such shares’ Fair Market Value. A Stock Tender Exercise shall not be permitted if it would constitute a violation of the provisions of any law, regulation or agreement restricting the redemption of the Company’s stock. If required by the Company, the Option may not be exercised by tender to the Company, or attestation to the ownership, of shares of Stock unless such shares either have been owned by the Participant for a period of time required by the Company (and not used for another option exercise by attestation during such period) or were not acquired, directly or indirectly, from the Company.</w:t>
      </w:r>
    </w:p>
    <w:p>
      <w:pPr>
        <w:spacing w:after="0" w:line="119" w:lineRule="exact"/>
        <w:rPr>
          <w:sz w:val="20"/>
          <w:szCs w:val="20"/>
          <w:color w:val="auto"/>
        </w:rPr>
      </w:pPr>
    </w:p>
    <w:p>
      <w:pPr>
        <w:ind w:left="1528"/>
        <w:spacing w:after="0"/>
        <w:tabs>
          <w:tab w:leader="none" w:pos="2128" w:val="left"/>
        </w:tabs>
        <w:rPr>
          <w:sz w:val="20"/>
          <w:szCs w:val="20"/>
          <w:color w:val="auto"/>
        </w:rPr>
      </w:pPr>
      <w:r>
        <w:rPr>
          <w:rFonts w:ascii="Arial" w:cs="Arial" w:eastAsia="Arial" w:hAnsi="Arial"/>
          <w:sz w:val="14"/>
          <w:szCs w:val="14"/>
          <w:color w:val="auto"/>
        </w:rPr>
        <w:t>4.4</w:t>
      </w:r>
      <w:r>
        <w:rPr>
          <w:sz w:val="20"/>
          <w:szCs w:val="20"/>
          <w:color w:val="auto"/>
        </w:rPr>
        <w:tab/>
      </w:r>
      <w:r>
        <w:rPr>
          <w:rFonts w:ascii="Arial" w:cs="Arial" w:eastAsia="Arial" w:hAnsi="Arial"/>
          <w:sz w:val="13"/>
          <w:szCs w:val="13"/>
          <w:b w:val="1"/>
          <w:bCs w:val="1"/>
          <w:color w:val="auto"/>
        </w:rPr>
        <w:t>Tax Withholding</w:t>
      </w:r>
      <w:r>
        <w:rPr>
          <w:rFonts w:ascii="Arial" w:cs="Arial" w:eastAsia="Arial" w:hAnsi="Arial"/>
          <w:sz w:val="13"/>
          <w:szCs w:val="13"/>
          <w:b w:val="1"/>
          <w:bCs w:val="1"/>
          <w:i w:val="1"/>
          <w:iCs w:val="1"/>
          <w:color w:val="auto"/>
        </w:rPr>
        <w:t>.</w:t>
      </w:r>
    </w:p>
    <w:p>
      <w:pPr>
        <w:spacing w:after="0" w:line="149" w:lineRule="exact"/>
        <w:rPr>
          <w:sz w:val="20"/>
          <w:szCs w:val="20"/>
          <w:color w:val="auto"/>
        </w:rPr>
      </w:pPr>
    </w:p>
    <w:p>
      <w:pPr>
        <w:jc w:val="both"/>
        <w:ind w:left="8" w:firstLine="2289"/>
        <w:spacing w:after="0" w:line="244" w:lineRule="auto"/>
        <w:tabs>
          <w:tab w:leader="none" w:pos="2897" w:val="left"/>
        </w:tabs>
        <w:numPr>
          <w:ilvl w:val="0"/>
          <w:numId w:val="92"/>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In General. </w:t>
      </w:r>
      <w:r>
        <w:rPr>
          <w:rFonts w:ascii="Arial" w:cs="Arial" w:eastAsia="Arial" w:hAnsi="Arial"/>
          <w:sz w:val="14"/>
          <w:szCs w:val="14"/>
          <w:color w:val="auto"/>
        </w:rPr>
        <w:t>At the time the Option is exercised, in whole or in part, or at any time thereafter as requested by a Participating Company, the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Participant hereby authorizes withholding from payroll and any other amounts payable to the Participant, and otherwise agrees to make adequate provision for (including by means of a Cashless Exercise to the extent permitted by the Company), any sums required to satisfy the federal, state, local and foreign tax (including any social insurance or National Insurance Contributions) withholding obligations of the Participating Company Group, if any, which arise in connection with the Option, including, without limitation, obligations arising upon (i) the grant, vesting or exercise, in whole or in part, of the Option, (ii) the transfer, in whole or in part, of any shares acquired upon exercise of the Option, (iii) the operation of any law or regulation providing for the imputation of interest, or (iv) the lapsing of any restriction with respect to any shares acquired upon exercise of the Option (“Tax Obligations”). The Option is not exercisable unless the Tax Obligations of the Participating Company Group are satisfied. Accordingly, the Company shall have no obligation to deliver shares of Stock until the Tax Obligations of the Participating Company Group have been satisfied by the Participant. The Participant acknowledges that the ultimate liability for all Tax Obligations legally due by the Participant is and remains the Participant’s responsibility and that the Company (a) makes no representations or undertakings regarding the treatment of any Tax Obligations in connection with any aspect of the Option and (b) does not commit to structure the terms of the grant or any other aspect of the Option to reduce or eliminate the Participant’s liability for Tax Obligations. The Company shall have no obligation to deliver shares of Stock until the Tax Obligations of the Participating Company Group have been satisfied by the Participant.</w:t>
      </w:r>
    </w:p>
    <w:p>
      <w:pPr>
        <w:spacing w:after="0" w:line="123" w:lineRule="exact"/>
        <w:rPr>
          <w:rFonts w:ascii="Arial" w:cs="Arial" w:eastAsia="Arial" w:hAnsi="Arial"/>
          <w:sz w:val="14"/>
          <w:szCs w:val="14"/>
          <w:color w:val="auto"/>
        </w:rPr>
      </w:pPr>
    </w:p>
    <w:p>
      <w:pPr>
        <w:jc w:val="both"/>
        <w:ind w:left="8" w:firstLine="2289"/>
        <w:spacing w:after="0" w:line="289" w:lineRule="auto"/>
        <w:tabs>
          <w:tab w:leader="none" w:pos="2905" w:val="left"/>
        </w:tabs>
        <w:numPr>
          <w:ilvl w:val="0"/>
          <w:numId w:val="92"/>
        </w:numPr>
        <w:rPr>
          <w:rFonts w:ascii="Arial" w:cs="Arial" w:eastAsia="Arial" w:hAnsi="Arial"/>
          <w:sz w:val="13"/>
          <w:szCs w:val="13"/>
          <w:color w:val="auto"/>
        </w:rPr>
      </w:pPr>
      <w:r>
        <w:rPr>
          <w:rFonts w:ascii="Arial" w:cs="Arial" w:eastAsia="Arial" w:hAnsi="Arial"/>
          <w:sz w:val="13"/>
          <w:szCs w:val="13"/>
          <w:b w:val="1"/>
          <w:bCs w:val="1"/>
          <w:i w:val="1"/>
          <w:iCs w:val="1"/>
          <w:color w:val="auto"/>
        </w:rPr>
        <w:t>Withholding in Shares</w:t>
      </w:r>
      <w:r>
        <w:rPr>
          <w:rFonts w:ascii="Arial" w:cs="Arial" w:eastAsia="Arial" w:hAnsi="Arial"/>
          <w:sz w:val="13"/>
          <w:szCs w:val="13"/>
          <w:b w:val="1"/>
          <w:bCs w:val="1"/>
          <w:color w:val="auto"/>
        </w:rPr>
        <w:t>.</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The Company shall have the right, but not the obligation, to require the Participant to satisfy all or any portion of a</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Participating Company’s Tax Obligations upon exercise of the Option by deducting from the shares of Stock otherwise issuable to the Participant upon such exercise a number of whole shares having a fair market value, as determined by the Company as of the date of exercise, not in excess of the amount of such Tax Obligations determined by the applicable minimum statutory withholding</w:t>
      </w:r>
    </w:p>
    <w:p>
      <w:pPr>
        <w:spacing w:after="0" w:line="76" w:lineRule="exact"/>
        <w:rPr>
          <w:sz w:val="20"/>
          <w:szCs w:val="20"/>
          <w:color w:val="auto"/>
        </w:rPr>
      </w:pPr>
    </w:p>
    <w:p>
      <w:pPr>
        <w:ind w:left="768"/>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100330</wp:posOffset>
            </wp:positionV>
            <wp:extent cx="7329170" cy="3683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24">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8"/>
          </w:cols>
          <w:pgMar w:left="212" w:top="265" w:right="199" w:bottom="1440" w:gutter="0" w:footer="0" w:header="0"/>
        </w:sectPr>
      </w:pPr>
    </w:p>
    <w:bookmarkStart w:id="145" w:name="page146"/>
    <w:bookmarkEnd w:id="145"/>
    <w:p>
      <w:pPr>
        <w:spacing w:after="0"/>
        <w:rPr>
          <w:sz w:val="20"/>
          <w:szCs w:val="20"/>
          <w:color w:val="auto"/>
        </w:rPr>
      </w:pPr>
      <w:r>
        <w:rPr>
          <w:rFonts w:ascii="Arial" w:cs="Arial" w:eastAsia="Arial" w:hAnsi="Arial"/>
          <w:sz w:val="14"/>
          <w:szCs w:val="14"/>
          <w:color w:val="auto"/>
        </w:rPr>
        <w:t>rates if required to avoid liability classification of the Option under generally accepted accounting principles in the United States.</w:t>
      </w:r>
    </w:p>
    <w:p>
      <w:pPr>
        <w:spacing w:after="0" w:line="141" w:lineRule="exact"/>
        <w:rPr>
          <w:sz w:val="20"/>
          <w:szCs w:val="20"/>
          <w:color w:val="auto"/>
        </w:rPr>
      </w:pPr>
    </w:p>
    <w:p>
      <w:pPr>
        <w:jc w:val="both"/>
        <w:ind w:firstLine="1531"/>
        <w:spacing w:after="0" w:line="254" w:lineRule="auto"/>
        <w:rPr>
          <w:sz w:val="20"/>
          <w:szCs w:val="20"/>
          <w:color w:val="auto"/>
        </w:rPr>
      </w:pPr>
      <w:r>
        <w:rPr>
          <w:rFonts w:ascii="Arial" w:cs="Arial" w:eastAsia="Arial" w:hAnsi="Arial"/>
          <w:sz w:val="14"/>
          <w:szCs w:val="14"/>
          <w:color w:val="auto"/>
        </w:rPr>
        <w:t xml:space="preserve">4.5 </w:t>
      </w:r>
      <w:r>
        <w:rPr>
          <w:rFonts w:ascii="Arial" w:cs="Arial" w:eastAsia="Arial" w:hAnsi="Arial"/>
          <w:sz w:val="14"/>
          <w:szCs w:val="14"/>
          <w:b w:val="1"/>
          <w:bCs w:val="1"/>
          <w:color w:val="auto"/>
        </w:rPr>
        <w:t>Beneficial Ownership of Shares; Certificate Registration</w:t>
      </w:r>
      <w:r>
        <w:rPr>
          <w:rFonts w:ascii="Arial" w:cs="Arial" w:eastAsia="Arial" w:hAnsi="Arial"/>
          <w:sz w:val="14"/>
          <w:szCs w:val="14"/>
          <w:b w:val="1"/>
          <w:bCs w:val="1"/>
          <w:i w:val="1"/>
          <w:iCs w:val="1"/>
          <w:color w:val="auto"/>
        </w:rPr>
        <w:t>.</w:t>
      </w:r>
      <w:r>
        <w:rPr>
          <w:rFonts w:ascii="Arial" w:cs="Arial" w:eastAsia="Arial" w:hAnsi="Arial"/>
          <w:sz w:val="14"/>
          <w:szCs w:val="14"/>
          <w:color w:val="auto"/>
        </w:rPr>
        <w:t xml:space="preserve"> The Participant hereby authorizes the Company, in its sole discretion, to deposit for the benefit of the Participant with any broker with which the Participant has an account relationship of which the Company has notice any or all shares acquired by the Participant pursuant to the exercise of the Option. Except as provided by the preceding sentence, a certificate for the shares as to which the Option is exercised shall be registered in the name of the Participant, or, if applicable, in the names of the heirs of the Participant.</w:t>
      </w:r>
    </w:p>
    <w:p>
      <w:pPr>
        <w:spacing w:after="0" w:line="111" w:lineRule="exact"/>
        <w:rPr>
          <w:sz w:val="20"/>
          <w:szCs w:val="20"/>
          <w:color w:val="auto"/>
        </w:rPr>
      </w:pPr>
    </w:p>
    <w:p>
      <w:pPr>
        <w:jc w:val="both"/>
        <w:ind w:firstLine="1531"/>
        <w:spacing w:after="0" w:line="266" w:lineRule="auto"/>
        <w:rPr>
          <w:sz w:val="20"/>
          <w:szCs w:val="20"/>
          <w:color w:val="auto"/>
        </w:rPr>
      </w:pPr>
      <w:r>
        <w:rPr>
          <w:rFonts w:ascii="Arial" w:cs="Arial" w:eastAsia="Arial" w:hAnsi="Arial"/>
          <w:sz w:val="13"/>
          <w:szCs w:val="13"/>
          <w:color w:val="auto"/>
        </w:rPr>
        <w:t xml:space="preserve">4.6 </w:t>
      </w:r>
      <w:r>
        <w:rPr>
          <w:rFonts w:ascii="Arial" w:cs="Arial" w:eastAsia="Arial" w:hAnsi="Arial"/>
          <w:sz w:val="13"/>
          <w:szCs w:val="13"/>
          <w:b w:val="1"/>
          <w:bCs w:val="1"/>
          <w:color w:val="auto"/>
        </w:rPr>
        <w:t>Restrictions on Grant of the Option and Issuance of Shares</w:t>
      </w:r>
      <w:r>
        <w:rPr>
          <w:rFonts w:ascii="Arial" w:cs="Arial" w:eastAsia="Arial" w:hAnsi="Arial"/>
          <w:sz w:val="13"/>
          <w:szCs w:val="13"/>
          <w:b w:val="1"/>
          <w:bCs w:val="1"/>
          <w:i w:val="1"/>
          <w:iCs w:val="1"/>
          <w:color w:val="auto"/>
        </w:rPr>
        <w:t>.</w:t>
      </w:r>
      <w:r>
        <w:rPr>
          <w:rFonts w:ascii="Arial" w:cs="Arial" w:eastAsia="Arial" w:hAnsi="Arial"/>
          <w:sz w:val="13"/>
          <w:szCs w:val="13"/>
          <w:color w:val="auto"/>
        </w:rPr>
        <w:t xml:space="preserve"> The grant of the Option and the issuance of shares of Stock upon exercise of the Option shall be subject to compliance with all applicable requirements of federal, state or foreign law with respect to such securities. The Option may not be exercised if the issuance of shares of Stock upon exercise would constitute a violation of any applicable federal, state or foreign securities laws or other law or regulations or the requirements of any stock exchange or market system upon which the Stock may then be listed. In addition, the Option may not be exercised unless (i) a registration statement under the Securities Act shall at the time of exercise of the Option be in effect with respect to the shares issuable upon exercise of the Option or (ii) in the opinion of legal counsel to the Company, the shares issuable upon exercise of the Option may be issued in accordance with the terms of an applicable exemption from the registration requirements of the Securities Act. THE PARTICIPANT IS CAUTIONED THAT THE OPTION MAY NOT BE EXERCISED UNLESS THE FOREGOING CONDITIONS ARE SATISFIED. ACCORDINGLY, THE PARTICIPANT MAY NOT BE ABLE TO EXERCISE THE OPTION WHEN DESIRED EVEN THOUGH THE OPTION IS VESTED. The inability of the Company to obtain from any regulatory body having jurisdiction the authority, if any, deemed by the Company’s legal counsel to be necessary to the lawful issuance and sale of any shares subject to the Option shall relieve the Company of any liability in respect of the failure to issue or sell such shares as to which such requisite authority shall not have been obtained. As a condition to the exercise of the Option, the Company may require the Participant to satisfy any qualifications that may be necessary or appropriate, to evidence compliance with any applicable law or regulation and to make any representation or warranty with respect thereto as may be requested by the Company.</w:t>
      </w:r>
    </w:p>
    <w:p>
      <w:pPr>
        <w:spacing w:after="0" w:line="105" w:lineRule="exact"/>
        <w:rPr>
          <w:sz w:val="20"/>
          <w:szCs w:val="20"/>
          <w:color w:val="auto"/>
        </w:rPr>
      </w:pPr>
    </w:p>
    <w:p>
      <w:pPr>
        <w:ind w:left="1520"/>
        <w:spacing w:after="0"/>
        <w:tabs>
          <w:tab w:leader="none" w:pos="2120" w:val="left"/>
        </w:tabs>
        <w:rPr>
          <w:sz w:val="20"/>
          <w:szCs w:val="20"/>
          <w:color w:val="auto"/>
        </w:rPr>
      </w:pPr>
      <w:r>
        <w:rPr>
          <w:rFonts w:ascii="Arial" w:cs="Arial" w:eastAsia="Arial" w:hAnsi="Arial"/>
          <w:sz w:val="14"/>
          <w:szCs w:val="14"/>
          <w:color w:val="auto"/>
        </w:rPr>
        <w:t>4.7</w:t>
      </w:r>
      <w:r>
        <w:rPr>
          <w:sz w:val="20"/>
          <w:szCs w:val="20"/>
          <w:color w:val="auto"/>
        </w:rPr>
        <w:tab/>
      </w:r>
      <w:r>
        <w:rPr>
          <w:rFonts w:ascii="Arial" w:cs="Arial" w:eastAsia="Arial" w:hAnsi="Arial"/>
          <w:sz w:val="13"/>
          <w:szCs w:val="13"/>
          <w:b w:val="1"/>
          <w:bCs w:val="1"/>
          <w:color w:val="auto"/>
        </w:rPr>
        <w:t>Fractional Shares</w:t>
      </w:r>
      <w:r>
        <w:rPr>
          <w:rFonts w:ascii="Arial" w:cs="Arial" w:eastAsia="Arial" w:hAnsi="Arial"/>
          <w:sz w:val="13"/>
          <w:szCs w:val="13"/>
          <w:b w:val="1"/>
          <w:bCs w:val="1"/>
          <w:i w:val="1"/>
          <w:iCs w:val="1"/>
          <w:color w:val="auto"/>
        </w:rPr>
        <w:t>.</w:t>
      </w:r>
      <w:r>
        <w:rPr>
          <w:rFonts w:ascii="Arial" w:cs="Arial" w:eastAsia="Arial" w:hAnsi="Arial"/>
          <w:sz w:val="13"/>
          <w:szCs w:val="13"/>
          <w:b w:val="1"/>
          <w:bCs w:val="1"/>
          <w:color w:val="auto"/>
        </w:rPr>
        <w:t xml:space="preserve"> </w:t>
      </w:r>
      <w:r>
        <w:rPr>
          <w:rFonts w:ascii="Arial" w:cs="Arial" w:eastAsia="Arial" w:hAnsi="Arial"/>
          <w:sz w:val="13"/>
          <w:szCs w:val="13"/>
          <w:color w:val="auto"/>
        </w:rPr>
        <w:t>The Company shall not be required to issue fractional shares upon the exercise of the Option.</w:t>
      </w:r>
    </w:p>
    <w:p>
      <w:pPr>
        <w:spacing w:after="0" w:line="145" w:lineRule="exact"/>
        <w:rPr>
          <w:sz w:val="20"/>
          <w:szCs w:val="20"/>
          <w:color w:val="auto"/>
        </w:rPr>
      </w:pPr>
    </w:p>
    <w:p>
      <w:pPr>
        <w:ind w:left="1300" w:hanging="542"/>
        <w:spacing w:after="0"/>
        <w:tabs>
          <w:tab w:leader="none" w:pos="1300" w:val="left"/>
        </w:tabs>
        <w:numPr>
          <w:ilvl w:val="0"/>
          <w:numId w:val="93"/>
        </w:numPr>
        <w:rPr>
          <w:rFonts w:ascii="Arial" w:cs="Arial" w:eastAsia="Arial" w:hAnsi="Arial"/>
          <w:sz w:val="14"/>
          <w:szCs w:val="14"/>
          <w:color w:val="auto"/>
        </w:rPr>
      </w:pPr>
      <w:r>
        <w:rPr>
          <w:rFonts w:ascii="Arial" w:cs="Arial" w:eastAsia="Arial" w:hAnsi="Arial"/>
          <w:sz w:val="14"/>
          <w:szCs w:val="14"/>
          <w:b w:val="1"/>
          <w:bCs w:val="1"/>
          <w:u w:val="single" w:color="auto"/>
          <w:color w:val="auto"/>
        </w:rPr>
        <w:t>N</w:t>
      </w:r>
      <w:r>
        <w:rPr>
          <w:rFonts w:ascii="Arial" w:cs="Arial" w:eastAsia="Arial" w:hAnsi="Arial"/>
          <w:sz w:val="9"/>
          <w:szCs w:val="9"/>
          <w:b w:val="1"/>
          <w:bCs w:val="1"/>
          <w:u w:val="single" w:color="auto"/>
          <w:color w:val="auto"/>
        </w:rPr>
        <w:t>ONTRANSFERABILITY OF THE</w:t>
      </w:r>
      <w:r>
        <w:rPr>
          <w:rFonts w:ascii="Arial" w:cs="Arial" w:eastAsia="Arial" w:hAnsi="Arial"/>
          <w:sz w:val="14"/>
          <w:szCs w:val="14"/>
          <w:b w:val="1"/>
          <w:bCs w:val="1"/>
          <w:color w:val="auto"/>
        </w:rPr>
        <w:t xml:space="preserve"> </w:t>
      </w:r>
      <w:r>
        <w:rPr>
          <w:rFonts w:ascii="Arial" w:cs="Arial" w:eastAsia="Arial" w:hAnsi="Arial"/>
          <w:sz w:val="14"/>
          <w:szCs w:val="14"/>
          <w:b w:val="1"/>
          <w:bCs w:val="1"/>
          <w:u w:val="single" w:color="auto"/>
          <w:color w:val="auto"/>
        </w:rPr>
        <w:t>O</w:t>
      </w:r>
      <w:r>
        <w:rPr>
          <w:rFonts w:ascii="Arial" w:cs="Arial" w:eastAsia="Arial" w:hAnsi="Arial"/>
          <w:sz w:val="9"/>
          <w:szCs w:val="9"/>
          <w:b w:val="1"/>
          <w:bCs w:val="1"/>
          <w:u w:val="single" w:color="auto"/>
          <w:color w:val="auto"/>
        </w:rPr>
        <w:t>PTION</w:t>
      </w:r>
      <w:r>
        <w:rPr>
          <w:rFonts w:ascii="Arial" w:cs="Arial" w:eastAsia="Arial" w:hAnsi="Arial"/>
          <w:sz w:val="14"/>
          <w:szCs w:val="14"/>
          <w:b w:val="1"/>
          <w:bCs w:val="1"/>
          <w:color w:val="auto"/>
        </w:rPr>
        <w:t>.</w:t>
      </w:r>
    </w:p>
    <w:p>
      <w:pPr>
        <w:spacing w:after="0" w:line="149" w:lineRule="exact"/>
        <w:rPr>
          <w:sz w:val="20"/>
          <w:szCs w:val="20"/>
          <w:color w:val="auto"/>
        </w:rPr>
      </w:pPr>
    </w:p>
    <w:p>
      <w:pPr>
        <w:jc w:val="both"/>
        <w:ind w:firstLine="1531"/>
        <w:spacing w:after="0" w:line="252" w:lineRule="auto"/>
        <w:rPr>
          <w:sz w:val="20"/>
          <w:szCs w:val="20"/>
          <w:color w:val="auto"/>
        </w:rPr>
      </w:pPr>
      <w:r>
        <w:rPr>
          <w:rFonts w:ascii="Arial" w:cs="Arial" w:eastAsia="Arial" w:hAnsi="Arial"/>
          <w:sz w:val="14"/>
          <w:szCs w:val="14"/>
          <w:color w:val="auto"/>
        </w:rPr>
        <w:t>During the lifetime of the Participant, the Option shall be exercisable only by the Participant or the Participant’s guardian or legal representative. The Option shall not be subject in any manner to anticipation, alienation, sale, exchange, transfer, assignment, pledge, encumbrance, or garnishment by creditors of the Participant or the Participant’s beneficiary, except transfer by will or by the laws of descent and distribution. Following the death of the Participant, the Option, to the extent provided in Section 7, may be exercised by the Participant’s legal representative or by any person empowered to do so under the deceased Participant’s will or under the then applicable laws of descent and distribution.</w:t>
      </w:r>
    </w:p>
    <w:p>
      <w:pPr>
        <w:spacing w:after="0" w:line="112" w:lineRule="exact"/>
        <w:rPr>
          <w:sz w:val="20"/>
          <w:szCs w:val="20"/>
          <w:color w:val="auto"/>
        </w:rPr>
      </w:pPr>
    </w:p>
    <w:p>
      <w:pPr>
        <w:ind w:left="1300" w:hanging="542"/>
        <w:spacing w:after="0"/>
        <w:tabs>
          <w:tab w:leader="none" w:pos="1300" w:val="left"/>
        </w:tabs>
        <w:numPr>
          <w:ilvl w:val="0"/>
          <w:numId w:val="94"/>
        </w:numPr>
        <w:rPr>
          <w:rFonts w:ascii="Arial" w:cs="Arial" w:eastAsia="Arial" w:hAnsi="Arial"/>
          <w:sz w:val="14"/>
          <w:szCs w:val="14"/>
          <w:color w:val="auto"/>
        </w:rPr>
      </w:pPr>
      <w:r>
        <w:rPr>
          <w:rFonts w:ascii="Arial" w:cs="Arial" w:eastAsia="Arial" w:hAnsi="Arial"/>
          <w:sz w:val="14"/>
          <w:szCs w:val="14"/>
          <w:b w:val="1"/>
          <w:bCs w:val="1"/>
          <w:u w:val="single" w:color="auto"/>
          <w:color w:val="auto"/>
        </w:rPr>
        <w:t>T</w:t>
      </w:r>
      <w:r>
        <w:rPr>
          <w:rFonts w:ascii="Arial" w:cs="Arial" w:eastAsia="Arial" w:hAnsi="Arial"/>
          <w:sz w:val="9"/>
          <w:szCs w:val="9"/>
          <w:b w:val="1"/>
          <w:bCs w:val="1"/>
          <w:u w:val="single" w:color="auto"/>
          <w:color w:val="auto"/>
        </w:rPr>
        <w:t>ERMINATION OF THE</w:t>
      </w:r>
      <w:r>
        <w:rPr>
          <w:rFonts w:ascii="Arial" w:cs="Arial" w:eastAsia="Arial" w:hAnsi="Arial"/>
          <w:sz w:val="14"/>
          <w:szCs w:val="14"/>
          <w:b w:val="1"/>
          <w:bCs w:val="1"/>
          <w:color w:val="auto"/>
        </w:rPr>
        <w:t xml:space="preserve"> </w:t>
      </w:r>
      <w:r>
        <w:rPr>
          <w:rFonts w:ascii="Arial" w:cs="Arial" w:eastAsia="Arial" w:hAnsi="Arial"/>
          <w:sz w:val="14"/>
          <w:szCs w:val="14"/>
          <w:b w:val="1"/>
          <w:bCs w:val="1"/>
          <w:u w:val="single" w:color="auto"/>
          <w:color w:val="auto"/>
        </w:rPr>
        <w:t>O</w:t>
      </w:r>
      <w:r>
        <w:rPr>
          <w:rFonts w:ascii="Arial" w:cs="Arial" w:eastAsia="Arial" w:hAnsi="Arial"/>
          <w:sz w:val="9"/>
          <w:szCs w:val="9"/>
          <w:b w:val="1"/>
          <w:bCs w:val="1"/>
          <w:u w:val="single" w:color="auto"/>
          <w:color w:val="auto"/>
        </w:rPr>
        <w:t>PTION</w:t>
      </w:r>
      <w:r>
        <w:rPr>
          <w:rFonts w:ascii="Arial" w:cs="Arial" w:eastAsia="Arial" w:hAnsi="Arial"/>
          <w:sz w:val="14"/>
          <w:szCs w:val="14"/>
          <w:b w:val="1"/>
          <w:bCs w:val="1"/>
          <w:color w:val="auto"/>
        </w:rPr>
        <w:t>.</w:t>
      </w:r>
    </w:p>
    <w:p>
      <w:pPr>
        <w:spacing w:after="0" w:line="149" w:lineRule="exact"/>
        <w:rPr>
          <w:sz w:val="20"/>
          <w:szCs w:val="20"/>
          <w:color w:val="auto"/>
        </w:rPr>
      </w:pPr>
    </w:p>
    <w:p>
      <w:pPr>
        <w:ind w:firstLine="1531"/>
        <w:spacing w:after="0" w:line="313" w:lineRule="auto"/>
        <w:rPr>
          <w:sz w:val="20"/>
          <w:szCs w:val="20"/>
          <w:color w:val="auto"/>
        </w:rPr>
      </w:pPr>
      <w:r>
        <w:rPr>
          <w:rFonts w:ascii="Arial" w:cs="Arial" w:eastAsia="Arial" w:hAnsi="Arial"/>
          <w:sz w:val="13"/>
          <w:szCs w:val="13"/>
          <w:color w:val="auto"/>
        </w:rPr>
        <w:t>The Option shall terminate and may no longer be exercised after the first to occur of (a) the close of business on the Option Expiration Date, (b) the close of business on the last date for exercising the Option following termination of the Participant’s Service as described in Section 7, or (c) a Change in Control to the extent provided in Section 8.</w:t>
      </w:r>
    </w:p>
    <w:p>
      <w:pPr>
        <w:spacing w:after="0" w:line="60" w:lineRule="exact"/>
        <w:rPr>
          <w:sz w:val="20"/>
          <w:szCs w:val="20"/>
          <w:color w:val="auto"/>
        </w:rPr>
      </w:pPr>
    </w:p>
    <w:p>
      <w:pPr>
        <w:ind w:left="760"/>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100330</wp:posOffset>
            </wp:positionV>
            <wp:extent cx="7329170" cy="3683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25">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269" w:right="199" w:bottom="1440" w:gutter="0" w:footer="0" w:header="0"/>
        </w:sectPr>
      </w:pPr>
    </w:p>
    <w:bookmarkStart w:id="146" w:name="page147"/>
    <w:bookmarkEnd w:id="146"/>
    <w:p>
      <w:pPr>
        <w:ind w:left="1300" w:hanging="542"/>
        <w:spacing w:after="0"/>
        <w:tabs>
          <w:tab w:leader="none" w:pos="1300" w:val="left"/>
        </w:tabs>
        <w:numPr>
          <w:ilvl w:val="0"/>
          <w:numId w:val="95"/>
        </w:numPr>
        <w:rPr>
          <w:rFonts w:ascii="Arial" w:cs="Arial" w:eastAsia="Arial" w:hAnsi="Arial"/>
          <w:sz w:val="14"/>
          <w:szCs w:val="14"/>
          <w:color w:val="auto"/>
        </w:rPr>
      </w:pPr>
      <w:r>
        <w:rPr>
          <w:rFonts w:ascii="Arial" w:cs="Arial" w:eastAsia="Arial" w:hAnsi="Arial"/>
          <w:sz w:val="14"/>
          <w:szCs w:val="14"/>
          <w:b w:val="1"/>
          <w:bCs w:val="1"/>
          <w:u w:val="single" w:color="auto"/>
          <w:color w:val="auto"/>
        </w:rPr>
        <w:t>E</w:t>
      </w:r>
      <w:r>
        <w:rPr>
          <w:rFonts w:ascii="Arial" w:cs="Arial" w:eastAsia="Arial" w:hAnsi="Arial"/>
          <w:sz w:val="9"/>
          <w:szCs w:val="9"/>
          <w:b w:val="1"/>
          <w:bCs w:val="1"/>
          <w:u w:val="single" w:color="auto"/>
          <w:color w:val="auto"/>
        </w:rPr>
        <w:t>FFECT OF</w:t>
      </w:r>
      <w:r>
        <w:rPr>
          <w:rFonts w:ascii="Arial" w:cs="Arial" w:eastAsia="Arial" w:hAnsi="Arial"/>
          <w:sz w:val="14"/>
          <w:szCs w:val="14"/>
          <w:b w:val="1"/>
          <w:bCs w:val="1"/>
          <w:color w:val="auto"/>
        </w:rPr>
        <w:t xml:space="preserve"> </w:t>
      </w:r>
      <w:r>
        <w:rPr>
          <w:rFonts w:ascii="Arial" w:cs="Arial" w:eastAsia="Arial" w:hAnsi="Arial"/>
          <w:sz w:val="14"/>
          <w:szCs w:val="14"/>
          <w:b w:val="1"/>
          <w:bCs w:val="1"/>
          <w:u w:val="single" w:color="auto"/>
          <w:color w:val="auto"/>
        </w:rPr>
        <w:t>T</w:t>
      </w:r>
      <w:r>
        <w:rPr>
          <w:rFonts w:ascii="Arial" w:cs="Arial" w:eastAsia="Arial" w:hAnsi="Arial"/>
          <w:sz w:val="9"/>
          <w:szCs w:val="9"/>
          <w:b w:val="1"/>
          <w:bCs w:val="1"/>
          <w:u w:val="single" w:color="auto"/>
          <w:color w:val="auto"/>
        </w:rPr>
        <w:t>ERMINATION OF</w:t>
      </w:r>
      <w:r>
        <w:rPr>
          <w:rFonts w:ascii="Arial" w:cs="Arial" w:eastAsia="Arial" w:hAnsi="Arial"/>
          <w:sz w:val="14"/>
          <w:szCs w:val="14"/>
          <w:b w:val="1"/>
          <w:bCs w:val="1"/>
          <w:color w:val="auto"/>
        </w:rPr>
        <w:t xml:space="preserve"> </w:t>
      </w:r>
      <w:r>
        <w:rPr>
          <w:rFonts w:ascii="Arial" w:cs="Arial" w:eastAsia="Arial" w:hAnsi="Arial"/>
          <w:sz w:val="14"/>
          <w:szCs w:val="14"/>
          <w:b w:val="1"/>
          <w:bCs w:val="1"/>
          <w:u w:val="single" w:color="auto"/>
          <w:color w:val="auto"/>
        </w:rPr>
        <w:t>S</w:t>
      </w:r>
      <w:r>
        <w:rPr>
          <w:rFonts w:ascii="Arial" w:cs="Arial" w:eastAsia="Arial" w:hAnsi="Arial"/>
          <w:sz w:val="9"/>
          <w:szCs w:val="9"/>
          <w:b w:val="1"/>
          <w:bCs w:val="1"/>
          <w:u w:val="single" w:color="auto"/>
          <w:color w:val="auto"/>
        </w:rPr>
        <w:t>ERVICE</w:t>
      </w:r>
      <w:r>
        <w:rPr>
          <w:rFonts w:ascii="Arial" w:cs="Arial" w:eastAsia="Arial" w:hAnsi="Arial"/>
          <w:sz w:val="14"/>
          <w:szCs w:val="14"/>
          <w:b w:val="1"/>
          <w:bCs w:val="1"/>
          <w:color w:val="auto"/>
        </w:rPr>
        <w:t>.</w:t>
      </w:r>
    </w:p>
    <w:p>
      <w:pPr>
        <w:spacing w:after="0" w:line="145" w:lineRule="exact"/>
        <w:rPr>
          <w:sz w:val="20"/>
          <w:szCs w:val="20"/>
          <w:color w:val="auto"/>
        </w:rPr>
      </w:pPr>
    </w:p>
    <w:p>
      <w:pPr>
        <w:ind w:firstLine="1531"/>
        <w:spacing w:after="0" w:line="279" w:lineRule="auto"/>
        <w:rPr>
          <w:sz w:val="20"/>
          <w:szCs w:val="20"/>
          <w:color w:val="auto"/>
        </w:rPr>
      </w:pPr>
      <w:r>
        <w:rPr>
          <w:rFonts w:ascii="Arial" w:cs="Arial" w:eastAsia="Arial" w:hAnsi="Arial"/>
          <w:sz w:val="14"/>
          <w:szCs w:val="14"/>
          <w:color w:val="auto"/>
        </w:rPr>
        <w:t xml:space="preserve">7.1 </w:t>
      </w:r>
      <w:r>
        <w:rPr>
          <w:rFonts w:ascii="Arial" w:cs="Arial" w:eastAsia="Arial" w:hAnsi="Arial"/>
          <w:sz w:val="14"/>
          <w:szCs w:val="14"/>
          <w:b w:val="1"/>
          <w:bCs w:val="1"/>
          <w:color w:val="auto"/>
        </w:rPr>
        <w:t>Option Exercisability.</w:t>
      </w:r>
      <w:r>
        <w:rPr>
          <w:rFonts w:ascii="Arial" w:cs="Arial" w:eastAsia="Arial" w:hAnsi="Arial"/>
          <w:sz w:val="14"/>
          <w:szCs w:val="14"/>
          <w:color w:val="auto"/>
        </w:rPr>
        <w:t xml:space="preserve"> The Option shall terminate immediately upon the Participant’s termination of Service to the extent that it is then unvested and shall be exercisable after the Participant’s termination of Service to the extent it is then vested only during the applicable time period as determined below and thereafter shall terminate.</w:t>
      </w:r>
    </w:p>
    <w:p>
      <w:pPr>
        <w:spacing w:after="0" w:line="94" w:lineRule="exact"/>
        <w:rPr>
          <w:sz w:val="20"/>
          <w:szCs w:val="20"/>
          <w:color w:val="auto"/>
        </w:rPr>
      </w:pPr>
    </w:p>
    <w:p>
      <w:pPr>
        <w:jc w:val="both"/>
        <w:ind w:firstLine="2289"/>
        <w:spacing w:after="0" w:line="260" w:lineRule="auto"/>
        <w:tabs>
          <w:tab w:leader="none" w:pos="2889" w:val="left"/>
        </w:tabs>
        <w:numPr>
          <w:ilvl w:val="0"/>
          <w:numId w:val="96"/>
        </w:numPr>
        <w:rPr>
          <w:rFonts w:ascii="Arial" w:cs="Arial" w:eastAsia="Arial" w:hAnsi="Arial"/>
          <w:sz w:val="14"/>
          <w:szCs w:val="14"/>
          <w:color w:val="auto"/>
        </w:rPr>
      </w:pPr>
      <w:r>
        <w:rPr>
          <w:rFonts w:ascii="Arial" w:cs="Arial" w:eastAsia="Arial" w:hAnsi="Arial"/>
          <w:sz w:val="14"/>
          <w:szCs w:val="14"/>
          <w:b w:val="1"/>
          <w:bCs w:val="1"/>
          <w:i w:val="1"/>
          <w:iCs w:val="1"/>
          <w:color w:val="auto"/>
        </w:rPr>
        <w:t>Disability</w:t>
      </w:r>
      <w:r>
        <w:rPr>
          <w:rFonts w:ascii="Arial" w:cs="Arial" w:eastAsia="Arial" w:hAnsi="Arial"/>
          <w:sz w:val="14"/>
          <w:szCs w:val="14"/>
          <w:b w:val="1"/>
          <w:bCs w:val="1"/>
          <w:color w:val="auto"/>
        </w:rPr>
        <w: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If the Participant’s Service terminates because of the Disability of the Participant, the Option, to the extent unexercised and exercisable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for Vested Shares on the date on which the Participant’s Service terminated, may be exercised by the Participant (or the Participant’s guardian or legal representative) at any time prior to the expiration of twelve (12) months after the date on which the Participant’s Service terminated, but in any event no later than the Option Expiration Date.</w:t>
      </w:r>
    </w:p>
    <w:p>
      <w:pPr>
        <w:spacing w:after="0" w:line="107" w:lineRule="exact"/>
        <w:rPr>
          <w:rFonts w:ascii="Arial" w:cs="Arial" w:eastAsia="Arial" w:hAnsi="Arial"/>
          <w:sz w:val="14"/>
          <w:szCs w:val="14"/>
          <w:color w:val="auto"/>
        </w:rPr>
      </w:pPr>
    </w:p>
    <w:p>
      <w:pPr>
        <w:jc w:val="both"/>
        <w:ind w:firstLine="2289"/>
        <w:spacing w:after="0" w:line="280" w:lineRule="auto"/>
        <w:tabs>
          <w:tab w:leader="none" w:pos="2897" w:val="left"/>
        </w:tabs>
        <w:numPr>
          <w:ilvl w:val="0"/>
          <w:numId w:val="96"/>
        </w:numPr>
        <w:rPr>
          <w:rFonts w:ascii="Arial" w:cs="Arial" w:eastAsia="Arial" w:hAnsi="Arial"/>
          <w:sz w:val="13"/>
          <w:szCs w:val="13"/>
          <w:color w:val="auto"/>
        </w:rPr>
      </w:pPr>
      <w:r>
        <w:rPr>
          <w:rFonts w:ascii="Arial" w:cs="Arial" w:eastAsia="Arial" w:hAnsi="Arial"/>
          <w:sz w:val="13"/>
          <w:szCs w:val="13"/>
          <w:b w:val="1"/>
          <w:bCs w:val="1"/>
          <w:i w:val="1"/>
          <w:iCs w:val="1"/>
          <w:color w:val="auto"/>
        </w:rPr>
        <w:t>Death</w:t>
      </w:r>
      <w:r>
        <w:rPr>
          <w:rFonts w:ascii="Arial" w:cs="Arial" w:eastAsia="Arial" w:hAnsi="Arial"/>
          <w:sz w:val="13"/>
          <w:szCs w:val="13"/>
          <w:b w:val="1"/>
          <w:bCs w:val="1"/>
          <w:color w:val="auto"/>
        </w:rPr>
        <w:t>.</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If the Participant’s Service terminates because of the death of the Participant, the Option, to the extent unexercised and exercisable for</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Vested Shares on the date on which the Participant’s Service terminated, may be exercised by the Participant’s legal representative or other person who acquired the right to exercise the Option by reason of the Participant’s death at any time prior to the expiration of twelve (12) months after the date on which the Participant’s Service terminated, but in any event no later than the Option Expiration Date. The Participant’s Service shall be deemed to have terminated on account of death if the Participant dies within three (3) months after the Participant’s termination of Service.</w:t>
      </w:r>
    </w:p>
    <w:p>
      <w:pPr>
        <w:spacing w:after="0" w:line="98" w:lineRule="exact"/>
        <w:rPr>
          <w:rFonts w:ascii="Arial" w:cs="Arial" w:eastAsia="Arial" w:hAnsi="Arial"/>
          <w:sz w:val="13"/>
          <w:szCs w:val="13"/>
          <w:color w:val="auto"/>
        </w:rPr>
      </w:pPr>
    </w:p>
    <w:p>
      <w:pPr>
        <w:jc w:val="both"/>
        <w:ind w:firstLine="2289"/>
        <w:spacing w:after="0" w:line="257" w:lineRule="auto"/>
        <w:tabs>
          <w:tab w:leader="none" w:pos="2889" w:val="left"/>
        </w:tabs>
        <w:numPr>
          <w:ilvl w:val="0"/>
          <w:numId w:val="96"/>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Termination for Cause. </w:t>
      </w:r>
      <w:r>
        <w:rPr>
          <w:rFonts w:ascii="Arial" w:cs="Arial" w:eastAsia="Arial" w:hAnsi="Arial"/>
          <w:sz w:val="14"/>
          <w:szCs w:val="14"/>
          <w:color w:val="auto"/>
        </w:rPr>
        <w:t>Notwithstanding any other provision of this Option Agreement to the contrary, if the Participant’s Service is terminated for</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Cause or if, following the Participant’s termination of Service and during any period in which the Option otherwise would remain exercisable, the Participant engages in any act that would constitute Cause, the Option shall terminate in its entirety and cease to be exercisable immediately upon such termination of Service or act.</w:t>
      </w:r>
    </w:p>
    <w:p>
      <w:pPr>
        <w:spacing w:after="0" w:line="109" w:lineRule="exact"/>
        <w:rPr>
          <w:rFonts w:ascii="Arial" w:cs="Arial" w:eastAsia="Arial" w:hAnsi="Arial"/>
          <w:sz w:val="14"/>
          <w:szCs w:val="14"/>
          <w:color w:val="auto"/>
        </w:rPr>
      </w:pPr>
    </w:p>
    <w:p>
      <w:pPr>
        <w:jc w:val="both"/>
        <w:ind w:firstLine="2289"/>
        <w:spacing w:after="0" w:line="260" w:lineRule="auto"/>
        <w:tabs>
          <w:tab w:leader="none" w:pos="2897" w:val="left"/>
        </w:tabs>
        <w:numPr>
          <w:ilvl w:val="0"/>
          <w:numId w:val="96"/>
        </w:numPr>
        <w:rPr>
          <w:rFonts w:ascii="Arial" w:cs="Arial" w:eastAsia="Arial" w:hAnsi="Arial"/>
          <w:sz w:val="14"/>
          <w:szCs w:val="14"/>
          <w:color w:val="auto"/>
        </w:rPr>
      </w:pPr>
      <w:r>
        <w:rPr>
          <w:rFonts w:ascii="Arial" w:cs="Arial" w:eastAsia="Arial" w:hAnsi="Arial"/>
          <w:sz w:val="14"/>
          <w:szCs w:val="14"/>
          <w:b w:val="1"/>
          <w:bCs w:val="1"/>
          <w:i w:val="1"/>
          <w:iCs w:val="1"/>
          <w:color w:val="auto"/>
        </w:rPr>
        <w:t>Other Termination of Service</w:t>
      </w:r>
      <w:r>
        <w:rPr>
          <w:rFonts w:ascii="Arial" w:cs="Arial" w:eastAsia="Arial" w:hAnsi="Arial"/>
          <w:sz w:val="14"/>
          <w:szCs w:val="14"/>
          <w:b w:val="1"/>
          <w:bCs w:val="1"/>
          <w:color w:val="auto"/>
        </w:rPr>
        <w: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If the Participant’s Service terminates for any reason, except Disability, death or Cause, the Option, to the extent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unexercised and exercisable for Vested Shares by the Participant on the date on which the Participant’s Service terminated, may be exercised by the Participant at any time prior to the expiration of three (3) months after the date on which the Participant’s Service terminated, but in any event no later than the Option Expiration Date.</w:t>
      </w:r>
    </w:p>
    <w:p>
      <w:pPr>
        <w:spacing w:after="0" w:line="107" w:lineRule="exact"/>
        <w:rPr>
          <w:sz w:val="20"/>
          <w:szCs w:val="20"/>
          <w:color w:val="auto"/>
        </w:rPr>
      </w:pPr>
    </w:p>
    <w:p>
      <w:pPr>
        <w:jc w:val="both"/>
        <w:ind w:firstLine="1531"/>
        <w:spacing w:after="0" w:line="289" w:lineRule="auto"/>
        <w:rPr>
          <w:sz w:val="20"/>
          <w:szCs w:val="20"/>
          <w:color w:val="auto"/>
        </w:rPr>
      </w:pPr>
      <w:r>
        <w:rPr>
          <w:rFonts w:ascii="Arial" w:cs="Arial" w:eastAsia="Arial" w:hAnsi="Arial"/>
          <w:sz w:val="13"/>
          <w:szCs w:val="13"/>
          <w:color w:val="auto"/>
        </w:rPr>
        <w:t xml:space="preserve">7.2 </w:t>
      </w:r>
      <w:r>
        <w:rPr>
          <w:rFonts w:ascii="Arial" w:cs="Arial" w:eastAsia="Arial" w:hAnsi="Arial"/>
          <w:sz w:val="13"/>
          <w:szCs w:val="13"/>
          <w:b w:val="1"/>
          <w:bCs w:val="1"/>
          <w:color w:val="auto"/>
        </w:rPr>
        <w:t>Extension if Exercise Prevented by Law</w:t>
      </w:r>
      <w:r>
        <w:rPr>
          <w:rFonts w:ascii="Arial" w:cs="Arial" w:eastAsia="Arial" w:hAnsi="Arial"/>
          <w:sz w:val="13"/>
          <w:szCs w:val="13"/>
          <w:b w:val="1"/>
          <w:bCs w:val="1"/>
          <w:i w:val="1"/>
          <w:iCs w:val="1"/>
          <w:color w:val="auto"/>
        </w:rPr>
        <w:t>.</w:t>
      </w:r>
      <w:r>
        <w:rPr>
          <w:rFonts w:ascii="Arial" w:cs="Arial" w:eastAsia="Arial" w:hAnsi="Arial"/>
          <w:sz w:val="13"/>
          <w:szCs w:val="13"/>
          <w:color w:val="auto"/>
        </w:rPr>
        <w:t xml:space="preserve"> Notwithstanding the foregoing, other than termination of the Participant’s Service for Cause, if the exercise of the Option within the applicable time periods set forth in Section 7.1 is prevented by the provisions of Section 4.6, the Option shall remain exercisable until the later of (a) thirty (30) days after the date such exercise first would no longer be prevented by such provisions, or (b) the end of the applicable time period under Section 7.1, but in any event no later than the Option Expiration Date.</w:t>
      </w:r>
    </w:p>
    <w:p>
      <w:pPr>
        <w:spacing w:after="0" w:line="90" w:lineRule="exact"/>
        <w:rPr>
          <w:sz w:val="20"/>
          <w:szCs w:val="20"/>
          <w:color w:val="auto"/>
        </w:rPr>
      </w:pPr>
    </w:p>
    <w:p>
      <w:pPr>
        <w:ind w:left="1300" w:hanging="542"/>
        <w:spacing w:after="0"/>
        <w:tabs>
          <w:tab w:leader="none" w:pos="1300" w:val="left"/>
        </w:tabs>
        <w:numPr>
          <w:ilvl w:val="0"/>
          <w:numId w:val="97"/>
        </w:numPr>
        <w:rPr>
          <w:rFonts w:ascii="Arial" w:cs="Arial" w:eastAsia="Arial" w:hAnsi="Arial"/>
          <w:sz w:val="14"/>
          <w:szCs w:val="14"/>
          <w:color w:val="auto"/>
        </w:rPr>
      </w:pPr>
      <w:r>
        <w:rPr>
          <w:rFonts w:ascii="Arial" w:cs="Arial" w:eastAsia="Arial" w:hAnsi="Arial"/>
          <w:sz w:val="14"/>
          <w:szCs w:val="14"/>
          <w:b w:val="1"/>
          <w:bCs w:val="1"/>
          <w:u w:val="single" w:color="auto"/>
          <w:color w:val="auto"/>
        </w:rPr>
        <w:t>E</w:t>
      </w:r>
      <w:r>
        <w:rPr>
          <w:rFonts w:ascii="Arial" w:cs="Arial" w:eastAsia="Arial" w:hAnsi="Arial"/>
          <w:sz w:val="9"/>
          <w:szCs w:val="9"/>
          <w:b w:val="1"/>
          <w:bCs w:val="1"/>
          <w:u w:val="single" w:color="auto"/>
          <w:color w:val="auto"/>
        </w:rPr>
        <w:t>FFECT OF</w:t>
      </w:r>
      <w:r>
        <w:rPr>
          <w:rFonts w:ascii="Arial" w:cs="Arial" w:eastAsia="Arial" w:hAnsi="Arial"/>
          <w:sz w:val="14"/>
          <w:szCs w:val="14"/>
          <w:b w:val="1"/>
          <w:bCs w:val="1"/>
          <w:color w:val="auto"/>
        </w:rPr>
        <w:t xml:space="preserve"> </w:t>
      </w:r>
      <w:r>
        <w:rPr>
          <w:rFonts w:ascii="Arial" w:cs="Arial" w:eastAsia="Arial" w:hAnsi="Arial"/>
          <w:sz w:val="14"/>
          <w:szCs w:val="14"/>
          <w:b w:val="1"/>
          <w:bCs w:val="1"/>
          <w:u w:val="single" w:color="auto"/>
          <w:color w:val="auto"/>
        </w:rPr>
        <w:t>C</w:t>
      </w:r>
      <w:r>
        <w:rPr>
          <w:rFonts w:ascii="Arial" w:cs="Arial" w:eastAsia="Arial" w:hAnsi="Arial"/>
          <w:sz w:val="9"/>
          <w:szCs w:val="9"/>
          <w:b w:val="1"/>
          <w:bCs w:val="1"/>
          <w:u w:val="single" w:color="auto"/>
          <w:color w:val="auto"/>
        </w:rPr>
        <w:t>HANGE IN</w:t>
      </w:r>
      <w:r>
        <w:rPr>
          <w:rFonts w:ascii="Arial" w:cs="Arial" w:eastAsia="Arial" w:hAnsi="Arial"/>
          <w:sz w:val="14"/>
          <w:szCs w:val="14"/>
          <w:b w:val="1"/>
          <w:bCs w:val="1"/>
          <w:color w:val="auto"/>
        </w:rPr>
        <w:t xml:space="preserve"> </w:t>
      </w:r>
      <w:r>
        <w:rPr>
          <w:rFonts w:ascii="Arial" w:cs="Arial" w:eastAsia="Arial" w:hAnsi="Arial"/>
          <w:sz w:val="14"/>
          <w:szCs w:val="14"/>
          <w:b w:val="1"/>
          <w:bCs w:val="1"/>
          <w:u w:val="single" w:color="auto"/>
          <w:color w:val="auto"/>
        </w:rPr>
        <w:t>C</w:t>
      </w:r>
      <w:r>
        <w:rPr>
          <w:rFonts w:ascii="Arial" w:cs="Arial" w:eastAsia="Arial" w:hAnsi="Arial"/>
          <w:sz w:val="9"/>
          <w:szCs w:val="9"/>
          <w:b w:val="1"/>
          <w:bCs w:val="1"/>
          <w:u w:val="single" w:color="auto"/>
          <w:color w:val="auto"/>
        </w:rPr>
        <w:t>ONTROL</w:t>
      </w:r>
      <w:r>
        <w:rPr>
          <w:rFonts w:ascii="Arial" w:cs="Arial" w:eastAsia="Arial" w:hAnsi="Arial"/>
          <w:sz w:val="14"/>
          <w:szCs w:val="14"/>
          <w:b w:val="1"/>
          <w:bCs w:val="1"/>
          <w:color w:val="auto"/>
        </w:rPr>
        <w:t>.</w:t>
      </w:r>
    </w:p>
    <w:p>
      <w:pPr>
        <w:spacing w:after="0" w:line="149" w:lineRule="exact"/>
        <w:rPr>
          <w:sz w:val="20"/>
          <w:szCs w:val="20"/>
          <w:color w:val="auto"/>
        </w:rPr>
      </w:pPr>
    </w:p>
    <w:p>
      <w:pPr>
        <w:ind w:left="1520"/>
        <w:spacing w:after="0"/>
        <w:rPr>
          <w:sz w:val="20"/>
          <w:szCs w:val="20"/>
          <w:color w:val="auto"/>
        </w:rPr>
      </w:pPr>
      <w:r>
        <w:rPr>
          <w:rFonts w:ascii="Arial" w:cs="Arial" w:eastAsia="Arial" w:hAnsi="Arial"/>
          <w:sz w:val="14"/>
          <w:szCs w:val="14"/>
          <w:color w:val="auto"/>
        </w:rPr>
        <w:t>In the event of a Change in Control, the Option shall be treated as set forth in Section 13 of the Plan.</w:t>
      </w:r>
    </w:p>
    <w:p>
      <w:pPr>
        <w:spacing w:after="0" w:line="141" w:lineRule="exact"/>
        <w:rPr>
          <w:sz w:val="20"/>
          <w:szCs w:val="20"/>
          <w:color w:val="auto"/>
        </w:rPr>
      </w:pPr>
    </w:p>
    <w:p>
      <w:pPr>
        <w:ind w:left="1300" w:hanging="542"/>
        <w:spacing w:after="0"/>
        <w:tabs>
          <w:tab w:leader="none" w:pos="1300" w:val="left"/>
        </w:tabs>
        <w:numPr>
          <w:ilvl w:val="0"/>
          <w:numId w:val="98"/>
        </w:numPr>
        <w:rPr>
          <w:rFonts w:ascii="Arial" w:cs="Arial" w:eastAsia="Arial" w:hAnsi="Arial"/>
          <w:sz w:val="14"/>
          <w:szCs w:val="14"/>
          <w:color w:val="auto"/>
        </w:rPr>
      </w:pPr>
      <w:r>
        <w:rPr>
          <w:rFonts w:ascii="Arial" w:cs="Arial" w:eastAsia="Arial" w:hAnsi="Arial"/>
          <w:sz w:val="14"/>
          <w:szCs w:val="14"/>
          <w:b w:val="1"/>
          <w:bCs w:val="1"/>
          <w:u w:val="single" w:color="auto"/>
          <w:color w:val="auto"/>
        </w:rPr>
        <w:t>A</w:t>
      </w:r>
      <w:r>
        <w:rPr>
          <w:rFonts w:ascii="Arial" w:cs="Arial" w:eastAsia="Arial" w:hAnsi="Arial"/>
          <w:sz w:val="9"/>
          <w:szCs w:val="9"/>
          <w:b w:val="1"/>
          <w:bCs w:val="1"/>
          <w:u w:val="single" w:color="auto"/>
          <w:color w:val="auto"/>
        </w:rPr>
        <w:t>DJUSTMENTS FOR</w:t>
      </w:r>
      <w:r>
        <w:rPr>
          <w:rFonts w:ascii="Arial" w:cs="Arial" w:eastAsia="Arial" w:hAnsi="Arial"/>
          <w:sz w:val="14"/>
          <w:szCs w:val="14"/>
          <w:b w:val="1"/>
          <w:bCs w:val="1"/>
          <w:color w:val="auto"/>
        </w:rPr>
        <w:t xml:space="preserve"> </w:t>
      </w:r>
      <w:r>
        <w:rPr>
          <w:rFonts w:ascii="Arial" w:cs="Arial" w:eastAsia="Arial" w:hAnsi="Arial"/>
          <w:sz w:val="14"/>
          <w:szCs w:val="14"/>
          <w:b w:val="1"/>
          <w:bCs w:val="1"/>
          <w:u w:val="single" w:color="auto"/>
          <w:color w:val="auto"/>
        </w:rPr>
        <w:t>C</w:t>
      </w:r>
      <w:r>
        <w:rPr>
          <w:rFonts w:ascii="Arial" w:cs="Arial" w:eastAsia="Arial" w:hAnsi="Arial"/>
          <w:sz w:val="9"/>
          <w:szCs w:val="9"/>
          <w:b w:val="1"/>
          <w:bCs w:val="1"/>
          <w:u w:val="single" w:color="auto"/>
          <w:color w:val="auto"/>
        </w:rPr>
        <w:t>HANGES IN</w:t>
      </w:r>
      <w:r>
        <w:rPr>
          <w:rFonts w:ascii="Arial" w:cs="Arial" w:eastAsia="Arial" w:hAnsi="Arial"/>
          <w:sz w:val="14"/>
          <w:szCs w:val="14"/>
          <w:b w:val="1"/>
          <w:bCs w:val="1"/>
          <w:color w:val="auto"/>
        </w:rPr>
        <w:t xml:space="preserve"> </w:t>
      </w:r>
      <w:r>
        <w:rPr>
          <w:rFonts w:ascii="Arial" w:cs="Arial" w:eastAsia="Arial" w:hAnsi="Arial"/>
          <w:sz w:val="14"/>
          <w:szCs w:val="14"/>
          <w:b w:val="1"/>
          <w:bCs w:val="1"/>
          <w:u w:val="single" w:color="auto"/>
          <w:color w:val="auto"/>
        </w:rPr>
        <w:t>C</w:t>
      </w:r>
      <w:r>
        <w:rPr>
          <w:rFonts w:ascii="Arial" w:cs="Arial" w:eastAsia="Arial" w:hAnsi="Arial"/>
          <w:sz w:val="9"/>
          <w:szCs w:val="9"/>
          <w:b w:val="1"/>
          <w:bCs w:val="1"/>
          <w:u w:val="single" w:color="auto"/>
          <w:color w:val="auto"/>
        </w:rPr>
        <w:t>APITAL</w:t>
      </w:r>
      <w:r>
        <w:rPr>
          <w:rFonts w:ascii="Arial" w:cs="Arial" w:eastAsia="Arial" w:hAnsi="Arial"/>
          <w:sz w:val="14"/>
          <w:szCs w:val="14"/>
          <w:b w:val="1"/>
          <w:bCs w:val="1"/>
          <w:color w:val="auto"/>
        </w:rPr>
        <w:t xml:space="preserve"> </w:t>
      </w:r>
      <w:r>
        <w:rPr>
          <w:rFonts w:ascii="Arial" w:cs="Arial" w:eastAsia="Arial" w:hAnsi="Arial"/>
          <w:sz w:val="14"/>
          <w:szCs w:val="14"/>
          <w:b w:val="1"/>
          <w:bCs w:val="1"/>
          <w:u w:val="single" w:color="auto"/>
          <w:color w:val="auto"/>
        </w:rPr>
        <w:t>S</w:t>
      </w:r>
      <w:r>
        <w:rPr>
          <w:rFonts w:ascii="Arial" w:cs="Arial" w:eastAsia="Arial" w:hAnsi="Arial"/>
          <w:sz w:val="9"/>
          <w:szCs w:val="9"/>
          <w:b w:val="1"/>
          <w:bCs w:val="1"/>
          <w:u w:val="single" w:color="auto"/>
          <w:color w:val="auto"/>
        </w:rPr>
        <w:t>TRUCTURE</w:t>
      </w:r>
      <w:r>
        <w:rPr>
          <w:rFonts w:ascii="Arial" w:cs="Arial" w:eastAsia="Arial" w:hAnsi="Arial"/>
          <w:sz w:val="14"/>
          <w:szCs w:val="14"/>
          <w:b w:val="1"/>
          <w:bCs w:val="1"/>
          <w:color w:val="auto"/>
        </w:rPr>
        <w:t>.</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color w:val="auto"/>
        </w:rPr>
        <w:t>The Option shall be subject to and treated as set forth in Section 4.3 of the Plan.</w:t>
      </w:r>
    </w:p>
    <w:p>
      <w:pPr>
        <w:spacing w:after="0" w:line="127" w:lineRule="exact"/>
        <w:rPr>
          <w:sz w:val="20"/>
          <w:szCs w:val="20"/>
          <w:color w:val="auto"/>
        </w:rPr>
      </w:pPr>
    </w:p>
    <w:p>
      <w:pPr>
        <w:ind w:left="760"/>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100330</wp:posOffset>
            </wp:positionV>
            <wp:extent cx="7329170" cy="3683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26">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265" w:right="199" w:bottom="1440" w:gutter="0" w:footer="0" w:header="0"/>
        </w:sectPr>
      </w:pPr>
    </w:p>
    <w:bookmarkStart w:id="147" w:name="page148"/>
    <w:bookmarkEnd w:id="147"/>
    <w:p>
      <w:pPr>
        <w:ind w:left="1380" w:hanging="622"/>
        <w:spacing w:after="0"/>
        <w:tabs>
          <w:tab w:leader="none" w:pos="1380" w:val="left"/>
        </w:tabs>
        <w:numPr>
          <w:ilvl w:val="0"/>
          <w:numId w:val="99"/>
        </w:numPr>
        <w:rPr>
          <w:rFonts w:ascii="Arial" w:cs="Arial" w:eastAsia="Arial" w:hAnsi="Arial"/>
          <w:sz w:val="14"/>
          <w:szCs w:val="14"/>
          <w:color w:val="auto"/>
        </w:rPr>
      </w:pPr>
      <w:r>
        <w:rPr>
          <w:rFonts w:ascii="Arial" w:cs="Arial" w:eastAsia="Arial" w:hAnsi="Arial"/>
          <w:sz w:val="14"/>
          <w:szCs w:val="14"/>
          <w:b w:val="1"/>
          <w:bCs w:val="1"/>
          <w:u w:val="single" w:color="auto"/>
          <w:color w:val="auto"/>
        </w:rPr>
        <w:t>R</w:t>
      </w:r>
      <w:r>
        <w:rPr>
          <w:rFonts w:ascii="Arial" w:cs="Arial" w:eastAsia="Arial" w:hAnsi="Arial"/>
          <w:sz w:val="9"/>
          <w:szCs w:val="9"/>
          <w:b w:val="1"/>
          <w:bCs w:val="1"/>
          <w:u w:val="single" w:color="auto"/>
          <w:color w:val="auto"/>
        </w:rPr>
        <w:t>IGHTS AS A</w:t>
      </w:r>
      <w:r>
        <w:rPr>
          <w:rFonts w:ascii="Arial" w:cs="Arial" w:eastAsia="Arial" w:hAnsi="Arial"/>
          <w:sz w:val="14"/>
          <w:szCs w:val="14"/>
          <w:b w:val="1"/>
          <w:bCs w:val="1"/>
          <w:color w:val="auto"/>
        </w:rPr>
        <w:t xml:space="preserve"> </w:t>
      </w:r>
      <w:r>
        <w:rPr>
          <w:rFonts w:ascii="Arial" w:cs="Arial" w:eastAsia="Arial" w:hAnsi="Arial"/>
          <w:sz w:val="14"/>
          <w:szCs w:val="14"/>
          <w:b w:val="1"/>
          <w:bCs w:val="1"/>
          <w:u w:val="single" w:color="auto"/>
          <w:color w:val="auto"/>
        </w:rPr>
        <w:t>S</w:t>
      </w:r>
      <w:r>
        <w:rPr>
          <w:rFonts w:ascii="Arial" w:cs="Arial" w:eastAsia="Arial" w:hAnsi="Arial"/>
          <w:sz w:val="9"/>
          <w:szCs w:val="9"/>
          <w:b w:val="1"/>
          <w:bCs w:val="1"/>
          <w:u w:val="single" w:color="auto"/>
          <w:color w:val="auto"/>
        </w:rPr>
        <w:t>TOCKHOLDER</w:t>
      </w:r>
      <w:r>
        <w:rPr>
          <w:rFonts w:ascii="Arial" w:cs="Arial" w:eastAsia="Arial" w:hAnsi="Arial"/>
          <w:sz w:val="14"/>
          <w:szCs w:val="14"/>
          <w:b w:val="1"/>
          <w:bCs w:val="1"/>
          <w:color w:val="auto"/>
        </w:rPr>
        <w:t>.</w:t>
      </w:r>
    </w:p>
    <w:p>
      <w:pPr>
        <w:spacing w:after="0" w:line="149" w:lineRule="exact"/>
        <w:rPr>
          <w:sz w:val="20"/>
          <w:szCs w:val="20"/>
          <w:color w:val="auto"/>
        </w:rPr>
      </w:pPr>
    </w:p>
    <w:p>
      <w:pPr>
        <w:jc w:val="both"/>
        <w:ind w:firstLine="1531"/>
        <w:spacing w:after="0" w:line="257" w:lineRule="auto"/>
        <w:rPr>
          <w:sz w:val="20"/>
          <w:szCs w:val="20"/>
          <w:color w:val="auto"/>
        </w:rPr>
      </w:pPr>
      <w:r>
        <w:rPr>
          <w:rFonts w:ascii="Arial" w:cs="Arial" w:eastAsia="Arial" w:hAnsi="Arial"/>
          <w:sz w:val="14"/>
          <w:szCs w:val="14"/>
          <w:color w:val="auto"/>
        </w:rPr>
        <w:t>The Participant shall have no rights as a stockholder with respect to any shares covered by the Option until the date of the issuance of the shares for which the Option has been exercised (as evidenced by the appropriate entry on the books of the Company or of a duly authorized transfer agent of the Company). No adjustment shall be made for dividends, distributions or other rights for which the record date is prior to the date the shares are issued, except as provided in Section 9.</w:t>
      </w:r>
    </w:p>
    <w:p>
      <w:pPr>
        <w:spacing w:after="0" w:line="109" w:lineRule="exact"/>
        <w:rPr>
          <w:sz w:val="20"/>
          <w:szCs w:val="20"/>
          <w:color w:val="auto"/>
        </w:rPr>
      </w:pPr>
    </w:p>
    <w:p>
      <w:pPr>
        <w:ind w:left="1360" w:hanging="602"/>
        <w:spacing w:after="0"/>
        <w:tabs>
          <w:tab w:leader="none" w:pos="1360" w:val="left"/>
        </w:tabs>
        <w:numPr>
          <w:ilvl w:val="0"/>
          <w:numId w:val="100"/>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S</w:t>
      </w:r>
      <w:r>
        <w:rPr>
          <w:rFonts w:ascii="Arial" w:cs="Arial" w:eastAsia="Arial" w:hAnsi="Arial"/>
          <w:sz w:val="9"/>
          <w:szCs w:val="9"/>
          <w:b w:val="1"/>
          <w:bCs w:val="1"/>
          <w:u w:val="single" w:color="auto"/>
          <w:color w:val="auto"/>
        </w:rPr>
        <w:t>ERVICE</w:t>
      </w:r>
      <w:r>
        <w:rPr>
          <w:rFonts w:ascii="Arial" w:cs="Arial" w:eastAsia="Arial" w:hAnsi="Arial"/>
          <w:sz w:val="14"/>
          <w:szCs w:val="14"/>
          <w:b w:val="1"/>
          <w:bCs w:val="1"/>
          <w:u w:val="single" w:color="auto"/>
          <w:color w:val="auto"/>
        </w:rPr>
        <w:t xml:space="preserve"> C</w:t>
      </w:r>
      <w:r>
        <w:rPr>
          <w:rFonts w:ascii="Arial" w:cs="Arial" w:eastAsia="Arial" w:hAnsi="Arial"/>
          <w:sz w:val="9"/>
          <w:szCs w:val="9"/>
          <w:b w:val="1"/>
          <w:bCs w:val="1"/>
          <w:u w:val="single" w:color="auto"/>
          <w:color w:val="auto"/>
        </w:rPr>
        <w:t>ONDITIONS</w:t>
      </w:r>
      <w:r>
        <w:rPr>
          <w:rFonts w:ascii="Arial" w:cs="Arial" w:eastAsia="Arial" w:hAnsi="Arial"/>
          <w:sz w:val="14"/>
          <w:szCs w:val="14"/>
          <w:b w:val="1"/>
          <w:bCs w:val="1"/>
          <w:u w:val="single" w:color="auto"/>
          <w:color w:val="auto"/>
        </w:rPr>
        <w:t>.</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color w:val="auto"/>
        </w:rPr>
        <w:t>In accepting the Option, the Participant acknowledges and agrees that:</w:t>
      </w:r>
    </w:p>
    <w:p>
      <w:pPr>
        <w:spacing w:after="0" w:line="145" w:lineRule="exact"/>
        <w:rPr>
          <w:sz w:val="20"/>
          <w:szCs w:val="20"/>
          <w:color w:val="auto"/>
        </w:rPr>
      </w:pPr>
    </w:p>
    <w:p>
      <w:pPr>
        <w:jc w:val="both"/>
        <w:ind w:firstLine="1523"/>
        <w:spacing w:after="0" w:line="252" w:lineRule="auto"/>
        <w:tabs>
          <w:tab w:leader="none" w:pos="2123" w:val="left"/>
        </w:tabs>
        <w:numPr>
          <w:ilvl w:val="0"/>
          <w:numId w:val="101"/>
        </w:numPr>
        <w:rPr>
          <w:rFonts w:ascii="Arial" w:cs="Arial" w:eastAsia="Arial" w:hAnsi="Arial"/>
          <w:sz w:val="14"/>
          <w:szCs w:val="14"/>
          <w:color w:val="auto"/>
        </w:rPr>
      </w:pPr>
      <w:r>
        <w:rPr>
          <w:rFonts w:ascii="Arial" w:cs="Arial" w:eastAsia="Arial" w:hAnsi="Arial"/>
          <w:sz w:val="14"/>
          <w:szCs w:val="14"/>
          <w:color w:val="auto"/>
        </w:rPr>
        <w:t>Any notice period mandated under applicable law shall not be treated as Service for the purpose of determining the vesting of the Option; and the Participant’s right to vesting of shares in settlement of the Option after termination of Service, if any, will be measured by the date of termination of the Participant’s active Service and will not be extended by any notice period mandated under applicable law. Subject to the foregoing and the provisions of the Plan, the Company, in its sole discretion, shall determine whether the Participant’s Service has terminated and the effective date of such termination.</w:t>
      </w:r>
    </w:p>
    <w:p>
      <w:pPr>
        <w:spacing w:after="0" w:line="116" w:lineRule="exact"/>
        <w:rPr>
          <w:rFonts w:ascii="Arial" w:cs="Arial" w:eastAsia="Arial" w:hAnsi="Arial"/>
          <w:sz w:val="14"/>
          <w:szCs w:val="14"/>
          <w:color w:val="auto"/>
        </w:rPr>
      </w:pPr>
    </w:p>
    <w:p>
      <w:pPr>
        <w:ind w:firstLine="1523"/>
        <w:spacing w:after="0" w:line="273" w:lineRule="auto"/>
        <w:tabs>
          <w:tab w:leader="none" w:pos="2131" w:val="left"/>
        </w:tabs>
        <w:numPr>
          <w:ilvl w:val="0"/>
          <w:numId w:val="101"/>
        </w:numPr>
        <w:rPr>
          <w:rFonts w:ascii="Arial" w:cs="Arial" w:eastAsia="Arial" w:hAnsi="Arial"/>
          <w:sz w:val="14"/>
          <w:szCs w:val="14"/>
          <w:color w:val="auto"/>
        </w:rPr>
      </w:pPr>
      <w:r>
        <w:rPr>
          <w:rFonts w:ascii="Arial" w:cs="Arial" w:eastAsia="Arial" w:hAnsi="Arial"/>
          <w:sz w:val="14"/>
          <w:szCs w:val="14"/>
          <w:color w:val="auto"/>
        </w:rPr>
        <w:t>The Plan is established voluntarily by the Company. It is discretionary in nature and it may be modified, amended, suspended or terminated by the Company at any time, unless otherwise provided in the Plan and this Option Agreement.</w:t>
      </w:r>
    </w:p>
    <w:p>
      <w:pPr>
        <w:spacing w:after="0" w:line="102" w:lineRule="exact"/>
        <w:rPr>
          <w:rFonts w:ascii="Arial" w:cs="Arial" w:eastAsia="Arial" w:hAnsi="Arial"/>
          <w:sz w:val="14"/>
          <w:szCs w:val="14"/>
          <w:color w:val="auto"/>
        </w:rPr>
      </w:pPr>
    </w:p>
    <w:p>
      <w:pPr>
        <w:ind w:firstLine="1523"/>
        <w:spacing w:after="0" w:line="273" w:lineRule="auto"/>
        <w:tabs>
          <w:tab w:leader="none" w:pos="2123" w:val="left"/>
        </w:tabs>
        <w:numPr>
          <w:ilvl w:val="0"/>
          <w:numId w:val="101"/>
        </w:numPr>
        <w:rPr>
          <w:rFonts w:ascii="Arial" w:cs="Arial" w:eastAsia="Arial" w:hAnsi="Arial"/>
          <w:sz w:val="14"/>
          <w:szCs w:val="14"/>
          <w:color w:val="auto"/>
        </w:rPr>
      </w:pPr>
      <w:r>
        <w:rPr>
          <w:rFonts w:ascii="Arial" w:cs="Arial" w:eastAsia="Arial" w:hAnsi="Arial"/>
          <w:sz w:val="14"/>
          <w:szCs w:val="14"/>
          <w:color w:val="auto"/>
        </w:rPr>
        <w:t>The grant of the Option is voluntary and occasional and does not create any contractual or other right to receive future grants of Options, or benefits in lieu of Options, even if Options have been granted repeatedly in the past.</w:t>
      </w:r>
    </w:p>
    <w:p>
      <w:pPr>
        <w:spacing w:after="0" w:line="102" w:lineRule="exact"/>
        <w:rPr>
          <w:rFonts w:ascii="Arial" w:cs="Arial" w:eastAsia="Arial" w:hAnsi="Arial"/>
          <w:sz w:val="14"/>
          <w:szCs w:val="14"/>
          <w:color w:val="auto"/>
        </w:rPr>
      </w:pPr>
    </w:p>
    <w:p>
      <w:pPr>
        <w:ind w:left="2120" w:hanging="597"/>
        <w:spacing w:after="0"/>
        <w:tabs>
          <w:tab w:leader="none" w:pos="2120" w:val="left"/>
        </w:tabs>
        <w:numPr>
          <w:ilvl w:val="0"/>
          <w:numId w:val="101"/>
        </w:numPr>
        <w:rPr>
          <w:rFonts w:ascii="Arial" w:cs="Arial" w:eastAsia="Arial" w:hAnsi="Arial"/>
          <w:sz w:val="14"/>
          <w:szCs w:val="14"/>
          <w:color w:val="auto"/>
        </w:rPr>
      </w:pPr>
      <w:r>
        <w:rPr>
          <w:rFonts w:ascii="Arial" w:cs="Arial" w:eastAsia="Arial" w:hAnsi="Arial"/>
          <w:sz w:val="14"/>
          <w:szCs w:val="14"/>
          <w:color w:val="auto"/>
        </w:rPr>
        <w:t>All decisions with respect to future Option grants, if any, will be at the sole discretion of the Company.</w:t>
      </w:r>
    </w:p>
    <w:p>
      <w:pPr>
        <w:spacing w:after="0" w:line="145" w:lineRule="exact"/>
        <w:rPr>
          <w:rFonts w:ascii="Arial" w:cs="Arial" w:eastAsia="Arial" w:hAnsi="Arial"/>
          <w:sz w:val="14"/>
          <w:szCs w:val="14"/>
          <w:color w:val="auto"/>
        </w:rPr>
      </w:pPr>
    </w:p>
    <w:p>
      <w:pPr>
        <w:ind w:firstLine="1523"/>
        <w:spacing w:after="0" w:line="273" w:lineRule="auto"/>
        <w:tabs>
          <w:tab w:leader="none" w:pos="2123" w:val="left"/>
        </w:tabs>
        <w:numPr>
          <w:ilvl w:val="0"/>
          <w:numId w:val="101"/>
        </w:numPr>
        <w:rPr>
          <w:rFonts w:ascii="Arial" w:cs="Arial" w:eastAsia="Arial" w:hAnsi="Arial"/>
          <w:sz w:val="14"/>
          <w:szCs w:val="14"/>
          <w:color w:val="auto"/>
        </w:rPr>
      </w:pPr>
      <w:r>
        <w:rPr>
          <w:rFonts w:ascii="Arial" w:cs="Arial" w:eastAsia="Arial" w:hAnsi="Arial"/>
          <w:sz w:val="14"/>
          <w:szCs w:val="14"/>
          <w:color w:val="auto"/>
        </w:rPr>
        <w:t>The Participant’s participation in the Plan shall not create a right to further Service with the Company or another Participating Company and shall not interfere with the ability of with the Company or another Participating Company to terminate the Participant’s Service at any time, with or without cause, subject to applicable law.</w:t>
      </w:r>
    </w:p>
    <w:p>
      <w:pPr>
        <w:spacing w:after="0" w:line="102" w:lineRule="exact"/>
        <w:rPr>
          <w:rFonts w:ascii="Arial" w:cs="Arial" w:eastAsia="Arial" w:hAnsi="Arial"/>
          <w:sz w:val="14"/>
          <w:szCs w:val="14"/>
          <w:color w:val="auto"/>
        </w:rPr>
      </w:pPr>
    </w:p>
    <w:p>
      <w:pPr>
        <w:ind w:left="2100" w:hanging="577"/>
        <w:spacing w:after="0"/>
        <w:tabs>
          <w:tab w:leader="none" w:pos="2100" w:val="left"/>
        </w:tabs>
        <w:numPr>
          <w:ilvl w:val="0"/>
          <w:numId w:val="101"/>
        </w:numPr>
        <w:rPr>
          <w:rFonts w:ascii="Arial" w:cs="Arial" w:eastAsia="Arial" w:hAnsi="Arial"/>
          <w:sz w:val="14"/>
          <w:szCs w:val="14"/>
          <w:color w:val="auto"/>
        </w:rPr>
      </w:pPr>
      <w:r>
        <w:rPr>
          <w:rFonts w:ascii="Arial" w:cs="Arial" w:eastAsia="Arial" w:hAnsi="Arial"/>
          <w:sz w:val="14"/>
          <w:szCs w:val="14"/>
          <w:color w:val="auto"/>
        </w:rPr>
        <w:t>The Participant is voluntarily participating in the Plan.</w:t>
      </w:r>
    </w:p>
    <w:p>
      <w:pPr>
        <w:spacing w:after="0" w:line="145" w:lineRule="exact"/>
        <w:rPr>
          <w:rFonts w:ascii="Arial" w:cs="Arial" w:eastAsia="Arial" w:hAnsi="Arial"/>
          <w:sz w:val="14"/>
          <w:szCs w:val="14"/>
          <w:color w:val="auto"/>
        </w:rPr>
      </w:pPr>
    </w:p>
    <w:p>
      <w:pPr>
        <w:ind w:firstLine="1523"/>
        <w:spacing w:after="0" w:line="273" w:lineRule="auto"/>
        <w:tabs>
          <w:tab w:leader="none" w:pos="2131" w:val="left"/>
        </w:tabs>
        <w:numPr>
          <w:ilvl w:val="0"/>
          <w:numId w:val="101"/>
        </w:numPr>
        <w:rPr>
          <w:rFonts w:ascii="Arial" w:cs="Arial" w:eastAsia="Arial" w:hAnsi="Arial"/>
          <w:sz w:val="14"/>
          <w:szCs w:val="14"/>
          <w:color w:val="auto"/>
        </w:rPr>
      </w:pPr>
      <w:r>
        <w:rPr>
          <w:rFonts w:ascii="Arial" w:cs="Arial" w:eastAsia="Arial" w:hAnsi="Arial"/>
          <w:sz w:val="14"/>
          <w:szCs w:val="14"/>
          <w:color w:val="auto"/>
        </w:rPr>
        <w:t>The Option is an extraordinary item that does not constitute compensation of any kind for Service of any kind rendered to the Company or any Participating Company, and which is outside the scope of the Participant’s employment contract, if any.</w:t>
      </w:r>
    </w:p>
    <w:p>
      <w:pPr>
        <w:spacing w:after="0" w:line="102" w:lineRule="exact"/>
        <w:rPr>
          <w:rFonts w:ascii="Arial" w:cs="Arial" w:eastAsia="Arial" w:hAnsi="Arial"/>
          <w:sz w:val="14"/>
          <w:szCs w:val="14"/>
          <w:color w:val="auto"/>
        </w:rPr>
      </w:pPr>
    </w:p>
    <w:p>
      <w:pPr>
        <w:ind w:right="20" w:firstLine="1523"/>
        <w:spacing w:after="0" w:line="273" w:lineRule="auto"/>
        <w:tabs>
          <w:tab w:leader="none" w:pos="2131" w:val="left"/>
        </w:tabs>
        <w:numPr>
          <w:ilvl w:val="0"/>
          <w:numId w:val="101"/>
        </w:numPr>
        <w:rPr>
          <w:rFonts w:ascii="Arial" w:cs="Arial" w:eastAsia="Arial" w:hAnsi="Arial"/>
          <w:sz w:val="14"/>
          <w:szCs w:val="14"/>
          <w:color w:val="auto"/>
        </w:rPr>
      </w:pPr>
      <w:r>
        <w:rPr>
          <w:rFonts w:ascii="Arial" w:cs="Arial" w:eastAsia="Arial" w:hAnsi="Arial"/>
          <w:sz w:val="14"/>
          <w:szCs w:val="14"/>
          <w:color w:val="auto"/>
        </w:rPr>
        <w:t>The Option is not part of normal or expected compensation or salary for any purpose, including, but not limited to, calculating any severance, resignation, termination, redundancy, end-of-service payments, bonuses, long-service Options, pension or retirement benefits or similar payments.</w:t>
      </w:r>
    </w:p>
    <w:p>
      <w:pPr>
        <w:spacing w:after="0" w:line="102" w:lineRule="exact"/>
        <w:rPr>
          <w:rFonts w:ascii="Arial" w:cs="Arial" w:eastAsia="Arial" w:hAnsi="Arial"/>
          <w:sz w:val="14"/>
          <w:szCs w:val="14"/>
          <w:color w:val="auto"/>
        </w:rPr>
      </w:pPr>
    </w:p>
    <w:p>
      <w:pPr>
        <w:ind w:right="20" w:firstLine="1523"/>
        <w:spacing w:after="0" w:line="273" w:lineRule="auto"/>
        <w:tabs>
          <w:tab w:leader="none" w:pos="2099" w:val="left"/>
        </w:tabs>
        <w:numPr>
          <w:ilvl w:val="0"/>
          <w:numId w:val="101"/>
        </w:numPr>
        <w:rPr>
          <w:rFonts w:ascii="Arial" w:cs="Arial" w:eastAsia="Arial" w:hAnsi="Arial"/>
          <w:sz w:val="14"/>
          <w:szCs w:val="14"/>
          <w:color w:val="auto"/>
        </w:rPr>
      </w:pPr>
      <w:r>
        <w:rPr>
          <w:rFonts w:ascii="Arial" w:cs="Arial" w:eastAsia="Arial" w:hAnsi="Arial"/>
          <w:sz w:val="14"/>
          <w:szCs w:val="14"/>
          <w:color w:val="auto"/>
        </w:rPr>
        <w:t>In the event that the Participant is not an employee of a Participating Company, the Option grant will not be interpreted to form an employment contract or relationship with a Participating Company.</w:t>
      </w:r>
    </w:p>
    <w:p>
      <w:pPr>
        <w:spacing w:after="0" w:line="84" w:lineRule="exact"/>
        <w:rPr>
          <w:sz w:val="20"/>
          <w:szCs w:val="20"/>
          <w:color w:val="auto"/>
        </w:rPr>
      </w:pPr>
    </w:p>
    <w:p>
      <w:pPr>
        <w:ind w:left="760"/>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100330</wp:posOffset>
            </wp:positionV>
            <wp:extent cx="7329170" cy="3683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27">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265" w:right="199" w:bottom="1440" w:gutter="0" w:footer="0" w:header="0"/>
        </w:sectPr>
      </w:pPr>
    </w:p>
    <w:bookmarkStart w:id="148" w:name="page149"/>
    <w:bookmarkEnd w:id="148"/>
    <w:p>
      <w:pPr>
        <w:ind w:left="1342" w:hanging="577"/>
        <w:spacing w:after="0"/>
        <w:tabs>
          <w:tab w:leader="none" w:pos="1342" w:val="left"/>
        </w:tabs>
        <w:numPr>
          <w:ilvl w:val="2"/>
          <w:numId w:val="102"/>
        </w:numPr>
        <w:rPr>
          <w:rFonts w:ascii="Arial" w:cs="Arial" w:eastAsia="Arial" w:hAnsi="Arial"/>
          <w:sz w:val="14"/>
          <w:szCs w:val="14"/>
          <w:color w:val="auto"/>
        </w:rPr>
      </w:pPr>
      <w:r>
        <w:rPr>
          <w:rFonts w:ascii="Arial" w:cs="Arial" w:eastAsia="Arial" w:hAnsi="Arial"/>
          <w:sz w:val="14"/>
          <w:szCs w:val="14"/>
          <w:color w:val="auto"/>
        </w:rPr>
        <w:t>The future value of the underlying shares is unknown and cannot be predicted with certainty. The value of the shares may increase or decrease.</w:t>
      </w:r>
    </w:p>
    <w:p>
      <w:pPr>
        <w:spacing w:after="0" w:line="145" w:lineRule="exact"/>
        <w:rPr>
          <w:rFonts w:ascii="Arial" w:cs="Arial" w:eastAsia="Arial" w:hAnsi="Arial"/>
          <w:sz w:val="14"/>
          <w:szCs w:val="14"/>
          <w:color w:val="auto"/>
        </w:rPr>
      </w:pPr>
    </w:p>
    <w:p>
      <w:pPr>
        <w:jc w:val="both"/>
        <w:ind w:left="-758" w:firstLine="1523"/>
        <w:spacing w:after="0" w:line="257" w:lineRule="auto"/>
        <w:tabs>
          <w:tab w:leader="none" w:pos="1373" w:val="left"/>
        </w:tabs>
        <w:numPr>
          <w:ilvl w:val="2"/>
          <w:numId w:val="102"/>
        </w:numPr>
        <w:rPr>
          <w:rFonts w:ascii="Arial" w:cs="Arial" w:eastAsia="Arial" w:hAnsi="Arial"/>
          <w:sz w:val="14"/>
          <w:szCs w:val="14"/>
          <w:color w:val="auto"/>
        </w:rPr>
      </w:pPr>
      <w:r>
        <w:rPr>
          <w:rFonts w:ascii="Arial" w:cs="Arial" w:eastAsia="Arial" w:hAnsi="Arial"/>
          <w:sz w:val="14"/>
          <w:szCs w:val="14"/>
          <w:color w:val="auto"/>
        </w:rPr>
        <w:t>No claim or entitlement to compensation or damages arises from termination of the Option or diminution in value of the Option or shares and the Participant irrevocably releases Participating Company Group from any such claim that may arise. If, notwithstanding the foregoing, any such claim is found by a court of competent jurisdiction to have arisen then, by signing this Option Agreement, the Participant shall be deemed irrevocably to have waived the Participant’s entitlement to pursue such a claim.</w:t>
      </w:r>
    </w:p>
    <w:p>
      <w:pPr>
        <w:spacing w:after="0" w:line="109" w:lineRule="exact"/>
        <w:rPr>
          <w:rFonts w:ascii="Arial" w:cs="Arial" w:eastAsia="Arial" w:hAnsi="Arial"/>
          <w:sz w:val="14"/>
          <w:szCs w:val="14"/>
          <w:color w:val="auto"/>
        </w:rPr>
      </w:pPr>
    </w:p>
    <w:p>
      <w:pPr>
        <w:ind w:left="622" w:hanging="622"/>
        <w:spacing w:after="0"/>
        <w:tabs>
          <w:tab w:leader="none" w:pos="622" w:val="left"/>
        </w:tabs>
        <w:numPr>
          <w:ilvl w:val="0"/>
          <w:numId w:val="103"/>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D</w:t>
      </w:r>
      <w:r>
        <w:rPr>
          <w:rFonts w:ascii="Arial" w:cs="Arial" w:eastAsia="Arial" w:hAnsi="Arial"/>
          <w:sz w:val="9"/>
          <w:szCs w:val="9"/>
          <w:b w:val="1"/>
          <w:bCs w:val="1"/>
          <w:u w:val="single" w:color="auto"/>
          <w:color w:val="auto"/>
        </w:rPr>
        <w:t>ATA</w:t>
      </w:r>
      <w:r>
        <w:rPr>
          <w:rFonts w:ascii="Arial" w:cs="Arial" w:eastAsia="Arial" w:hAnsi="Arial"/>
          <w:sz w:val="14"/>
          <w:szCs w:val="14"/>
          <w:b w:val="1"/>
          <w:bCs w:val="1"/>
          <w:u w:val="single" w:color="auto"/>
          <w:color w:val="auto"/>
        </w:rPr>
        <w:t xml:space="preserve"> P</w:t>
      </w:r>
      <w:r>
        <w:rPr>
          <w:rFonts w:ascii="Arial" w:cs="Arial" w:eastAsia="Arial" w:hAnsi="Arial"/>
          <w:sz w:val="9"/>
          <w:szCs w:val="9"/>
          <w:b w:val="1"/>
          <w:bCs w:val="1"/>
          <w:u w:val="single" w:color="auto"/>
          <w:color w:val="auto"/>
        </w:rPr>
        <w:t>RIVACY</w:t>
      </w:r>
      <w:r>
        <w:rPr>
          <w:rFonts w:ascii="Arial" w:cs="Arial" w:eastAsia="Arial" w:hAnsi="Arial"/>
          <w:sz w:val="14"/>
          <w:szCs w:val="14"/>
          <w:b w:val="1"/>
          <w:bCs w:val="1"/>
          <w:u w:val="single" w:color="auto"/>
          <w:color w:val="auto"/>
        </w:rPr>
        <w:t>.</w:t>
      </w:r>
    </w:p>
    <w:p>
      <w:pPr>
        <w:spacing w:after="0" w:line="149" w:lineRule="exact"/>
        <w:rPr>
          <w:rFonts w:ascii="Arial" w:cs="Arial" w:eastAsia="Arial" w:hAnsi="Arial"/>
          <w:sz w:val="14"/>
          <w:szCs w:val="14"/>
          <w:b w:val="1"/>
          <w:bCs w:val="1"/>
          <w:color w:val="auto"/>
        </w:rPr>
      </w:pPr>
    </w:p>
    <w:p>
      <w:pPr>
        <w:jc w:val="both"/>
        <w:ind w:left="-678" w:firstLine="1431"/>
        <w:spacing w:after="0" w:line="262" w:lineRule="auto"/>
        <w:tabs>
          <w:tab w:leader="none" w:pos="1338" w:val="left"/>
        </w:tabs>
        <w:numPr>
          <w:ilvl w:val="1"/>
          <w:numId w:val="103"/>
        </w:numPr>
        <w:rPr>
          <w:rFonts w:ascii="Arial" w:cs="Arial" w:eastAsia="Arial" w:hAnsi="Arial"/>
          <w:sz w:val="13"/>
          <w:szCs w:val="13"/>
          <w:color w:val="auto"/>
        </w:rPr>
      </w:pPr>
      <w:r>
        <w:rPr>
          <w:rFonts w:ascii="Arial" w:cs="Arial" w:eastAsia="Arial" w:hAnsi="Arial"/>
          <w:sz w:val="13"/>
          <w:szCs w:val="13"/>
          <w:color w:val="auto"/>
        </w:rPr>
        <w:t>Data Collected and Purposes of Collection. The Participant understands that the Company, acting as controller, as well as the employing Participating Company, will process, to the extent permissible under applicable law, certain personal information about the Participant, including name, home address and telephone number, information necessary to process the Options (e.g., mailing address for a check payment or bank account wire transfer information), date of birth, social insurance number or other identification number, salary, nationality, job title, employment location, details of all Options granted, canceled, vested, unvested or outstanding in the Participant’s favor, and where applicable service termination date and reason for termination, any capital shares or directorships held in the Company (where needed for legal or tax compliance), and any other information necessary to process mandatory tax withholding and reporting (all such personal information is referred to as “Data”). The Data is collected from the Participant, any Parents or Subsidiaries, and from the Company or other Subsidiary companies, for the purpose of implementing, administering and managing this Option Agreement pursuant to its terms. The legal bases (that is, the legal justification) for processing the Data is that it is necessary to perform, administer and manage this Option Agreement and in Company’s legitimate interests, which means the Company is using the relevant Data to conduct and develop its business activities, subject to the Participant’s interest and fundamental rights. The Data must be provided in order for the Participant to participate in this Option Agreement and for the parties to this Option Agreement to perform their respective obligations thereunder. If the Participant does not provide Data, he or she will not be able to participate in and become a party to this Option Agreement.</w:t>
      </w:r>
    </w:p>
    <w:p>
      <w:pPr>
        <w:spacing w:after="0" w:line="1" w:lineRule="exact"/>
        <w:rPr>
          <w:rFonts w:ascii="Arial" w:cs="Arial" w:eastAsia="Arial" w:hAnsi="Arial"/>
          <w:sz w:val="13"/>
          <w:szCs w:val="13"/>
          <w:color w:val="auto"/>
        </w:rPr>
      </w:pPr>
    </w:p>
    <w:p>
      <w:pPr>
        <w:jc w:val="both"/>
        <w:ind w:left="-678" w:firstLine="1431"/>
        <w:spacing w:after="0" w:line="241" w:lineRule="auto"/>
        <w:tabs>
          <w:tab w:leader="none" w:pos="1346" w:val="left"/>
        </w:tabs>
        <w:numPr>
          <w:ilvl w:val="1"/>
          <w:numId w:val="103"/>
        </w:numPr>
        <w:rPr>
          <w:rFonts w:ascii="Arial" w:cs="Arial" w:eastAsia="Arial" w:hAnsi="Arial"/>
          <w:sz w:val="14"/>
          <w:szCs w:val="14"/>
          <w:color w:val="auto"/>
        </w:rPr>
      </w:pPr>
      <w:r>
        <w:rPr>
          <w:rFonts w:ascii="Arial" w:cs="Arial" w:eastAsia="Arial" w:hAnsi="Arial"/>
          <w:sz w:val="14"/>
          <w:szCs w:val="14"/>
          <w:color w:val="auto"/>
        </w:rPr>
        <w:t>Transfers and Retention of Data. The Participant understands that the Data will be transferred to and among Company and Company’s other subsidiaries or affiliates (including any Parents or Subsidiaries), as well as service providers (such as stock administration providers, brokers, transfer agents, accounting firms, payroll processing firms or tax firms), for the purposes explained above. The Participant understands that the recipients of the Data may be located in the United States and in other jurisdictions outside of the European Economic Area where we or our service providers have operations. The United States and some of these other jurisdictions have not been found by the European Commission to have adequate data protection safeguards. If Company or its affiliates or subsidiaries transfer Data outside of the European Economic Area, we will take steps as required and recognized by the European Commission to provide adequate safeguards for the transferred Data, such as the European Commission approved standard contractual clauses or certification schemes, such as the EU-US Privacy Shield. The Participant has a right to obtain details of the mechanism(s) under which the Participant’s Data is transferred outside of the European Economic Area, or the United Kingdom, which the Participant may exercise by contacting privacy@verramobility.com.</w:t>
      </w:r>
    </w:p>
    <w:p>
      <w:pPr>
        <w:spacing w:after="0" w:line="3" w:lineRule="exact"/>
        <w:rPr>
          <w:rFonts w:ascii="Arial" w:cs="Arial" w:eastAsia="Arial" w:hAnsi="Arial"/>
          <w:sz w:val="14"/>
          <w:szCs w:val="14"/>
          <w:color w:val="auto"/>
        </w:rPr>
      </w:pPr>
    </w:p>
    <w:p>
      <w:pPr>
        <w:jc w:val="both"/>
        <w:ind w:left="-678" w:firstLine="1431"/>
        <w:spacing w:after="0" w:line="248" w:lineRule="auto"/>
        <w:tabs>
          <w:tab w:leader="none" w:pos="1338" w:val="left"/>
        </w:tabs>
        <w:numPr>
          <w:ilvl w:val="1"/>
          <w:numId w:val="103"/>
        </w:numPr>
        <w:rPr>
          <w:rFonts w:ascii="Arial" w:cs="Arial" w:eastAsia="Arial" w:hAnsi="Arial"/>
          <w:sz w:val="14"/>
          <w:szCs w:val="14"/>
          <w:color w:val="auto"/>
        </w:rPr>
      </w:pPr>
      <w:r>
        <w:rPr>
          <w:rFonts w:ascii="Arial" w:cs="Arial" w:eastAsia="Arial" w:hAnsi="Arial"/>
          <w:sz w:val="14"/>
          <w:szCs w:val="14"/>
          <w:color w:val="auto"/>
        </w:rPr>
        <w:t>The Participant’s Rights in Respect of Data. The Participant has the right to access the Participant’s Data being processed by the Company as well as understand why Company is processing such Data. Additionally, subject to applicable law, the Participant is entitled to have any inadequate, incomplete or incorrect Data corrected (that is, rectified). Further, subject to applicable law, the Participant may be entitled to</w:t>
      </w:r>
    </w:p>
    <w:p>
      <w:pPr>
        <w:spacing w:after="0" w:line="101" w:lineRule="exact"/>
        <w:rPr>
          <w:sz w:val="20"/>
          <w:szCs w:val="20"/>
          <w:color w:val="auto"/>
        </w:rPr>
      </w:pPr>
    </w:p>
    <w:p>
      <w:pPr>
        <w:ind w:left="2"/>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-498475</wp:posOffset>
            </wp:positionH>
            <wp:positionV relativeFrom="paragraph">
              <wp:posOffset>100330</wp:posOffset>
            </wp:positionV>
            <wp:extent cx="7329170" cy="3683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28">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0722"/>
          </w:cols>
          <w:pgMar w:left="978" w:top="269" w:right="199" w:bottom="1440" w:gutter="0" w:footer="0" w:header="0"/>
        </w:sectPr>
      </w:pPr>
    </w:p>
    <w:bookmarkStart w:id="149" w:name="page150"/>
    <w:bookmarkEnd w:id="149"/>
    <w:p>
      <w:pPr>
        <w:jc w:val="both"/>
        <w:ind w:left="80"/>
        <w:spacing w:after="0" w:line="248" w:lineRule="auto"/>
        <w:rPr>
          <w:sz w:val="20"/>
          <w:szCs w:val="20"/>
          <w:color w:val="auto"/>
        </w:rPr>
      </w:pPr>
      <w:r>
        <w:rPr>
          <w:rFonts w:ascii="Arial" w:cs="Arial" w:eastAsia="Arial" w:hAnsi="Arial"/>
          <w:sz w:val="14"/>
          <w:szCs w:val="14"/>
          <w:color w:val="auto"/>
        </w:rPr>
        <w:t>the following rights in regard to his or her Data: (i) to object to the processing of Data; (ii) to have his or her Data erased, under certain circumstances, such as where it is no longer necessary in relation to the purposes for which it was processed; (iii) to restrict the processing of the Participant’s Data so that it is stored but not actively processed (e.g., while the Company assesses whether the Participant is entitled to have Data erased) under certain circumstances; (iv) to port a copy of the Data provided pursuant to this Option Agreement or generated by the Participant, in a common machine-readable format; (v) to withdraw the Participant’s consent to Company’s processing of Data; and (vi) to obtain a copy of the appropriate safeguards under which Data is transferred to a third country or international organization. To exercise his or her rights, the Participant may contact the local human resources representative. The Participant may also contact the relevant data protection supervisory authority, as he or she has the right to lodge a complaint.</w:t>
      </w:r>
    </w:p>
    <w:p>
      <w:pPr>
        <w:spacing w:after="0" w:line="115" w:lineRule="exact"/>
        <w:rPr>
          <w:sz w:val="20"/>
          <w:szCs w:val="20"/>
          <w:color w:val="auto"/>
        </w:rPr>
      </w:pPr>
    </w:p>
    <w:p>
      <w:pPr>
        <w:ind w:left="1380" w:hanging="622"/>
        <w:spacing w:after="0"/>
        <w:tabs>
          <w:tab w:leader="none" w:pos="1380" w:val="left"/>
        </w:tabs>
        <w:numPr>
          <w:ilvl w:val="0"/>
          <w:numId w:val="104"/>
        </w:numPr>
        <w:rPr>
          <w:rFonts w:ascii="Arial" w:cs="Arial" w:eastAsia="Arial" w:hAnsi="Arial"/>
          <w:sz w:val="14"/>
          <w:szCs w:val="14"/>
          <w:color w:val="auto"/>
        </w:rPr>
      </w:pPr>
      <w:r>
        <w:rPr>
          <w:rFonts w:ascii="Arial" w:cs="Arial" w:eastAsia="Arial" w:hAnsi="Arial"/>
          <w:sz w:val="14"/>
          <w:szCs w:val="14"/>
          <w:b w:val="1"/>
          <w:bCs w:val="1"/>
          <w:u w:val="single" w:color="auto"/>
          <w:color w:val="auto"/>
        </w:rPr>
        <w:t>L</w:t>
      </w:r>
      <w:r>
        <w:rPr>
          <w:rFonts w:ascii="Arial" w:cs="Arial" w:eastAsia="Arial" w:hAnsi="Arial"/>
          <w:sz w:val="9"/>
          <w:szCs w:val="9"/>
          <w:b w:val="1"/>
          <w:bCs w:val="1"/>
          <w:u w:val="single" w:color="auto"/>
          <w:color w:val="auto"/>
        </w:rPr>
        <w:t>EGENDS</w:t>
      </w:r>
      <w:r>
        <w:rPr>
          <w:rFonts w:ascii="Arial" w:cs="Arial" w:eastAsia="Arial" w:hAnsi="Arial"/>
          <w:sz w:val="14"/>
          <w:szCs w:val="14"/>
          <w:b w:val="1"/>
          <w:bCs w:val="1"/>
          <w:color w:val="auto"/>
        </w:rPr>
        <w:t>.</w:t>
      </w:r>
    </w:p>
    <w:p>
      <w:pPr>
        <w:spacing w:after="0" w:line="149" w:lineRule="exact"/>
        <w:rPr>
          <w:sz w:val="20"/>
          <w:szCs w:val="20"/>
          <w:color w:val="auto"/>
        </w:rPr>
      </w:pPr>
    </w:p>
    <w:p>
      <w:pPr>
        <w:jc w:val="both"/>
        <w:ind w:firstLine="1531"/>
        <w:spacing w:after="0" w:line="252" w:lineRule="auto"/>
        <w:rPr>
          <w:sz w:val="20"/>
          <w:szCs w:val="20"/>
          <w:color w:val="auto"/>
        </w:rPr>
      </w:pPr>
      <w:r>
        <w:rPr>
          <w:rFonts w:ascii="Arial" w:cs="Arial" w:eastAsia="Arial" w:hAnsi="Arial"/>
          <w:sz w:val="14"/>
          <w:szCs w:val="14"/>
          <w:color w:val="auto"/>
        </w:rPr>
        <w:t>The Company may at any time place legends referencing any applicable federal, state or foreign securities law restrictions on all certificates representing shares of stock subject to the provisions of this Option Agreement. The Participant shall, at the request of the Company, promptly present to the Company any and all certificates representing shares acquired pursuant to the Option in the possession of the Participant in order to carry out the provisions of this Section. Unless otherwise specified by the Company, legends placed on such certificates may include, but shall not be limited to, the following:</w:t>
      </w:r>
    </w:p>
    <w:p>
      <w:pPr>
        <w:spacing w:after="0" w:line="112" w:lineRule="exact"/>
        <w:rPr>
          <w:sz w:val="20"/>
          <w:szCs w:val="20"/>
          <w:color w:val="auto"/>
        </w:rPr>
      </w:pPr>
    </w:p>
    <w:p>
      <w:pPr>
        <w:ind w:left="1380" w:hanging="622"/>
        <w:spacing w:after="0"/>
        <w:tabs>
          <w:tab w:leader="none" w:pos="1380" w:val="left"/>
        </w:tabs>
        <w:numPr>
          <w:ilvl w:val="0"/>
          <w:numId w:val="105"/>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N</w:t>
      </w:r>
      <w:r>
        <w:rPr>
          <w:rFonts w:ascii="Arial" w:cs="Arial" w:eastAsia="Arial" w:hAnsi="Arial"/>
          <w:sz w:val="9"/>
          <w:szCs w:val="9"/>
          <w:b w:val="1"/>
          <w:bCs w:val="1"/>
          <w:u w:val="single" w:color="auto"/>
          <w:color w:val="auto"/>
        </w:rPr>
        <w:t>ON</w:t>
      </w:r>
      <w:r>
        <w:rPr>
          <w:rFonts w:ascii="Arial" w:cs="Arial" w:eastAsia="Arial" w:hAnsi="Arial"/>
          <w:sz w:val="14"/>
          <w:szCs w:val="14"/>
          <w:b w:val="1"/>
          <w:bCs w:val="1"/>
          <w:u w:val="single" w:color="auto"/>
          <w:color w:val="auto"/>
        </w:rPr>
        <w:t>-Q</w:t>
      </w:r>
      <w:r>
        <w:rPr>
          <w:rFonts w:ascii="Arial" w:cs="Arial" w:eastAsia="Arial" w:hAnsi="Arial"/>
          <w:sz w:val="9"/>
          <w:szCs w:val="9"/>
          <w:b w:val="1"/>
          <w:bCs w:val="1"/>
          <w:u w:val="single" w:color="auto"/>
          <w:color w:val="auto"/>
        </w:rPr>
        <w:t>UALIFIED</w:t>
      </w:r>
      <w:r>
        <w:rPr>
          <w:rFonts w:ascii="Arial" w:cs="Arial" w:eastAsia="Arial" w:hAnsi="Arial"/>
          <w:sz w:val="14"/>
          <w:szCs w:val="14"/>
          <w:b w:val="1"/>
          <w:bCs w:val="1"/>
          <w:color w:val="auto"/>
        </w:rPr>
        <w:t xml:space="preserve"> </w:t>
      </w:r>
      <w:r>
        <w:rPr>
          <w:rFonts w:ascii="Arial" w:cs="Arial" w:eastAsia="Arial" w:hAnsi="Arial"/>
          <w:sz w:val="14"/>
          <w:szCs w:val="14"/>
          <w:b w:val="1"/>
          <w:bCs w:val="1"/>
          <w:u w:val="single" w:color="auto"/>
          <w:color w:val="auto"/>
        </w:rPr>
        <w:t>G</w:t>
      </w:r>
      <w:r>
        <w:rPr>
          <w:rFonts w:ascii="Arial" w:cs="Arial" w:eastAsia="Arial" w:hAnsi="Arial"/>
          <w:sz w:val="9"/>
          <w:szCs w:val="9"/>
          <w:b w:val="1"/>
          <w:bCs w:val="1"/>
          <w:u w:val="single" w:color="auto"/>
          <w:color w:val="auto"/>
        </w:rPr>
        <w:t>RANTS</w:t>
      </w:r>
      <w:r>
        <w:rPr>
          <w:rFonts w:ascii="Arial" w:cs="Arial" w:eastAsia="Arial" w:hAnsi="Arial"/>
          <w:sz w:val="14"/>
          <w:szCs w:val="14"/>
          <w:b w:val="1"/>
          <w:bCs w:val="1"/>
          <w:color w:val="auto"/>
        </w:rPr>
        <w:t>.</w:t>
      </w:r>
    </w:p>
    <w:p>
      <w:pPr>
        <w:spacing w:after="0" w:line="149" w:lineRule="exact"/>
        <w:rPr>
          <w:sz w:val="20"/>
          <w:szCs w:val="20"/>
          <w:color w:val="auto"/>
        </w:rPr>
      </w:pPr>
    </w:p>
    <w:p>
      <w:pPr>
        <w:ind w:left="1520"/>
        <w:spacing w:after="0"/>
        <w:rPr>
          <w:sz w:val="20"/>
          <w:szCs w:val="20"/>
          <w:color w:val="auto"/>
        </w:rPr>
      </w:pPr>
      <w:r>
        <w:rPr>
          <w:rFonts w:ascii="Arial" w:cs="Arial" w:eastAsia="Arial" w:hAnsi="Arial"/>
          <w:sz w:val="14"/>
          <w:szCs w:val="14"/>
          <w:color w:val="auto"/>
        </w:rPr>
        <w:t>The Option is not intended to be tax-qualified or tax preferred under current tax rules and regulations in the United Kingdom.</w:t>
      </w:r>
    </w:p>
    <w:p>
      <w:pPr>
        <w:spacing w:after="0" w:line="141" w:lineRule="exact"/>
        <w:rPr>
          <w:sz w:val="20"/>
          <w:szCs w:val="20"/>
          <w:color w:val="auto"/>
        </w:rPr>
      </w:pPr>
    </w:p>
    <w:p>
      <w:pPr>
        <w:ind w:left="1380" w:hanging="622"/>
        <w:spacing w:after="0"/>
        <w:tabs>
          <w:tab w:leader="none" w:pos="1380" w:val="left"/>
        </w:tabs>
        <w:numPr>
          <w:ilvl w:val="0"/>
          <w:numId w:val="106"/>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T</w:t>
      </w:r>
      <w:r>
        <w:rPr>
          <w:rFonts w:ascii="Arial" w:cs="Arial" w:eastAsia="Arial" w:hAnsi="Arial"/>
          <w:sz w:val="9"/>
          <w:szCs w:val="9"/>
          <w:b w:val="1"/>
          <w:bCs w:val="1"/>
          <w:u w:val="single" w:color="auto"/>
          <w:color w:val="auto"/>
        </w:rPr>
        <w:t>AX</w:t>
      </w:r>
      <w:r>
        <w:rPr>
          <w:rFonts w:ascii="Arial" w:cs="Arial" w:eastAsia="Arial" w:hAnsi="Arial"/>
          <w:sz w:val="14"/>
          <w:szCs w:val="14"/>
          <w:b w:val="1"/>
          <w:bCs w:val="1"/>
          <w:color w:val="auto"/>
        </w:rPr>
        <w:t xml:space="preserve"> </w:t>
      </w:r>
      <w:r>
        <w:rPr>
          <w:rFonts w:ascii="Arial" w:cs="Arial" w:eastAsia="Arial" w:hAnsi="Arial"/>
          <w:sz w:val="14"/>
          <w:szCs w:val="14"/>
          <w:b w:val="1"/>
          <w:bCs w:val="1"/>
          <w:u w:val="single" w:color="auto"/>
          <w:color w:val="auto"/>
        </w:rPr>
        <w:t>C</w:t>
      </w:r>
      <w:r>
        <w:rPr>
          <w:rFonts w:ascii="Arial" w:cs="Arial" w:eastAsia="Arial" w:hAnsi="Arial"/>
          <w:sz w:val="9"/>
          <w:szCs w:val="9"/>
          <w:b w:val="1"/>
          <w:bCs w:val="1"/>
          <w:u w:val="single" w:color="auto"/>
          <w:color w:val="auto"/>
        </w:rPr>
        <w:t>ONSULTATION</w:t>
      </w:r>
      <w:r>
        <w:rPr>
          <w:rFonts w:ascii="Arial" w:cs="Arial" w:eastAsia="Arial" w:hAnsi="Arial"/>
          <w:sz w:val="14"/>
          <w:szCs w:val="14"/>
          <w:b w:val="1"/>
          <w:bCs w:val="1"/>
          <w:color w:val="auto"/>
        </w:rPr>
        <w:t>.</w:t>
      </w:r>
    </w:p>
    <w:p>
      <w:pPr>
        <w:spacing w:after="0" w:line="149" w:lineRule="exact"/>
        <w:rPr>
          <w:sz w:val="20"/>
          <w:szCs w:val="20"/>
          <w:color w:val="auto"/>
        </w:rPr>
      </w:pPr>
    </w:p>
    <w:p>
      <w:pPr>
        <w:jc w:val="both"/>
        <w:ind w:firstLine="1531"/>
        <w:spacing w:after="0" w:line="257" w:lineRule="auto"/>
        <w:rPr>
          <w:sz w:val="20"/>
          <w:szCs w:val="20"/>
          <w:color w:val="auto"/>
        </w:rPr>
      </w:pPr>
      <w:r>
        <w:rPr>
          <w:rFonts w:ascii="Arial" w:cs="Arial" w:eastAsia="Arial" w:hAnsi="Arial"/>
          <w:sz w:val="14"/>
          <w:szCs w:val="14"/>
          <w:color w:val="auto"/>
        </w:rPr>
        <w:t>The Participant understands that he or she may suffer adverse tax consequences as a result of the Participant’s acquisition or disposition of the shares. The Participant represents that he or she will consult with any tax advisors that the Participant deems appropriate in connection with the acquisition or disposition of the shares and that the Participant is not relying on the Company or any Participating Company for any tax advice.</w:t>
      </w:r>
    </w:p>
    <w:p>
      <w:pPr>
        <w:spacing w:after="0" w:line="109" w:lineRule="exact"/>
        <w:rPr>
          <w:sz w:val="20"/>
          <w:szCs w:val="20"/>
          <w:color w:val="auto"/>
        </w:rPr>
      </w:pPr>
    </w:p>
    <w:p>
      <w:pPr>
        <w:ind w:left="1380" w:hanging="622"/>
        <w:spacing w:after="0"/>
        <w:tabs>
          <w:tab w:leader="none" w:pos="1380" w:val="left"/>
        </w:tabs>
        <w:numPr>
          <w:ilvl w:val="0"/>
          <w:numId w:val="107"/>
        </w:numPr>
        <w:rPr>
          <w:rFonts w:ascii="Arial" w:cs="Arial" w:eastAsia="Arial" w:hAnsi="Arial"/>
          <w:sz w:val="14"/>
          <w:szCs w:val="14"/>
          <w:color w:val="auto"/>
        </w:rPr>
      </w:pPr>
      <w:r>
        <w:rPr>
          <w:rFonts w:ascii="Arial" w:cs="Arial" w:eastAsia="Arial" w:hAnsi="Arial"/>
          <w:sz w:val="14"/>
          <w:szCs w:val="14"/>
          <w:b w:val="1"/>
          <w:bCs w:val="1"/>
          <w:u w:val="single" w:color="auto"/>
          <w:color w:val="auto"/>
        </w:rPr>
        <w:t>UK S</w:t>
      </w:r>
      <w:r>
        <w:rPr>
          <w:rFonts w:ascii="Arial" w:cs="Arial" w:eastAsia="Arial" w:hAnsi="Arial"/>
          <w:sz w:val="9"/>
          <w:szCs w:val="9"/>
          <w:b w:val="1"/>
          <w:bCs w:val="1"/>
          <w:u w:val="single" w:color="auto"/>
          <w:color w:val="auto"/>
        </w:rPr>
        <w:t>ECURITIES</w:t>
      </w:r>
      <w:r>
        <w:rPr>
          <w:rFonts w:ascii="Arial" w:cs="Arial" w:eastAsia="Arial" w:hAnsi="Arial"/>
          <w:sz w:val="14"/>
          <w:szCs w:val="14"/>
          <w:b w:val="1"/>
          <w:bCs w:val="1"/>
          <w:color w:val="auto"/>
        </w:rPr>
        <w:t xml:space="preserve"> </w:t>
      </w:r>
      <w:r>
        <w:rPr>
          <w:rFonts w:ascii="Arial" w:cs="Arial" w:eastAsia="Arial" w:hAnsi="Arial"/>
          <w:sz w:val="14"/>
          <w:szCs w:val="14"/>
          <w:b w:val="1"/>
          <w:bCs w:val="1"/>
          <w:u w:val="single" w:color="auto"/>
          <w:color w:val="auto"/>
        </w:rPr>
        <w:t>L</w:t>
      </w:r>
      <w:r>
        <w:rPr>
          <w:rFonts w:ascii="Arial" w:cs="Arial" w:eastAsia="Arial" w:hAnsi="Arial"/>
          <w:sz w:val="9"/>
          <w:szCs w:val="9"/>
          <w:b w:val="1"/>
          <w:bCs w:val="1"/>
          <w:u w:val="single" w:color="auto"/>
          <w:color w:val="auto"/>
        </w:rPr>
        <w:t>AW</w:t>
      </w:r>
      <w:r>
        <w:rPr>
          <w:rFonts w:ascii="Arial" w:cs="Arial" w:eastAsia="Arial" w:hAnsi="Arial"/>
          <w:sz w:val="14"/>
          <w:szCs w:val="14"/>
          <w:b w:val="1"/>
          <w:bCs w:val="1"/>
          <w:color w:val="auto"/>
        </w:rPr>
        <w:t xml:space="preserve"> </w:t>
      </w:r>
      <w:r>
        <w:rPr>
          <w:rFonts w:ascii="Arial" w:cs="Arial" w:eastAsia="Arial" w:hAnsi="Arial"/>
          <w:sz w:val="14"/>
          <w:szCs w:val="14"/>
          <w:b w:val="1"/>
          <w:bCs w:val="1"/>
          <w:u w:val="single" w:color="auto"/>
          <w:color w:val="auto"/>
        </w:rPr>
        <w:t>I</w:t>
      </w:r>
      <w:r>
        <w:rPr>
          <w:rFonts w:ascii="Arial" w:cs="Arial" w:eastAsia="Arial" w:hAnsi="Arial"/>
          <w:sz w:val="9"/>
          <w:szCs w:val="9"/>
          <w:b w:val="1"/>
          <w:bCs w:val="1"/>
          <w:u w:val="single" w:color="auto"/>
          <w:color w:val="auto"/>
        </w:rPr>
        <w:t>NFORMATION</w:t>
      </w:r>
      <w:r>
        <w:rPr>
          <w:rFonts w:ascii="Arial" w:cs="Arial" w:eastAsia="Arial" w:hAnsi="Arial"/>
          <w:sz w:val="14"/>
          <w:szCs w:val="14"/>
          <w:b w:val="1"/>
          <w:bCs w:val="1"/>
          <w:color w:val="auto"/>
        </w:rPr>
        <w:t>.</w:t>
      </w:r>
    </w:p>
    <w:p>
      <w:pPr>
        <w:spacing w:after="0" w:line="149" w:lineRule="exact"/>
        <w:rPr>
          <w:sz w:val="20"/>
          <w:szCs w:val="20"/>
          <w:color w:val="auto"/>
        </w:rPr>
      </w:pPr>
    </w:p>
    <w:p>
      <w:pPr>
        <w:jc w:val="both"/>
        <w:ind w:firstLine="1531"/>
        <w:spacing w:after="0" w:line="252" w:lineRule="auto"/>
        <w:rPr>
          <w:sz w:val="20"/>
          <w:szCs w:val="20"/>
          <w:color w:val="auto"/>
        </w:rPr>
      </w:pPr>
      <w:r>
        <w:rPr>
          <w:rFonts w:ascii="Arial" w:cs="Arial" w:eastAsia="Arial" w:hAnsi="Arial"/>
          <w:sz w:val="14"/>
          <w:szCs w:val="14"/>
          <w:color w:val="auto"/>
        </w:rPr>
        <w:t>The grant of the Options is exempt from the requirement to publish a prospectus under the EU Prospectus Regulation as implemented in the United Kingdom. This Option Agreement is not an approved prospectus for the purposes of section 85(1) of the Financial Services and Markets Act 2000 (</w:t>
      </w:r>
      <w:r>
        <w:rPr>
          <w:rFonts w:ascii="Arial" w:cs="Arial" w:eastAsia="Arial" w:hAnsi="Arial"/>
          <w:sz w:val="14"/>
          <w:szCs w:val="14"/>
          <w:i w:val="1"/>
          <w:iCs w:val="1"/>
          <w:color w:val="auto"/>
        </w:rPr>
        <w:t>“</w:t>
      </w:r>
      <w:r>
        <w:rPr>
          <w:rFonts w:ascii="Arial" w:cs="Arial" w:eastAsia="Arial" w:hAnsi="Arial"/>
          <w:sz w:val="14"/>
          <w:szCs w:val="14"/>
          <w:b w:val="1"/>
          <w:bCs w:val="1"/>
          <w:i w:val="1"/>
          <w:iCs w:val="1"/>
          <w:color w:val="auto"/>
        </w:rPr>
        <w:t>FSMA</w:t>
      </w:r>
      <w:r>
        <w:rPr>
          <w:rFonts w:ascii="Arial" w:cs="Arial" w:eastAsia="Arial" w:hAnsi="Arial"/>
          <w:sz w:val="14"/>
          <w:szCs w:val="14"/>
          <w:i w:val="1"/>
          <w:iCs w:val="1"/>
          <w:color w:val="auto"/>
        </w:rPr>
        <w:t>”</w:t>
      </w:r>
      <w:r>
        <w:rPr>
          <w:rFonts w:ascii="Arial" w:cs="Arial" w:eastAsia="Arial" w:hAnsi="Arial"/>
          <w:sz w:val="14"/>
          <w:szCs w:val="14"/>
          <w:color w:val="auto"/>
        </w:rPr>
        <w:t>) and no offer of transferable securities to the public (for the purposes of section 102B of FSMA) is being made in connection with this Option Agreement. This Option Agreement and the Option are exclusively available in the UK to bona fide employees and former employees of the Company or its Affiliate.</w:t>
      </w:r>
    </w:p>
    <w:p>
      <w:pPr>
        <w:spacing w:after="0" w:line="112" w:lineRule="exact"/>
        <w:rPr>
          <w:sz w:val="20"/>
          <w:szCs w:val="20"/>
          <w:color w:val="auto"/>
        </w:rPr>
      </w:pPr>
    </w:p>
    <w:p>
      <w:pPr>
        <w:ind w:left="1380" w:hanging="622"/>
        <w:spacing w:after="0"/>
        <w:tabs>
          <w:tab w:leader="none" w:pos="1380" w:val="left"/>
        </w:tabs>
        <w:numPr>
          <w:ilvl w:val="0"/>
          <w:numId w:val="108"/>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P</w:t>
      </w:r>
      <w:r>
        <w:rPr>
          <w:rFonts w:ascii="Arial" w:cs="Arial" w:eastAsia="Arial" w:hAnsi="Arial"/>
          <w:sz w:val="9"/>
          <w:szCs w:val="9"/>
          <w:b w:val="1"/>
          <w:bCs w:val="1"/>
          <w:u w:val="single" w:color="auto"/>
          <w:color w:val="auto"/>
        </w:rPr>
        <w:t>ROHIBITION</w:t>
      </w:r>
      <w:r>
        <w:rPr>
          <w:rFonts w:ascii="Arial" w:cs="Arial" w:eastAsia="Arial" w:hAnsi="Arial"/>
          <w:sz w:val="14"/>
          <w:szCs w:val="14"/>
          <w:b w:val="1"/>
          <w:bCs w:val="1"/>
          <w:color w:val="auto"/>
        </w:rPr>
        <w:t xml:space="preserve"> </w:t>
      </w:r>
      <w:r>
        <w:rPr>
          <w:rFonts w:ascii="Arial" w:cs="Arial" w:eastAsia="Arial" w:hAnsi="Arial"/>
          <w:sz w:val="14"/>
          <w:szCs w:val="14"/>
          <w:b w:val="1"/>
          <w:bCs w:val="1"/>
          <w:u w:val="single" w:color="auto"/>
          <w:color w:val="auto"/>
        </w:rPr>
        <w:t>A</w:t>
      </w:r>
      <w:r>
        <w:rPr>
          <w:rFonts w:ascii="Arial" w:cs="Arial" w:eastAsia="Arial" w:hAnsi="Arial"/>
          <w:sz w:val="9"/>
          <w:szCs w:val="9"/>
          <w:b w:val="1"/>
          <w:bCs w:val="1"/>
          <w:u w:val="single" w:color="auto"/>
          <w:color w:val="auto"/>
        </w:rPr>
        <w:t>GAINST</w:t>
      </w:r>
      <w:r>
        <w:rPr>
          <w:rFonts w:ascii="Arial" w:cs="Arial" w:eastAsia="Arial" w:hAnsi="Arial"/>
          <w:sz w:val="14"/>
          <w:szCs w:val="14"/>
          <w:b w:val="1"/>
          <w:bCs w:val="1"/>
          <w:color w:val="auto"/>
        </w:rPr>
        <w:t xml:space="preserve"> </w:t>
      </w:r>
      <w:r>
        <w:rPr>
          <w:rFonts w:ascii="Arial" w:cs="Arial" w:eastAsia="Arial" w:hAnsi="Arial"/>
          <w:sz w:val="14"/>
          <w:szCs w:val="14"/>
          <w:b w:val="1"/>
          <w:bCs w:val="1"/>
          <w:u w:val="single" w:color="auto"/>
          <w:color w:val="auto"/>
        </w:rPr>
        <w:t>I</w:t>
      </w:r>
      <w:r>
        <w:rPr>
          <w:rFonts w:ascii="Arial" w:cs="Arial" w:eastAsia="Arial" w:hAnsi="Arial"/>
          <w:sz w:val="9"/>
          <w:szCs w:val="9"/>
          <w:b w:val="1"/>
          <w:bCs w:val="1"/>
          <w:u w:val="single" w:color="auto"/>
          <w:color w:val="auto"/>
        </w:rPr>
        <w:t>NSIDER</w:t>
      </w:r>
      <w:r>
        <w:rPr>
          <w:rFonts w:ascii="Arial" w:cs="Arial" w:eastAsia="Arial" w:hAnsi="Arial"/>
          <w:sz w:val="14"/>
          <w:szCs w:val="14"/>
          <w:b w:val="1"/>
          <w:bCs w:val="1"/>
          <w:color w:val="auto"/>
        </w:rPr>
        <w:t xml:space="preserve"> </w:t>
      </w:r>
      <w:r>
        <w:rPr>
          <w:rFonts w:ascii="Arial" w:cs="Arial" w:eastAsia="Arial" w:hAnsi="Arial"/>
          <w:sz w:val="14"/>
          <w:szCs w:val="14"/>
          <w:b w:val="1"/>
          <w:bCs w:val="1"/>
          <w:u w:val="single" w:color="auto"/>
          <w:color w:val="auto"/>
        </w:rPr>
        <w:t>D</w:t>
      </w:r>
      <w:r>
        <w:rPr>
          <w:rFonts w:ascii="Arial" w:cs="Arial" w:eastAsia="Arial" w:hAnsi="Arial"/>
          <w:sz w:val="9"/>
          <w:szCs w:val="9"/>
          <w:b w:val="1"/>
          <w:bCs w:val="1"/>
          <w:u w:val="single" w:color="auto"/>
          <w:color w:val="auto"/>
        </w:rPr>
        <w:t>EALING</w:t>
      </w:r>
      <w:r>
        <w:rPr>
          <w:rFonts w:ascii="Arial" w:cs="Arial" w:eastAsia="Arial" w:hAnsi="Arial"/>
          <w:sz w:val="14"/>
          <w:szCs w:val="14"/>
          <w:b w:val="1"/>
          <w:bCs w:val="1"/>
          <w:color w:val="auto"/>
        </w:rPr>
        <w:t>.</w:t>
      </w:r>
    </w:p>
    <w:p>
      <w:pPr>
        <w:spacing w:after="0" w:line="149" w:lineRule="exact"/>
        <w:rPr>
          <w:sz w:val="20"/>
          <w:szCs w:val="20"/>
          <w:color w:val="auto"/>
        </w:rPr>
      </w:pPr>
    </w:p>
    <w:p>
      <w:pPr>
        <w:jc w:val="both"/>
        <w:ind w:firstLine="1531"/>
        <w:spacing w:after="0" w:line="252" w:lineRule="auto"/>
        <w:rPr>
          <w:sz w:val="20"/>
          <w:szCs w:val="20"/>
          <w:color w:val="auto"/>
        </w:rPr>
      </w:pPr>
      <w:r>
        <w:rPr>
          <w:rFonts w:ascii="Arial" w:cs="Arial" w:eastAsia="Arial" w:hAnsi="Arial"/>
          <w:sz w:val="14"/>
          <w:szCs w:val="14"/>
          <w:color w:val="auto"/>
        </w:rPr>
        <w:t>The Participant should be aware of: (a) the insider dealing rules of the Regulation (EU) No 596/2014 of the European Parliament and Council (Market Abuse Regulation) which apply in the UK; and (b) the UK's insider dealing rules under the Criminal Justice Act 1993; each of which may affect transactions under the Plan such as the acquisition or sale of shares acquired under the Plan, if the Participant has inside information regarding the Company. If the Participant is uncertain whether the insider dealing rules apply, the Company recommends that the Participant consults with a legal advisor. The Company cannot be held liable if the</w:t>
      </w:r>
    </w:p>
    <w:p>
      <w:pPr>
        <w:spacing w:after="0" w:line="98" w:lineRule="exact"/>
        <w:rPr>
          <w:sz w:val="20"/>
          <w:szCs w:val="20"/>
          <w:color w:val="auto"/>
        </w:rPr>
      </w:pPr>
    </w:p>
    <w:p>
      <w:pPr>
        <w:ind w:left="760"/>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100330</wp:posOffset>
            </wp:positionV>
            <wp:extent cx="7329170" cy="3683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29">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269" w:right="199" w:bottom="1440" w:gutter="0" w:footer="0" w:header="0"/>
        </w:sectPr>
      </w:pPr>
    </w:p>
    <w:bookmarkStart w:id="150" w:name="page151"/>
    <w:bookmarkEnd w:id="150"/>
    <w:p>
      <w:pPr>
        <w:spacing w:after="0"/>
        <w:rPr>
          <w:sz w:val="20"/>
          <w:szCs w:val="20"/>
          <w:color w:val="auto"/>
        </w:rPr>
      </w:pPr>
      <w:r>
        <w:rPr>
          <w:rFonts w:ascii="Arial" w:cs="Arial" w:eastAsia="Arial" w:hAnsi="Arial"/>
          <w:sz w:val="14"/>
          <w:szCs w:val="14"/>
          <w:color w:val="auto"/>
        </w:rPr>
        <w:t>Participant violates the UK's insider dealing rules. The Participant is responsible for ensuring his or her compliance with these rules.</w:t>
      </w:r>
    </w:p>
    <w:p>
      <w:pPr>
        <w:spacing w:after="0" w:line="141" w:lineRule="exact"/>
        <w:rPr>
          <w:sz w:val="20"/>
          <w:szCs w:val="20"/>
          <w:color w:val="auto"/>
        </w:rPr>
      </w:pPr>
    </w:p>
    <w:p>
      <w:pPr>
        <w:ind w:left="1380" w:hanging="622"/>
        <w:spacing w:after="0"/>
        <w:tabs>
          <w:tab w:leader="none" w:pos="1380" w:val="left"/>
        </w:tabs>
        <w:numPr>
          <w:ilvl w:val="0"/>
          <w:numId w:val="109"/>
        </w:numPr>
        <w:rPr>
          <w:rFonts w:ascii="Arial" w:cs="Arial" w:eastAsia="Arial" w:hAnsi="Arial"/>
          <w:sz w:val="14"/>
          <w:szCs w:val="14"/>
          <w:color w:val="auto"/>
        </w:rPr>
      </w:pPr>
      <w:r>
        <w:rPr>
          <w:rFonts w:ascii="Arial" w:cs="Arial" w:eastAsia="Arial" w:hAnsi="Arial"/>
          <w:sz w:val="14"/>
          <w:szCs w:val="14"/>
          <w:b w:val="1"/>
          <w:bCs w:val="1"/>
          <w:u w:val="single" w:color="auto"/>
          <w:color w:val="auto"/>
        </w:rPr>
        <w:t>M</w:t>
      </w:r>
      <w:r>
        <w:rPr>
          <w:rFonts w:ascii="Arial" w:cs="Arial" w:eastAsia="Arial" w:hAnsi="Arial"/>
          <w:sz w:val="9"/>
          <w:szCs w:val="9"/>
          <w:b w:val="1"/>
          <w:bCs w:val="1"/>
          <w:u w:val="single" w:color="auto"/>
          <w:color w:val="auto"/>
        </w:rPr>
        <w:t>ISCELLANEOUS</w:t>
      </w:r>
      <w:r>
        <w:rPr>
          <w:rFonts w:ascii="Arial" w:cs="Arial" w:eastAsia="Arial" w:hAnsi="Arial"/>
          <w:sz w:val="14"/>
          <w:szCs w:val="14"/>
          <w:b w:val="1"/>
          <w:bCs w:val="1"/>
          <w:color w:val="auto"/>
        </w:rPr>
        <w:t xml:space="preserve"> </w:t>
      </w:r>
      <w:r>
        <w:rPr>
          <w:rFonts w:ascii="Arial" w:cs="Arial" w:eastAsia="Arial" w:hAnsi="Arial"/>
          <w:sz w:val="14"/>
          <w:szCs w:val="14"/>
          <w:b w:val="1"/>
          <w:bCs w:val="1"/>
          <w:u w:val="single" w:color="auto"/>
          <w:color w:val="auto"/>
        </w:rPr>
        <w:t>P</w:t>
      </w:r>
      <w:r>
        <w:rPr>
          <w:rFonts w:ascii="Arial" w:cs="Arial" w:eastAsia="Arial" w:hAnsi="Arial"/>
          <w:sz w:val="9"/>
          <w:szCs w:val="9"/>
          <w:b w:val="1"/>
          <w:bCs w:val="1"/>
          <w:u w:val="single" w:color="auto"/>
          <w:color w:val="auto"/>
        </w:rPr>
        <w:t>ROVISIONS</w:t>
      </w:r>
      <w:r>
        <w:rPr>
          <w:rFonts w:ascii="Arial" w:cs="Arial" w:eastAsia="Arial" w:hAnsi="Arial"/>
          <w:sz w:val="14"/>
          <w:szCs w:val="14"/>
          <w:b w:val="1"/>
          <w:bCs w:val="1"/>
          <w:color w:val="auto"/>
        </w:rPr>
        <w:t>.</w:t>
      </w:r>
    </w:p>
    <w:p>
      <w:pPr>
        <w:spacing w:after="0" w:line="145" w:lineRule="exact"/>
        <w:rPr>
          <w:sz w:val="20"/>
          <w:szCs w:val="20"/>
          <w:color w:val="auto"/>
        </w:rPr>
      </w:pPr>
    </w:p>
    <w:p>
      <w:pPr>
        <w:jc w:val="both"/>
        <w:ind w:firstLine="1531"/>
        <w:spacing w:after="0" w:line="254" w:lineRule="auto"/>
        <w:rPr>
          <w:sz w:val="20"/>
          <w:szCs w:val="20"/>
          <w:color w:val="auto"/>
        </w:rPr>
      </w:pPr>
      <w:r>
        <w:rPr>
          <w:rFonts w:ascii="Arial" w:cs="Arial" w:eastAsia="Arial" w:hAnsi="Arial"/>
          <w:sz w:val="14"/>
          <w:szCs w:val="14"/>
          <w:color w:val="auto"/>
        </w:rPr>
        <w:t xml:space="preserve">18.1 </w:t>
      </w:r>
      <w:r>
        <w:rPr>
          <w:rFonts w:ascii="Arial" w:cs="Arial" w:eastAsia="Arial" w:hAnsi="Arial"/>
          <w:sz w:val="14"/>
          <w:szCs w:val="14"/>
          <w:b w:val="1"/>
          <w:bCs w:val="1"/>
          <w:color w:val="auto"/>
        </w:rPr>
        <w:t>Termination or Amendment.</w:t>
      </w:r>
      <w:r>
        <w:rPr>
          <w:rFonts w:ascii="Arial" w:cs="Arial" w:eastAsia="Arial" w:hAnsi="Arial"/>
          <w:sz w:val="14"/>
          <w:szCs w:val="14"/>
          <w:color w:val="auto"/>
        </w:rPr>
        <w:t xml:space="preserve"> The Committee may terminate or amend the Plan or the Option at any time; provided, however, that except as provided in Section 8 in connection with a Change in Control, no such termination or amendment may have a materially adverse effect on the Option or any unexercised portion thereof without the consent of the Participant unless such termination or amendment is necessary to comply with any applicable law or government regulation. No amendment or addition to this Option Agreement shall be effective unless in writing.</w:t>
      </w:r>
    </w:p>
    <w:p>
      <w:pPr>
        <w:spacing w:after="0" w:line="111" w:lineRule="exact"/>
        <w:rPr>
          <w:sz w:val="20"/>
          <w:szCs w:val="20"/>
          <w:color w:val="auto"/>
        </w:rPr>
      </w:pPr>
    </w:p>
    <w:p>
      <w:pPr>
        <w:jc w:val="both"/>
        <w:ind w:firstLine="1531"/>
        <w:spacing w:after="0" w:line="279" w:lineRule="auto"/>
        <w:rPr>
          <w:sz w:val="20"/>
          <w:szCs w:val="20"/>
          <w:color w:val="auto"/>
        </w:rPr>
      </w:pPr>
      <w:r>
        <w:rPr>
          <w:rFonts w:ascii="Arial" w:cs="Arial" w:eastAsia="Arial" w:hAnsi="Arial"/>
          <w:sz w:val="14"/>
          <w:szCs w:val="14"/>
          <w:color w:val="auto"/>
        </w:rPr>
        <w:t xml:space="preserve">18.2 </w:t>
      </w:r>
      <w:r>
        <w:rPr>
          <w:rFonts w:ascii="Arial" w:cs="Arial" w:eastAsia="Arial" w:hAnsi="Arial"/>
          <w:sz w:val="14"/>
          <w:szCs w:val="14"/>
          <w:b w:val="1"/>
          <w:bCs w:val="1"/>
          <w:color w:val="auto"/>
        </w:rPr>
        <w:t>Further Instruments.</w:t>
      </w:r>
      <w:r>
        <w:rPr>
          <w:rFonts w:ascii="Arial" w:cs="Arial" w:eastAsia="Arial" w:hAnsi="Arial"/>
          <w:sz w:val="14"/>
          <w:szCs w:val="14"/>
          <w:color w:val="auto"/>
        </w:rPr>
        <w:t xml:space="preserve"> The parties hereto agree to execute such further instruments and to take such further action as may reasonably be necessary to carry out the intent of this Option Agreement.</w:t>
      </w:r>
    </w:p>
    <w:p>
      <w:pPr>
        <w:spacing w:after="0" w:line="94" w:lineRule="exact"/>
        <w:rPr>
          <w:sz w:val="20"/>
          <w:szCs w:val="20"/>
          <w:color w:val="auto"/>
        </w:rPr>
      </w:pPr>
    </w:p>
    <w:p>
      <w:pPr>
        <w:jc w:val="both"/>
        <w:ind w:right="20" w:firstLine="1531"/>
        <w:spacing w:after="0" w:line="279" w:lineRule="auto"/>
        <w:rPr>
          <w:sz w:val="20"/>
          <w:szCs w:val="20"/>
          <w:color w:val="auto"/>
        </w:rPr>
      </w:pPr>
      <w:r>
        <w:rPr>
          <w:rFonts w:ascii="Arial" w:cs="Arial" w:eastAsia="Arial" w:hAnsi="Arial"/>
          <w:sz w:val="14"/>
          <w:szCs w:val="14"/>
          <w:color w:val="auto"/>
        </w:rPr>
        <w:t xml:space="preserve">18.3 </w:t>
      </w:r>
      <w:r>
        <w:rPr>
          <w:rFonts w:ascii="Arial" w:cs="Arial" w:eastAsia="Arial" w:hAnsi="Arial"/>
          <w:sz w:val="14"/>
          <w:szCs w:val="14"/>
          <w:b w:val="1"/>
          <w:bCs w:val="1"/>
          <w:color w:val="auto"/>
        </w:rPr>
        <w:t>Binding Effect.</w:t>
      </w:r>
      <w:r>
        <w:rPr>
          <w:rFonts w:ascii="Arial" w:cs="Arial" w:eastAsia="Arial" w:hAnsi="Arial"/>
          <w:sz w:val="14"/>
          <w:szCs w:val="14"/>
          <w:color w:val="auto"/>
        </w:rPr>
        <w:t xml:space="preserve"> This Option Agreement shall inure to the benefit of the successors and assigns of the Company and, subject to the restrictions on transfer set forth herein, be binding upon the Participant and the Participant’s heirs, executors, administrators, successors and assigns.</w:t>
      </w:r>
    </w:p>
    <w:p>
      <w:pPr>
        <w:spacing w:after="0" w:line="94" w:lineRule="exact"/>
        <w:rPr>
          <w:sz w:val="20"/>
          <w:szCs w:val="20"/>
          <w:color w:val="auto"/>
        </w:rPr>
      </w:pPr>
    </w:p>
    <w:p>
      <w:pPr>
        <w:jc w:val="both"/>
        <w:ind w:firstLine="1531"/>
        <w:spacing w:after="0" w:line="251" w:lineRule="auto"/>
        <w:rPr>
          <w:sz w:val="20"/>
          <w:szCs w:val="20"/>
          <w:color w:val="auto"/>
        </w:rPr>
      </w:pPr>
      <w:r>
        <w:rPr>
          <w:rFonts w:ascii="Arial" w:cs="Arial" w:eastAsia="Arial" w:hAnsi="Arial"/>
          <w:sz w:val="14"/>
          <w:szCs w:val="14"/>
          <w:color w:val="auto"/>
        </w:rPr>
        <w:t xml:space="preserve">18.4 </w:t>
      </w:r>
      <w:r>
        <w:rPr>
          <w:rFonts w:ascii="Arial" w:cs="Arial" w:eastAsia="Arial" w:hAnsi="Arial"/>
          <w:sz w:val="14"/>
          <w:szCs w:val="14"/>
          <w:b w:val="1"/>
          <w:bCs w:val="1"/>
          <w:color w:val="auto"/>
        </w:rPr>
        <w:t>Delivery of Documents and Notices.</w:t>
      </w:r>
      <w:r>
        <w:rPr>
          <w:rFonts w:ascii="Arial" w:cs="Arial" w:eastAsia="Arial" w:hAnsi="Arial"/>
          <w:sz w:val="14"/>
          <w:szCs w:val="14"/>
          <w:color w:val="auto"/>
        </w:rPr>
        <w:t xml:space="preserve"> Any document relating to participation in the Plan or any notice required or permitted hereunder shall be given in writing and shall be deemed effectively given (except to the extent that this Option Agreement provides for effectiveness only upon actual receipt of such notice) upon personal delivery, electronic delivery at the e-mail address, if any, provided for the Participant by a Participating Company, or upon deposit in the U.S. Post Office or foreign postal service, by registered or certified mail, or with a nationally recognized overnight courier service, with postage and fees prepaid, addressed to the other party at the address of such party set forth in the Grant Notice or at such other address as such party may designate in writing from time to time to the other party.</w:t>
      </w:r>
    </w:p>
    <w:p>
      <w:pPr>
        <w:spacing w:after="0" w:line="117" w:lineRule="exact"/>
        <w:rPr>
          <w:sz w:val="20"/>
          <w:szCs w:val="20"/>
          <w:color w:val="auto"/>
        </w:rPr>
      </w:pPr>
    </w:p>
    <w:p>
      <w:pPr>
        <w:jc w:val="both"/>
        <w:ind w:firstLine="2289"/>
        <w:spacing w:after="0" w:line="248" w:lineRule="auto"/>
        <w:tabs>
          <w:tab w:leader="none" w:pos="2889" w:val="left"/>
        </w:tabs>
        <w:numPr>
          <w:ilvl w:val="0"/>
          <w:numId w:val="110"/>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Description of Electronic Delivery and Signature. </w:t>
      </w:r>
      <w:r>
        <w:rPr>
          <w:rFonts w:ascii="Arial" w:cs="Arial" w:eastAsia="Arial" w:hAnsi="Arial"/>
          <w:sz w:val="14"/>
          <w:szCs w:val="14"/>
          <w:color w:val="auto"/>
        </w:rPr>
        <w:t>The Plan documents, which may include but do not necessarily include: the Plan, the Grant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Notice, this Option Agreement, the Plan Prospectus, and any reports of the Company provided generally to the Company’s stockholders, may be delivered to the Participant electronically. In addition, if permitted by the Company, the Participant may deliver electronically the Grant Notice and Exercise Notice called for by Section 4.2 to the Company or to such third party involved in administering the Plan as the Company may designate from time to time. Such means of electronic delivery may include but do not necessarily include the delivery of a link to a Company intranet or the Internet site of a third party involved in administering the Plan, the delivery of the document via e-mail or such other means of electronic delivery specified by the Company. Any and all such documents and notices may be electronically signed.</w:t>
      </w:r>
    </w:p>
    <w:p>
      <w:pPr>
        <w:spacing w:after="0" w:line="118" w:lineRule="exact"/>
        <w:rPr>
          <w:rFonts w:ascii="Arial" w:cs="Arial" w:eastAsia="Arial" w:hAnsi="Arial"/>
          <w:sz w:val="14"/>
          <w:szCs w:val="14"/>
          <w:color w:val="auto"/>
        </w:rPr>
      </w:pPr>
    </w:p>
    <w:p>
      <w:pPr>
        <w:jc w:val="both"/>
        <w:ind w:firstLine="2289"/>
        <w:spacing w:after="0" w:line="247" w:lineRule="auto"/>
        <w:tabs>
          <w:tab w:leader="none" w:pos="2897" w:val="left"/>
        </w:tabs>
        <w:numPr>
          <w:ilvl w:val="0"/>
          <w:numId w:val="110"/>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Consent to Electronic Delivery and Signature. </w:t>
      </w:r>
      <w:r>
        <w:rPr>
          <w:rFonts w:ascii="Arial" w:cs="Arial" w:eastAsia="Arial" w:hAnsi="Arial"/>
          <w:sz w:val="14"/>
          <w:szCs w:val="14"/>
          <w:color w:val="auto"/>
        </w:rPr>
        <w:t>The Participant acknowledges that the Participant has read Section 18.4(a) of this Option</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Agreement and consents to the electronic delivery of the Plan documents and, if permitted by the Company, the delivery of the Grant Notice and Exercise Notice, as described in Section 18.4(a). The Participant agrees that any and all such documents requiring a signature may be electronically signed and that such electronic signature shall have the same effect as handwritten signature for the purposes of validity, enforceability and admissibility. The Participant acknowledges that he or she may receive from the Company a paper copy of any documents delivered electronically at no cost to the Participant by contacting the Company by telephone or in writing. The Participant further acknowledges that the Participant will be provided with a paper copy of any documents if the attempted electronic delivery of such documents fails. Similarly, the Participant understands that the Participant must provide the Company or any designated third-party administrator with a paper copy of any documents if the attempted electronic delivery of such documents</w:t>
      </w:r>
    </w:p>
    <w:p>
      <w:pPr>
        <w:spacing w:after="0" w:line="101" w:lineRule="exact"/>
        <w:rPr>
          <w:sz w:val="20"/>
          <w:szCs w:val="20"/>
          <w:color w:val="auto"/>
        </w:rPr>
      </w:pPr>
    </w:p>
    <w:p>
      <w:pPr>
        <w:ind w:left="760"/>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100330</wp:posOffset>
            </wp:positionV>
            <wp:extent cx="7329170" cy="3683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30">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269" w:right="199" w:bottom="1440" w:gutter="0" w:footer="0" w:header="0"/>
        </w:sectPr>
      </w:pPr>
    </w:p>
    <w:bookmarkStart w:id="151" w:name="page152"/>
    <w:bookmarkEnd w:id="151"/>
    <w:p>
      <w:pPr>
        <w:jc w:val="both"/>
        <w:spacing w:after="0" w:line="257" w:lineRule="auto"/>
        <w:rPr>
          <w:sz w:val="20"/>
          <w:szCs w:val="20"/>
          <w:color w:val="auto"/>
        </w:rPr>
      </w:pPr>
      <w:r>
        <w:rPr>
          <w:rFonts w:ascii="Arial" w:cs="Arial" w:eastAsia="Arial" w:hAnsi="Arial"/>
          <w:sz w:val="14"/>
          <w:szCs w:val="14"/>
          <w:color w:val="auto"/>
        </w:rPr>
        <w:t>fails. The Participant may revoke his or her consent to the electronic delivery of documents described in Section 18.4(a) or may change the electronic mail address to which such documents are to be delivered (if the Participant has provided an electronic mail address) at any time by notifying the Company of such revoked consent or revised e-mail address by telephone, postal service or electronic mail. Finally, the Participant understands that he or she is not required to consent to electronic delivery of documents described in Section 18.4(a).</w:t>
      </w:r>
    </w:p>
    <w:p>
      <w:pPr>
        <w:spacing w:after="0" w:line="109" w:lineRule="exact"/>
        <w:rPr>
          <w:sz w:val="20"/>
          <w:szCs w:val="20"/>
          <w:color w:val="auto"/>
        </w:rPr>
      </w:pPr>
    </w:p>
    <w:p>
      <w:pPr>
        <w:jc w:val="both"/>
        <w:ind w:firstLine="1531"/>
        <w:spacing w:after="0" w:line="254" w:lineRule="auto"/>
        <w:rPr>
          <w:sz w:val="20"/>
          <w:szCs w:val="20"/>
          <w:color w:val="auto"/>
        </w:rPr>
      </w:pPr>
      <w:r>
        <w:rPr>
          <w:rFonts w:ascii="Arial" w:cs="Arial" w:eastAsia="Arial" w:hAnsi="Arial"/>
          <w:sz w:val="14"/>
          <w:szCs w:val="14"/>
          <w:color w:val="auto"/>
        </w:rPr>
        <w:t xml:space="preserve">18.5 </w:t>
      </w:r>
      <w:r>
        <w:rPr>
          <w:rFonts w:ascii="Arial" w:cs="Arial" w:eastAsia="Arial" w:hAnsi="Arial"/>
          <w:sz w:val="14"/>
          <w:szCs w:val="14"/>
          <w:b w:val="1"/>
          <w:bCs w:val="1"/>
          <w:color w:val="auto"/>
        </w:rPr>
        <w:t>Integrated Agreement.</w:t>
      </w:r>
      <w:r>
        <w:rPr>
          <w:rFonts w:ascii="Arial" w:cs="Arial" w:eastAsia="Arial" w:hAnsi="Arial"/>
          <w:sz w:val="14"/>
          <w:szCs w:val="14"/>
          <w:color w:val="auto"/>
        </w:rPr>
        <w:t xml:space="preserve"> The Grant Notice, this Option Agreement and the Plan, together with the Superseding Agreement, if any, shall constitute the entire understanding and agreement of the Participant and the Participating Company Group with respect to the subject matter contained herein and supersede any prior agreements, understandings, restrictions, representations, or warranties among the Participant and the Participating Company Group with respect to such subject matter. To the extent contemplated herein, the provisions of the Grant Notice, the Option Agreement and the Plan shall survive any exercise of the Option and shall remain in full force and effect.</w:t>
      </w:r>
    </w:p>
    <w:p>
      <w:pPr>
        <w:spacing w:after="0" w:line="111" w:lineRule="exact"/>
        <w:rPr>
          <w:sz w:val="20"/>
          <w:szCs w:val="20"/>
          <w:color w:val="auto"/>
        </w:rPr>
      </w:pPr>
    </w:p>
    <w:p>
      <w:pPr>
        <w:jc w:val="both"/>
        <w:ind w:firstLine="1531"/>
        <w:spacing w:after="0" w:line="279" w:lineRule="auto"/>
        <w:rPr>
          <w:sz w:val="20"/>
          <w:szCs w:val="20"/>
          <w:color w:val="auto"/>
        </w:rPr>
      </w:pPr>
      <w:r>
        <w:rPr>
          <w:rFonts w:ascii="Arial" w:cs="Arial" w:eastAsia="Arial" w:hAnsi="Arial"/>
          <w:sz w:val="14"/>
          <w:szCs w:val="14"/>
          <w:color w:val="auto"/>
        </w:rPr>
        <w:t xml:space="preserve">18.6 </w:t>
      </w:r>
      <w:r>
        <w:rPr>
          <w:rFonts w:ascii="Arial" w:cs="Arial" w:eastAsia="Arial" w:hAnsi="Arial"/>
          <w:sz w:val="14"/>
          <w:szCs w:val="14"/>
          <w:b w:val="1"/>
          <w:bCs w:val="1"/>
          <w:color w:val="auto"/>
        </w:rPr>
        <w:t>Applicable Law.</w:t>
      </w:r>
      <w:r>
        <w:rPr>
          <w:rFonts w:ascii="Arial" w:cs="Arial" w:eastAsia="Arial" w:hAnsi="Arial"/>
          <w:sz w:val="14"/>
          <w:szCs w:val="14"/>
          <w:color w:val="auto"/>
        </w:rPr>
        <w:t xml:space="preserve"> This Option Agreement shall be governed by the laws of the State of Delaware as such laws are applied to agreements between Delaware residents entered into and to be performed entirely within the State of Delaware.</w:t>
      </w:r>
    </w:p>
    <w:p>
      <w:pPr>
        <w:spacing w:after="0" w:line="94" w:lineRule="exact"/>
        <w:rPr>
          <w:sz w:val="20"/>
          <w:szCs w:val="20"/>
          <w:color w:val="auto"/>
        </w:rPr>
      </w:pPr>
    </w:p>
    <w:p>
      <w:pPr>
        <w:ind w:left="1520"/>
        <w:spacing w:after="0"/>
        <w:tabs>
          <w:tab w:leader="none" w:pos="2180" w:val="left"/>
        </w:tabs>
        <w:rPr>
          <w:sz w:val="20"/>
          <w:szCs w:val="20"/>
          <w:color w:val="auto"/>
        </w:rPr>
      </w:pPr>
      <w:r>
        <w:rPr>
          <w:rFonts w:ascii="Arial" w:cs="Arial" w:eastAsia="Arial" w:hAnsi="Arial"/>
          <w:sz w:val="14"/>
          <w:szCs w:val="14"/>
          <w:color w:val="auto"/>
        </w:rPr>
        <w:t>18.7</w:t>
      </w:r>
      <w:r>
        <w:rPr>
          <w:sz w:val="20"/>
          <w:szCs w:val="20"/>
          <w:color w:val="auto"/>
        </w:rPr>
        <w:tab/>
      </w:r>
      <w:r>
        <w:rPr>
          <w:rFonts w:ascii="Arial" w:cs="Arial" w:eastAsia="Arial" w:hAnsi="Arial"/>
          <w:sz w:val="13"/>
          <w:szCs w:val="13"/>
          <w:b w:val="1"/>
          <w:bCs w:val="1"/>
          <w:color w:val="auto"/>
        </w:rPr>
        <w:t xml:space="preserve">Counterparts. </w:t>
      </w:r>
      <w:r>
        <w:rPr>
          <w:rFonts w:ascii="Arial" w:cs="Arial" w:eastAsia="Arial" w:hAnsi="Arial"/>
          <w:sz w:val="13"/>
          <w:szCs w:val="13"/>
          <w:color w:val="auto"/>
        </w:rPr>
        <w:t>The Grant Notice may be executed in counterparts, each of which shall be deemed an original, but all of which together shall constitute one and</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the same instrument.</w:t>
      </w:r>
    </w:p>
    <w:p>
      <w:pPr>
        <w:spacing w:after="0" w:line="115" w:lineRule="exact"/>
        <w:rPr>
          <w:sz w:val="20"/>
          <w:szCs w:val="20"/>
          <w:color w:val="auto"/>
        </w:rPr>
      </w:pPr>
    </w:p>
    <w:p>
      <w:pPr>
        <w:ind w:left="760"/>
        <w:spacing w:after="0"/>
        <w:rPr>
          <w:sz w:val="20"/>
          <w:szCs w:val="20"/>
          <w:color w:val="auto"/>
        </w:rPr>
      </w:pPr>
      <w:r>
        <w:rPr>
          <w:rFonts w:ascii="Arial" w:cs="Arial" w:eastAsia="Arial" w:hAnsi="Arial"/>
          <w:sz w:val="14"/>
          <w:szCs w:val="14"/>
          <w:color w:val="auto"/>
        </w:rPr>
        <w:t>11</w:t>
      </w:r>
    </w:p>
    <w:p>
      <w:pPr>
        <w:sectPr>
          <w:pgSz w:w="11900" w:h="16838" w:orient="portrait"/>
          <w:cols w:equalWidth="0" w:num="1">
            <w:col w:w="11480"/>
          </w:cols>
          <w:pgMar w:left="220" w:top="269" w:right="199" w:bottom="1440" w:gutter="0" w:footer="0" w:header="0"/>
        </w:sectPr>
      </w:pPr>
    </w:p>
    <w:bookmarkStart w:id="152" w:name="page153"/>
    <w:bookmarkEnd w:id="152"/>
    <w:p>
      <w:pPr>
        <w:ind w:left="10820"/>
        <w:spacing w:after="0"/>
        <w:rPr>
          <w:sz w:val="20"/>
          <w:szCs w:val="20"/>
          <w:color w:val="auto"/>
        </w:rPr>
      </w:pPr>
      <w:r>
        <w:rPr>
          <w:rFonts w:ascii="Arial" w:cs="Arial" w:eastAsia="Arial" w:hAnsi="Arial"/>
          <w:sz w:val="13"/>
          <w:szCs w:val="13"/>
          <w:color w:val="auto"/>
        </w:rPr>
        <w:t>Exhibit 10.26</w:t>
      </w:r>
    </w:p>
    <w:p>
      <w:pPr>
        <w:spacing w:after="0" w:line="18"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VERRA MOBILITY CORPORATION</w:t>
      </w:r>
    </w:p>
    <w:p>
      <w:pPr>
        <w:spacing w:after="0" w:line="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PERFORMANCE SHARE UNITS</w:t>
      </w:r>
    </w:p>
    <w:p>
      <w:pPr>
        <w:spacing w:after="0" w:line="3"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NOTICE OF GRANT AND AWARD AGREEMENT</w:t>
      </w:r>
    </w:p>
    <w:p>
      <w:pPr>
        <w:spacing w:after="0" w:line="133" w:lineRule="exact"/>
        <w:rPr>
          <w:sz w:val="20"/>
          <w:szCs w:val="20"/>
          <w:color w:val="auto"/>
        </w:rPr>
      </w:pPr>
    </w:p>
    <w:p>
      <w:pPr>
        <w:jc w:val="both"/>
        <w:ind w:left="60" w:right="60" w:hanging="50"/>
        <w:spacing w:after="0" w:line="258" w:lineRule="auto"/>
        <w:rPr>
          <w:sz w:val="20"/>
          <w:szCs w:val="20"/>
          <w:color w:val="auto"/>
        </w:rPr>
      </w:pPr>
      <w:r>
        <w:rPr>
          <w:rFonts w:ascii="Arial" w:cs="Arial" w:eastAsia="Arial" w:hAnsi="Arial"/>
          <w:sz w:val="13"/>
          <w:szCs w:val="13"/>
          <w:color w:val="auto"/>
        </w:rPr>
        <w:t>Corporation (the “</w:t>
      </w:r>
      <w:r>
        <w:rPr>
          <w:rFonts w:ascii="Arial" w:cs="Arial" w:eastAsia="Arial" w:hAnsi="Arial"/>
          <w:sz w:val="13"/>
          <w:szCs w:val="13"/>
          <w:b w:val="1"/>
          <w:bCs w:val="1"/>
          <w:i w:val="1"/>
          <w:iCs w:val="1"/>
          <w:color w:val="auto"/>
        </w:rPr>
        <w:t>Company</w:t>
      </w:r>
      <w:r>
        <w:rPr>
          <w:rFonts w:ascii="Arial" w:cs="Arial" w:eastAsia="Arial" w:hAnsi="Arial"/>
          <w:sz w:val="13"/>
          <w:szCs w:val="13"/>
          <w:color w:val="auto"/>
        </w:rPr>
        <w:t>”), pursuant to its 2018 Equity Incentive Plan (the “</w:t>
      </w:r>
      <w:r>
        <w:rPr>
          <w:rFonts w:ascii="Arial" w:cs="Arial" w:eastAsia="Arial" w:hAnsi="Arial"/>
          <w:sz w:val="13"/>
          <w:szCs w:val="13"/>
          <w:b w:val="1"/>
          <w:bCs w:val="1"/>
          <w:i w:val="1"/>
          <w:iCs w:val="1"/>
          <w:color w:val="auto"/>
        </w:rPr>
        <w:t>Plan</w:t>
      </w:r>
      <w:r>
        <w:rPr>
          <w:rFonts w:ascii="Arial" w:cs="Arial" w:eastAsia="Arial" w:hAnsi="Arial"/>
          <w:sz w:val="13"/>
          <w:szCs w:val="13"/>
          <w:color w:val="auto"/>
        </w:rPr>
        <w:t>”), this Notice of Grant (“</w:t>
      </w:r>
      <w:r>
        <w:rPr>
          <w:rFonts w:ascii="Arial" w:cs="Arial" w:eastAsia="Arial" w:hAnsi="Arial"/>
          <w:sz w:val="13"/>
          <w:szCs w:val="13"/>
          <w:b w:val="1"/>
          <w:bCs w:val="1"/>
          <w:i w:val="1"/>
          <w:iCs w:val="1"/>
          <w:color w:val="auto"/>
        </w:rPr>
        <w:t>Grant Notice</w:t>
      </w:r>
      <w:r>
        <w:rPr>
          <w:rFonts w:ascii="Arial" w:cs="Arial" w:eastAsia="Arial" w:hAnsi="Arial"/>
          <w:sz w:val="13"/>
          <w:szCs w:val="13"/>
          <w:color w:val="auto"/>
        </w:rPr>
        <w:t>”) and the attached Award Agreement (the “</w:t>
      </w:r>
      <w:r>
        <w:rPr>
          <w:rFonts w:ascii="Arial" w:cs="Arial" w:eastAsia="Arial" w:hAnsi="Arial"/>
          <w:sz w:val="13"/>
          <w:szCs w:val="13"/>
          <w:b w:val="1"/>
          <w:bCs w:val="1"/>
          <w:i w:val="1"/>
          <w:iCs w:val="1"/>
          <w:color w:val="auto"/>
        </w:rPr>
        <w:t>Agreement</w:t>
      </w:r>
      <w:r>
        <w:rPr>
          <w:rFonts w:ascii="Arial" w:cs="Arial" w:eastAsia="Arial" w:hAnsi="Arial"/>
          <w:sz w:val="13"/>
          <w:szCs w:val="13"/>
          <w:color w:val="auto"/>
        </w:rPr>
        <w:t>”), hereby grants to the holder listed below (the “</w:t>
      </w:r>
      <w:r>
        <w:rPr>
          <w:rFonts w:ascii="Arial" w:cs="Arial" w:eastAsia="Arial" w:hAnsi="Arial"/>
          <w:sz w:val="13"/>
          <w:szCs w:val="13"/>
          <w:b w:val="1"/>
          <w:bCs w:val="1"/>
          <w:i w:val="1"/>
          <w:iCs w:val="1"/>
          <w:color w:val="auto"/>
        </w:rPr>
        <w:t>Participant</w:t>
      </w:r>
      <w:r>
        <w:rPr>
          <w:rFonts w:ascii="Arial" w:cs="Arial" w:eastAsia="Arial" w:hAnsi="Arial"/>
          <w:sz w:val="13"/>
          <w:szCs w:val="13"/>
          <w:color w:val="auto"/>
        </w:rPr>
        <w:t>”), an award (the “</w:t>
      </w:r>
      <w:r>
        <w:rPr>
          <w:rFonts w:ascii="Arial" w:cs="Arial" w:eastAsia="Arial" w:hAnsi="Arial"/>
          <w:sz w:val="13"/>
          <w:szCs w:val="13"/>
          <w:b w:val="1"/>
          <w:bCs w:val="1"/>
          <w:i w:val="1"/>
          <w:iCs w:val="1"/>
          <w:color w:val="auto"/>
        </w:rPr>
        <w:t>Award</w:t>
      </w:r>
      <w:r>
        <w:rPr>
          <w:rFonts w:ascii="Arial" w:cs="Arial" w:eastAsia="Arial" w:hAnsi="Arial"/>
          <w:sz w:val="13"/>
          <w:szCs w:val="13"/>
          <w:color w:val="auto"/>
        </w:rPr>
        <w:t>”) of Performance Share Units (the “</w:t>
      </w:r>
      <w:r>
        <w:rPr>
          <w:rFonts w:ascii="Arial" w:cs="Arial" w:eastAsia="Arial" w:hAnsi="Arial"/>
          <w:sz w:val="13"/>
          <w:szCs w:val="13"/>
          <w:b w:val="1"/>
          <w:bCs w:val="1"/>
          <w:i w:val="1"/>
          <w:iCs w:val="1"/>
          <w:color w:val="auto"/>
        </w:rPr>
        <w:t>Units</w:t>
      </w:r>
      <w:r>
        <w:rPr>
          <w:rFonts w:ascii="Arial" w:cs="Arial" w:eastAsia="Arial" w:hAnsi="Arial"/>
          <w:sz w:val="13"/>
          <w:szCs w:val="13"/>
          <w:color w:val="auto"/>
        </w:rPr>
        <w:t>”), each of which represents the right to receive on the applicable Settlement Date one (1) share of Stock (each a “</w:t>
      </w:r>
      <w:r>
        <w:rPr>
          <w:rFonts w:ascii="Arial" w:cs="Arial" w:eastAsia="Arial" w:hAnsi="Arial"/>
          <w:sz w:val="13"/>
          <w:szCs w:val="13"/>
          <w:b w:val="1"/>
          <w:bCs w:val="1"/>
          <w:i w:val="1"/>
          <w:iCs w:val="1"/>
          <w:color w:val="auto"/>
        </w:rPr>
        <w:t>Share</w:t>
      </w:r>
      <w:r>
        <w:rPr>
          <w:rFonts w:ascii="Arial" w:cs="Arial" w:eastAsia="Arial" w:hAnsi="Arial"/>
          <w:sz w:val="13"/>
          <w:szCs w:val="13"/>
          <w:color w:val="auto"/>
        </w:rPr>
        <w:t>”), as follows:</w:t>
      </w:r>
    </w:p>
    <w:p>
      <w:pPr>
        <w:spacing w:after="0" w:line="117" w:lineRule="exact"/>
        <w:rPr>
          <w:sz w:val="20"/>
          <w:szCs w:val="20"/>
          <w:color w:val="auto"/>
        </w:rPr>
      </w:pPr>
    </w:p>
    <w:tbl>
      <w:tblPr>
        <w:tblLayout w:type="fixed"/>
        <w:tblInd w:w="60" w:type="dxa"/>
        <w:tblCellMar>
          <w:top w:w="0" w:type="dxa"/>
          <w:left w:w="0" w:type="dxa"/>
          <w:bottom w:w="0" w:type="dxa"/>
          <w:right w:w="0" w:type="dxa"/>
        </w:tblCellMar>
      </w:tblPr>
      <w:tr>
        <w:trPr>
          <w:trHeight w:val="170"/>
        </w:trPr>
        <w:tc>
          <w:tcPr>
            <w:tcW w:w="3400" w:type="dxa"/>
            <w:vAlign w:val="bottom"/>
          </w:tcPr>
          <w:p>
            <w:pPr>
              <w:ind w:left="900"/>
              <w:spacing w:after="0"/>
              <w:rPr>
                <w:sz w:val="20"/>
                <w:szCs w:val="20"/>
                <w:color w:val="auto"/>
              </w:rPr>
            </w:pPr>
            <w:r>
              <w:rPr>
                <w:rFonts w:ascii="Arial" w:cs="Arial" w:eastAsia="Arial" w:hAnsi="Arial"/>
                <w:sz w:val="13"/>
                <w:szCs w:val="13"/>
                <w:b w:val="1"/>
                <w:bCs w:val="1"/>
                <w:color w:val="auto"/>
              </w:rPr>
              <w:t>Participant:</w:t>
            </w:r>
          </w:p>
        </w:tc>
        <w:tc>
          <w:tcPr>
            <w:tcW w:w="38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3400" w:type="dxa"/>
            <w:vAlign w:val="bottom"/>
          </w:tcPr>
          <w:p>
            <w:pPr>
              <w:ind w:left="900"/>
              <w:spacing w:after="0"/>
              <w:rPr>
                <w:sz w:val="20"/>
                <w:szCs w:val="20"/>
                <w:color w:val="auto"/>
              </w:rPr>
            </w:pPr>
            <w:r>
              <w:rPr>
                <w:rFonts w:ascii="Arial" w:cs="Arial" w:eastAsia="Arial" w:hAnsi="Arial"/>
                <w:sz w:val="13"/>
                <w:szCs w:val="13"/>
                <w:b w:val="1"/>
                <w:bCs w:val="1"/>
                <w:color w:val="auto"/>
              </w:rPr>
              <w:t>Grant Date:</w:t>
            </w:r>
          </w:p>
        </w:tc>
        <w:tc>
          <w:tcPr>
            <w:tcW w:w="38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2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400" w:type="dxa"/>
            <w:vAlign w:val="bottom"/>
          </w:tcPr>
          <w:p>
            <w:pPr>
              <w:ind w:left="900"/>
              <w:spacing w:after="0"/>
              <w:rPr>
                <w:sz w:val="20"/>
                <w:szCs w:val="20"/>
                <w:color w:val="auto"/>
              </w:rPr>
            </w:pPr>
            <w:r>
              <w:rPr>
                <w:rFonts w:ascii="Arial" w:cs="Arial" w:eastAsia="Arial" w:hAnsi="Arial"/>
                <w:sz w:val="13"/>
                <w:szCs w:val="13"/>
                <w:b w:val="1"/>
                <w:bCs w:val="1"/>
                <w:color w:val="auto"/>
              </w:rPr>
              <w:t>Target Number of Units:</w:t>
            </w:r>
          </w:p>
        </w:tc>
        <w:tc>
          <w:tcPr>
            <w:tcW w:w="8140" w:type="dxa"/>
            <w:vAlign w:val="bottom"/>
            <w:gridSpan w:val="8"/>
          </w:tcPr>
          <w:p>
            <w:pPr>
              <w:ind w:left="920"/>
              <w:spacing w:after="0"/>
              <w:rPr>
                <w:sz w:val="20"/>
                <w:szCs w:val="20"/>
                <w:color w:val="auto"/>
              </w:rPr>
            </w:pPr>
            <w:r>
              <w:rPr>
                <w:rFonts w:ascii="Arial" w:cs="Arial" w:eastAsia="Arial" w:hAnsi="Arial"/>
                <w:sz w:val="13"/>
                <w:szCs w:val="13"/>
                <w:color w:val="auto"/>
              </w:rPr>
              <w:t>, subject to adjustment as provided by the Agreement.</w:t>
            </w:r>
          </w:p>
        </w:tc>
        <w:tc>
          <w:tcPr>
            <w:tcW w:w="0" w:type="dxa"/>
            <w:vAlign w:val="bottom"/>
          </w:tcPr>
          <w:p>
            <w:pPr>
              <w:spacing w:after="0"/>
              <w:rPr>
                <w:sz w:val="1"/>
                <w:szCs w:val="1"/>
                <w:color w:val="auto"/>
              </w:rPr>
            </w:pPr>
          </w:p>
        </w:tc>
      </w:tr>
      <w:tr>
        <w:trPr>
          <w:trHeight w:val="270"/>
        </w:trPr>
        <w:tc>
          <w:tcPr>
            <w:tcW w:w="3400" w:type="dxa"/>
            <w:vAlign w:val="bottom"/>
          </w:tcPr>
          <w:p>
            <w:pPr>
              <w:ind w:left="900"/>
              <w:spacing w:after="0"/>
              <w:rPr>
                <w:sz w:val="20"/>
                <w:szCs w:val="20"/>
                <w:color w:val="auto"/>
              </w:rPr>
            </w:pPr>
            <w:r>
              <w:rPr>
                <w:rFonts w:ascii="Arial" w:cs="Arial" w:eastAsia="Arial" w:hAnsi="Arial"/>
                <w:sz w:val="13"/>
                <w:szCs w:val="13"/>
                <w:b w:val="1"/>
                <w:bCs w:val="1"/>
                <w:color w:val="auto"/>
              </w:rPr>
              <w:t>Maximum Number of Units:</w:t>
            </w:r>
          </w:p>
        </w:tc>
        <w:tc>
          <w:tcPr>
            <w:tcW w:w="8140" w:type="dxa"/>
            <w:vAlign w:val="bottom"/>
            <w:gridSpan w:val="8"/>
          </w:tcPr>
          <w:p>
            <w:pPr>
              <w:ind w:left="920"/>
              <w:spacing w:after="0"/>
              <w:rPr>
                <w:sz w:val="20"/>
                <w:szCs w:val="20"/>
                <w:color w:val="auto"/>
              </w:rPr>
            </w:pPr>
            <w:r>
              <w:rPr>
                <w:rFonts w:ascii="Arial" w:cs="Arial" w:eastAsia="Arial" w:hAnsi="Arial"/>
                <w:sz w:val="13"/>
                <w:szCs w:val="13"/>
                <w:color w:val="auto"/>
              </w:rPr>
              <w:t>, which is 150% of the Target Number of Units, subject to adjustment as provided by the Agreement.</w:t>
            </w:r>
          </w:p>
        </w:tc>
        <w:tc>
          <w:tcPr>
            <w:tcW w:w="0" w:type="dxa"/>
            <w:vAlign w:val="bottom"/>
          </w:tcPr>
          <w:p>
            <w:pPr>
              <w:spacing w:after="0"/>
              <w:rPr>
                <w:sz w:val="1"/>
                <w:szCs w:val="1"/>
                <w:color w:val="auto"/>
              </w:rPr>
            </w:pPr>
          </w:p>
        </w:tc>
      </w:tr>
      <w:tr>
        <w:trPr>
          <w:trHeight w:val="270"/>
        </w:trPr>
        <w:tc>
          <w:tcPr>
            <w:tcW w:w="3400" w:type="dxa"/>
            <w:vAlign w:val="bottom"/>
          </w:tcPr>
          <w:p>
            <w:pPr>
              <w:ind w:left="900"/>
              <w:spacing w:after="0"/>
              <w:rPr>
                <w:sz w:val="20"/>
                <w:szCs w:val="20"/>
                <w:color w:val="auto"/>
              </w:rPr>
            </w:pPr>
            <w:r>
              <w:rPr>
                <w:rFonts w:ascii="Arial" w:cs="Arial" w:eastAsia="Arial" w:hAnsi="Arial"/>
                <w:sz w:val="13"/>
                <w:szCs w:val="13"/>
                <w:b w:val="1"/>
                <w:bCs w:val="1"/>
                <w:color w:val="auto"/>
              </w:rPr>
              <w:t>Performance Period:</w:t>
            </w:r>
          </w:p>
        </w:tc>
        <w:tc>
          <w:tcPr>
            <w:tcW w:w="8140" w:type="dxa"/>
            <w:vAlign w:val="bottom"/>
            <w:gridSpan w:val="8"/>
          </w:tcPr>
          <w:p>
            <w:pPr>
              <w:ind w:left="920"/>
              <w:spacing w:after="0"/>
              <w:rPr>
                <w:sz w:val="20"/>
                <w:szCs w:val="20"/>
                <w:color w:val="auto"/>
              </w:rPr>
            </w:pPr>
            <w:r>
              <w:rPr>
                <w:rFonts w:ascii="Arial" w:cs="Arial" w:eastAsia="Arial" w:hAnsi="Arial"/>
                <w:sz w:val="13"/>
                <w:szCs w:val="13"/>
                <w:color w:val="auto"/>
                <w:w w:val="92"/>
              </w:rPr>
              <w:t>The three-year period beginning [________] and ending [_________], subject to Section 9.1 of the Agreement (the “</w:t>
            </w:r>
            <w:r>
              <w:rPr>
                <w:rFonts w:ascii="Arial" w:cs="Arial" w:eastAsia="Arial" w:hAnsi="Arial"/>
                <w:sz w:val="13"/>
                <w:szCs w:val="13"/>
                <w:b w:val="1"/>
                <w:bCs w:val="1"/>
                <w:i w:val="1"/>
                <w:iCs w:val="1"/>
                <w:color w:val="auto"/>
                <w:w w:val="92"/>
              </w:rPr>
              <w:t>Performance Perio</w:t>
            </w:r>
          </w:p>
        </w:tc>
        <w:tc>
          <w:tcPr>
            <w:tcW w:w="0" w:type="dxa"/>
            <w:vAlign w:val="bottom"/>
          </w:tcPr>
          <w:p>
            <w:pPr>
              <w:spacing w:after="0"/>
              <w:rPr>
                <w:sz w:val="1"/>
                <w:szCs w:val="1"/>
                <w:color w:val="auto"/>
              </w:rPr>
            </w:pPr>
          </w:p>
        </w:tc>
      </w:tr>
      <w:tr>
        <w:trPr>
          <w:trHeight w:val="258"/>
        </w:trPr>
        <w:tc>
          <w:tcPr>
            <w:tcW w:w="3400" w:type="dxa"/>
            <w:vAlign w:val="bottom"/>
          </w:tcPr>
          <w:p>
            <w:pPr>
              <w:ind w:left="900"/>
              <w:spacing w:after="0"/>
              <w:rPr>
                <w:sz w:val="20"/>
                <w:szCs w:val="20"/>
                <w:color w:val="auto"/>
              </w:rPr>
            </w:pPr>
            <w:r>
              <w:rPr>
                <w:rFonts w:ascii="Arial" w:cs="Arial" w:eastAsia="Arial" w:hAnsi="Arial"/>
                <w:sz w:val="13"/>
                <w:szCs w:val="13"/>
                <w:b w:val="1"/>
                <w:bCs w:val="1"/>
                <w:color w:val="auto"/>
              </w:rPr>
              <w:t>Performance Measure:</w:t>
            </w:r>
          </w:p>
        </w:tc>
        <w:tc>
          <w:tcPr>
            <w:tcW w:w="8140" w:type="dxa"/>
            <w:vAlign w:val="bottom"/>
            <w:gridSpan w:val="8"/>
          </w:tcPr>
          <w:p>
            <w:pPr>
              <w:ind w:left="920"/>
              <w:spacing w:after="0"/>
              <w:rPr>
                <w:sz w:val="20"/>
                <w:szCs w:val="20"/>
                <w:color w:val="auto"/>
              </w:rPr>
            </w:pPr>
            <w:r>
              <w:rPr>
                <w:rFonts w:ascii="Arial" w:cs="Arial" w:eastAsia="Arial" w:hAnsi="Arial"/>
                <w:sz w:val="13"/>
                <w:szCs w:val="13"/>
                <w:color w:val="auto"/>
                <w:w w:val="91"/>
              </w:rPr>
              <w:t>Relative Total Stockholder Return (“</w:t>
            </w:r>
            <w:r>
              <w:rPr>
                <w:rFonts w:ascii="Arial" w:cs="Arial" w:eastAsia="Arial" w:hAnsi="Arial"/>
                <w:sz w:val="13"/>
                <w:szCs w:val="13"/>
                <w:b w:val="1"/>
                <w:bCs w:val="1"/>
                <w:i w:val="1"/>
                <w:iCs w:val="1"/>
                <w:color w:val="auto"/>
                <w:w w:val="91"/>
              </w:rPr>
              <w:t>Relative TSR</w:t>
            </w:r>
            <w:r>
              <w:rPr>
                <w:rFonts w:ascii="Arial" w:cs="Arial" w:eastAsia="Arial" w:hAnsi="Arial"/>
                <w:sz w:val="13"/>
                <w:szCs w:val="13"/>
                <w:color w:val="auto"/>
                <w:w w:val="91"/>
              </w:rPr>
              <w:t>”), meaning the difference, measured in percentage points (rounded to the nearest 1/10</w:t>
            </w:r>
          </w:p>
        </w:tc>
        <w:tc>
          <w:tcPr>
            <w:tcW w:w="0" w:type="dxa"/>
            <w:vAlign w:val="bottom"/>
          </w:tcPr>
          <w:p>
            <w:pPr>
              <w:spacing w:after="0"/>
              <w:rPr>
                <w:sz w:val="1"/>
                <w:szCs w:val="1"/>
                <w:color w:val="auto"/>
              </w:rPr>
            </w:pPr>
          </w:p>
        </w:tc>
      </w:tr>
      <w:tr>
        <w:trPr>
          <w:trHeight w:val="153"/>
        </w:trPr>
        <w:tc>
          <w:tcPr>
            <w:tcW w:w="3400" w:type="dxa"/>
            <w:vAlign w:val="bottom"/>
          </w:tcPr>
          <w:p>
            <w:pPr>
              <w:spacing w:after="0"/>
              <w:rPr>
                <w:sz w:val="13"/>
                <w:szCs w:val="13"/>
                <w:color w:val="auto"/>
              </w:rPr>
            </w:pPr>
          </w:p>
        </w:tc>
        <w:tc>
          <w:tcPr>
            <w:tcW w:w="8140" w:type="dxa"/>
            <w:vAlign w:val="bottom"/>
            <w:gridSpan w:val="8"/>
          </w:tcPr>
          <w:p>
            <w:pPr>
              <w:ind w:left="920"/>
              <w:spacing w:after="0"/>
              <w:rPr>
                <w:sz w:val="20"/>
                <w:szCs w:val="20"/>
                <w:color w:val="auto"/>
              </w:rPr>
            </w:pPr>
            <w:r>
              <w:rPr>
                <w:rFonts w:ascii="Arial" w:cs="Arial" w:eastAsia="Arial" w:hAnsi="Arial"/>
                <w:sz w:val="13"/>
                <w:szCs w:val="13"/>
                <w:color w:val="auto"/>
                <w:w w:val="91"/>
              </w:rPr>
              <w:t>of 1%), for the Performance Period between Company Annualized TSR and Comparator Group Median Annualized TSR, all as determin</w:t>
            </w:r>
          </w:p>
        </w:tc>
        <w:tc>
          <w:tcPr>
            <w:tcW w:w="0" w:type="dxa"/>
            <w:vAlign w:val="bottom"/>
          </w:tcPr>
          <w:p>
            <w:pPr>
              <w:spacing w:after="0"/>
              <w:rPr>
                <w:sz w:val="1"/>
                <w:szCs w:val="1"/>
                <w:color w:val="auto"/>
              </w:rPr>
            </w:pPr>
          </w:p>
        </w:tc>
      </w:tr>
      <w:tr>
        <w:trPr>
          <w:trHeight w:val="166"/>
        </w:trPr>
        <w:tc>
          <w:tcPr>
            <w:tcW w:w="3400" w:type="dxa"/>
            <w:vAlign w:val="bottom"/>
          </w:tcPr>
          <w:p>
            <w:pPr>
              <w:spacing w:after="0"/>
              <w:rPr>
                <w:sz w:val="14"/>
                <w:szCs w:val="14"/>
                <w:color w:val="auto"/>
              </w:rPr>
            </w:pPr>
          </w:p>
        </w:tc>
        <w:tc>
          <w:tcPr>
            <w:tcW w:w="8140" w:type="dxa"/>
            <w:vAlign w:val="bottom"/>
            <w:gridSpan w:val="8"/>
          </w:tcPr>
          <w:p>
            <w:pPr>
              <w:ind w:left="920"/>
              <w:spacing w:after="0"/>
              <w:rPr>
                <w:sz w:val="20"/>
                <w:szCs w:val="20"/>
                <w:color w:val="auto"/>
              </w:rPr>
            </w:pPr>
            <w:r>
              <w:rPr>
                <w:rFonts w:ascii="Arial" w:cs="Arial" w:eastAsia="Arial" w:hAnsi="Arial"/>
                <w:sz w:val="13"/>
                <w:szCs w:val="13"/>
                <w:color w:val="auto"/>
              </w:rPr>
              <w:t>in accordance with Section 2 of the Agreement.</w:t>
            </w:r>
          </w:p>
        </w:tc>
        <w:tc>
          <w:tcPr>
            <w:tcW w:w="0" w:type="dxa"/>
            <w:vAlign w:val="bottom"/>
          </w:tcPr>
          <w:p>
            <w:pPr>
              <w:spacing w:after="0"/>
              <w:rPr>
                <w:sz w:val="1"/>
                <w:szCs w:val="1"/>
                <w:color w:val="auto"/>
              </w:rPr>
            </w:pPr>
          </w:p>
        </w:tc>
      </w:tr>
      <w:tr>
        <w:trPr>
          <w:trHeight w:val="241"/>
        </w:trPr>
        <w:tc>
          <w:tcPr>
            <w:tcW w:w="3400" w:type="dxa"/>
            <w:vAlign w:val="bottom"/>
          </w:tcPr>
          <w:p>
            <w:pPr>
              <w:ind w:left="900"/>
              <w:spacing w:after="0"/>
              <w:rPr>
                <w:sz w:val="20"/>
                <w:szCs w:val="20"/>
                <w:color w:val="auto"/>
              </w:rPr>
            </w:pPr>
            <w:r>
              <w:rPr>
                <w:rFonts w:ascii="Arial" w:cs="Arial" w:eastAsia="Arial" w:hAnsi="Arial"/>
                <w:sz w:val="13"/>
                <w:szCs w:val="13"/>
                <w:b w:val="1"/>
                <w:bCs w:val="1"/>
                <w:color w:val="auto"/>
              </w:rPr>
              <w:t>Comparator Group:</w:t>
            </w:r>
          </w:p>
        </w:tc>
        <w:tc>
          <w:tcPr>
            <w:tcW w:w="8140" w:type="dxa"/>
            <w:vAlign w:val="bottom"/>
            <w:gridSpan w:val="8"/>
          </w:tcPr>
          <w:p>
            <w:pPr>
              <w:ind w:left="920"/>
              <w:spacing w:after="0"/>
              <w:rPr>
                <w:sz w:val="20"/>
                <w:szCs w:val="20"/>
                <w:color w:val="auto"/>
              </w:rPr>
            </w:pPr>
            <w:r>
              <w:rPr>
                <w:rFonts w:ascii="Arial" w:cs="Arial" w:eastAsia="Arial" w:hAnsi="Arial"/>
                <w:sz w:val="13"/>
                <w:szCs w:val="13"/>
                <w:color w:val="auto"/>
              </w:rPr>
              <w:t>The group of companies determined in accordance with Appendix B (each, a “</w:t>
            </w:r>
            <w:r>
              <w:rPr>
                <w:rFonts w:ascii="Arial" w:cs="Arial" w:eastAsia="Arial" w:hAnsi="Arial"/>
                <w:sz w:val="13"/>
                <w:szCs w:val="13"/>
                <w:b w:val="1"/>
                <w:bCs w:val="1"/>
                <w:i w:val="1"/>
                <w:iCs w:val="1"/>
                <w:color w:val="auto"/>
              </w:rPr>
              <w:t>Comparator Group Company</w:t>
            </w: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3400" w:type="dxa"/>
            <w:vAlign w:val="bottom"/>
            <w:vMerge w:val="restart"/>
          </w:tcPr>
          <w:p>
            <w:pPr>
              <w:ind w:left="900"/>
              <w:spacing w:after="0"/>
              <w:rPr>
                <w:sz w:val="20"/>
                <w:szCs w:val="20"/>
                <w:color w:val="auto"/>
              </w:rPr>
            </w:pPr>
            <w:r>
              <w:rPr>
                <w:rFonts w:ascii="Arial" w:cs="Arial" w:eastAsia="Arial" w:hAnsi="Arial"/>
                <w:sz w:val="13"/>
                <w:szCs w:val="13"/>
                <w:b w:val="1"/>
                <w:bCs w:val="1"/>
                <w:color w:val="auto"/>
              </w:rPr>
              <w:t>Earned Units:</w:t>
            </w:r>
          </w:p>
        </w:tc>
        <w:tc>
          <w:tcPr>
            <w:tcW w:w="38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7"/>
        </w:trPr>
        <w:tc>
          <w:tcPr>
            <w:tcW w:w="3400" w:type="dxa"/>
            <w:vAlign w:val="bottom"/>
            <w:vMerge w:val="continue"/>
          </w:tcPr>
          <w:p>
            <w:pPr>
              <w:spacing w:after="0"/>
              <w:rPr>
                <w:sz w:val="23"/>
                <w:szCs w:val="23"/>
                <w:color w:val="auto"/>
              </w:rPr>
            </w:pPr>
          </w:p>
        </w:tc>
        <w:tc>
          <w:tcPr>
            <w:tcW w:w="8140" w:type="dxa"/>
            <w:vAlign w:val="bottom"/>
            <w:gridSpan w:val="8"/>
          </w:tcPr>
          <w:p>
            <w:pPr>
              <w:ind w:left="920"/>
              <w:spacing w:after="0"/>
              <w:rPr>
                <w:sz w:val="20"/>
                <w:szCs w:val="20"/>
                <w:color w:val="auto"/>
              </w:rPr>
            </w:pPr>
            <w:r>
              <w:rPr>
                <w:rFonts w:ascii="Arial" w:cs="Arial" w:eastAsia="Arial" w:hAnsi="Arial"/>
                <w:sz w:val="13"/>
                <w:szCs w:val="13"/>
                <w:color w:val="auto"/>
                <w:w w:val="93"/>
              </w:rPr>
              <w:t>A number of Units (rounded up to the nearest whole Unit), if any (not to exceed the Maximum Number of Units), equal to the product of</w:t>
            </w:r>
          </w:p>
        </w:tc>
        <w:tc>
          <w:tcPr>
            <w:tcW w:w="0" w:type="dxa"/>
            <w:vAlign w:val="bottom"/>
          </w:tcPr>
          <w:p>
            <w:pPr>
              <w:spacing w:after="0"/>
              <w:rPr>
                <w:sz w:val="1"/>
                <w:szCs w:val="1"/>
                <w:color w:val="auto"/>
              </w:rPr>
            </w:pPr>
          </w:p>
        </w:tc>
      </w:tr>
      <w:tr>
        <w:trPr>
          <w:trHeight w:val="137"/>
        </w:trPr>
        <w:tc>
          <w:tcPr>
            <w:tcW w:w="3400" w:type="dxa"/>
            <w:vAlign w:val="bottom"/>
          </w:tcPr>
          <w:p>
            <w:pPr>
              <w:spacing w:after="0"/>
              <w:rPr>
                <w:sz w:val="11"/>
                <w:szCs w:val="11"/>
                <w:color w:val="auto"/>
              </w:rPr>
            </w:pPr>
          </w:p>
        </w:tc>
        <w:tc>
          <w:tcPr>
            <w:tcW w:w="8140" w:type="dxa"/>
            <w:vAlign w:val="bottom"/>
            <w:gridSpan w:val="8"/>
          </w:tcPr>
          <w:p>
            <w:pPr>
              <w:ind w:left="920"/>
              <w:spacing w:after="0" w:line="137" w:lineRule="exact"/>
              <w:rPr>
                <w:sz w:val="20"/>
                <w:szCs w:val="20"/>
                <w:color w:val="auto"/>
              </w:rPr>
            </w:pPr>
            <w:r>
              <w:rPr>
                <w:rFonts w:ascii="Arial" w:cs="Arial" w:eastAsia="Arial" w:hAnsi="Arial"/>
                <w:sz w:val="13"/>
                <w:szCs w:val="13"/>
                <w:color w:val="auto"/>
              </w:rPr>
              <w:t>(i) the Target Number of Units and (ii) the Relative TSR Factor, as illustrated by Appendix A.</w:t>
            </w:r>
          </w:p>
        </w:tc>
        <w:tc>
          <w:tcPr>
            <w:tcW w:w="0" w:type="dxa"/>
            <w:vAlign w:val="bottom"/>
          </w:tcPr>
          <w:p>
            <w:pPr>
              <w:spacing w:after="0"/>
              <w:rPr>
                <w:sz w:val="1"/>
                <w:szCs w:val="1"/>
                <w:color w:val="auto"/>
              </w:rPr>
            </w:pPr>
          </w:p>
        </w:tc>
      </w:tr>
      <w:tr>
        <w:trPr>
          <w:trHeight w:val="20"/>
        </w:trPr>
        <w:tc>
          <w:tcPr>
            <w:tcW w:w="3400" w:type="dxa"/>
            <w:vAlign w:val="bottom"/>
            <w:vMerge w:val="restart"/>
          </w:tcPr>
          <w:p>
            <w:pPr>
              <w:ind w:left="900"/>
              <w:spacing w:after="0"/>
              <w:rPr>
                <w:sz w:val="20"/>
                <w:szCs w:val="20"/>
                <w:color w:val="auto"/>
              </w:rPr>
            </w:pPr>
            <w:r>
              <w:rPr>
                <w:rFonts w:ascii="Arial" w:cs="Arial" w:eastAsia="Arial" w:hAnsi="Arial"/>
                <w:sz w:val="13"/>
                <w:szCs w:val="13"/>
                <w:b w:val="1"/>
                <w:bCs w:val="1"/>
                <w:color w:val="auto"/>
              </w:rPr>
              <w:t>Relative TSR Factor:</w:t>
            </w:r>
          </w:p>
        </w:tc>
        <w:tc>
          <w:tcPr>
            <w:tcW w:w="434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7"/>
        </w:trPr>
        <w:tc>
          <w:tcPr>
            <w:tcW w:w="3400" w:type="dxa"/>
            <w:vAlign w:val="bottom"/>
            <w:vMerge w:val="continue"/>
          </w:tcPr>
          <w:p>
            <w:pPr>
              <w:spacing w:after="0"/>
              <w:rPr>
                <w:sz w:val="23"/>
                <w:szCs w:val="23"/>
                <w:color w:val="auto"/>
              </w:rPr>
            </w:pPr>
          </w:p>
        </w:tc>
        <w:tc>
          <w:tcPr>
            <w:tcW w:w="8140" w:type="dxa"/>
            <w:vAlign w:val="bottom"/>
            <w:gridSpan w:val="8"/>
          </w:tcPr>
          <w:p>
            <w:pPr>
              <w:ind w:left="920"/>
              <w:spacing w:after="0"/>
              <w:rPr>
                <w:sz w:val="20"/>
                <w:szCs w:val="20"/>
                <w:color w:val="auto"/>
              </w:rPr>
            </w:pPr>
            <w:r>
              <w:rPr>
                <w:rFonts w:ascii="Arial" w:cs="Arial" w:eastAsia="Arial" w:hAnsi="Arial"/>
                <w:sz w:val="13"/>
                <w:szCs w:val="13"/>
                <w:color w:val="auto"/>
                <w:w w:val="91"/>
              </w:rPr>
              <w:t>A percentage (rounded to the nearest 1/100 of 1% and not greater than 150% or less than 50%) determined in accordance with Section 2</w:t>
            </w:r>
          </w:p>
        </w:tc>
        <w:tc>
          <w:tcPr>
            <w:tcW w:w="0" w:type="dxa"/>
            <w:vAlign w:val="bottom"/>
          </w:tcPr>
          <w:p>
            <w:pPr>
              <w:spacing w:after="0"/>
              <w:rPr>
                <w:sz w:val="1"/>
                <w:szCs w:val="1"/>
                <w:color w:val="auto"/>
              </w:rPr>
            </w:pPr>
          </w:p>
        </w:tc>
      </w:tr>
      <w:tr>
        <w:trPr>
          <w:trHeight w:val="153"/>
        </w:trPr>
        <w:tc>
          <w:tcPr>
            <w:tcW w:w="3400" w:type="dxa"/>
            <w:vAlign w:val="bottom"/>
          </w:tcPr>
          <w:p>
            <w:pPr>
              <w:spacing w:after="0"/>
              <w:rPr>
                <w:sz w:val="13"/>
                <w:szCs w:val="13"/>
                <w:color w:val="auto"/>
              </w:rPr>
            </w:pPr>
          </w:p>
        </w:tc>
        <w:tc>
          <w:tcPr>
            <w:tcW w:w="8140" w:type="dxa"/>
            <w:vAlign w:val="bottom"/>
            <w:gridSpan w:val="8"/>
          </w:tcPr>
          <w:p>
            <w:pPr>
              <w:ind w:left="920"/>
              <w:spacing w:after="0"/>
              <w:rPr>
                <w:sz w:val="20"/>
                <w:szCs w:val="20"/>
                <w:color w:val="auto"/>
              </w:rPr>
            </w:pPr>
            <w:r>
              <w:rPr>
                <w:rFonts w:ascii="Arial" w:cs="Arial" w:eastAsia="Arial" w:hAnsi="Arial"/>
                <w:sz w:val="13"/>
                <w:szCs w:val="13"/>
                <w:color w:val="auto"/>
                <w:w w:val="91"/>
              </w:rPr>
              <w:t>the Agreement; provided, however, that (i) the Relative TSR Factor shall be zero percent (0%) if the Relative TSR is less than negative 8</w:t>
            </w:r>
          </w:p>
        </w:tc>
        <w:tc>
          <w:tcPr>
            <w:tcW w:w="0" w:type="dxa"/>
            <w:vAlign w:val="bottom"/>
          </w:tcPr>
          <w:p>
            <w:pPr>
              <w:spacing w:after="0"/>
              <w:rPr>
                <w:sz w:val="1"/>
                <w:szCs w:val="1"/>
                <w:color w:val="auto"/>
              </w:rPr>
            </w:pPr>
          </w:p>
        </w:tc>
      </w:tr>
      <w:tr>
        <w:trPr>
          <w:trHeight w:val="153"/>
        </w:trPr>
        <w:tc>
          <w:tcPr>
            <w:tcW w:w="3400" w:type="dxa"/>
            <w:vAlign w:val="bottom"/>
          </w:tcPr>
          <w:p>
            <w:pPr>
              <w:spacing w:after="0"/>
              <w:rPr>
                <w:sz w:val="13"/>
                <w:szCs w:val="13"/>
                <w:color w:val="auto"/>
              </w:rPr>
            </w:pPr>
          </w:p>
        </w:tc>
        <w:tc>
          <w:tcPr>
            <w:tcW w:w="8140" w:type="dxa"/>
            <w:vAlign w:val="bottom"/>
            <w:gridSpan w:val="8"/>
          </w:tcPr>
          <w:p>
            <w:pPr>
              <w:ind w:left="920"/>
              <w:spacing w:after="0"/>
              <w:rPr>
                <w:sz w:val="20"/>
                <w:szCs w:val="20"/>
                <w:color w:val="auto"/>
              </w:rPr>
            </w:pPr>
            <w:r>
              <w:rPr>
                <w:rFonts w:ascii="Arial" w:cs="Arial" w:eastAsia="Arial" w:hAnsi="Arial"/>
                <w:sz w:val="13"/>
                <w:szCs w:val="13"/>
                <w:color w:val="auto"/>
                <w:w w:val="91"/>
              </w:rPr>
              <w:t>and (ii) the Relative TSR Factor shall not exceed 100% if the Company Absolute TSR for the Performance Period is less than zero perce</w:t>
            </w:r>
          </w:p>
        </w:tc>
        <w:tc>
          <w:tcPr>
            <w:tcW w:w="0" w:type="dxa"/>
            <w:vAlign w:val="bottom"/>
          </w:tcPr>
          <w:p>
            <w:pPr>
              <w:spacing w:after="0"/>
              <w:rPr>
                <w:sz w:val="1"/>
                <w:szCs w:val="1"/>
                <w:color w:val="auto"/>
              </w:rPr>
            </w:pPr>
          </w:p>
        </w:tc>
      </w:tr>
      <w:tr>
        <w:trPr>
          <w:trHeight w:val="137"/>
        </w:trPr>
        <w:tc>
          <w:tcPr>
            <w:tcW w:w="3400" w:type="dxa"/>
            <w:vAlign w:val="bottom"/>
          </w:tcPr>
          <w:p>
            <w:pPr>
              <w:spacing w:after="0"/>
              <w:rPr>
                <w:sz w:val="11"/>
                <w:szCs w:val="11"/>
                <w:color w:val="auto"/>
              </w:rPr>
            </w:pPr>
          </w:p>
        </w:tc>
        <w:tc>
          <w:tcPr>
            <w:tcW w:w="8140" w:type="dxa"/>
            <w:vAlign w:val="bottom"/>
            <w:gridSpan w:val="8"/>
          </w:tcPr>
          <w:p>
            <w:pPr>
              <w:ind w:left="920"/>
              <w:spacing w:after="0" w:line="137" w:lineRule="exact"/>
              <w:rPr>
                <w:sz w:val="20"/>
                <w:szCs w:val="20"/>
                <w:color w:val="auto"/>
              </w:rPr>
            </w:pPr>
            <w:r>
              <w:rPr>
                <w:rFonts w:ascii="Arial" w:cs="Arial" w:eastAsia="Arial" w:hAnsi="Arial"/>
                <w:sz w:val="13"/>
                <w:szCs w:val="13"/>
                <w:color w:val="auto"/>
              </w:rPr>
              <w:t>(0%). Determination of the Relative TSR Factor is illustrated by Appendix A.</w:t>
            </w:r>
          </w:p>
        </w:tc>
        <w:tc>
          <w:tcPr>
            <w:tcW w:w="0" w:type="dxa"/>
            <w:vAlign w:val="bottom"/>
          </w:tcPr>
          <w:p>
            <w:pPr>
              <w:spacing w:after="0"/>
              <w:rPr>
                <w:sz w:val="1"/>
                <w:szCs w:val="1"/>
                <w:color w:val="auto"/>
              </w:rPr>
            </w:pPr>
          </w:p>
        </w:tc>
      </w:tr>
      <w:tr>
        <w:trPr>
          <w:trHeight w:val="574"/>
        </w:trPr>
        <w:tc>
          <w:tcPr>
            <w:tcW w:w="3400" w:type="dxa"/>
            <w:vAlign w:val="bottom"/>
            <w:tcBorders>
              <w:bottom w:val="single" w:sz="8" w:color="9A9A9A"/>
            </w:tcBorders>
          </w:tcPr>
          <w:p>
            <w:pPr>
              <w:spacing w:after="0"/>
              <w:rPr>
                <w:sz w:val="24"/>
                <w:szCs w:val="24"/>
                <w:color w:val="auto"/>
              </w:rPr>
            </w:pPr>
          </w:p>
        </w:tc>
        <w:tc>
          <w:tcPr>
            <w:tcW w:w="38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80" w:type="dxa"/>
            <w:vAlign w:val="bottom"/>
            <w:tcBorders>
              <w:top w:val="single" w:sz="8" w:color="auto"/>
              <w:bottom w:val="single" w:sz="8" w:color="9A9A9A"/>
            </w:tcBorders>
          </w:tcPr>
          <w:p>
            <w:pPr>
              <w:spacing w:after="0"/>
              <w:rPr>
                <w:sz w:val="24"/>
                <w:szCs w:val="24"/>
                <w:color w:val="auto"/>
              </w:rPr>
            </w:pPr>
          </w:p>
        </w:tc>
        <w:tc>
          <w:tcPr>
            <w:tcW w:w="460" w:type="dxa"/>
            <w:vAlign w:val="bottom"/>
            <w:tcBorders>
              <w:top w:val="single" w:sz="8" w:color="auto"/>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2260" w:type="dxa"/>
            <w:vAlign w:val="bottom"/>
            <w:tcBorders>
              <w:bottom w:val="single" w:sz="8" w:color="9A9A9A"/>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7318375</wp:posOffset>
            </wp:positionH>
            <wp:positionV relativeFrom="paragraph">
              <wp:posOffset>-23495</wp:posOffset>
            </wp:positionV>
            <wp:extent cx="31115" cy="3683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31">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20320</wp:posOffset>
            </wp:positionH>
            <wp:positionV relativeFrom="paragraph">
              <wp:posOffset>-23495</wp:posOffset>
            </wp:positionV>
            <wp:extent cx="31115" cy="3683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32">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600"/>
          </w:cols>
          <w:pgMar w:left="160" w:top="128" w:right="139" w:bottom="1440" w:gutter="0" w:footer="0" w:header="0"/>
        </w:sectPr>
      </w:pPr>
    </w:p>
    <w:bookmarkStart w:id="153" w:name="page154"/>
    <w:bookmarkEnd w:id="153"/>
    <w:p>
      <w:pPr>
        <w:ind w:left="900"/>
        <w:spacing w:after="0"/>
        <w:rPr>
          <w:sz w:val="20"/>
          <w:szCs w:val="20"/>
          <w:color w:val="auto"/>
        </w:rPr>
      </w:pPr>
      <w:r>
        <w:rPr>
          <w:rFonts w:ascii="Arial" w:cs="Arial" w:eastAsia="Arial" w:hAnsi="Arial"/>
          <w:sz w:val="11"/>
          <w:szCs w:val="11"/>
          <w:b w:val="1"/>
          <w:bCs w:val="1"/>
          <w:color w:val="auto"/>
        </w:rPr>
        <w:t>Vesting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auto"/>
        </w:rPr>
        <w:t>[_________], except as otherwise provided by the Agreement.</w:t>
      </w:r>
    </w:p>
    <w:p>
      <w:pPr>
        <w:spacing w:after="0" w:line="140" w:lineRule="exact"/>
        <w:rPr>
          <w:sz w:val="20"/>
          <w:szCs w:val="20"/>
          <w:color w:val="auto"/>
        </w:rPr>
      </w:pPr>
    </w:p>
    <w:p>
      <w:pPr>
        <w:sectPr>
          <w:pgSz w:w="11900" w:h="16838" w:orient="portrait"/>
          <w:cols w:equalWidth="0" w:num="2">
            <w:col w:w="3600" w:space="720"/>
            <w:col w:w="7220"/>
          </w:cols>
          <w:pgMar w:left="220" w:top="269" w:right="139" w:bottom="1440" w:gutter="0" w:footer="0" w:header="0"/>
        </w:sectPr>
      </w:pPr>
    </w:p>
    <w:p>
      <w:pPr>
        <w:ind w:left="900"/>
        <w:spacing w:after="0"/>
        <w:rPr>
          <w:sz w:val="20"/>
          <w:szCs w:val="20"/>
          <w:color w:val="auto"/>
        </w:rPr>
      </w:pPr>
      <w:r>
        <w:rPr>
          <w:rFonts w:ascii="Arial" w:cs="Arial" w:eastAsia="Arial" w:hAnsi="Arial"/>
          <w:sz w:val="11"/>
          <w:szCs w:val="11"/>
          <w:b w:val="1"/>
          <w:bCs w:val="1"/>
          <w:color w:val="auto"/>
        </w:rPr>
        <w:t>Vested Units:</w:t>
      </w:r>
    </w:p>
    <w:p>
      <w:pPr>
        <w:spacing w:after="0" w:line="20" w:lineRule="exact"/>
        <w:rPr>
          <w:sz w:val="20"/>
          <w:szCs w:val="20"/>
          <w:color w:val="auto"/>
        </w:rPr>
      </w:pPr>
      <w:r>
        <w:rPr>
          <w:sz w:val="20"/>
          <w:szCs w:val="20"/>
          <w:color w:val="auto"/>
        </w:rPr>
        <w:br w:type="column"/>
      </w:r>
    </w:p>
    <w:p>
      <w:pPr>
        <w:spacing w:after="0" w:line="271" w:lineRule="auto"/>
        <w:rPr>
          <w:sz w:val="20"/>
          <w:szCs w:val="20"/>
          <w:color w:val="auto"/>
        </w:rPr>
      </w:pPr>
      <w:r>
        <w:rPr>
          <w:rFonts w:ascii="Arial" w:cs="Arial" w:eastAsia="Arial" w:hAnsi="Arial"/>
          <w:sz w:val="13"/>
          <w:szCs w:val="13"/>
          <w:color w:val="auto"/>
        </w:rPr>
        <w:t>Provided that the Participant’s Service has not terminated prior to the Vesting Date (except as otherwise provided by the Agreement), the Earned Units, if any, shall become Vested Units on the Vesting Date.</w:t>
      </w:r>
    </w:p>
    <w:p>
      <w:pPr>
        <w:spacing w:after="0" w:line="82" w:lineRule="exact"/>
        <w:rPr>
          <w:sz w:val="20"/>
          <w:szCs w:val="20"/>
          <w:color w:val="auto"/>
        </w:rPr>
      </w:pPr>
    </w:p>
    <w:p>
      <w:pPr>
        <w:sectPr>
          <w:pgSz w:w="11900" w:h="16838" w:orient="portrait"/>
          <w:cols w:equalWidth="0" w:num="2">
            <w:col w:w="3600" w:space="720"/>
            <w:col w:w="7220"/>
          </w:cols>
          <w:pgMar w:left="220" w:top="269" w:right="139" w:bottom="1440" w:gutter="0" w:footer="0" w:header="0"/>
          <w:type w:val="continuous"/>
        </w:sectPr>
      </w:pPr>
    </w:p>
    <w:p>
      <w:pPr>
        <w:ind w:left="900"/>
        <w:spacing w:after="0"/>
        <w:rPr>
          <w:sz w:val="20"/>
          <w:szCs w:val="20"/>
          <w:color w:val="auto"/>
        </w:rPr>
      </w:pPr>
      <w:r>
        <w:rPr>
          <w:rFonts w:ascii="Arial" w:cs="Arial" w:eastAsia="Arial" w:hAnsi="Arial"/>
          <w:sz w:val="11"/>
          <w:szCs w:val="11"/>
          <w:b w:val="1"/>
          <w:bCs w:val="1"/>
          <w:color w:val="auto"/>
        </w:rPr>
        <w:t>Settlement Date:</w:t>
      </w:r>
    </w:p>
    <w:p>
      <w:pPr>
        <w:spacing w:after="0" w:line="20" w:lineRule="exact"/>
        <w:rPr>
          <w:sz w:val="20"/>
          <w:szCs w:val="20"/>
          <w:color w:val="auto"/>
        </w:rPr>
      </w:pPr>
      <w:r>
        <w:rPr>
          <w:sz w:val="20"/>
          <w:szCs w:val="20"/>
          <w:color w:val="auto"/>
        </w:rPr>
        <w:br w:type="column"/>
      </w:r>
    </w:p>
    <w:p>
      <w:pPr>
        <w:jc w:val="both"/>
        <w:spacing w:after="0" w:line="278" w:lineRule="auto"/>
        <w:rPr>
          <w:sz w:val="20"/>
          <w:szCs w:val="20"/>
          <w:color w:val="auto"/>
        </w:rPr>
      </w:pPr>
      <w:r>
        <w:rPr>
          <w:rFonts w:ascii="Arial" w:cs="Arial" w:eastAsia="Arial" w:hAnsi="Arial"/>
          <w:sz w:val="12"/>
          <w:szCs w:val="12"/>
          <w:color w:val="auto"/>
        </w:rPr>
        <w:t>For each Vested Unit, except as otherwise provided by the Agreement, the Settlement Date shall be the Vesting Date or as soon thereafter practicable; provided, however that the Committee, in its discretion, may specify as the Settlement Date a later date on which the sale of Shares to be issued in settlement of Vested Units would not violate the Trading Compliance Policy, but in any even no later than the 15th day of the third calendar month following the end of the Applicable Year in which the Vesting Date occurs. For this purpose, “Applicabl Year” means the calendar year or the Company’s fiscal year, whichever year ends later.</w:t>
      </w:r>
    </w:p>
    <w:p>
      <w:pPr>
        <w:spacing w:after="0" w:line="200" w:lineRule="exact"/>
        <w:rPr>
          <w:sz w:val="20"/>
          <w:szCs w:val="20"/>
          <w:color w:val="auto"/>
        </w:rPr>
      </w:pPr>
    </w:p>
    <w:p>
      <w:pPr>
        <w:sectPr>
          <w:pgSz w:w="11900" w:h="16838" w:orient="portrait"/>
          <w:cols w:equalWidth="0" w:num="2">
            <w:col w:w="3600" w:space="720"/>
            <w:col w:w="7220"/>
          </w:cols>
          <w:pgMar w:left="220" w:top="269" w:right="139" w:bottom="1440" w:gutter="0" w:footer="0" w:header="0"/>
          <w:type w:val="continuous"/>
        </w:sectPr>
      </w:pPr>
    </w:p>
    <w:p>
      <w:pPr>
        <w:spacing w:after="0" w:line="28" w:lineRule="exact"/>
        <w:rPr>
          <w:sz w:val="20"/>
          <w:szCs w:val="20"/>
          <w:color w:val="auto"/>
        </w:rPr>
      </w:pPr>
    </w:p>
    <w:p>
      <w:pPr>
        <w:jc w:val="both"/>
        <w:ind w:right="60" w:firstLine="883"/>
        <w:spacing w:after="0" w:line="252" w:lineRule="auto"/>
        <w:rPr>
          <w:sz w:val="20"/>
          <w:szCs w:val="20"/>
          <w:color w:val="auto"/>
        </w:rPr>
      </w:pPr>
      <w:r>
        <w:rPr>
          <w:rFonts w:ascii="Arial" w:cs="Arial" w:eastAsia="Arial" w:hAnsi="Arial"/>
          <w:sz w:val="13"/>
          <w:szCs w:val="13"/>
          <w:color w:val="auto"/>
        </w:rPr>
        <w:t>By their signatures below or by electronic acceptance or authentication in a form authorized by the Company, the Company and the Participant agree that the Award is governed by this Grant Notice and by the provisions of the Plan and the Agreement, both of which are made part of this document. The Participant acknowledges that copies of the Plan, the Agreement and the prospectus for the Plan are available on the Company’s internal web site and may be viewed and printed by the Participant for attachment to the Participant’s copy of this Grant Notice. The Participant represents that the Participant has read and is familiar with the provisions of the Plan and the Agreement, and hereby accepts the Award subject to all of their terms and conditions. The Participant hereby agrees to accept as binding, conclusive and final all decisions or interpretations of the Committee upon any questions arising under the Plan or relating to the Units.</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500" w:type="dxa"/>
            <w:vAlign w:val="bottom"/>
          </w:tcPr>
          <w:p>
            <w:pPr>
              <w:spacing w:after="0"/>
              <w:rPr>
                <w:sz w:val="20"/>
                <w:szCs w:val="20"/>
                <w:color w:val="auto"/>
              </w:rPr>
            </w:pPr>
            <w:r>
              <w:rPr>
                <w:rFonts w:ascii="Arial" w:cs="Arial" w:eastAsia="Arial" w:hAnsi="Arial"/>
                <w:sz w:val="13"/>
                <w:szCs w:val="13"/>
                <w:b w:val="1"/>
                <w:bCs w:val="1"/>
                <w:color w:val="auto"/>
              </w:rPr>
              <w:t>VERRA MOBILITY CORPORATION</w:t>
            </w:r>
          </w:p>
        </w:tc>
        <w:tc>
          <w:tcPr>
            <w:tcW w:w="9000" w:type="dxa"/>
            <w:vAlign w:val="bottom"/>
          </w:tcPr>
          <w:p>
            <w:pPr>
              <w:ind w:left="300"/>
              <w:spacing w:after="0"/>
              <w:rPr>
                <w:sz w:val="20"/>
                <w:szCs w:val="20"/>
                <w:color w:val="auto"/>
              </w:rPr>
            </w:pPr>
            <w:r>
              <w:rPr>
                <w:rFonts w:ascii="Arial" w:cs="Arial" w:eastAsia="Arial" w:hAnsi="Arial"/>
                <w:sz w:val="13"/>
                <w:szCs w:val="13"/>
                <w:b w:val="1"/>
                <w:bCs w:val="1"/>
                <w:color w:val="auto"/>
              </w:rPr>
              <w:t>PARTICIPANT</w:t>
            </w:r>
          </w:p>
        </w:tc>
      </w:tr>
      <w:tr>
        <w:trPr>
          <w:trHeight w:val="456"/>
        </w:trPr>
        <w:tc>
          <w:tcPr>
            <w:tcW w:w="2500" w:type="dxa"/>
            <w:vAlign w:val="bottom"/>
          </w:tcPr>
          <w:p>
            <w:pPr>
              <w:spacing w:after="0"/>
              <w:rPr>
                <w:sz w:val="20"/>
                <w:szCs w:val="20"/>
                <w:color w:val="auto"/>
              </w:rPr>
            </w:pPr>
            <w:r>
              <w:rPr>
                <w:rFonts w:ascii="Arial" w:cs="Arial" w:eastAsia="Arial" w:hAnsi="Arial"/>
                <w:sz w:val="13"/>
                <w:szCs w:val="13"/>
                <w:color w:val="auto"/>
              </w:rPr>
              <w:t>By:</w:t>
            </w:r>
          </w:p>
        </w:tc>
        <w:tc>
          <w:tcPr>
            <w:tcW w:w="9000" w:type="dxa"/>
            <w:vAlign w:val="bottom"/>
          </w:tcPr>
          <w:p>
            <w:pPr>
              <w:ind w:left="300"/>
              <w:spacing w:after="0"/>
              <w:rPr>
                <w:sz w:val="20"/>
                <w:szCs w:val="20"/>
                <w:color w:val="auto"/>
              </w:rPr>
            </w:pPr>
            <w:r>
              <w:rPr>
                <w:rFonts w:ascii="Arial" w:cs="Arial" w:eastAsia="Arial" w:hAnsi="Arial"/>
                <w:sz w:val="13"/>
                <w:szCs w:val="13"/>
                <w:color w:val="auto"/>
              </w:rPr>
              <w:t>By:</w:t>
            </w:r>
          </w:p>
        </w:tc>
      </w:tr>
      <w:tr>
        <w:trPr>
          <w:trHeight w:val="153"/>
        </w:trPr>
        <w:tc>
          <w:tcPr>
            <w:tcW w:w="2500" w:type="dxa"/>
            <w:vAlign w:val="bottom"/>
          </w:tcPr>
          <w:p>
            <w:pPr>
              <w:spacing w:after="0"/>
              <w:rPr>
                <w:sz w:val="20"/>
                <w:szCs w:val="20"/>
                <w:color w:val="auto"/>
              </w:rPr>
            </w:pPr>
            <w:r>
              <w:rPr>
                <w:rFonts w:ascii="Arial" w:cs="Arial" w:eastAsia="Arial" w:hAnsi="Arial"/>
                <w:sz w:val="13"/>
                <w:szCs w:val="13"/>
                <w:color w:val="auto"/>
              </w:rPr>
              <w:t>Print Name:</w:t>
            </w:r>
          </w:p>
        </w:tc>
        <w:tc>
          <w:tcPr>
            <w:tcW w:w="9000" w:type="dxa"/>
            <w:vAlign w:val="bottom"/>
          </w:tcPr>
          <w:p>
            <w:pPr>
              <w:ind w:left="300"/>
              <w:spacing w:after="0"/>
              <w:rPr>
                <w:sz w:val="20"/>
                <w:szCs w:val="20"/>
                <w:color w:val="auto"/>
              </w:rPr>
            </w:pPr>
            <w:r>
              <w:rPr>
                <w:rFonts w:ascii="Arial" w:cs="Arial" w:eastAsia="Arial" w:hAnsi="Arial"/>
                <w:sz w:val="13"/>
                <w:szCs w:val="13"/>
                <w:color w:val="auto"/>
              </w:rPr>
              <w:t>Print Name:</w:t>
            </w:r>
          </w:p>
        </w:tc>
      </w:tr>
      <w:tr>
        <w:trPr>
          <w:trHeight w:val="153"/>
        </w:trPr>
        <w:tc>
          <w:tcPr>
            <w:tcW w:w="2500" w:type="dxa"/>
            <w:vAlign w:val="bottom"/>
          </w:tcPr>
          <w:p>
            <w:pPr>
              <w:spacing w:after="0"/>
              <w:rPr>
                <w:sz w:val="20"/>
                <w:szCs w:val="20"/>
                <w:color w:val="auto"/>
              </w:rPr>
            </w:pPr>
            <w:r>
              <w:rPr>
                <w:rFonts w:ascii="Arial" w:cs="Arial" w:eastAsia="Arial" w:hAnsi="Arial"/>
                <w:sz w:val="13"/>
                <w:szCs w:val="13"/>
                <w:color w:val="auto"/>
              </w:rPr>
              <w:t>Title:</w:t>
            </w:r>
          </w:p>
        </w:tc>
        <w:tc>
          <w:tcPr>
            <w:tcW w:w="9000" w:type="dxa"/>
            <w:vAlign w:val="bottom"/>
          </w:tcPr>
          <w:p>
            <w:pPr>
              <w:spacing w:after="0"/>
              <w:rPr>
                <w:sz w:val="13"/>
                <w:szCs w:val="13"/>
                <w:color w:val="auto"/>
              </w:rPr>
            </w:pPr>
          </w:p>
        </w:tc>
      </w:tr>
      <w:tr>
        <w:trPr>
          <w:trHeight w:val="166"/>
        </w:trPr>
        <w:tc>
          <w:tcPr>
            <w:tcW w:w="2500" w:type="dxa"/>
            <w:vAlign w:val="bottom"/>
          </w:tcPr>
          <w:p>
            <w:pPr>
              <w:spacing w:after="0"/>
              <w:rPr>
                <w:sz w:val="20"/>
                <w:szCs w:val="20"/>
                <w:color w:val="auto"/>
              </w:rPr>
            </w:pPr>
            <w:r>
              <w:rPr>
                <w:rFonts w:ascii="Arial" w:cs="Arial" w:eastAsia="Arial" w:hAnsi="Arial"/>
                <w:sz w:val="13"/>
                <w:szCs w:val="13"/>
                <w:color w:val="auto"/>
              </w:rPr>
              <w:t>Address:</w:t>
            </w:r>
          </w:p>
        </w:tc>
        <w:tc>
          <w:tcPr>
            <w:tcW w:w="9000" w:type="dxa"/>
            <w:vAlign w:val="bottom"/>
          </w:tcPr>
          <w:p>
            <w:pPr>
              <w:ind w:left="300"/>
              <w:spacing w:after="0"/>
              <w:rPr>
                <w:sz w:val="20"/>
                <w:szCs w:val="20"/>
                <w:color w:val="auto"/>
              </w:rPr>
            </w:pPr>
            <w:r>
              <w:rPr>
                <w:rFonts w:ascii="Arial" w:cs="Arial" w:eastAsia="Arial" w:hAnsi="Arial"/>
                <w:sz w:val="13"/>
                <w:szCs w:val="13"/>
                <w:color w:val="auto"/>
              </w:rPr>
              <w:t>Address:</w:t>
            </w:r>
          </w:p>
        </w:tc>
      </w:tr>
      <w:tr>
        <w:trPr>
          <w:trHeight w:val="856"/>
        </w:trPr>
        <w:tc>
          <w:tcPr>
            <w:tcW w:w="2500" w:type="dxa"/>
            <w:vAlign w:val="bottom"/>
          </w:tcPr>
          <w:p>
            <w:pPr>
              <w:ind w:left="880"/>
              <w:spacing w:after="0"/>
              <w:rPr>
                <w:sz w:val="20"/>
                <w:szCs w:val="20"/>
                <w:color w:val="auto"/>
              </w:rPr>
            </w:pPr>
            <w:r>
              <w:rPr>
                <w:rFonts w:ascii="Arial" w:cs="Arial" w:eastAsia="Arial" w:hAnsi="Arial"/>
                <w:sz w:val="13"/>
                <w:szCs w:val="13"/>
                <w:color w:val="auto"/>
              </w:rPr>
              <w:t>2</w:t>
            </w:r>
          </w:p>
        </w:tc>
        <w:tc>
          <w:tcPr>
            <w:tcW w:w="9000" w:type="dxa"/>
            <w:vAlign w:val="bottom"/>
          </w:tcPr>
          <w:p>
            <w:pPr>
              <w:spacing w:after="0"/>
              <w:rPr>
                <w:sz w:val="24"/>
                <w:szCs w:val="24"/>
                <w:color w:val="auto"/>
              </w:rPr>
            </w:pPr>
          </w:p>
        </w:tc>
      </w:tr>
      <w:tr>
        <w:trPr>
          <w:trHeight w:val="169"/>
        </w:trPr>
        <w:tc>
          <w:tcPr>
            <w:tcW w:w="2500" w:type="dxa"/>
            <w:vAlign w:val="bottom"/>
            <w:tcBorders>
              <w:bottom w:val="single" w:sz="8" w:color="9A9A9A"/>
            </w:tcBorders>
          </w:tcPr>
          <w:p>
            <w:pPr>
              <w:spacing w:after="0"/>
              <w:rPr>
                <w:sz w:val="14"/>
                <w:szCs w:val="14"/>
                <w:color w:val="auto"/>
              </w:rPr>
            </w:pPr>
          </w:p>
        </w:tc>
        <w:tc>
          <w:tcPr>
            <w:tcW w:w="9000" w:type="dxa"/>
            <w:vAlign w:val="bottom"/>
            <w:tcBorders>
              <w:bottom w:val="single" w:sz="8" w:color="9A9A9A"/>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7280275</wp:posOffset>
            </wp:positionH>
            <wp:positionV relativeFrom="paragraph">
              <wp:posOffset>-23495</wp:posOffset>
            </wp:positionV>
            <wp:extent cx="31115" cy="3683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33">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34">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540"/>
          </w:cols>
          <w:pgMar w:left="220" w:top="269" w:right="139" w:bottom="1440" w:gutter="0" w:footer="0" w:header="0"/>
          <w:type w:val="continuous"/>
        </w:sectPr>
      </w:pPr>
    </w:p>
    <w:bookmarkStart w:id="154" w:name="page155"/>
    <w:bookmarkEnd w:id="154"/>
    <w:p>
      <w:pPr>
        <w:jc w:val="center"/>
        <w:ind w:right="60"/>
        <w:spacing w:after="0"/>
        <w:rPr>
          <w:sz w:val="20"/>
          <w:szCs w:val="20"/>
          <w:color w:val="auto"/>
        </w:rPr>
      </w:pPr>
      <w:r>
        <w:rPr>
          <w:rFonts w:ascii="Arial" w:cs="Arial" w:eastAsia="Arial" w:hAnsi="Arial"/>
          <w:sz w:val="13"/>
          <w:szCs w:val="13"/>
          <w:b w:val="1"/>
          <w:bCs w:val="1"/>
          <w:u w:val="single" w:color="auto"/>
          <w:color w:val="auto"/>
        </w:rPr>
        <w:t>APPENDIX A</w:t>
      </w:r>
    </w:p>
    <w:p>
      <w:pPr>
        <w:spacing w:after="0" w:line="148" w:lineRule="exact"/>
        <w:rPr>
          <w:sz w:val="20"/>
          <w:szCs w:val="20"/>
          <w:color w:val="auto"/>
        </w:rPr>
      </w:pPr>
    </w:p>
    <w:p>
      <w:pPr>
        <w:jc w:val="center"/>
        <w:ind w:right="60"/>
        <w:spacing w:after="0"/>
        <w:rPr>
          <w:sz w:val="20"/>
          <w:szCs w:val="20"/>
          <w:color w:val="auto"/>
        </w:rPr>
      </w:pPr>
      <w:r>
        <w:rPr>
          <w:rFonts w:ascii="Arial" w:cs="Arial" w:eastAsia="Arial" w:hAnsi="Arial"/>
          <w:sz w:val="13"/>
          <w:szCs w:val="13"/>
          <w:b w:val="1"/>
          <w:bCs w:val="1"/>
          <w:color w:val="auto"/>
        </w:rPr>
        <w:t>ILLUSTRATION OF RELATIVE TSR FACTOR AND RESULTING NUMBER OF EARNED UNITS</w:t>
      </w:r>
    </w:p>
    <w:p>
      <w:pPr>
        <w:spacing w:after="0" w:line="142" w:lineRule="exact"/>
        <w:rPr>
          <w:sz w:val="20"/>
          <w:szCs w:val="20"/>
          <w:color w:val="auto"/>
        </w:rPr>
      </w:pPr>
    </w:p>
    <w:tbl>
      <w:tblPr>
        <w:tblLayout w:type="fixed"/>
        <w:tblInd w:w="10" w:type="dxa"/>
        <w:tblCellMar>
          <w:top w:w="0" w:type="dxa"/>
          <w:left w:w="0" w:type="dxa"/>
          <w:bottom w:w="0" w:type="dxa"/>
          <w:right w:w="0" w:type="dxa"/>
        </w:tblCellMar>
      </w:tblPr>
      <w:tr>
        <w:trPr>
          <w:trHeight w:val="158"/>
        </w:trPr>
        <w:tc>
          <w:tcPr>
            <w:tcW w:w="7720" w:type="dxa"/>
            <w:vAlign w:val="bottom"/>
            <w:tcBorders>
              <w:top w:val="single" w:sz="8" w:color="auto"/>
              <w:left w:val="single" w:sz="8" w:color="auto"/>
              <w:right w:val="single" w:sz="8" w:color="auto"/>
            </w:tcBorders>
          </w:tcPr>
          <w:p>
            <w:pPr>
              <w:ind w:left="3480"/>
              <w:spacing w:after="0"/>
              <w:rPr>
                <w:sz w:val="20"/>
                <w:szCs w:val="20"/>
                <w:color w:val="auto"/>
              </w:rPr>
            </w:pPr>
            <w:r>
              <w:rPr>
                <w:rFonts w:ascii="Arial" w:cs="Arial" w:eastAsia="Arial" w:hAnsi="Arial"/>
                <w:sz w:val="13"/>
                <w:szCs w:val="13"/>
                <w:b w:val="1"/>
                <w:bCs w:val="1"/>
                <w:color w:val="auto"/>
              </w:rPr>
              <w:t>Relative TSR</w:t>
            </w:r>
          </w:p>
        </w:tc>
        <w:tc>
          <w:tcPr>
            <w:tcW w:w="17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Relative TSR Factor</w:t>
            </w:r>
          </w:p>
        </w:tc>
        <w:tc>
          <w:tcPr>
            <w:tcW w:w="2100" w:type="dxa"/>
            <w:vAlign w:val="bottom"/>
            <w:tcBorders>
              <w:top w:val="single" w:sz="8" w:color="auto"/>
            </w:tcBorders>
          </w:tcPr>
          <w:p>
            <w:pPr>
              <w:ind w:left="1120"/>
              <w:spacing w:after="0"/>
              <w:rPr>
                <w:sz w:val="20"/>
                <w:szCs w:val="20"/>
                <w:color w:val="auto"/>
              </w:rPr>
            </w:pPr>
            <w:r>
              <w:rPr>
                <w:rFonts w:ascii="Arial" w:cs="Arial" w:eastAsia="Arial" w:hAnsi="Arial"/>
                <w:sz w:val="13"/>
                <w:szCs w:val="13"/>
                <w:b w:val="1"/>
                <w:bCs w:val="1"/>
                <w:color w:val="auto"/>
              </w:rPr>
              <w:t>Earned Units</w:t>
            </w:r>
          </w:p>
        </w:tc>
      </w:tr>
      <w:tr>
        <w:trPr>
          <w:trHeight w:val="157"/>
        </w:trPr>
        <w:tc>
          <w:tcPr>
            <w:tcW w:w="77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2"/>
                <w:szCs w:val="12"/>
                <w:b w:val="1"/>
                <w:bCs w:val="1"/>
                <w:color w:val="auto"/>
                <w:w w:val="91"/>
              </w:rPr>
              <w:t>(Percentage point difference (rounded to nearest 1/100 of 1%) of Company Annualized TSR over/under Comparator Group Median Annualized TSR)</w:t>
            </w:r>
          </w:p>
        </w:tc>
        <w:tc>
          <w:tcPr>
            <w:tcW w:w="1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w w:val="90"/>
              </w:rPr>
              <w:t>(Rounded to nearest 1/100 of 1%)</w:t>
            </w:r>
          </w:p>
        </w:tc>
        <w:tc>
          <w:tcPr>
            <w:tcW w:w="210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w w:val="88"/>
              </w:rPr>
              <w:t>(Per 1,000 Target Units, rounded up to ne</w:t>
            </w:r>
          </w:p>
        </w:tc>
      </w:tr>
      <w:tr>
        <w:trPr>
          <w:trHeight w:val="151"/>
        </w:trPr>
        <w:tc>
          <w:tcPr>
            <w:tcW w:w="77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Maximum:8% and above</w:t>
            </w:r>
          </w:p>
        </w:tc>
        <w:tc>
          <w:tcPr>
            <w:tcW w:w="1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3"/>
              </w:rPr>
              <w:t>150.00%</w:t>
            </w:r>
          </w:p>
        </w:tc>
        <w:tc>
          <w:tcPr>
            <w:tcW w:w="2100" w:type="dxa"/>
            <w:vAlign w:val="bottom"/>
            <w:tcBorders>
              <w:bottom w:val="single" w:sz="8" w:color="auto"/>
            </w:tcBorders>
          </w:tcPr>
          <w:p>
            <w:pPr>
              <w:jc w:val="center"/>
              <w:ind w:left="814"/>
              <w:spacing w:after="0"/>
              <w:rPr>
                <w:sz w:val="20"/>
                <w:szCs w:val="20"/>
                <w:color w:val="auto"/>
              </w:rPr>
            </w:pPr>
            <w:r>
              <w:rPr>
                <w:rFonts w:ascii="Arial" w:cs="Arial" w:eastAsia="Arial" w:hAnsi="Arial"/>
                <w:sz w:val="13"/>
                <w:szCs w:val="13"/>
                <w:color w:val="auto"/>
                <w:w w:val="92"/>
              </w:rPr>
              <w:t>1,500</w:t>
            </w:r>
          </w:p>
        </w:tc>
      </w:tr>
      <w:tr>
        <w:trPr>
          <w:trHeight w:val="151"/>
        </w:trPr>
        <w:tc>
          <w:tcPr>
            <w:tcW w:w="77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5"/>
              </w:rPr>
              <w:t>7%</w:t>
            </w:r>
          </w:p>
        </w:tc>
        <w:tc>
          <w:tcPr>
            <w:tcW w:w="1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3"/>
              </w:rPr>
              <w:t>143.75%</w:t>
            </w:r>
          </w:p>
        </w:tc>
        <w:tc>
          <w:tcPr>
            <w:tcW w:w="2100" w:type="dxa"/>
            <w:vAlign w:val="bottom"/>
            <w:tcBorders>
              <w:bottom w:val="single" w:sz="8" w:color="auto"/>
            </w:tcBorders>
          </w:tcPr>
          <w:p>
            <w:pPr>
              <w:jc w:val="center"/>
              <w:ind w:left="814"/>
              <w:spacing w:after="0"/>
              <w:rPr>
                <w:sz w:val="20"/>
                <w:szCs w:val="20"/>
                <w:color w:val="auto"/>
              </w:rPr>
            </w:pPr>
            <w:r>
              <w:rPr>
                <w:rFonts w:ascii="Arial" w:cs="Arial" w:eastAsia="Arial" w:hAnsi="Arial"/>
                <w:sz w:val="13"/>
                <w:szCs w:val="13"/>
                <w:color w:val="auto"/>
                <w:w w:val="92"/>
              </w:rPr>
              <w:t>1,438</w:t>
            </w:r>
          </w:p>
        </w:tc>
      </w:tr>
      <w:tr>
        <w:trPr>
          <w:trHeight w:val="142"/>
        </w:trPr>
        <w:tc>
          <w:tcPr>
            <w:tcW w:w="7720" w:type="dxa"/>
            <w:vAlign w:val="bottom"/>
            <w:tcBorders>
              <w:left w:val="single" w:sz="8" w:color="auto"/>
              <w:bottom w:val="single" w:sz="8" w:color="auto"/>
              <w:right w:val="single" w:sz="8" w:color="auto"/>
            </w:tcBorders>
          </w:tcPr>
          <w:p>
            <w:pPr>
              <w:jc w:val="center"/>
              <w:spacing w:after="0" w:line="143" w:lineRule="exact"/>
              <w:rPr>
                <w:sz w:val="20"/>
                <w:szCs w:val="20"/>
                <w:color w:val="auto"/>
              </w:rPr>
            </w:pPr>
            <w:r>
              <w:rPr>
                <w:rFonts w:ascii="Arial" w:cs="Arial" w:eastAsia="Arial" w:hAnsi="Arial"/>
                <w:sz w:val="13"/>
                <w:szCs w:val="13"/>
                <w:color w:val="auto"/>
                <w:w w:val="95"/>
              </w:rPr>
              <w:t>6%</w:t>
            </w:r>
          </w:p>
        </w:tc>
        <w:tc>
          <w:tcPr>
            <w:tcW w:w="1740" w:type="dxa"/>
            <w:vAlign w:val="bottom"/>
            <w:tcBorders>
              <w:bottom w:val="single" w:sz="8" w:color="auto"/>
              <w:right w:val="single" w:sz="8" w:color="auto"/>
            </w:tcBorders>
          </w:tcPr>
          <w:p>
            <w:pPr>
              <w:jc w:val="center"/>
              <w:spacing w:after="0" w:line="143" w:lineRule="exact"/>
              <w:rPr>
                <w:sz w:val="20"/>
                <w:szCs w:val="20"/>
                <w:color w:val="auto"/>
              </w:rPr>
            </w:pPr>
            <w:r>
              <w:rPr>
                <w:rFonts w:ascii="Arial" w:cs="Arial" w:eastAsia="Arial" w:hAnsi="Arial"/>
                <w:sz w:val="13"/>
                <w:szCs w:val="13"/>
                <w:color w:val="auto"/>
                <w:w w:val="93"/>
              </w:rPr>
              <w:t>137.50%</w:t>
            </w:r>
          </w:p>
        </w:tc>
        <w:tc>
          <w:tcPr>
            <w:tcW w:w="2100" w:type="dxa"/>
            <w:vAlign w:val="bottom"/>
            <w:tcBorders>
              <w:bottom w:val="single" w:sz="8" w:color="auto"/>
            </w:tcBorders>
          </w:tcPr>
          <w:p>
            <w:pPr>
              <w:jc w:val="center"/>
              <w:ind w:left="814"/>
              <w:spacing w:after="0" w:line="143" w:lineRule="exact"/>
              <w:rPr>
                <w:sz w:val="20"/>
                <w:szCs w:val="20"/>
                <w:color w:val="auto"/>
              </w:rPr>
            </w:pPr>
            <w:r>
              <w:rPr>
                <w:rFonts w:ascii="Arial" w:cs="Arial" w:eastAsia="Arial" w:hAnsi="Arial"/>
                <w:sz w:val="13"/>
                <w:szCs w:val="13"/>
                <w:color w:val="auto"/>
                <w:w w:val="92"/>
              </w:rPr>
              <w:t>1,375</w:t>
            </w:r>
          </w:p>
        </w:tc>
      </w:tr>
      <w:tr>
        <w:trPr>
          <w:trHeight w:val="142"/>
        </w:trPr>
        <w:tc>
          <w:tcPr>
            <w:tcW w:w="7720" w:type="dxa"/>
            <w:vAlign w:val="bottom"/>
            <w:tcBorders>
              <w:left w:val="single" w:sz="8" w:color="auto"/>
              <w:bottom w:val="single" w:sz="8" w:color="auto"/>
              <w:right w:val="single" w:sz="8" w:color="auto"/>
            </w:tcBorders>
          </w:tcPr>
          <w:p>
            <w:pPr>
              <w:jc w:val="center"/>
              <w:spacing w:after="0" w:line="143" w:lineRule="exact"/>
              <w:rPr>
                <w:sz w:val="20"/>
                <w:szCs w:val="20"/>
                <w:color w:val="auto"/>
              </w:rPr>
            </w:pPr>
            <w:r>
              <w:rPr>
                <w:rFonts w:ascii="Arial" w:cs="Arial" w:eastAsia="Arial" w:hAnsi="Arial"/>
                <w:sz w:val="13"/>
                <w:szCs w:val="13"/>
                <w:color w:val="auto"/>
                <w:w w:val="95"/>
              </w:rPr>
              <w:t>5%</w:t>
            </w:r>
          </w:p>
        </w:tc>
        <w:tc>
          <w:tcPr>
            <w:tcW w:w="1740" w:type="dxa"/>
            <w:vAlign w:val="bottom"/>
            <w:tcBorders>
              <w:bottom w:val="single" w:sz="8" w:color="auto"/>
              <w:right w:val="single" w:sz="8" w:color="auto"/>
            </w:tcBorders>
          </w:tcPr>
          <w:p>
            <w:pPr>
              <w:jc w:val="center"/>
              <w:spacing w:after="0" w:line="143" w:lineRule="exact"/>
              <w:rPr>
                <w:sz w:val="20"/>
                <w:szCs w:val="20"/>
                <w:color w:val="auto"/>
              </w:rPr>
            </w:pPr>
            <w:r>
              <w:rPr>
                <w:rFonts w:ascii="Arial" w:cs="Arial" w:eastAsia="Arial" w:hAnsi="Arial"/>
                <w:sz w:val="13"/>
                <w:szCs w:val="13"/>
                <w:color w:val="auto"/>
                <w:w w:val="93"/>
              </w:rPr>
              <w:t>131.25%</w:t>
            </w:r>
          </w:p>
        </w:tc>
        <w:tc>
          <w:tcPr>
            <w:tcW w:w="2100" w:type="dxa"/>
            <w:vAlign w:val="bottom"/>
            <w:tcBorders>
              <w:bottom w:val="single" w:sz="8" w:color="auto"/>
            </w:tcBorders>
          </w:tcPr>
          <w:p>
            <w:pPr>
              <w:jc w:val="center"/>
              <w:ind w:left="814"/>
              <w:spacing w:after="0" w:line="143" w:lineRule="exact"/>
              <w:rPr>
                <w:sz w:val="20"/>
                <w:szCs w:val="20"/>
                <w:color w:val="auto"/>
              </w:rPr>
            </w:pPr>
            <w:r>
              <w:rPr>
                <w:rFonts w:ascii="Arial" w:cs="Arial" w:eastAsia="Arial" w:hAnsi="Arial"/>
                <w:sz w:val="13"/>
                <w:szCs w:val="13"/>
                <w:color w:val="auto"/>
                <w:w w:val="92"/>
              </w:rPr>
              <w:t>1,313</w:t>
            </w:r>
          </w:p>
        </w:tc>
      </w:tr>
      <w:tr>
        <w:trPr>
          <w:trHeight w:val="142"/>
        </w:trPr>
        <w:tc>
          <w:tcPr>
            <w:tcW w:w="7720" w:type="dxa"/>
            <w:vAlign w:val="bottom"/>
            <w:tcBorders>
              <w:left w:val="single" w:sz="8" w:color="auto"/>
              <w:bottom w:val="single" w:sz="8" w:color="auto"/>
              <w:right w:val="single" w:sz="8" w:color="auto"/>
            </w:tcBorders>
          </w:tcPr>
          <w:p>
            <w:pPr>
              <w:jc w:val="center"/>
              <w:spacing w:after="0" w:line="143" w:lineRule="exact"/>
              <w:rPr>
                <w:sz w:val="20"/>
                <w:szCs w:val="20"/>
                <w:color w:val="auto"/>
              </w:rPr>
            </w:pPr>
            <w:r>
              <w:rPr>
                <w:rFonts w:ascii="Arial" w:cs="Arial" w:eastAsia="Arial" w:hAnsi="Arial"/>
                <w:sz w:val="13"/>
                <w:szCs w:val="13"/>
                <w:color w:val="auto"/>
                <w:w w:val="95"/>
              </w:rPr>
              <w:t>4%</w:t>
            </w:r>
          </w:p>
        </w:tc>
        <w:tc>
          <w:tcPr>
            <w:tcW w:w="1740" w:type="dxa"/>
            <w:vAlign w:val="bottom"/>
            <w:tcBorders>
              <w:bottom w:val="single" w:sz="8" w:color="auto"/>
              <w:right w:val="single" w:sz="8" w:color="auto"/>
            </w:tcBorders>
          </w:tcPr>
          <w:p>
            <w:pPr>
              <w:jc w:val="center"/>
              <w:spacing w:after="0" w:line="143" w:lineRule="exact"/>
              <w:rPr>
                <w:sz w:val="20"/>
                <w:szCs w:val="20"/>
                <w:color w:val="auto"/>
              </w:rPr>
            </w:pPr>
            <w:r>
              <w:rPr>
                <w:rFonts w:ascii="Arial" w:cs="Arial" w:eastAsia="Arial" w:hAnsi="Arial"/>
                <w:sz w:val="13"/>
                <w:szCs w:val="13"/>
                <w:color w:val="auto"/>
                <w:w w:val="93"/>
              </w:rPr>
              <w:t>125.00%</w:t>
            </w:r>
          </w:p>
        </w:tc>
        <w:tc>
          <w:tcPr>
            <w:tcW w:w="2100" w:type="dxa"/>
            <w:vAlign w:val="bottom"/>
            <w:tcBorders>
              <w:bottom w:val="single" w:sz="8" w:color="auto"/>
            </w:tcBorders>
          </w:tcPr>
          <w:p>
            <w:pPr>
              <w:jc w:val="center"/>
              <w:ind w:left="814"/>
              <w:spacing w:after="0" w:line="143" w:lineRule="exact"/>
              <w:rPr>
                <w:sz w:val="20"/>
                <w:szCs w:val="20"/>
                <w:color w:val="auto"/>
              </w:rPr>
            </w:pPr>
            <w:r>
              <w:rPr>
                <w:rFonts w:ascii="Arial" w:cs="Arial" w:eastAsia="Arial" w:hAnsi="Arial"/>
                <w:sz w:val="13"/>
                <w:szCs w:val="13"/>
                <w:color w:val="auto"/>
                <w:w w:val="92"/>
              </w:rPr>
              <w:t>1,250</w:t>
            </w:r>
          </w:p>
        </w:tc>
      </w:tr>
      <w:tr>
        <w:trPr>
          <w:trHeight w:val="142"/>
        </w:trPr>
        <w:tc>
          <w:tcPr>
            <w:tcW w:w="7720" w:type="dxa"/>
            <w:vAlign w:val="bottom"/>
            <w:tcBorders>
              <w:left w:val="single" w:sz="8" w:color="auto"/>
              <w:bottom w:val="single" w:sz="8" w:color="auto"/>
              <w:right w:val="single" w:sz="8" w:color="auto"/>
            </w:tcBorders>
          </w:tcPr>
          <w:p>
            <w:pPr>
              <w:jc w:val="center"/>
              <w:spacing w:after="0" w:line="143" w:lineRule="exact"/>
              <w:rPr>
                <w:sz w:val="20"/>
                <w:szCs w:val="20"/>
                <w:color w:val="auto"/>
              </w:rPr>
            </w:pPr>
            <w:r>
              <w:rPr>
                <w:rFonts w:ascii="Arial" w:cs="Arial" w:eastAsia="Arial" w:hAnsi="Arial"/>
                <w:sz w:val="13"/>
                <w:szCs w:val="13"/>
                <w:color w:val="auto"/>
                <w:w w:val="95"/>
              </w:rPr>
              <w:t>3%</w:t>
            </w:r>
          </w:p>
        </w:tc>
        <w:tc>
          <w:tcPr>
            <w:tcW w:w="1740" w:type="dxa"/>
            <w:vAlign w:val="bottom"/>
            <w:tcBorders>
              <w:bottom w:val="single" w:sz="8" w:color="auto"/>
              <w:right w:val="single" w:sz="8" w:color="auto"/>
            </w:tcBorders>
          </w:tcPr>
          <w:p>
            <w:pPr>
              <w:jc w:val="center"/>
              <w:spacing w:after="0" w:line="143" w:lineRule="exact"/>
              <w:rPr>
                <w:sz w:val="20"/>
                <w:szCs w:val="20"/>
                <w:color w:val="auto"/>
              </w:rPr>
            </w:pPr>
            <w:r>
              <w:rPr>
                <w:rFonts w:ascii="Arial" w:cs="Arial" w:eastAsia="Arial" w:hAnsi="Arial"/>
                <w:sz w:val="13"/>
                <w:szCs w:val="13"/>
                <w:color w:val="auto"/>
                <w:w w:val="93"/>
              </w:rPr>
              <w:t>118.75%</w:t>
            </w:r>
          </w:p>
        </w:tc>
        <w:tc>
          <w:tcPr>
            <w:tcW w:w="2100" w:type="dxa"/>
            <w:vAlign w:val="bottom"/>
            <w:tcBorders>
              <w:bottom w:val="single" w:sz="8" w:color="auto"/>
            </w:tcBorders>
          </w:tcPr>
          <w:p>
            <w:pPr>
              <w:jc w:val="center"/>
              <w:ind w:left="814"/>
              <w:spacing w:after="0" w:line="143" w:lineRule="exact"/>
              <w:rPr>
                <w:sz w:val="20"/>
                <w:szCs w:val="20"/>
                <w:color w:val="auto"/>
              </w:rPr>
            </w:pPr>
            <w:r>
              <w:rPr>
                <w:rFonts w:ascii="Arial" w:cs="Arial" w:eastAsia="Arial" w:hAnsi="Arial"/>
                <w:sz w:val="13"/>
                <w:szCs w:val="13"/>
                <w:color w:val="auto"/>
                <w:w w:val="92"/>
              </w:rPr>
              <w:t>1,188</w:t>
            </w:r>
          </w:p>
        </w:tc>
      </w:tr>
      <w:tr>
        <w:trPr>
          <w:trHeight w:val="142"/>
        </w:trPr>
        <w:tc>
          <w:tcPr>
            <w:tcW w:w="7720" w:type="dxa"/>
            <w:vAlign w:val="bottom"/>
            <w:tcBorders>
              <w:left w:val="single" w:sz="8" w:color="auto"/>
              <w:bottom w:val="single" w:sz="8" w:color="auto"/>
              <w:right w:val="single" w:sz="8" w:color="auto"/>
            </w:tcBorders>
          </w:tcPr>
          <w:p>
            <w:pPr>
              <w:jc w:val="center"/>
              <w:spacing w:after="0" w:line="143" w:lineRule="exact"/>
              <w:rPr>
                <w:sz w:val="20"/>
                <w:szCs w:val="20"/>
                <w:color w:val="auto"/>
              </w:rPr>
            </w:pPr>
            <w:r>
              <w:rPr>
                <w:rFonts w:ascii="Arial" w:cs="Arial" w:eastAsia="Arial" w:hAnsi="Arial"/>
                <w:sz w:val="13"/>
                <w:szCs w:val="13"/>
                <w:color w:val="auto"/>
                <w:w w:val="95"/>
              </w:rPr>
              <w:t>2%</w:t>
            </w:r>
          </w:p>
        </w:tc>
        <w:tc>
          <w:tcPr>
            <w:tcW w:w="1740" w:type="dxa"/>
            <w:vAlign w:val="bottom"/>
            <w:tcBorders>
              <w:bottom w:val="single" w:sz="8" w:color="auto"/>
              <w:right w:val="single" w:sz="8" w:color="auto"/>
            </w:tcBorders>
          </w:tcPr>
          <w:p>
            <w:pPr>
              <w:jc w:val="center"/>
              <w:spacing w:after="0" w:line="143" w:lineRule="exact"/>
              <w:rPr>
                <w:sz w:val="20"/>
                <w:szCs w:val="20"/>
                <w:color w:val="auto"/>
              </w:rPr>
            </w:pPr>
            <w:r>
              <w:rPr>
                <w:rFonts w:ascii="Arial" w:cs="Arial" w:eastAsia="Arial" w:hAnsi="Arial"/>
                <w:sz w:val="13"/>
                <w:szCs w:val="13"/>
                <w:color w:val="auto"/>
                <w:w w:val="93"/>
              </w:rPr>
              <w:t>112.50%</w:t>
            </w:r>
          </w:p>
        </w:tc>
        <w:tc>
          <w:tcPr>
            <w:tcW w:w="2100" w:type="dxa"/>
            <w:vAlign w:val="bottom"/>
            <w:tcBorders>
              <w:bottom w:val="single" w:sz="8" w:color="auto"/>
            </w:tcBorders>
          </w:tcPr>
          <w:p>
            <w:pPr>
              <w:jc w:val="center"/>
              <w:ind w:left="814"/>
              <w:spacing w:after="0" w:line="143" w:lineRule="exact"/>
              <w:rPr>
                <w:sz w:val="20"/>
                <w:szCs w:val="20"/>
                <w:color w:val="auto"/>
              </w:rPr>
            </w:pPr>
            <w:r>
              <w:rPr>
                <w:rFonts w:ascii="Arial" w:cs="Arial" w:eastAsia="Arial" w:hAnsi="Arial"/>
                <w:sz w:val="13"/>
                <w:szCs w:val="13"/>
                <w:color w:val="auto"/>
                <w:w w:val="92"/>
              </w:rPr>
              <w:t>1,125</w:t>
            </w:r>
          </w:p>
        </w:tc>
      </w:tr>
      <w:tr>
        <w:trPr>
          <w:trHeight w:val="142"/>
        </w:trPr>
        <w:tc>
          <w:tcPr>
            <w:tcW w:w="7720" w:type="dxa"/>
            <w:vAlign w:val="bottom"/>
            <w:tcBorders>
              <w:left w:val="single" w:sz="8" w:color="auto"/>
              <w:bottom w:val="single" w:sz="8" w:color="auto"/>
              <w:right w:val="single" w:sz="8" w:color="auto"/>
            </w:tcBorders>
          </w:tcPr>
          <w:p>
            <w:pPr>
              <w:jc w:val="center"/>
              <w:spacing w:after="0" w:line="143" w:lineRule="exact"/>
              <w:rPr>
                <w:sz w:val="20"/>
                <w:szCs w:val="20"/>
                <w:color w:val="auto"/>
              </w:rPr>
            </w:pPr>
            <w:r>
              <w:rPr>
                <w:rFonts w:ascii="Arial" w:cs="Arial" w:eastAsia="Arial" w:hAnsi="Arial"/>
                <w:sz w:val="13"/>
                <w:szCs w:val="13"/>
                <w:color w:val="auto"/>
                <w:w w:val="95"/>
              </w:rPr>
              <w:t>1%</w:t>
            </w:r>
          </w:p>
        </w:tc>
        <w:tc>
          <w:tcPr>
            <w:tcW w:w="1740" w:type="dxa"/>
            <w:vAlign w:val="bottom"/>
            <w:tcBorders>
              <w:bottom w:val="single" w:sz="8" w:color="auto"/>
              <w:right w:val="single" w:sz="8" w:color="auto"/>
            </w:tcBorders>
          </w:tcPr>
          <w:p>
            <w:pPr>
              <w:jc w:val="center"/>
              <w:spacing w:after="0" w:line="143" w:lineRule="exact"/>
              <w:rPr>
                <w:sz w:val="20"/>
                <w:szCs w:val="20"/>
                <w:color w:val="auto"/>
              </w:rPr>
            </w:pPr>
            <w:r>
              <w:rPr>
                <w:rFonts w:ascii="Arial" w:cs="Arial" w:eastAsia="Arial" w:hAnsi="Arial"/>
                <w:sz w:val="13"/>
                <w:szCs w:val="13"/>
                <w:color w:val="auto"/>
                <w:w w:val="93"/>
              </w:rPr>
              <w:t>106.25%</w:t>
            </w:r>
          </w:p>
        </w:tc>
        <w:tc>
          <w:tcPr>
            <w:tcW w:w="2100" w:type="dxa"/>
            <w:vAlign w:val="bottom"/>
            <w:tcBorders>
              <w:bottom w:val="single" w:sz="8" w:color="auto"/>
            </w:tcBorders>
          </w:tcPr>
          <w:p>
            <w:pPr>
              <w:jc w:val="center"/>
              <w:ind w:left="814"/>
              <w:spacing w:after="0" w:line="143" w:lineRule="exact"/>
              <w:rPr>
                <w:sz w:val="20"/>
                <w:szCs w:val="20"/>
                <w:color w:val="auto"/>
              </w:rPr>
            </w:pPr>
            <w:r>
              <w:rPr>
                <w:rFonts w:ascii="Arial" w:cs="Arial" w:eastAsia="Arial" w:hAnsi="Arial"/>
                <w:sz w:val="13"/>
                <w:szCs w:val="13"/>
                <w:color w:val="auto"/>
                <w:w w:val="92"/>
              </w:rPr>
              <w:t>1,063</w:t>
            </w:r>
          </w:p>
        </w:tc>
      </w:tr>
      <w:tr>
        <w:trPr>
          <w:trHeight w:val="151"/>
        </w:trPr>
        <w:tc>
          <w:tcPr>
            <w:tcW w:w="77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Target:0%</w:t>
            </w:r>
          </w:p>
        </w:tc>
        <w:tc>
          <w:tcPr>
            <w:tcW w:w="1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3"/>
              </w:rPr>
              <w:t>100.00%</w:t>
            </w:r>
          </w:p>
        </w:tc>
        <w:tc>
          <w:tcPr>
            <w:tcW w:w="2100" w:type="dxa"/>
            <w:vAlign w:val="bottom"/>
            <w:tcBorders>
              <w:bottom w:val="single" w:sz="8" w:color="auto"/>
            </w:tcBorders>
          </w:tcPr>
          <w:p>
            <w:pPr>
              <w:jc w:val="center"/>
              <w:ind w:left="814"/>
              <w:spacing w:after="0"/>
              <w:rPr>
                <w:sz w:val="20"/>
                <w:szCs w:val="20"/>
                <w:color w:val="auto"/>
              </w:rPr>
            </w:pPr>
            <w:r>
              <w:rPr>
                <w:rFonts w:ascii="Arial" w:cs="Arial" w:eastAsia="Arial" w:hAnsi="Arial"/>
                <w:sz w:val="13"/>
                <w:szCs w:val="13"/>
                <w:color w:val="auto"/>
                <w:w w:val="92"/>
              </w:rPr>
              <w:t>1,000</w:t>
            </w:r>
          </w:p>
        </w:tc>
      </w:tr>
      <w:tr>
        <w:trPr>
          <w:trHeight w:val="151"/>
        </w:trPr>
        <w:tc>
          <w:tcPr>
            <w:tcW w:w="77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4"/>
              </w:rPr>
              <w:t>-1%</w:t>
            </w:r>
          </w:p>
        </w:tc>
        <w:tc>
          <w:tcPr>
            <w:tcW w:w="1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0"/>
              </w:rPr>
              <w:t>93.75%</w:t>
            </w:r>
          </w:p>
        </w:tc>
        <w:tc>
          <w:tcPr>
            <w:tcW w:w="2100" w:type="dxa"/>
            <w:vAlign w:val="bottom"/>
            <w:tcBorders>
              <w:bottom w:val="single" w:sz="8" w:color="auto"/>
            </w:tcBorders>
          </w:tcPr>
          <w:p>
            <w:pPr>
              <w:jc w:val="center"/>
              <w:ind w:left="834"/>
              <w:spacing w:after="0"/>
              <w:rPr>
                <w:sz w:val="20"/>
                <w:szCs w:val="20"/>
                <w:color w:val="auto"/>
              </w:rPr>
            </w:pPr>
            <w:r>
              <w:rPr>
                <w:rFonts w:ascii="Arial" w:cs="Arial" w:eastAsia="Arial" w:hAnsi="Arial"/>
                <w:sz w:val="13"/>
                <w:szCs w:val="13"/>
                <w:color w:val="auto"/>
                <w:w w:val="92"/>
              </w:rPr>
              <w:t>938</w:t>
            </w:r>
          </w:p>
        </w:tc>
      </w:tr>
      <w:tr>
        <w:trPr>
          <w:trHeight w:val="142"/>
        </w:trPr>
        <w:tc>
          <w:tcPr>
            <w:tcW w:w="7720" w:type="dxa"/>
            <w:vAlign w:val="bottom"/>
            <w:tcBorders>
              <w:left w:val="single" w:sz="8" w:color="auto"/>
              <w:bottom w:val="single" w:sz="8" w:color="auto"/>
              <w:right w:val="single" w:sz="8" w:color="auto"/>
            </w:tcBorders>
          </w:tcPr>
          <w:p>
            <w:pPr>
              <w:jc w:val="center"/>
              <w:spacing w:after="0" w:line="143" w:lineRule="exact"/>
              <w:rPr>
                <w:sz w:val="20"/>
                <w:szCs w:val="20"/>
                <w:color w:val="auto"/>
              </w:rPr>
            </w:pPr>
            <w:r>
              <w:rPr>
                <w:rFonts w:ascii="Arial" w:cs="Arial" w:eastAsia="Arial" w:hAnsi="Arial"/>
                <w:sz w:val="13"/>
                <w:szCs w:val="13"/>
                <w:color w:val="auto"/>
                <w:w w:val="94"/>
              </w:rPr>
              <w:t>-2%</w:t>
            </w:r>
          </w:p>
        </w:tc>
        <w:tc>
          <w:tcPr>
            <w:tcW w:w="1740" w:type="dxa"/>
            <w:vAlign w:val="bottom"/>
            <w:tcBorders>
              <w:bottom w:val="single" w:sz="8" w:color="auto"/>
              <w:right w:val="single" w:sz="8" w:color="auto"/>
            </w:tcBorders>
          </w:tcPr>
          <w:p>
            <w:pPr>
              <w:jc w:val="center"/>
              <w:spacing w:after="0" w:line="143" w:lineRule="exact"/>
              <w:rPr>
                <w:sz w:val="20"/>
                <w:szCs w:val="20"/>
                <w:color w:val="auto"/>
              </w:rPr>
            </w:pPr>
            <w:r>
              <w:rPr>
                <w:rFonts w:ascii="Arial" w:cs="Arial" w:eastAsia="Arial" w:hAnsi="Arial"/>
                <w:sz w:val="13"/>
                <w:szCs w:val="13"/>
                <w:color w:val="auto"/>
                <w:w w:val="90"/>
              </w:rPr>
              <w:t>87.50%</w:t>
            </w:r>
          </w:p>
        </w:tc>
        <w:tc>
          <w:tcPr>
            <w:tcW w:w="2100" w:type="dxa"/>
            <w:vAlign w:val="bottom"/>
            <w:tcBorders>
              <w:bottom w:val="single" w:sz="8" w:color="auto"/>
            </w:tcBorders>
          </w:tcPr>
          <w:p>
            <w:pPr>
              <w:jc w:val="center"/>
              <w:ind w:left="834"/>
              <w:spacing w:after="0" w:line="143" w:lineRule="exact"/>
              <w:rPr>
                <w:sz w:val="20"/>
                <w:szCs w:val="20"/>
                <w:color w:val="auto"/>
              </w:rPr>
            </w:pPr>
            <w:r>
              <w:rPr>
                <w:rFonts w:ascii="Arial" w:cs="Arial" w:eastAsia="Arial" w:hAnsi="Arial"/>
                <w:sz w:val="13"/>
                <w:szCs w:val="13"/>
                <w:color w:val="auto"/>
                <w:w w:val="92"/>
              </w:rPr>
              <w:t>875</w:t>
            </w:r>
          </w:p>
        </w:tc>
      </w:tr>
      <w:tr>
        <w:trPr>
          <w:trHeight w:val="142"/>
        </w:trPr>
        <w:tc>
          <w:tcPr>
            <w:tcW w:w="7720" w:type="dxa"/>
            <w:vAlign w:val="bottom"/>
            <w:tcBorders>
              <w:left w:val="single" w:sz="8" w:color="auto"/>
              <w:bottom w:val="single" w:sz="8" w:color="auto"/>
              <w:right w:val="single" w:sz="8" w:color="auto"/>
            </w:tcBorders>
          </w:tcPr>
          <w:p>
            <w:pPr>
              <w:jc w:val="center"/>
              <w:spacing w:after="0" w:line="143" w:lineRule="exact"/>
              <w:rPr>
                <w:sz w:val="20"/>
                <w:szCs w:val="20"/>
                <w:color w:val="auto"/>
              </w:rPr>
            </w:pPr>
            <w:r>
              <w:rPr>
                <w:rFonts w:ascii="Arial" w:cs="Arial" w:eastAsia="Arial" w:hAnsi="Arial"/>
                <w:sz w:val="13"/>
                <w:szCs w:val="13"/>
                <w:color w:val="auto"/>
                <w:w w:val="94"/>
              </w:rPr>
              <w:t>-3%</w:t>
            </w:r>
          </w:p>
        </w:tc>
        <w:tc>
          <w:tcPr>
            <w:tcW w:w="1740" w:type="dxa"/>
            <w:vAlign w:val="bottom"/>
            <w:tcBorders>
              <w:bottom w:val="single" w:sz="8" w:color="auto"/>
              <w:right w:val="single" w:sz="8" w:color="auto"/>
            </w:tcBorders>
          </w:tcPr>
          <w:p>
            <w:pPr>
              <w:jc w:val="center"/>
              <w:spacing w:after="0" w:line="143" w:lineRule="exact"/>
              <w:rPr>
                <w:sz w:val="20"/>
                <w:szCs w:val="20"/>
                <w:color w:val="auto"/>
              </w:rPr>
            </w:pPr>
            <w:r>
              <w:rPr>
                <w:rFonts w:ascii="Arial" w:cs="Arial" w:eastAsia="Arial" w:hAnsi="Arial"/>
                <w:sz w:val="13"/>
                <w:szCs w:val="13"/>
                <w:color w:val="auto"/>
                <w:w w:val="90"/>
              </w:rPr>
              <w:t>81.25%</w:t>
            </w:r>
          </w:p>
        </w:tc>
        <w:tc>
          <w:tcPr>
            <w:tcW w:w="2100" w:type="dxa"/>
            <w:vAlign w:val="bottom"/>
            <w:tcBorders>
              <w:bottom w:val="single" w:sz="8" w:color="auto"/>
            </w:tcBorders>
          </w:tcPr>
          <w:p>
            <w:pPr>
              <w:jc w:val="center"/>
              <w:ind w:left="834"/>
              <w:spacing w:after="0" w:line="143" w:lineRule="exact"/>
              <w:rPr>
                <w:sz w:val="20"/>
                <w:szCs w:val="20"/>
                <w:color w:val="auto"/>
              </w:rPr>
            </w:pPr>
            <w:r>
              <w:rPr>
                <w:rFonts w:ascii="Arial" w:cs="Arial" w:eastAsia="Arial" w:hAnsi="Arial"/>
                <w:sz w:val="13"/>
                <w:szCs w:val="13"/>
                <w:color w:val="auto"/>
                <w:w w:val="92"/>
              </w:rPr>
              <w:t>813</w:t>
            </w:r>
          </w:p>
        </w:tc>
      </w:tr>
      <w:tr>
        <w:trPr>
          <w:trHeight w:val="142"/>
        </w:trPr>
        <w:tc>
          <w:tcPr>
            <w:tcW w:w="7720" w:type="dxa"/>
            <w:vAlign w:val="bottom"/>
            <w:tcBorders>
              <w:left w:val="single" w:sz="8" w:color="auto"/>
              <w:bottom w:val="single" w:sz="8" w:color="auto"/>
              <w:right w:val="single" w:sz="8" w:color="auto"/>
            </w:tcBorders>
          </w:tcPr>
          <w:p>
            <w:pPr>
              <w:jc w:val="center"/>
              <w:spacing w:after="0" w:line="143" w:lineRule="exact"/>
              <w:rPr>
                <w:sz w:val="20"/>
                <w:szCs w:val="20"/>
                <w:color w:val="auto"/>
              </w:rPr>
            </w:pPr>
            <w:r>
              <w:rPr>
                <w:rFonts w:ascii="Arial" w:cs="Arial" w:eastAsia="Arial" w:hAnsi="Arial"/>
                <w:sz w:val="13"/>
                <w:szCs w:val="13"/>
                <w:color w:val="auto"/>
                <w:w w:val="94"/>
              </w:rPr>
              <w:t>-4%</w:t>
            </w:r>
          </w:p>
        </w:tc>
        <w:tc>
          <w:tcPr>
            <w:tcW w:w="1740" w:type="dxa"/>
            <w:vAlign w:val="bottom"/>
            <w:tcBorders>
              <w:bottom w:val="single" w:sz="8" w:color="auto"/>
              <w:right w:val="single" w:sz="8" w:color="auto"/>
            </w:tcBorders>
          </w:tcPr>
          <w:p>
            <w:pPr>
              <w:jc w:val="center"/>
              <w:spacing w:after="0" w:line="143" w:lineRule="exact"/>
              <w:rPr>
                <w:sz w:val="20"/>
                <w:szCs w:val="20"/>
                <w:color w:val="auto"/>
              </w:rPr>
            </w:pPr>
            <w:r>
              <w:rPr>
                <w:rFonts w:ascii="Arial" w:cs="Arial" w:eastAsia="Arial" w:hAnsi="Arial"/>
                <w:sz w:val="13"/>
                <w:szCs w:val="13"/>
                <w:color w:val="auto"/>
                <w:w w:val="90"/>
              </w:rPr>
              <w:t>75.00%</w:t>
            </w:r>
          </w:p>
        </w:tc>
        <w:tc>
          <w:tcPr>
            <w:tcW w:w="2100" w:type="dxa"/>
            <w:vAlign w:val="bottom"/>
            <w:tcBorders>
              <w:bottom w:val="single" w:sz="8" w:color="auto"/>
            </w:tcBorders>
          </w:tcPr>
          <w:p>
            <w:pPr>
              <w:jc w:val="center"/>
              <w:ind w:left="834"/>
              <w:spacing w:after="0" w:line="143" w:lineRule="exact"/>
              <w:rPr>
                <w:sz w:val="20"/>
                <w:szCs w:val="20"/>
                <w:color w:val="auto"/>
              </w:rPr>
            </w:pPr>
            <w:r>
              <w:rPr>
                <w:rFonts w:ascii="Arial" w:cs="Arial" w:eastAsia="Arial" w:hAnsi="Arial"/>
                <w:sz w:val="13"/>
                <w:szCs w:val="13"/>
                <w:color w:val="auto"/>
                <w:w w:val="92"/>
              </w:rPr>
              <w:t>750</w:t>
            </w:r>
          </w:p>
        </w:tc>
      </w:tr>
      <w:tr>
        <w:trPr>
          <w:trHeight w:val="142"/>
        </w:trPr>
        <w:tc>
          <w:tcPr>
            <w:tcW w:w="7720" w:type="dxa"/>
            <w:vAlign w:val="bottom"/>
            <w:tcBorders>
              <w:left w:val="single" w:sz="8" w:color="auto"/>
              <w:bottom w:val="single" w:sz="8" w:color="auto"/>
              <w:right w:val="single" w:sz="8" w:color="auto"/>
            </w:tcBorders>
          </w:tcPr>
          <w:p>
            <w:pPr>
              <w:jc w:val="center"/>
              <w:spacing w:after="0" w:line="143" w:lineRule="exact"/>
              <w:rPr>
                <w:sz w:val="20"/>
                <w:szCs w:val="20"/>
                <w:color w:val="auto"/>
              </w:rPr>
            </w:pPr>
            <w:r>
              <w:rPr>
                <w:rFonts w:ascii="Arial" w:cs="Arial" w:eastAsia="Arial" w:hAnsi="Arial"/>
                <w:sz w:val="13"/>
                <w:szCs w:val="13"/>
                <w:color w:val="auto"/>
                <w:w w:val="94"/>
              </w:rPr>
              <w:t>-5%</w:t>
            </w:r>
          </w:p>
        </w:tc>
        <w:tc>
          <w:tcPr>
            <w:tcW w:w="1740" w:type="dxa"/>
            <w:vAlign w:val="bottom"/>
            <w:tcBorders>
              <w:bottom w:val="single" w:sz="8" w:color="auto"/>
              <w:right w:val="single" w:sz="8" w:color="auto"/>
            </w:tcBorders>
          </w:tcPr>
          <w:p>
            <w:pPr>
              <w:jc w:val="center"/>
              <w:spacing w:after="0" w:line="143" w:lineRule="exact"/>
              <w:rPr>
                <w:sz w:val="20"/>
                <w:szCs w:val="20"/>
                <w:color w:val="auto"/>
              </w:rPr>
            </w:pPr>
            <w:r>
              <w:rPr>
                <w:rFonts w:ascii="Arial" w:cs="Arial" w:eastAsia="Arial" w:hAnsi="Arial"/>
                <w:sz w:val="13"/>
                <w:szCs w:val="13"/>
                <w:color w:val="auto"/>
                <w:w w:val="90"/>
              </w:rPr>
              <w:t>68.75%</w:t>
            </w:r>
          </w:p>
        </w:tc>
        <w:tc>
          <w:tcPr>
            <w:tcW w:w="2100" w:type="dxa"/>
            <w:vAlign w:val="bottom"/>
            <w:tcBorders>
              <w:bottom w:val="single" w:sz="8" w:color="auto"/>
            </w:tcBorders>
          </w:tcPr>
          <w:p>
            <w:pPr>
              <w:jc w:val="center"/>
              <w:ind w:left="834"/>
              <w:spacing w:after="0" w:line="143" w:lineRule="exact"/>
              <w:rPr>
                <w:sz w:val="20"/>
                <w:szCs w:val="20"/>
                <w:color w:val="auto"/>
              </w:rPr>
            </w:pPr>
            <w:r>
              <w:rPr>
                <w:rFonts w:ascii="Arial" w:cs="Arial" w:eastAsia="Arial" w:hAnsi="Arial"/>
                <w:sz w:val="13"/>
                <w:szCs w:val="13"/>
                <w:color w:val="auto"/>
                <w:w w:val="92"/>
              </w:rPr>
              <w:t>688</w:t>
            </w:r>
          </w:p>
        </w:tc>
      </w:tr>
      <w:tr>
        <w:trPr>
          <w:trHeight w:val="142"/>
        </w:trPr>
        <w:tc>
          <w:tcPr>
            <w:tcW w:w="7720" w:type="dxa"/>
            <w:vAlign w:val="bottom"/>
            <w:tcBorders>
              <w:left w:val="single" w:sz="8" w:color="auto"/>
              <w:bottom w:val="single" w:sz="8" w:color="auto"/>
              <w:right w:val="single" w:sz="8" w:color="auto"/>
            </w:tcBorders>
          </w:tcPr>
          <w:p>
            <w:pPr>
              <w:jc w:val="center"/>
              <w:spacing w:after="0" w:line="143" w:lineRule="exact"/>
              <w:rPr>
                <w:sz w:val="20"/>
                <w:szCs w:val="20"/>
                <w:color w:val="auto"/>
              </w:rPr>
            </w:pPr>
            <w:r>
              <w:rPr>
                <w:rFonts w:ascii="Arial" w:cs="Arial" w:eastAsia="Arial" w:hAnsi="Arial"/>
                <w:sz w:val="13"/>
                <w:szCs w:val="13"/>
                <w:color w:val="auto"/>
                <w:w w:val="94"/>
              </w:rPr>
              <w:t>-6%</w:t>
            </w:r>
          </w:p>
        </w:tc>
        <w:tc>
          <w:tcPr>
            <w:tcW w:w="1740" w:type="dxa"/>
            <w:vAlign w:val="bottom"/>
            <w:tcBorders>
              <w:bottom w:val="single" w:sz="8" w:color="auto"/>
              <w:right w:val="single" w:sz="8" w:color="auto"/>
            </w:tcBorders>
          </w:tcPr>
          <w:p>
            <w:pPr>
              <w:jc w:val="center"/>
              <w:spacing w:after="0" w:line="143" w:lineRule="exact"/>
              <w:rPr>
                <w:sz w:val="20"/>
                <w:szCs w:val="20"/>
                <w:color w:val="auto"/>
              </w:rPr>
            </w:pPr>
            <w:r>
              <w:rPr>
                <w:rFonts w:ascii="Arial" w:cs="Arial" w:eastAsia="Arial" w:hAnsi="Arial"/>
                <w:sz w:val="13"/>
                <w:szCs w:val="13"/>
                <w:color w:val="auto"/>
                <w:w w:val="90"/>
              </w:rPr>
              <w:t>62.50%</w:t>
            </w:r>
          </w:p>
        </w:tc>
        <w:tc>
          <w:tcPr>
            <w:tcW w:w="2100" w:type="dxa"/>
            <w:vAlign w:val="bottom"/>
            <w:tcBorders>
              <w:bottom w:val="single" w:sz="8" w:color="auto"/>
            </w:tcBorders>
          </w:tcPr>
          <w:p>
            <w:pPr>
              <w:jc w:val="center"/>
              <w:ind w:left="834"/>
              <w:spacing w:after="0" w:line="143" w:lineRule="exact"/>
              <w:rPr>
                <w:sz w:val="20"/>
                <w:szCs w:val="20"/>
                <w:color w:val="auto"/>
              </w:rPr>
            </w:pPr>
            <w:r>
              <w:rPr>
                <w:rFonts w:ascii="Arial" w:cs="Arial" w:eastAsia="Arial" w:hAnsi="Arial"/>
                <w:sz w:val="13"/>
                <w:szCs w:val="13"/>
                <w:color w:val="auto"/>
                <w:w w:val="92"/>
              </w:rPr>
              <w:t>625</w:t>
            </w:r>
          </w:p>
        </w:tc>
      </w:tr>
      <w:tr>
        <w:trPr>
          <w:trHeight w:val="142"/>
        </w:trPr>
        <w:tc>
          <w:tcPr>
            <w:tcW w:w="7720" w:type="dxa"/>
            <w:vAlign w:val="bottom"/>
            <w:tcBorders>
              <w:left w:val="single" w:sz="8" w:color="auto"/>
              <w:bottom w:val="single" w:sz="8" w:color="auto"/>
              <w:right w:val="single" w:sz="8" w:color="auto"/>
            </w:tcBorders>
          </w:tcPr>
          <w:p>
            <w:pPr>
              <w:jc w:val="center"/>
              <w:spacing w:after="0" w:line="143" w:lineRule="exact"/>
              <w:rPr>
                <w:sz w:val="20"/>
                <w:szCs w:val="20"/>
                <w:color w:val="auto"/>
              </w:rPr>
            </w:pPr>
            <w:r>
              <w:rPr>
                <w:rFonts w:ascii="Arial" w:cs="Arial" w:eastAsia="Arial" w:hAnsi="Arial"/>
                <w:sz w:val="13"/>
                <w:szCs w:val="13"/>
                <w:color w:val="auto"/>
                <w:w w:val="94"/>
              </w:rPr>
              <w:t>-7%</w:t>
            </w:r>
          </w:p>
        </w:tc>
        <w:tc>
          <w:tcPr>
            <w:tcW w:w="1740" w:type="dxa"/>
            <w:vAlign w:val="bottom"/>
            <w:tcBorders>
              <w:bottom w:val="single" w:sz="8" w:color="auto"/>
              <w:right w:val="single" w:sz="8" w:color="auto"/>
            </w:tcBorders>
          </w:tcPr>
          <w:p>
            <w:pPr>
              <w:jc w:val="center"/>
              <w:spacing w:after="0" w:line="143" w:lineRule="exact"/>
              <w:rPr>
                <w:sz w:val="20"/>
                <w:szCs w:val="20"/>
                <w:color w:val="auto"/>
              </w:rPr>
            </w:pPr>
            <w:r>
              <w:rPr>
                <w:rFonts w:ascii="Arial" w:cs="Arial" w:eastAsia="Arial" w:hAnsi="Arial"/>
                <w:sz w:val="13"/>
                <w:szCs w:val="13"/>
                <w:color w:val="auto"/>
                <w:w w:val="90"/>
              </w:rPr>
              <w:t>56.25%</w:t>
            </w:r>
          </w:p>
        </w:tc>
        <w:tc>
          <w:tcPr>
            <w:tcW w:w="2100" w:type="dxa"/>
            <w:vAlign w:val="bottom"/>
            <w:tcBorders>
              <w:bottom w:val="single" w:sz="8" w:color="auto"/>
            </w:tcBorders>
          </w:tcPr>
          <w:p>
            <w:pPr>
              <w:jc w:val="center"/>
              <w:ind w:left="834"/>
              <w:spacing w:after="0" w:line="143" w:lineRule="exact"/>
              <w:rPr>
                <w:sz w:val="20"/>
                <w:szCs w:val="20"/>
                <w:color w:val="auto"/>
              </w:rPr>
            </w:pPr>
            <w:r>
              <w:rPr>
                <w:rFonts w:ascii="Arial" w:cs="Arial" w:eastAsia="Arial" w:hAnsi="Arial"/>
                <w:sz w:val="13"/>
                <w:szCs w:val="13"/>
                <w:color w:val="auto"/>
                <w:w w:val="92"/>
              </w:rPr>
              <w:t>563</w:t>
            </w:r>
          </w:p>
        </w:tc>
      </w:tr>
      <w:tr>
        <w:trPr>
          <w:trHeight w:val="142"/>
        </w:trPr>
        <w:tc>
          <w:tcPr>
            <w:tcW w:w="7720" w:type="dxa"/>
            <w:vAlign w:val="bottom"/>
            <w:tcBorders>
              <w:left w:val="single" w:sz="8" w:color="auto"/>
              <w:bottom w:val="single" w:sz="8" w:color="auto"/>
              <w:right w:val="single" w:sz="8" w:color="auto"/>
            </w:tcBorders>
          </w:tcPr>
          <w:p>
            <w:pPr>
              <w:jc w:val="center"/>
              <w:spacing w:after="0" w:line="143" w:lineRule="exact"/>
              <w:rPr>
                <w:sz w:val="20"/>
                <w:szCs w:val="20"/>
                <w:color w:val="auto"/>
              </w:rPr>
            </w:pPr>
            <w:r>
              <w:rPr>
                <w:rFonts w:ascii="Arial" w:cs="Arial" w:eastAsia="Arial" w:hAnsi="Arial"/>
                <w:sz w:val="13"/>
                <w:szCs w:val="13"/>
                <w:color w:val="auto"/>
                <w:w w:val="94"/>
              </w:rPr>
              <w:t>-8%</w:t>
            </w:r>
          </w:p>
        </w:tc>
        <w:tc>
          <w:tcPr>
            <w:tcW w:w="1740" w:type="dxa"/>
            <w:vAlign w:val="bottom"/>
            <w:tcBorders>
              <w:bottom w:val="single" w:sz="8" w:color="auto"/>
              <w:right w:val="single" w:sz="8" w:color="auto"/>
            </w:tcBorders>
          </w:tcPr>
          <w:p>
            <w:pPr>
              <w:jc w:val="center"/>
              <w:spacing w:after="0" w:line="143" w:lineRule="exact"/>
              <w:rPr>
                <w:sz w:val="20"/>
                <w:szCs w:val="20"/>
                <w:color w:val="auto"/>
              </w:rPr>
            </w:pPr>
            <w:r>
              <w:rPr>
                <w:rFonts w:ascii="Arial" w:cs="Arial" w:eastAsia="Arial" w:hAnsi="Arial"/>
                <w:sz w:val="13"/>
                <w:szCs w:val="13"/>
                <w:color w:val="auto"/>
                <w:w w:val="90"/>
              </w:rPr>
              <w:t>50.00%</w:t>
            </w:r>
          </w:p>
        </w:tc>
        <w:tc>
          <w:tcPr>
            <w:tcW w:w="2100" w:type="dxa"/>
            <w:vAlign w:val="bottom"/>
            <w:tcBorders>
              <w:bottom w:val="single" w:sz="8" w:color="auto"/>
            </w:tcBorders>
          </w:tcPr>
          <w:p>
            <w:pPr>
              <w:jc w:val="center"/>
              <w:ind w:left="834"/>
              <w:spacing w:after="0" w:line="143" w:lineRule="exact"/>
              <w:rPr>
                <w:sz w:val="20"/>
                <w:szCs w:val="20"/>
                <w:color w:val="auto"/>
              </w:rPr>
            </w:pPr>
            <w:r>
              <w:rPr>
                <w:rFonts w:ascii="Arial" w:cs="Arial" w:eastAsia="Arial" w:hAnsi="Arial"/>
                <w:sz w:val="13"/>
                <w:szCs w:val="13"/>
                <w:color w:val="auto"/>
                <w:w w:val="92"/>
              </w:rPr>
              <w:t>500</w:t>
            </w:r>
          </w:p>
        </w:tc>
      </w:tr>
      <w:tr>
        <w:trPr>
          <w:trHeight w:val="151"/>
        </w:trPr>
        <w:tc>
          <w:tcPr>
            <w:tcW w:w="77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Threshold:Less than -8%</w:t>
            </w:r>
          </w:p>
        </w:tc>
        <w:tc>
          <w:tcPr>
            <w:tcW w:w="1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5"/>
              </w:rPr>
              <w:t>0%</w:t>
            </w:r>
          </w:p>
        </w:tc>
        <w:tc>
          <w:tcPr>
            <w:tcW w:w="2100" w:type="dxa"/>
            <w:vAlign w:val="bottom"/>
            <w:tcBorders>
              <w:bottom w:val="single" w:sz="8" w:color="auto"/>
            </w:tcBorders>
          </w:tcPr>
          <w:p>
            <w:pPr>
              <w:jc w:val="center"/>
              <w:ind w:left="814"/>
              <w:spacing w:after="0"/>
              <w:rPr>
                <w:sz w:val="20"/>
                <w:szCs w:val="20"/>
                <w:color w:val="auto"/>
              </w:rPr>
            </w:pPr>
            <w:r>
              <w:rPr>
                <w:rFonts w:ascii="Arial" w:cs="Arial" w:eastAsia="Arial" w:hAnsi="Arial"/>
                <w:sz w:val="13"/>
                <w:szCs w:val="13"/>
                <w:color w:val="auto"/>
                <w:w w:val="82"/>
              </w:rPr>
              <w:t>0</w:t>
            </w:r>
          </w:p>
        </w:tc>
      </w:tr>
    </w:tbl>
    <w:p>
      <w:pPr>
        <w:spacing w:after="0" w:line="278" w:lineRule="exact"/>
        <w:rPr>
          <w:sz w:val="20"/>
          <w:szCs w:val="20"/>
          <w:color w:val="auto"/>
        </w:rPr>
      </w:pPr>
    </w:p>
    <w:p>
      <w:pPr>
        <w:ind w:left="900" w:hanging="447"/>
        <w:spacing w:after="0"/>
        <w:tabs>
          <w:tab w:leader="none" w:pos="900" w:val="left"/>
        </w:tabs>
        <w:numPr>
          <w:ilvl w:val="0"/>
          <w:numId w:val="111"/>
        </w:numPr>
        <w:rPr>
          <w:rFonts w:ascii="Arial" w:cs="Arial" w:eastAsia="Arial" w:hAnsi="Arial"/>
          <w:sz w:val="13"/>
          <w:szCs w:val="13"/>
          <w:color w:val="auto"/>
        </w:rPr>
      </w:pPr>
      <w:r>
        <w:rPr>
          <w:rFonts w:ascii="Arial" w:cs="Arial" w:eastAsia="Arial" w:hAnsi="Arial"/>
          <w:sz w:val="13"/>
          <w:szCs w:val="13"/>
          <w:color w:val="auto"/>
        </w:rPr>
        <w:t>The Relative TSR Factor may not exceed 150%.</w:t>
      </w:r>
    </w:p>
    <w:p>
      <w:pPr>
        <w:spacing w:after="0" w:line="147" w:lineRule="exact"/>
        <w:rPr>
          <w:rFonts w:ascii="Arial" w:cs="Arial" w:eastAsia="Arial" w:hAnsi="Arial"/>
          <w:sz w:val="13"/>
          <w:szCs w:val="13"/>
          <w:color w:val="auto"/>
        </w:rPr>
      </w:pPr>
    </w:p>
    <w:p>
      <w:pPr>
        <w:ind w:left="900" w:right="60" w:hanging="447"/>
        <w:spacing w:after="0" w:line="271" w:lineRule="auto"/>
        <w:tabs>
          <w:tab w:leader="none" w:pos="900" w:val="left"/>
        </w:tabs>
        <w:numPr>
          <w:ilvl w:val="0"/>
          <w:numId w:val="111"/>
        </w:numPr>
        <w:rPr>
          <w:rFonts w:ascii="Arial" w:cs="Arial" w:eastAsia="Arial" w:hAnsi="Arial"/>
          <w:sz w:val="13"/>
          <w:szCs w:val="13"/>
          <w:color w:val="auto"/>
        </w:rPr>
      </w:pPr>
      <w:r>
        <w:rPr>
          <w:rFonts w:ascii="Arial" w:cs="Arial" w:eastAsia="Arial" w:hAnsi="Arial"/>
          <w:sz w:val="13"/>
          <w:szCs w:val="13"/>
          <w:color w:val="auto"/>
        </w:rPr>
        <w:t>If the Company Absolute TSR for the Performance Period is a negative number, the Relative TSR Factor may not exceed 100% even if the Company Annualized TSR exceeds the Comparator Group Median Annualized TSR.</w:t>
      </w:r>
    </w:p>
    <w:p>
      <w:pPr>
        <w:spacing w:after="0" w:line="112" w:lineRule="exact"/>
        <w:rPr>
          <w:rFonts w:ascii="Arial" w:cs="Arial" w:eastAsia="Arial" w:hAnsi="Arial"/>
          <w:sz w:val="13"/>
          <w:szCs w:val="13"/>
          <w:color w:val="auto"/>
        </w:rPr>
      </w:pPr>
    </w:p>
    <w:p>
      <w:pPr>
        <w:ind w:left="900" w:hanging="447"/>
        <w:spacing w:after="0"/>
        <w:tabs>
          <w:tab w:leader="none" w:pos="900" w:val="left"/>
        </w:tabs>
        <w:numPr>
          <w:ilvl w:val="0"/>
          <w:numId w:val="111"/>
        </w:numPr>
        <w:rPr>
          <w:rFonts w:ascii="Arial" w:cs="Arial" w:eastAsia="Arial" w:hAnsi="Arial"/>
          <w:sz w:val="13"/>
          <w:szCs w:val="13"/>
          <w:color w:val="auto"/>
        </w:rPr>
      </w:pPr>
      <w:r>
        <w:rPr>
          <w:rFonts w:ascii="Arial" w:cs="Arial" w:eastAsia="Arial" w:hAnsi="Arial"/>
          <w:sz w:val="13"/>
          <w:szCs w:val="13"/>
          <w:color w:val="auto"/>
        </w:rPr>
        <w:t>If the Relative TSR is less than negative 8%, the Relative TSR Factor shall be zero percent (0%).</w:t>
      </w:r>
    </w:p>
    <w:p>
      <w:pPr>
        <w:spacing w:after="0" w:line="147" w:lineRule="exact"/>
        <w:rPr>
          <w:rFonts w:ascii="Arial" w:cs="Arial" w:eastAsia="Arial" w:hAnsi="Arial"/>
          <w:sz w:val="13"/>
          <w:szCs w:val="13"/>
          <w:color w:val="auto"/>
        </w:rPr>
      </w:pPr>
    </w:p>
    <w:p>
      <w:pPr>
        <w:ind w:left="900" w:hanging="447"/>
        <w:spacing w:after="0"/>
        <w:tabs>
          <w:tab w:leader="none" w:pos="900" w:val="left"/>
        </w:tabs>
        <w:numPr>
          <w:ilvl w:val="0"/>
          <w:numId w:val="111"/>
        </w:numPr>
        <w:rPr>
          <w:rFonts w:ascii="Arial" w:cs="Arial" w:eastAsia="Arial" w:hAnsi="Arial"/>
          <w:sz w:val="13"/>
          <w:szCs w:val="13"/>
          <w:color w:val="auto"/>
        </w:rPr>
      </w:pPr>
      <w:r>
        <w:rPr>
          <w:rFonts w:ascii="Arial" w:cs="Arial" w:eastAsia="Arial" w:hAnsi="Arial"/>
          <w:sz w:val="13"/>
          <w:szCs w:val="13"/>
          <w:color w:val="auto"/>
        </w:rPr>
        <w:t>The Relative TSR Factor is determined by linear interpolation for Relative TSRs falling between the whole numbers represented in the table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379730</wp:posOffset>
            </wp:positionV>
            <wp:extent cx="7329170" cy="3683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35">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560"/>
          </w:cols>
          <w:pgMar w:left="200" w:top="269" w:right="139" w:bottom="1440" w:gutter="0" w:footer="0" w:header="0"/>
        </w:sectPr>
      </w:pPr>
    </w:p>
    <w:bookmarkStart w:id="155" w:name="page156"/>
    <w:bookmarkEnd w:id="155"/>
    <w:p>
      <w:pPr>
        <w:ind w:left="20"/>
        <w:spacing w:after="0"/>
        <w:rPr>
          <w:sz w:val="20"/>
          <w:szCs w:val="20"/>
          <w:color w:val="auto"/>
        </w:rPr>
      </w:pPr>
      <w:r>
        <w:rPr>
          <w:rFonts w:ascii="Arial" w:cs="Arial" w:eastAsia="Arial" w:hAnsi="Arial"/>
          <w:sz w:val="13"/>
          <w:szCs w:val="13"/>
          <w:b w:val="1"/>
          <w:bCs w:val="1"/>
          <w:u w:val="single" w:color="auto"/>
          <w:color w:val="auto"/>
        </w:rPr>
        <w:t>APPENDIX A CONTINUED</w:t>
      </w:r>
    </w:p>
    <w:p>
      <w:pPr>
        <w:spacing w:after="0" w:line="148" w:lineRule="exact"/>
        <w:rPr>
          <w:sz w:val="20"/>
          <w:szCs w:val="20"/>
          <w:color w:val="auto"/>
        </w:rPr>
      </w:pPr>
    </w:p>
    <w:tbl>
      <w:tblPr>
        <w:tblLayout w:type="fixed"/>
        <w:tblInd w:w="10" w:type="dxa"/>
        <w:tblCellMar>
          <w:top w:w="0" w:type="dxa"/>
          <w:left w:w="0" w:type="dxa"/>
          <w:bottom w:w="0" w:type="dxa"/>
          <w:right w:w="0" w:type="dxa"/>
        </w:tblCellMar>
      </w:tblPr>
      <w:tr>
        <w:trPr>
          <w:trHeight w:val="153"/>
        </w:trPr>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6720" w:type="dxa"/>
            <w:vAlign w:val="bottom"/>
          </w:tcPr>
          <w:p>
            <w:pPr>
              <w:ind w:left="1140"/>
              <w:spacing w:after="0"/>
              <w:rPr>
                <w:sz w:val="20"/>
                <w:szCs w:val="20"/>
                <w:color w:val="auto"/>
              </w:rPr>
            </w:pPr>
            <w:r>
              <w:rPr>
                <w:rFonts w:ascii="Arial" w:cs="Arial" w:eastAsia="Arial" w:hAnsi="Arial"/>
                <w:sz w:val="13"/>
                <w:szCs w:val="13"/>
                <w:b w:val="1"/>
                <w:bCs w:val="1"/>
                <w:color w:val="auto"/>
              </w:rPr>
              <w:t>ILLUSTRATIONS OF CALCULATION OF EARNED UNITS</w:t>
            </w:r>
          </w:p>
        </w:tc>
        <w:tc>
          <w:tcPr>
            <w:tcW w:w="19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6720" w:type="dxa"/>
            <w:vAlign w:val="bottom"/>
          </w:tcPr>
          <w:p>
            <w:pPr>
              <w:ind w:left="2100"/>
              <w:spacing w:after="0"/>
              <w:rPr>
                <w:sz w:val="20"/>
                <w:szCs w:val="20"/>
                <w:color w:val="auto"/>
              </w:rPr>
            </w:pPr>
            <w:r>
              <w:rPr>
                <w:rFonts w:ascii="Arial" w:cs="Arial" w:eastAsia="Arial" w:hAnsi="Arial"/>
                <w:sz w:val="13"/>
                <w:szCs w:val="13"/>
                <w:b w:val="1"/>
                <w:bCs w:val="1"/>
                <w:color w:val="auto"/>
              </w:rPr>
              <w:t>PER 1,000 TARGET UNITS</w:t>
            </w:r>
          </w:p>
        </w:tc>
        <w:tc>
          <w:tcPr>
            <w:tcW w:w="19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6"/>
        </w:trPr>
        <w:tc>
          <w:tcPr>
            <w:tcW w:w="7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740" w:type="dxa"/>
            <w:vAlign w:val="bottom"/>
            <w:tcBorders>
              <w:left w:val="single" w:sz="8" w:color="auto"/>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20" w:type="dxa"/>
            <w:vAlign w:val="bottom"/>
            <w:tcBorders>
              <w:bottom w:val="single" w:sz="8" w:color="auto"/>
            </w:tcBorders>
          </w:tcPr>
          <w:p>
            <w:pPr>
              <w:spacing w:after="0"/>
              <w:rPr>
                <w:sz w:val="13"/>
                <w:szCs w:val="13"/>
                <w:color w:val="auto"/>
              </w:rPr>
            </w:pPr>
          </w:p>
        </w:tc>
        <w:tc>
          <w:tcPr>
            <w:tcW w:w="6720" w:type="dxa"/>
            <w:vAlign w:val="bottom"/>
            <w:tcBorders>
              <w:bottom w:val="single" w:sz="8" w:color="auto"/>
            </w:tcBorders>
          </w:tcPr>
          <w:p>
            <w:pPr>
              <w:ind w:left="600"/>
              <w:spacing w:after="0"/>
              <w:rPr>
                <w:sz w:val="20"/>
                <w:szCs w:val="20"/>
                <w:color w:val="auto"/>
              </w:rPr>
            </w:pPr>
            <w:r>
              <w:rPr>
                <w:rFonts w:ascii="Arial" w:cs="Arial" w:eastAsia="Arial" w:hAnsi="Arial"/>
                <w:sz w:val="13"/>
                <w:szCs w:val="13"/>
                <w:b w:val="1"/>
                <w:bCs w:val="1"/>
                <w:color w:val="auto"/>
              </w:rPr>
              <w:t>Company Annualized TSR Exceeds Comparator Group Median Annualized TSR</w:t>
            </w:r>
          </w:p>
        </w:tc>
        <w:tc>
          <w:tcPr>
            <w:tcW w:w="1920" w:type="dxa"/>
            <w:vAlign w:val="bottom"/>
            <w:tcBorders>
              <w:bottom w:val="single" w:sz="8" w:color="auto"/>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2840" w:type="dxa"/>
            <w:vAlign w:val="bottom"/>
            <w:tcBorders>
              <w:left w:val="single" w:sz="8" w:color="auto"/>
            </w:tcBorders>
            <w:gridSpan w:val="3"/>
          </w:tcPr>
          <w:p>
            <w:pPr>
              <w:ind w:left="20"/>
              <w:spacing w:after="0" w:line="124" w:lineRule="exact"/>
              <w:rPr>
                <w:sz w:val="20"/>
                <w:szCs w:val="20"/>
                <w:color w:val="auto"/>
              </w:rPr>
            </w:pPr>
            <w:r>
              <w:rPr>
                <w:rFonts w:ascii="Arial" w:cs="Arial" w:eastAsia="Arial" w:hAnsi="Arial"/>
                <w:sz w:val="13"/>
                <w:szCs w:val="13"/>
                <w:b w:val="1"/>
                <w:bCs w:val="1"/>
                <w:color w:val="auto"/>
              </w:rPr>
              <w:t>Assumptions</w:t>
            </w:r>
          </w:p>
        </w:tc>
        <w:tc>
          <w:tcPr>
            <w:tcW w:w="6720" w:type="dxa"/>
            <w:vAlign w:val="bottom"/>
          </w:tcPr>
          <w:p>
            <w:pPr>
              <w:spacing w:after="0"/>
              <w:rPr>
                <w:sz w:val="10"/>
                <w:szCs w:val="10"/>
                <w:color w:val="auto"/>
              </w:rPr>
            </w:pPr>
          </w:p>
        </w:tc>
        <w:tc>
          <w:tcPr>
            <w:tcW w:w="192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4"/>
        </w:trPr>
        <w:tc>
          <w:tcPr>
            <w:tcW w:w="740" w:type="dxa"/>
            <w:vAlign w:val="bottom"/>
            <w:tcBorders>
              <w:top w:val="single" w:sz="8" w:color="auto"/>
              <w:left w:val="single" w:sz="8" w:color="auto"/>
            </w:tcBorders>
          </w:tcPr>
          <w:p>
            <w:pPr>
              <w:ind w:left="20"/>
              <w:spacing w:after="0"/>
              <w:rPr>
                <w:sz w:val="20"/>
                <w:szCs w:val="20"/>
                <w:color w:val="auto"/>
              </w:rPr>
            </w:pPr>
            <w:r>
              <w:rPr>
                <w:rFonts w:ascii="Arial" w:cs="Arial" w:eastAsia="Arial" w:hAnsi="Arial"/>
                <w:sz w:val="13"/>
                <w:szCs w:val="13"/>
                <w:b w:val="1"/>
                <w:bCs w:val="1"/>
                <w:color w:val="auto"/>
              </w:rPr>
              <w:t>Company:</w:t>
            </w:r>
          </w:p>
        </w:tc>
        <w:tc>
          <w:tcPr>
            <w:tcW w:w="2100" w:type="dxa"/>
            <w:vAlign w:val="bottom"/>
            <w:gridSpan w:val="2"/>
          </w:tcPr>
          <w:p>
            <w:pPr>
              <w:spacing w:after="0"/>
              <w:rPr>
                <w:sz w:val="24"/>
                <w:szCs w:val="24"/>
                <w:color w:val="auto"/>
              </w:rPr>
            </w:pPr>
          </w:p>
        </w:tc>
        <w:tc>
          <w:tcPr>
            <w:tcW w:w="6720" w:type="dxa"/>
            <w:vAlign w:val="bottom"/>
          </w:tcPr>
          <w:p>
            <w:pPr>
              <w:spacing w:after="0"/>
              <w:rPr>
                <w:sz w:val="24"/>
                <w:szCs w:val="24"/>
                <w:color w:val="auto"/>
              </w:rPr>
            </w:pPr>
          </w:p>
        </w:tc>
        <w:tc>
          <w:tcPr>
            <w:tcW w:w="192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2840" w:type="dxa"/>
            <w:vAlign w:val="bottom"/>
            <w:tcBorders>
              <w:left w:val="single" w:sz="8" w:color="auto"/>
            </w:tcBorders>
            <w:gridSpan w:val="3"/>
          </w:tcPr>
          <w:p>
            <w:pPr>
              <w:ind w:left="20"/>
              <w:spacing w:after="0"/>
              <w:rPr>
                <w:sz w:val="20"/>
                <w:szCs w:val="20"/>
                <w:color w:val="auto"/>
              </w:rPr>
            </w:pPr>
            <w:r>
              <w:rPr>
                <w:rFonts w:ascii="Arial" w:cs="Arial" w:eastAsia="Arial" w:hAnsi="Arial"/>
                <w:sz w:val="13"/>
                <w:szCs w:val="13"/>
                <w:color w:val="auto"/>
              </w:rPr>
              <w:t>Beginning Average Per Share Closing Price</w:t>
            </w:r>
          </w:p>
        </w:tc>
        <w:tc>
          <w:tcPr>
            <w:tcW w:w="6720" w:type="dxa"/>
            <w:vAlign w:val="bottom"/>
          </w:tcPr>
          <w:p>
            <w:pPr>
              <w:spacing w:after="0"/>
              <w:rPr>
                <w:sz w:val="13"/>
                <w:szCs w:val="13"/>
                <w:color w:val="auto"/>
              </w:rPr>
            </w:pPr>
          </w:p>
        </w:tc>
        <w:tc>
          <w:tcPr>
            <w:tcW w:w="192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$15.00</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840" w:type="dxa"/>
            <w:vAlign w:val="bottom"/>
            <w:tcBorders>
              <w:left w:val="single" w:sz="8" w:color="auto"/>
            </w:tcBorders>
            <w:gridSpan w:val="3"/>
          </w:tcPr>
          <w:p>
            <w:pPr>
              <w:ind w:left="20"/>
              <w:spacing w:after="0"/>
              <w:rPr>
                <w:sz w:val="20"/>
                <w:szCs w:val="20"/>
                <w:color w:val="auto"/>
              </w:rPr>
            </w:pPr>
            <w:r>
              <w:rPr>
                <w:rFonts w:ascii="Arial" w:cs="Arial" w:eastAsia="Arial" w:hAnsi="Arial"/>
                <w:sz w:val="13"/>
                <w:szCs w:val="13"/>
                <w:color w:val="auto"/>
              </w:rPr>
              <w:t>Ending Average Per Share Closing Price</w:t>
            </w:r>
          </w:p>
        </w:tc>
        <w:tc>
          <w:tcPr>
            <w:tcW w:w="6720" w:type="dxa"/>
            <w:vAlign w:val="bottom"/>
          </w:tcPr>
          <w:p>
            <w:pPr>
              <w:spacing w:after="0"/>
              <w:rPr>
                <w:sz w:val="13"/>
                <w:szCs w:val="13"/>
                <w:color w:val="auto"/>
              </w:rPr>
            </w:pPr>
          </w:p>
        </w:tc>
        <w:tc>
          <w:tcPr>
            <w:tcW w:w="192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$26.00</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840" w:type="dxa"/>
            <w:vAlign w:val="bottom"/>
            <w:tcBorders>
              <w:left w:val="single" w:sz="8" w:color="auto"/>
            </w:tcBorders>
            <w:gridSpan w:val="3"/>
          </w:tcPr>
          <w:p>
            <w:pPr>
              <w:ind w:left="20"/>
              <w:spacing w:after="0"/>
              <w:rPr>
                <w:sz w:val="20"/>
                <w:szCs w:val="20"/>
                <w:color w:val="auto"/>
              </w:rPr>
            </w:pPr>
            <w:r>
              <w:rPr>
                <w:rFonts w:ascii="Arial" w:cs="Arial" w:eastAsia="Arial" w:hAnsi="Arial"/>
                <w:sz w:val="13"/>
                <w:szCs w:val="13"/>
                <w:color w:val="auto"/>
              </w:rPr>
              <w:t>Dividends per Share</w:t>
            </w:r>
          </w:p>
        </w:tc>
        <w:tc>
          <w:tcPr>
            <w:tcW w:w="6720" w:type="dxa"/>
            <w:vAlign w:val="bottom"/>
          </w:tcPr>
          <w:p>
            <w:pPr>
              <w:spacing w:after="0"/>
              <w:rPr>
                <w:sz w:val="13"/>
                <w:szCs w:val="13"/>
                <w:color w:val="auto"/>
              </w:rPr>
            </w:pPr>
          </w:p>
        </w:tc>
        <w:tc>
          <w:tcPr>
            <w:tcW w:w="192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$0.00</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2840" w:type="dxa"/>
            <w:vAlign w:val="bottom"/>
            <w:tcBorders>
              <w:left w:val="single" w:sz="8" w:color="auto"/>
            </w:tcBorders>
            <w:gridSpan w:val="3"/>
          </w:tcPr>
          <w:p>
            <w:pPr>
              <w:ind w:left="20"/>
              <w:spacing w:after="0"/>
              <w:rPr>
                <w:sz w:val="20"/>
                <w:szCs w:val="20"/>
                <w:color w:val="auto"/>
              </w:rPr>
            </w:pPr>
            <w:r>
              <w:rPr>
                <w:rFonts w:ascii="Arial" w:cs="Arial" w:eastAsia="Arial" w:hAnsi="Arial"/>
                <w:sz w:val="13"/>
                <w:szCs w:val="13"/>
                <w:color w:val="auto"/>
              </w:rPr>
              <w:t>Performance Period</w:t>
            </w:r>
          </w:p>
        </w:tc>
        <w:tc>
          <w:tcPr>
            <w:tcW w:w="6720" w:type="dxa"/>
            <w:vAlign w:val="bottom"/>
          </w:tcPr>
          <w:p>
            <w:pPr>
              <w:spacing w:after="0"/>
              <w:rPr>
                <w:sz w:val="14"/>
                <w:szCs w:val="14"/>
                <w:color w:val="auto"/>
              </w:rPr>
            </w:pPr>
          </w:p>
        </w:tc>
        <w:tc>
          <w:tcPr>
            <w:tcW w:w="192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3 years</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5"/>
        </w:trPr>
        <w:tc>
          <w:tcPr>
            <w:tcW w:w="2840" w:type="dxa"/>
            <w:vAlign w:val="bottom"/>
            <w:tcBorders>
              <w:left w:val="single" w:sz="8" w:color="auto"/>
            </w:tcBorders>
            <w:gridSpan w:val="3"/>
          </w:tcPr>
          <w:p>
            <w:pPr>
              <w:ind w:left="20"/>
              <w:spacing w:after="0"/>
              <w:rPr>
                <w:sz w:val="20"/>
                <w:szCs w:val="20"/>
                <w:color w:val="auto"/>
              </w:rPr>
            </w:pPr>
            <w:r>
              <w:rPr>
                <w:rFonts w:ascii="Arial" w:cs="Arial" w:eastAsia="Arial" w:hAnsi="Arial"/>
                <w:sz w:val="13"/>
                <w:szCs w:val="13"/>
                <w:b w:val="1"/>
                <w:bCs w:val="1"/>
                <w:color w:val="auto"/>
              </w:rPr>
              <w:t>Comparator Group:</w:t>
            </w:r>
          </w:p>
        </w:tc>
        <w:tc>
          <w:tcPr>
            <w:tcW w:w="6720" w:type="dxa"/>
            <w:vAlign w:val="bottom"/>
          </w:tcPr>
          <w:p>
            <w:pPr>
              <w:spacing w:after="0"/>
              <w:rPr>
                <w:sz w:val="24"/>
                <w:szCs w:val="24"/>
                <w:color w:val="auto"/>
              </w:rPr>
            </w:pPr>
          </w:p>
        </w:tc>
        <w:tc>
          <w:tcPr>
            <w:tcW w:w="192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2840" w:type="dxa"/>
            <w:vAlign w:val="bottom"/>
            <w:tcBorders>
              <w:left w:val="single" w:sz="8" w:color="auto"/>
            </w:tcBorders>
            <w:gridSpan w:val="3"/>
          </w:tcPr>
          <w:p>
            <w:pPr>
              <w:ind w:left="20"/>
              <w:spacing w:after="0"/>
              <w:rPr>
                <w:sz w:val="20"/>
                <w:szCs w:val="20"/>
                <w:color w:val="auto"/>
              </w:rPr>
            </w:pPr>
            <w:r>
              <w:rPr>
                <w:rFonts w:ascii="Arial" w:cs="Arial" w:eastAsia="Arial" w:hAnsi="Arial"/>
                <w:sz w:val="13"/>
                <w:szCs w:val="13"/>
                <w:color w:val="auto"/>
              </w:rPr>
              <w:t>Comparator Group Median Annualized TSR</w:t>
            </w:r>
          </w:p>
        </w:tc>
        <w:tc>
          <w:tcPr>
            <w:tcW w:w="6720" w:type="dxa"/>
            <w:vAlign w:val="bottom"/>
          </w:tcPr>
          <w:p>
            <w:pPr>
              <w:spacing w:after="0"/>
              <w:rPr>
                <w:sz w:val="14"/>
                <w:szCs w:val="14"/>
                <w:color w:val="auto"/>
              </w:rPr>
            </w:pPr>
          </w:p>
        </w:tc>
        <w:tc>
          <w:tcPr>
            <w:tcW w:w="192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15.00%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8"/>
        </w:trPr>
        <w:tc>
          <w:tcPr>
            <w:tcW w:w="2840" w:type="dxa"/>
            <w:vAlign w:val="bottom"/>
            <w:tcBorders>
              <w:left w:val="single" w:sz="8" w:color="auto"/>
            </w:tcBorders>
            <w:gridSpan w:val="3"/>
          </w:tcPr>
          <w:p>
            <w:pPr>
              <w:ind w:left="20"/>
              <w:spacing w:after="0"/>
              <w:rPr>
                <w:sz w:val="20"/>
                <w:szCs w:val="20"/>
                <w:color w:val="auto"/>
              </w:rPr>
            </w:pPr>
            <w:r>
              <w:rPr>
                <w:rFonts w:ascii="Arial" w:cs="Arial" w:eastAsia="Arial" w:hAnsi="Arial"/>
                <w:sz w:val="13"/>
                <w:szCs w:val="13"/>
                <w:b w:val="1"/>
                <w:bCs w:val="1"/>
                <w:color w:val="auto"/>
              </w:rPr>
              <w:t>Computations</w:t>
            </w:r>
          </w:p>
        </w:tc>
        <w:tc>
          <w:tcPr>
            <w:tcW w:w="6720" w:type="dxa"/>
            <w:vAlign w:val="bottom"/>
          </w:tcPr>
          <w:p>
            <w:pPr>
              <w:spacing w:after="0"/>
              <w:rPr>
                <w:sz w:val="23"/>
                <w:szCs w:val="23"/>
                <w:color w:val="auto"/>
              </w:rPr>
            </w:pPr>
          </w:p>
        </w:tc>
        <w:tc>
          <w:tcPr>
            <w:tcW w:w="1920" w:type="dxa"/>
            <w:vAlign w:val="bottom"/>
            <w:tcBorders>
              <w:right w:val="single" w:sz="8" w:color="auto"/>
            </w:tcBorders>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820" w:type="dxa"/>
            <w:vAlign w:val="bottom"/>
            <w:tcBorders>
              <w:left w:val="single" w:sz="8" w:color="auto"/>
            </w:tcBorders>
            <w:gridSpan w:val="2"/>
            <w:shd w:val="clear" w:color="auto" w:fill="000000"/>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6720" w:type="dxa"/>
            <w:vAlign w:val="bottom"/>
            <w:vMerge w:val="restart"/>
          </w:tcPr>
          <w:p>
            <w:pPr>
              <w:ind w:left="2340"/>
              <w:spacing w:after="0"/>
              <w:rPr>
                <w:sz w:val="20"/>
                <w:szCs w:val="20"/>
                <w:color w:val="auto"/>
              </w:rPr>
            </w:pPr>
            <w:r>
              <w:rPr>
                <w:rFonts w:ascii="Arial" w:cs="Arial" w:eastAsia="Arial" w:hAnsi="Arial"/>
                <w:sz w:val="13"/>
                <w:szCs w:val="13"/>
                <w:color w:val="auto"/>
              </w:rPr>
              <w:t xml:space="preserve">[($26/$15) </w:t>
            </w:r>
            <w:r>
              <w:rPr>
                <w:rFonts w:ascii="Arial" w:cs="Arial" w:eastAsia="Arial" w:hAnsi="Arial"/>
                <w:sz w:val="11"/>
                <w:szCs w:val="11"/>
                <w:color w:val="auto"/>
              </w:rPr>
              <w:t>(1/3)</w:t>
            </w:r>
            <w:r>
              <w:rPr>
                <w:rFonts w:ascii="Arial" w:cs="Arial" w:eastAsia="Arial" w:hAnsi="Arial"/>
                <w:sz w:val="13"/>
                <w:szCs w:val="13"/>
                <w:color w:val="auto"/>
              </w:rPr>
              <w:t xml:space="preserve"> – 1] x 100%</w:t>
            </w:r>
          </w:p>
        </w:tc>
        <w:tc>
          <w:tcPr>
            <w:tcW w:w="1920" w:type="dxa"/>
            <w:vAlign w:val="bottom"/>
            <w:tcBorders>
              <w:righ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6"/>
        </w:trPr>
        <w:tc>
          <w:tcPr>
            <w:tcW w:w="2840" w:type="dxa"/>
            <w:vAlign w:val="bottom"/>
            <w:tcBorders>
              <w:left w:val="single" w:sz="8" w:color="auto"/>
            </w:tcBorders>
            <w:gridSpan w:val="3"/>
          </w:tcPr>
          <w:p>
            <w:pPr>
              <w:ind w:left="20"/>
              <w:spacing w:after="0"/>
              <w:rPr>
                <w:sz w:val="20"/>
                <w:szCs w:val="20"/>
                <w:color w:val="auto"/>
              </w:rPr>
            </w:pPr>
            <w:r>
              <w:rPr>
                <w:rFonts w:ascii="Arial" w:cs="Arial" w:eastAsia="Arial" w:hAnsi="Arial"/>
                <w:sz w:val="13"/>
                <w:szCs w:val="13"/>
                <w:color w:val="auto"/>
              </w:rPr>
              <w:t>Company Annualized TSR</w:t>
            </w:r>
          </w:p>
        </w:tc>
        <w:tc>
          <w:tcPr>
            <w:tcW w:w="6720" w:type="dxa"/>
            <w:vAlign w:val="bottom"/>
            <w:vMerge w:val="continue"/>
          </w:tcPr>
          <w:p>
            <w:pPr>
              <w:spacing w:after="0"/>
              <w:rPr>
                <w:sz w:val="24"/>
                <w:szCs w:val="24"/>
                <w:color w:val="auto"/>
              </w:rPr>
            </w:pPr>
          </w:p>
        </w:tc>
        <w:tc>
          <w:tcPr>
            <w:tcW w:w="192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20.12%</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840" w:type="dxa"/>
            <w:vAlign w:val="bottom"/>
            <w:tcBorders>
              <w:left w:val="single" w:sz="8" w:color="auto"/>
            </w:tcBorders>
            <w:gridSpan w:val="3"/>
          </w:tcPr>
          <w:p>
            <w:pPr>
              <w:ind w:left="20"/>
              <w:spacing w:after="0"/>
              <w:rPr>
                <w:sz w:val="20"/>
                <w:szCs w:val="20"/>
                <w:color w:val="auto"/>
              </w:rPr>
            </w:pPr>
            <w:r>
              <w:rPr>
                <w:rFonts w:ascii="Arial" w:cs="Arial" w:eastAsia="Arial" w:hAnsi="Arial"/>
                <w:sz w:val="13"/>
                <w:szCs w:val="13"/>
                <w:color w:val="auto"/>
              </w:rPr>
              <w:t>Relative TSR</w:t>
            </w:r>
          </w:p>
        </w:tc>
        <w:tc>
          <w:tcPr>
            <w:tcW w:w="6720" w:type="dxa"/>
            <w:vAlign w:val="bottom"/>
          </w:tcPr>
          <w:p>
            <w:pPr>
              <w:ind w:left="2340"/>
              <w:spacing w:after="0"/>
              <w:rPr>
                <w:sz w:val="20"/>
                <w:szCs w:val="20"/>
                <w:color w:val="auto"/>
              </w:rPr>
            </w:pPr>
            <w:r>
              <w:rPr>
                <w:rFonts w:ascii="Arial" w:cs="Arial" w:eastAsia="Arial" w:hAnsi="Arial"/>
                <w:sz w:val="13"/>
                <w:szCs w:val="13"/>
                <w:color w:val="auto"/>
              </w:rPr>
              <w:t>20.12% – 15%</w:t>
            </w:r>
          </w:p>
        </w:tc>
        <w:tc>
          <w:tcPr>
            <w:tcW w:w="192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5.12%</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840" w:type="dxa"/>
            <w:vAlign w:val="bottom"/>
            <w:tcBorders>
              <w:left w:val="single" w:sz="8" w:color="auto"/>
            </w:tcBorders>
            <w:gridSpan w:val="3"/>
          </w:tcPr>
          <w:p>
            <w:pPr>
              <w:ind w:left="20"/>
              <w:spacing w:after="0"/>
              <w:rPr>
                <w:sz w:val="20"/>
                <w:szCs w:val="20"/>
                <w:color w:val="auto"/>
              </w:rPr>
            </w:pPr>
            <w:r>
              <w:rPr>
                <w:rFonts w:ascii="Arial" w:cs="Arial" w:eastAsia="Arial" w:hAnsi="Arial"/>
                <w:sz w:val="13"/>
                <w:szCs w:val="13"/>
                <w:color w:val="auto"/>
              </w:rPr>
              <w:t>Relative TSR Factor</w:t>
            </w:r>
          </w:p>
        </w:tc>
        <w:tc>
          <w:tcPr>
            <w:tcW w:w="6720" w:type="dxa"/>
            <w:vAlign w:val="bottom"/>
          </w:tcPr>
          <w:p>
            <w:pPr>
              <w:ind w:left="2340"/>
              <w:spacing w:after="0"/>
              <w:rPr>
                <w:sz w:val="20"/>
                <w:szCs w:val="20"/>
                <w:color w:val="auto"/>
              </w:rPr>
            </w:pPr>
            <w:r>
              <w:rPr>
                <w:rFonts w:ascii="Arial" w:cs="Arial" w:eastAsia="Arial" w:hAnsi="Arial"/>
                <w:sz w:val="13"/>
                <w:szCs w:val="13"/>
                <w:color w:val="auto"/>
              </w:rPr>
              <w:t>(5.12% x 6.25) + 100%</w:t>
            </w:r>
          </w:p>
        </w:tc>
        <w:tc>
          <w:tcPr>
            <w:tcW w:w="192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132.00%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5"/>
        </w:trPr>
        <w:tc>
          <w:tcPr>
            <w:tcW w:w="2840" w:type="dxa"/>
            <w:vAlign w:val="bottom"/>
            <w:tcBorders>
              <w:left w:val="single" w:sz="8" w:color="auto"/>
              <w:bottom w:val="single" w:sz="8" w:color="auto"/>
            </w:tcBorders>
            <w:gridSpan w:val="3"/>
          </w:tcPr>
          <w:p>
            <w:pPr>
              <w:ind w:left="20"/>
              <w:spacing w:after="0"/>
              <w:rPr>
                <w:sz w:val="20"/>
                <w:szCs w:val="20"/>
                <w:color w:val="auto"/>
              </w:rPr>
            </w:pPr>
            <w:r>
              <w:rPr>
                <w:rFonts w:ascii="Arial" w:cs="Arial" w:eastAsia="Arial" w:hAnsi="Arial"/>
                <w:sz w:val="13"/>
                <w:szCs w:val="13"/>
                <w:b w:val="1"/>
                <w:bCs w:val="1"/>
                <w:color w:val="auto"/>
              </w:rPr>
              <w:t>Earned Units</w:t>
            </w:r>
          </w:p>
        </w:tc>
        <w:tc>
          <w:tcPr>
            <w:tcW w:w="6720" w:type="dxa"/>
            <w:vAlign w:val="bottom"/>
            <w:tcBorders>
              <w:bottom w:val="single" w:sz="8" w:color="auto"/>
            </w:tcBorders>
          </w:tcPr>
          <w:p>
            <w:pPr>
              <w:ind w:left="2340"/>
              <w:spacing w:after="0"/>
              <w:rPr>
                <w:sz w:val="20"/>
                <w:szCs w:val="20"/>
                <w:color w:val="auto"/>
              </w:rPr>
            </w:pPr>
            <w:r>
              <w:rPr>
                <w:rFonts w:ascii="Arial" w:cs="Arial" w:eastAsia="Arial" w:hAnsi="Arial"/>
                <w:sz w:val="13"/>
                <w:szCs w:val="13"/>
                <w:color w:val="auto"/>
              </w:rPr>
              <w:t>1,000 x 132.00%</w:t>
            </w:r>
          </w:p>
        </w:tc>
        <w:tc>
          <w:tcPr>
            <w:tcW w:w="19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1,320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7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20" w:type="dxa"/>
            <w:vAlign w:val="bottom"/>
            <w:tcBorders>
              <w:bottom w:val="single" w:sz="8" w:color="auto"/>
            </w:tcBorders>
          </w:tcPr>
          <w:p>
            <w:pPr>
              <w:spacing w:after="0"/>
              <w:rPr>
                <w:sz w:val="11"/>
                <w:szCs w:val="11"/>
                <w:color w:val="auto"/>
              </w:rPr>
            </w:pPr>
          </w:p>
        </w:tc>
        <w:tc>
          <w:tcPr>
            <w:tcW w:w="6720" w:type="dxa"/>
            <w:vAlign w:val="bottom"/>
            <w:tcBorders>
              <w:bottom w:val="single" w:sz="8" w:color="auto"/>
            </w:tcBorders>
          </w:tcPr>
          <w:p>
            <w:pPr>
              <w:spacing w:after="0"/>
              <w:rPr>
                <w:sz w:val="11"/>
                <w:szCs w:val="11"/>
                <w:color w:val="auto"/>
              </w:rPr>
            </w:pPr>
          </w:p>
        </w:tc>
        <w:tc>
          <w:tcPr>
            <w:tcW w:w="192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740" w:type="dxa"/>
            <w:vAlign w:val="bottom"/>
            <w:tcBorders>
              <w:left w:val="single" w:sz="8" w:color="auto"/>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20" w:type="dxa"/>
            <w:vAlign w:val="bottom"/>
            <w:tcBorders>
              <w:bottom w:val="single" w:sz="8" w:color="auto"/>
            </w:tcBorders>
          </w:tcPr>
          <w:p>
            <w:pPr>
              <w:spacing w:after="0"/>
              <w:rPr>
                <w:sz w:val="13"/>
                <w:szCs w:val="13"/>
                <w:color w:val="auto"/>
              </w:rPr>
            </w:pPr>
          </w:p>
        </w:tc>
        <w:tc>
          <w:tcPr>
            <w:tcW w:w="6720" w:type="dxa"/>
            <w:vAlign w:val="bottom"/>
            <w:tcBorders>
              <w:bottom w:val="single" w:sz="8" w:color="auto"/>
            </w:tcBorders>
          </w:tcPr>
          <w:p>
            <w:pPr>
              <w:ind w:left="460"/>
              <w:spacing w:after="0"/>
              <w:rPr>
                <w:sz w:val="20"/>
                <w:szCs w:val="20"/>
                <w:color w:val="auto"/>
              </w:rPr>
            </w:pPr>
            <w:r>
              <w:rPr>
                <w:rFonts w:ascii="Arial" w:cs="Arial" w:eastAsia="Arial" w:hAnsi="Arial"/>
                <w:sz w:val="13"/>
                <w:szCs w:val="13"/>
                <w:b w:val="1"/>
                <w:bCs w:val="1"/>
                <w:color w:val="auto"/>
              </w:rPr>
              <w:t>Company Annualized TSR Is Less Than Comparator Group Median Annualized TSR</w:t>
            </w:r>
          </w:p>
        </w:tc>
        <w:tc>
          <w:tcPr>
            <w:tcW w:w="1920" w:type="dxa"/>
            <w:vAlign w:val="bottom"/>
            <w:tcBorders>
              <w:bottom w:val="single" w:sz="8" w:color="auto"/>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2840" w:type="dxa"/>
            <w:vAlign w:val="bottom"/>
            <w:tcBorders>
              <w:left w:val="single" w:sz="8" w:color="auto"/>
            </w:tcBorders>
            <w:gridSpan w:val="3"/>
          </w:tcPr>
          <w:p>
            <w:pPr>
              <w:ind w:left="20"/>
              <w:spacing w:after="0" w:line="124" w:lineRule="exact"/>
              <w:rPr>
                <w:sz w:val="20"/>
                <w:szCs w:val="20"/>
                <w:color w:val="auto"/>
              </w:rPr>
            </w:pPr>
            <w:r>
              <w:rPr>
                <w:rFonts w:ascii="Arial" w:cs="Arial" w:eastAsia="Arial" w:hAnsi="Arial"/>
                <w:sz w:val="13"/>
                <w:szCs w:val="13"/>
                <w:b w:val="1"/>
                <w:bCs w:val="1"/>
                <w:color w:val="auto"/>
              </w:rPr>
              <w:t>Assumptions</w:t>
            </w:r>
          </w:p>
        </w:tc>
        <w:tc>
          <w:tcPr>
            <w:tcW w:w="6720" w:type="dxa"/>
            <w:vAlign w:val="bottom"/>
          </w:tcPr>
          <w:p>
            <w:pPr>
              <w:spacing w:after="0"/>
              <w:rPr>
                <w:sz w:val="10"/>
                <w:szCs w:val="10"/>
                <w:color w:val="auto"/>
              </w:rPr>
            </w:pPr>
          </w:p>
        </w:tc>
        <w:tc>
          <w:tcPr>
            <w:tcW w:w="192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4"/>
        </w:trPr>
        <w:tc>
          <w:tcPr>
            <w:tcW w:w="740" w:type="dxa"/>
            <w:vAlign w:val="bottom"/>
            <w:tcBorders>
              <w:top w:val="single" w:sz="8" w:color="auto"/>
              <w:left w:val="single" w:sz="8" w:color="auto"/>
            </w:tcBorders>
          </w:tcPr>
          <w:p>
            <w:pPr>
              <w:ind w:left="20"/>
              <w:spacing w:after="0"/>
              <w:rPr>
                <w:sz w:val="20"/>
                <w:szCs w:val="20"/>
                <w:color w:val="auto"/>
              </w:rPr>
            </w:pPr>
            <w:r>
              <w:rPr>
                <w:rFonts w:ascii="Arial" w:cs="Arial" w:eastAsia="Arial" w:hAnsi="Arial"/>
                <w:sz w:val="13"/>
                <w:szCs w:val="13"/>
                <w:b w:val="1"/>
                <w:bCs w:val="1"/>
                <w:color w:val="auto"/>
              </w:rPr>
              <w:t>Company:</w:t>
            </w:r>
          </w:p>
        </w:tc>
        <w:tc>
          <w:tcPr>
            <w:tcW w:w="2100" w:type="dxa"/>
            <w:vAlign w:val="bottom"/>
            <w:gridSpan w:val="2"/>
          </w:tcPr>
          <w:p>
            <w:pPr>
              <w:spacing w:after="0"/>
              <w:rPr>
                <w:sz w:val="24"/>
                <w:szCs w:val="24"/>
                <w:color w:val="auto"/>
              </w:rPr>
            </w:pPr>
          </w:p>
        </w:tc>
        <w:tc>
          <w:tcPr>
            <w:tcW w:w="6720" w:type="dxa"/>
            <w:vAlign w:val="bottom"/>
          </w:tcPr>
          <w:p>
            <w:pPr>
              <w:spacing w:after="0"/>
              <w:rPr>
                <w:sz w:val="24"/>
                <w:szCs w:val="24"/>
                <w:color w:val="auto"/>
              </w:rPr>
            </w:pPr>
          </w:p>
        </w:tc>
        <w:tc>
          <w:tcPr>
            <w:tcW w:w="192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2840" w:type="dxa"/>
            <w:vAlign w:val="bottom"/>
            <w:tcBorders>
              <w:left w:val="single" w:sz="8" w:color="auto"/>
            </w:tcBorders>
            <w:gridSpan w:val="3"/>
          </w:tcPr>
          <w:p>
            <w:pPr>
              <w:ind w:left="20"/>
              <w:spacing w:after="0"/>
              <w:rPr>
                <w:sz w:val="20"/>
                <w:szCs w:val="20"/>
                <w:color w:val="auto"/>
              </w:rPr>
            </w:pPr>
            <w:r>
              <w:rPr>
                <w:rFonts w:ascii="Arial" w:cs="Arial" w:eastAsia="Arial" w:hAnsi="Arial"/>
                <w:sz w:val="13"/>
                <w:szCs w:val="13"/>
                <w:color w:val="auto"/>
              </w:rPr>
              <w:t>Beginning Average Per Share Closing Price</w:t>
            </w:r>
          </w:p>
        </w:tc>
        <w:tc>
          <w:tcPr>
            <w:tcW w:w="6720" w:type="dxa"/>
            <w:vAlign w:val="bottom"/>
          </w:tcPr>
          <w:p>
            <w:pPr>
              <w:spacing w:after="0"/>
              <w:rPr>
                <w:sz w:val="13"/>
                <w:szCs w:val="13"/>
                <w:color w:val="auto"/>
              </w:rPr>
            </w:pPr>
          </w:p>
        </w:tc>
        <w:tc>
          <w:tcPr>
            <w:tcW w:w="192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$15.00</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840" w:type="dxa"/>
            <w:vAlign w:val="bottom"/>
            <w:tcBorders>
              <w:left w:val="single" w:sz="8" w:color="auto"/>
            </w:tcBorders>
            <w:gridSpan w:val="3"/>
          </w:tcPr>
          <w:p>
            <w:pPr>
              <w:ind w:left="20"/>
              <w:spacing w:after="0"/>
              <w:rPr>
                <w:sz w:val="20"/>
                <w:szCs w:val="20"/>
                <w:color w:val="auto"/>
              </w:rPr>
            </w:pPr>
            <w:r>
              <w:rPr>
                <w:rFonts w:ascii="Arial" w:cs="Arial" w:eastAsia="Arial" w:hAnsi="Arial"/>
                <w:sz w:val="13"/>
                <w:szCs w:val="13"/>
                <w:color w:val="auto"/>
              </w:rPr>
              <w:t>Ending Average Per Share Closing Price</w:t>
            </w:r>
          </w:p>
        </w:tc>
        <w:tc>
          <w:tcPr>
            <w:tcW w:w="6720" w:type="dxa"/>
            <w:vAlign w:val="bottom"/>
          </w:tcPr>
          <w:p>
            <w:pPr>
              <w:spacing w:after="0"/>
              <w:rPr>
                <w:sz w:val="13"/>
                <w:szCs w:val="13"/>
                <w:color w:val="auto"/>
              </w:rPr>
            </w:pPr>
          </w:p>
        </w:tc>
        <w:tc>
          <w:tcPr>
            <w:tcW w:w="192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$20.00</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840" w:type="dxa"/>
            <w:vAlign w:val="bottom"/>
            <w:tcBorders>
              <w:left w:val="single" w:sz="8" w:color="auto"/>
            </w:tcBorders>
            <w:gridSpan w:val="3"/>
          </w:tcPr>
          <w:p>
            <w:pPr>
              <w:ind w:left="20"/>
              <w:spacing w:after="0"/>
              <w:rPr>
                <w:sz w:val="20"/>
                <w:szCs w:val="20"/>
                <w:color w:val="auto"/>
              </w:rPr>
            </w:pPr>
            <w:r>
              <w:rPr>
                <w:rFonts w:ascii="Arial" w:cs="Arial" w:eastAsia="Arial" w:hAnsi="Arial"/>
                <w:sz w:val="13"/>
                <w:szCs w:val="13"/>
                <w:color w:val="auto"/>
              </w:rPr>
              <w:t>Dividends per Share</w:t>
            </w:r>
          </w:p>
        </w:tc>
        <w:tc>
          <w:tcPr>
            <w:tcW w:w="6720" w:type="dxa"/>
            <w:vAlign w:val="bottom"/>
          </w:tcPr>
          <w:p>
            <w:pPr>
              <w:spacing w:after="0"/>
              <w:rPr>
                <w:sz w:val="13"/>
                <w:szCs w:val="13"/>
                <w:color w:val="auto"/>
              </w:rPr>
            </w:pPr>
          </w:p>
        </w:tc>
        <w:tc>
          <w:tcPr>
            <w:tcW w:w="192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$0.00</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2840" w:type="dxa"/>
            <w:vAlign w:val="bottom"/>
            <w:tcBorders>
              <w:left w:val="single" w:sz="8" w:color="auto"/>
            </w:tcBorders>
            <w:gridSpan w:val="3"/>
          </w:tcPr>
          <w:p>
            <w:pPr>
              <w:ind w:left="20"/>
              <w:spacing w:after="0"/>
              <w:rPr>
                <w:sz w:val="20"/>
                <w:szCs w:val="20"/>
                <w:color w:val="auto"/>
              </w:rPr>
            </w:pPr>
            <w:r>
              <w:rPr>
                <w:rFonts w:ascii="Arial" w:cs="Arial" w:eastAsia="Arial" w:hAnsi="Arial"/>
                <w:sz w:val="13"/>
                <w:szCs w:val="13"/>
                <w:color w:val="auto"/>
              </w:rPr>
              <w:t>Performance Period</w:t>
            </w:r>
          </w:p>
        </w:tc>
        <w:tc>
          <w:tcPr>
            <w:tcW w:w="6720" w:type="dxa"/>
            <w:vAlign w:val="bottom"/>
          </w:tcPr>
          <w:p>
            <w:pPr>
              <w:spacing w:after="0"/>
              <w:rPr>
                <w:sz w:val="14"/>
                <w:szCs w:val="14"/>
                <w:color w:val="auto"/>
              </w:rPr>
            </w:pPr>
          </w:p>
        </w:tc>
        <w:tc>
          <w:tcPr>
            <w:tcW w:w="192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3 years</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5"/>
        </w:trPr>
        <w:tc>
          <w:tcPr>
            <w:tcW w:w="2840" w:type="dxa"/>
            <w:vAlign w:val="bottom"/>
            <w:tcBorders>
              <w:left w:val="single" w:sz="8" w:color="auto"/>
            </w:tcBorders>
            <w:gridSpan w:val="3"/>
          </w:tcPr>
          <w:p>
            <w:pPr>
              <w:ind w:left="20"/>
              <w:spacing w:after="0"/>
              <w:rPr>
                <w:sz w:val="20"/>
                <w:szCs w:val="20"/>
                <w:color w:val="auto"/>
              </w:rPr>
            </w:pPr>
            <w:r>
              <w:rPr>
                <w:rFonts w:ascii="Arial" w:cs="Arial" w:eastAsia="Arial" w:hAnsi="Arial"/>
                <w:sz w:val="13"/>
                <w:szCs w:val="13"/>
                <w:b w:val="1"/>
                <w:bCs w:val="1"/>
                <w:color w:val="auto"/>
              </w:rPr>
              <w:t>Comparator Group:</w:t>
            </w:r>
          </w:p>
        </w:tc>
        <w:tc>
          <w:tcPr>
            <w:tcW w:w="6720" w:type="dxa"/>
            <w:vAlign w:val="bottom"/>
          </w:tcPr>
          <w:p>
            <w:pPr>
              <w:spacing w:after="0"/>
              <w:rPr>
                <w:sz w:val="24"/>
                <w:szCs w:val="24"/>
                <w:color w:val="auto"/>
              </w:rPr>
            </w:pPr>
          </w:p>
        </w:tc>
        <w:tc>
          <w:tcPr>
            <w:tcW w:w="192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2840" w:type="dxa"/>
            <w:vAlign w:val="bottom"/>
            <w:tcBorders>
              <w:left w:val="single" w:sz="8" w:color="auto"/>
            </w:tcBorders>
            <w:gridSpan w:val="3"/>
          </w:tcPr>
          <w:p>
            <w:pPr>
              <w:ind w:left="20"/>
              <w:spacing w:after="0"/>
              <w:rPr>
                <w:sz w:val="20"/>
                <w:szCs w:val="20"/>
                <w:color w:val="auto"/>
              </w:rPr>
            </w:pPr>
            <w:r>
              <w:rPr>
                <w:rFonts w:ascii="Arial" w:cs="Arial" w:eastAsia="Arial" w:hAnsi="Arial"/>
                <w:sz w:val="13"/>
                <w:szCs w:val="13"/>
                <w:color w:val="auto"/>
              </w:rPr>
              <w:t>Comparator Group Median Annualized TSR</w:t>
            </w:r>
          </w:p>
        </w:tc>
        <w:tc>
          <w:tcPr>
            <w:tcW w:w="6720" w:type="dxa"/>
            <w:vAlign w:val="bottom"/>
          </w:tcPr>
          <w:p>
            <w:pPr>
              <w:spacing w:after="0"/>
              <w:rPr>
                <w:sz w:val="14"/>
                <w:szCs w:val="14"/>
                <w:color w:val="auto"/>
              </w:rPr>
            </w:pPr>
          </w:p>
        </w:tc>
        <w:tc>
          <w:tcPr>
            <w:tcW w:w="192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15.00%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7"/>
        </w:trPr>
        <w:tc>
          <w:tcPr>
            <w:tcW w:w="2840" w:type="dxa"/>
            <w:vAlign w:val="bottom"/>
            <w:tcBorders>
              <w:left w:val="single" w:sz="8" w:color="auto"/>
            </w:tcBorders>
            <w:gridSpan w:val="3"/>
          </w:tcPr>
          <w:p>
            <w:pPr>
              <w:ind w:left="20"/>
              <w:spacing w:after="0"/>
              <w:rPr>
                <w:sz w:val="20"/>
                <w:szCs w:val="20"/>
                <w:color w:val="auto"/>
              </w:rPr>
            </w:pPr>
            <w:r>
              <w:rPr>
                <w:rFonts w:ascii="Arial" w:cs="Arial" w:eastAsia="Arial" w:hAnsi="Arial"/>
                <w:sz w:val="13"/>
                <w:szCs w:val="13"/>
                <w:b w:val="1"/>
                <w:bCs w:val="1"/>
                <w:color w:val="auto"/>
              </w:rPr>
              <w:t>Computations:</w:t>
            </w:r>
          </w:p>
        </w:tc>
        <w:tc>
          <w:tcPr>
            <w:tcW w:w="6720" w:type="dxa"/>
            <w:vAlign w:val="bottom"/>
          </w:tcPr>
          <w:p>
            <w:pPr>
              <w:spacing w:after="0"/>
              <w:rPr>
                <w:sz w:val="24"/>
                <w:szCs w:val="24"/>
                <w:color w:val="auto"/>
              </w:rPr>
            </w:pPr>
          </w:p>
        </w:tc>
        <w:tc>
          <w:tcPr>
            <w:tcW w:w="192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840" w:type="dxa"/>
            <w:vAlign w:val="bottom"/>
            <w:tcBorders>
              <w:left w:val="single" w:sz="8" w:color="auto"/>
            </w:tcBorders>
            <w:gridSpan w:val="3"/>
          </w:tcPr>
          <w:p>
            <w:pPr>
              <w:ind w:left="20"/>
              <w:spacing w:after="0"/>
              <w:rPr>
                <w:sz w:val="20"/>
                <w:szCs w:val="20"/>
                <w:color w:val="auto"/>
              </w:rPr>
            </w:pPr>
            <w:r>
              <w:rPr>
                <w:rFonts w:ascii="Arial" w:cs="Arial" w:eastAsia="Arial" w:hAnsi="Arial"/>
                <w:sz w:val="13"/>
                <w:szCs w:val="13"/>
                <w:color w:val="auto"/>
              </w:rPr>
              <w:t>Company Annualized TSR</w:t>
            </w:r>
          </w:p>
        </w:tc>
        <w:tc>
          <w:tcPr>
            <w:tcW w:w="6720" w:type="dxa"/>
            <w:vAlign w:val="bottom"/>
          </w:tcPr>
          <w:p>
            <w:pPr>
              <w:ind w:left="2340"/>
              <w:spacing w:after="0"/>
              <w:rPr>
                <w:sz w:val="20"/>
                <w:szCs w:val="20"/>
                <w:color w:val="auto"/>
              </w:rPr>
            </w:pPr>
            <w:r>
              <w:rPr>
                <w:rFonts w:ascii="Arial" w:cs="Arial" w:eastAsia="Arial" w:hAnsi="Arial"/>
                <w:sz w:val="13"/>
                <w:szCs w:val="13"/>
                <w:color w:val="auto"/>
              </w:rPr>
              <w:t xml:space="preserve">[($20/$15) </w:t>
            </w:r>
            <w:r>
              <w:rPr>
                <w:rFonts w:ascii="Arial" w:cs="Arial" w:eastAsia="Arial" w:hAnsi="Arial"/>
                <w:sz w:val="11"/>
                <w:szCs w:val="11"/>
                <w:color w:val="auto"/>
              </w:rPr>
              <w:t>(1/3)</w:t>
            </w:r>
            <w:r>
              <w:rPr>
                <w:rFonts w:ascii="Arial" w:cs="Arial" w:eastAsia="Arial" w:hAnsi="Arial"/>
                <w:sz w:val="13"/>
                <w:szCs w:val="13"/>
                <w:color w:val="auto"/>
              </w:rPr>
              <w:t xml:space="preserve"> – 1] x 100%</w:t>
            </w:r>
          </w:p>
        </w:tc>
        <w:tc>
          <w:tcPr>
            <w:tcW w:w="192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10.06%</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840" w:type="dxa"/>
            <w:vAlign w:val="bottom"/>
            <w:tcBorders>
              <w:left w:val="single" w:sz="8" w:color="auto"/>
            </w:tcBorders>
            <w:gridSpan w:val="3"/>
          </w:tcPr>
          <w:p>
            <w:pPr>
              <w:ind w:left="20"/>
              <w:spacing w:after="0"/>
              <w:rPr>
                <w:sz w:val="20"/>
                <w:szCs w:val="20"/>
                <w:color w:val="auto"/>
              </w:rPr>
            </w:pPr>
            <w:r>
              <w:rPr>
                <w:rFonts w:ascii="Arial" w:cs="Arial" w:eastAsia="Arial" w:hAnsi="Arial"/>
                <w:sz w:val="13"/>
                <w:szCs w:val="13"/>
                <w:color w:val="auto"/>
              </w:rPr>
              <w:t>Relative TSR</w:t>
            </w:r>
          </w:p>
        </w:tc>
        <w:tc>
          <w:tcPr>
            <w:tcW w:w="6720" w:type="dxa"/>
            <w:vAlign w:val="bottom"/>
          </w:tcPr>
          <w:p>
            <w:pPr>
              <w:ind w:left="2340"/>
              <w:spacing w:after="0"/>
              <w:rPr>
                <w:sz w:val="20"/>
                <w:szCs w:val="20"/>
                <w:color w:val="auto"/>
              </w:rPr>
            </w:pPr>
            <w:r>
              <w:rPr>
                <w:rFonts w:ascii="Arial" w:cs="Arial" w:eastAsia="Arial" w:hAnsi="Arial"/>
                <w:sz w:val="13"/>
                <w:szCs w:val="13"/>
                <w:color w:val="auto"/>
              </w:rPr>
              <w:t>10.06% – 15%</w:t>
            </w:r>
          </w:p>
        </w:tc>
        <w:tc>
          <w:tcPr>
            <w:tcW w:w="192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 4.94%</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840" w:type="dxa"/>
            <w:vAlign w:val="bottom"/>
            <w:tcBorders>
              <w:left w:val="single" w:sz="8" w:color="auto"/>
            </w:tcBorders>
            <w:gridSpan w:val="3"/>
          </w:tcPr>
          <w:p>
            <w:pPr>
              <w:ind w:left="20"/>
              <w:spacing w:after="0"/>
              <w:rPr>
                <w:sz w:val="20"/>
                <w:szCs w:val="20"/>
                <w:color w:val="auto"/>
              </w:rPr>
            </w:pPr>
            <w:r>
              <w:rPr>
                <w:rFonts w:ascii="Arial" w:cs="Arial" w:eastAsia="Arial" w:hAnsi="Arial"/>
                <w:sz w:val="13"/>
                <w:szCs w:val="13"/>
                <w:color w:val="auto"/>
              </w:rPr>
              <w:t>Relative TSR Factor</w:t>
            </w:r>
          </w:p>
        </w:tc>
        <w:tc>
          <w:tcPr>
            <w:tcW w:w="6720" w:type="dxa"/>
            <w:vAlign w:val="bottom"/>
          </w:tcPr>
          <w:p>
            <w:pPr>
              <w:ind w:left="2340"/>
              <w:spacing w:after="0"/>
              <w:rPr>
                <w:sz w:val="20"/>
                <w:szCs w:val="20"/>
                <w:color w:val="auto"/>
              </w:rPr>
            </w:pPr>
            <w:r>
              <w:rPr>
                <w:rFonts w:ascii="Arial" w:cs="Arial" w:eastAsia="Arial" w:hAnsi="Arial"/>
                <w:sz w:val="13"/>
                <w:szCs w:val="13"/>
                <w:color w:val="auto"/>
              </w:rPr>
              <w:t>(– 4.94% x 6.25) + 100%</w:t>
            </w:r>
          </w:p>
        </w:tc>
        <w:tc>
          <w:tcPr>
            <w:tcW w:w="192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69.13%</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5"/>
        </w:trPr>
        <w:tc>
          <w:tcPr>
            <w:tcW w:w="2840" w:type="dxa"/>
            <w:vAlign w:val="bottom"/>
            <w:tcBorders>
              <w:left w:val="single" w:sz="8" w:color="auto"/>
              <w:bottom w:val="single" w:sz="8" w:color="auto"/>
            </w:tcBorders>
            <w:gridSpan w:val="3"/>
          </w:tcPr>
          <w:p>
            <w:pPr>
              <w:ind w:left="20"/>
              <w:spacing w:after="0"/>
              <w:rPr>
                <w:sz w:val="20"/>
                <w:szCs w:val="20"/>
                <w:color w:val="auto"/>
              </w:rPr>
            </w:pPr>
            <w:r>
              <w:rPr>
                <w:rFonts w:ascii="Arial" w:cs="Arial" w:eastAsia="Arial" w:hAnsi="Arial"/>
                <w:sz w:val="13"/>
                <w:szCs w:val="13"/>
                <w:b w:val="1"/>
                <w:bCs w:val="1"/>
                <w:color w:val="auto"/>
              </w:rPr>
              <w:t>Earned Units</w:t>
            </w:r>
          </w:p>
        </w:tc>
        <w:tc>
          <w:tcPr>
            <w:tcW w:w="6720" w:type="dxa"/>
            <w:vAlign w:val="bottom"/>
            <w:tcBorders>
              <w:bottom w:val="single" w:sz="8" w:color="auto"/>
            </w:tcBorders>
          </w:tcPr>
          <w:p>
            <w:pPr>
              <w:ind w:left="2340"/>
              <w:spacing w:after="0"/>
              <w:rPr>
                <w:sz w:val="20"/>
                <w:szCs w:val="20"/>
                <w:color w:val="auto"/>
              </w:rPr>
            </w:pPr>
            <w:r>
              <w:rPr>
                <w:rFonts w:ascii="Arial" w:cs="Arial" w:eastAsia="Arial" w:hAnsi="Arial"/>
                <w:sz w:val="13"/>
                <w:szCs w:val="13"/>
                <w:color w:val="auto"/>
              </w:rPr>
              <w:t>1,000 x 69.13%</w:t>
            </w:r>
          </w:p>
        </w:tc>
        <w:tc>
          <w:tcPr>
            <w:tcW w:w="19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691</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8"/>
        </w:trPr>
        <w:tc>
          <w:tcPr>
            <w:tcW w:w="2840" w:type="dxa"/>
            <w:vAlign w:val="bottom"/>
            <w:gridSpan w:val="3"/>
          </w:tcPr>
          <w:p>
            <w:pPr>
              <w:ind w:left="900"/>
              <w:spacing w:after="0"/>
              <w:rPr>
                <w:sz w:val="20"/>
                <w:szCs w:val="20"/>
                <w:color w:val="auto"/>
              </w:rPr>
            </w:pPr>
            <w:r>
              <w:rPr>
                <w:rFonts w:ascii="Arial" w:cs="Arial" w:eastAsia="Arial" w:hAnsi="Arial"/>
                <w:sz w:val="13"/>
                <w:szCs w:val="13"/>
                <w:color w:val="auto"/>
              </w:rPr>
              <w:t>2</w:t>
            </w:r>
          </w:p>
        </w:tc>
        <w:tc>
          <w:tcPr>
            <w:tcW w:w="67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74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2020" w:type="dxa"/>
            <w:vAlign w:val="bottom"/>
            <w:tcBorders>
              <w:bottom w:val="single" w:sz="8" w:color="9A9A9A"/>
            </w:tcBorders>
          </w:tcPr>
          <w:p>
            <w:pPr>
              <w:spacing w:after="0"/>
              <w:rPr>
                <w:sz w:val="14"/>
                <w:szCs w:val="14"/>
                <w:color w:val="auto"/>
              </w:rPr>
            </w:pPr>
          </w:p>
        </w:tc>
        <w:tc>
          <w:tcPr>
            <w:tcW w:w="6720" w:type="dxa"/>
            <w:vAlign w:val="bottom"/>
            <w:tcBorders>
              <w:bottom w:val="single" w:sz="8" w:color="9A9A9A"/>
            </w:tcBorders>
          </w:tcPr>
          <w:p>
            <w:pPr>
              <w:spacing w:after="0"/>
              <w:rPr>
                <w:sz w:val="14"/>
                <w:szCs w:val="14"/>
                <w:color w:val="auto"/>
              </w:rPr>
            </w:pPr>
          </w:p>
        </w:tc>
        <w:tc>
          <w:tcPr>
            <w:tcW w:w="192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7292975</wp:posOffset>
            </wp:positionH>
            <wp:positionV relativeFrom="paragraph">
              <wp:posOffset>-23495</wp:posOffset>
            </wp:positionV>
            <wp:extent cx="31115" cy="3683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36">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-23495</wp:posOffset>
            </wp:positionV>
            <wp:extent cx="31115" cy="3683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37">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520"/>
          </w:cols>
          <w:pgMar w:left="200" w:top="269" w:right="179" w:bottom="1440" w:gutter="0" w:footer="0" w:header="0"/>
        </w:sectPr>
      </w:pPr>
    </w:p>
    <w:bookmarkStart w:id="156" w:name="page157"/>
    <w:bookmarkEnd w:id="156"/>
    <w:p>
      <w:pPr>
        <w:jc w:val="center"/>
        <w:spacing w:after="0"/>
        <w:rPr>
          <w:sz w:val="20"/>
          <w:szCs w:val="20"/>
          <w:color w:val="auto"/>
        </w:rPr>
      </w:pPr>
      <w:r>
        <w:rPr>
          <w:rFonts w:ascii="Arial" w:cs="Arial" w:eastAsia="Arial" w:hAnsi="Arial"/>
          <w:sz w:val="13"/>
          <w:szCs w:val="13"/>
          <w:b w:val="1"/>
          <w:bCs w:val="1"/>
          <w:u w:val="single" w:color="auto"/>
          <w:color w:val="auto"/>
        </w:rPr>
        <w:t>APPENDIX B</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COMPARATOR GROUP</w:t>
      </w:r>
    </w:p>
    <w:p>
      <w:pPr>
        <w:spacing w:after="0" w:line="152" w:lineRule="exact"/>
        <w:rPr>
          <w:sz w:val="20"/>
          <w:szCs w:val="20"/>
          <w:color w:val="auto"/>
        </w:rPr>
      </w:pPr>
    </w:p>
    <w:p>
      <w:pPr>
        <w:ind w:right="20"/>
        <w:spacing w:after="0" w:line="271" w:lineRule="auto"/>
        <w:rPr>
          <w:sz w:val="20"/>
          <w:szCs w:val="20"/>
          <w:color w:val="auto"/>
        </w:rPr>
      </w:pPr>
      <w:r>
        <w:rPr>
          <w:rFonts w:ascii="Arial" w:cs="Arial" w:eastAsia="Arial" w:hAnsi="Arial"/>
          <w:sz w:val="13"/>
          <w:szCs w:val="13"/>
          <w:color w:val="auto"/>
        </w:rPr>
        <w:t>The Comparator Group consists of all companies that, as of the Grant Date, are included in the Data Processing and Outsourced Services Industry component of the Russell 3000 Index having a market cap of less than $10 billion (the “</w:t>
      </w:r>
      <w:r>
        <w:rPr>
          <w:rFonts w:ascii="Arial" w:cs="Arial" w:eastAsia="Arial" w:hAnsi="Arial"/>
          <w:sz w:val="13"/>
          <w:szCs w:val="13"/>
          <w:b w:val="1"/>
          <w:bCs w:val="1"/>
          <w:i w:val="1"/>
          <w:iCs w:val="1"/>
          <w:color w:val="auto"/>
        </w:rPr>
        <w:t>Comparator Group Criteria</w:t>
      </w:r>
      <w:r>
        <w:rPr>
          <w:rFonts w:ascii="Arial" w:cs="Arial" w:eastAsia="Arial" w:hAnsi="Arial"/>
          <w:sz w:val="13"/>
          <w:szCs w:val="13"/>
          <w:color w:val="auto"/>
        </w:rPr>
        <w:t>”).</w:t>
      </w:r>
    </w:p>
    <w:p>
      <w:pPr>
        <w:spacing w:after="0" w:line="113" w:lineRule="exact"/>
        <w:rPr>
          <w:sz w:val="20"/>
          <w:szCs w:val="20"/>
          <w:color w:val="auto"/>
        </w:rPr>
      </w:pPr>
    </w:p>
    <w:p>
      <w:pPr>
        <w:spacing w:after="0"/>
        <w:rPr>
          <w:sz w:val="20"/>
          <w:szCs w:val="20"/>
          <w:color w:val="auto"/>
        </w:rPr>
      </w:pPr>
      <w:r>
        <w:rPr>
          <w:rFonts w:ascii="Arial" w:cs="Arial" w:eastAsia="Arial" w:hAnsi="Arial"/>
          <w:sz w:val="13"/>
          <w:szCs w:val="13"/>
          <w:color w:val="auto"/>
        </w:rPr>
        <w:t>As of the Grant Date, the Comparator Group consists of the following constituent companies:</w:t>
      </w:r>
    </w:p>
    <w:p>
      <w:pPr>
        <w:spacing w:after="0" w:line="138" w:lineRule="exact"/>
        <w:rPr>
          <w:sz w:val="20"/>
          <w:szCs w:val="20"/>
          <w:color w:val="auto"/>
        </w:rPr>
      </w:pPr>
    </w:p>
    <w:tbl>
      <w:tblPr>
        <w:tblLayout w:type="fixed"/>
        <w:tblInd w:w="10" w:type="dxa"/>
        <w:tblCellMar>
          <w:top w:w="0" w:type="dxa"/>
          <w:left w:w="0" w:type="dxa"/>
          <w:bottom w:w="0" w:type="dxa"/>
          <w:right w:w="0" w:type="dxa"/>
        </w:tblCellMar>
      </w:tblPr>
      <w:tr>
        <w:trPr>
          <w:trHeight w:val="162"/>
        </w:trPr>
        <w:tc>
          <w:tcPr>
            <w:tcW w:w="3820" w:type="dxa"/>
            <w:vAlign w:val="bottom"/>
            <w:tcBorders>
              <w:top w:val="single" w:sz="8" w:color="auto"/>
              <w:left w:val="single" w:sz="8" w:color="auto"/>
              <w:bottom w:val="single" w:sz="8" w:color="auto"/>
              <w:right w:val="single" w:sz="8" w:color="auto"/>
            </w:tcBorders>
          </w:tcPr>
          <w:p>
            <w:pPr>
              <w:spacing w:after="0"/>
              <w:rPr>
                <w:sz w:val="20"/>
                <w:szCs w:val="20"/>
                <w:color w:val="auto"/>
              </w:rPr>
            </w:pPr>
            <w:r>
              <w:rPr>
                <w:rFonts w:ascii="Arial" w:cs="Arial" w:eastAsia="Arial" w:hAnsi="Arial"/>
                <w:sz w:val="13"/>
                <w:szCs w:val="13"/>
                <w:color w:val="auto"/>
              </w:rPr>
              <w:t>Alliance Data</w:t>
            </w:r>
          </w:p>
        </w:tc>
        <w:tc>
          <w:tcPr>
            <w:tcW w:w="382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3"/>
                <w:szCs w:val="13"/>
                <w:color w:val="auto"/>
              </w:rPr>
              <w:t>TTEC Holdings</w:t>
            </w:r>
          </w:p>
        </w:tc>
        <w:tc>
          <w:tcPr>
            <w:tcW w:w="384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3"/>
                <w:szCs w:val="13"/>
                <w:color w:val="auto"/>
              </w:rPr>
              <w:t>Priority Technology</w:t>
            </w:r>
          </w:p>
        </w:tc>
      </w:tr>
      <w:tr>
        <w:trPr>
          <w:trHeight w:val="142"/>
        </w:trPr>
        <w:tc>
          <w:tcPr>
            <w:tcW w:w="3820" w:type="dxa"/>
            <w:vAlign w:val="bottom"/>
            <w:tcBorders>
              <w:left w:val="single" w:sz="8" w:color="auto"/>
              <w:bottom w:val="single" w:sz="8" w:color="auto"/>
              <w:right w:val="single" w:sz="8" w:color="auto"/>
            </w:tcBorders>
          </w:tcPr>
          <w:p>
            <w:pPr>
              <w:spacing w:after="0" w:line="143" w:lineRule="exact"/>
              <w:rPr>
                <w:sz w:val="20"/>
                <w:szCs w:val="20"/>
                <w:color w:val="auto"/>
              </w:rPr>
            </w:pPr>
            <w:r>
              <w:rPr>
                <w:rFonts w:ascii="Arial" w:cs="Arial" w:eastAsia="Arial" w:hAnsi="Arial"/>
                <w:sz w:val="13"/>
                <w:szCs w:val="13"/>
                <w:color w:val="auto"/>
              </w:rPr>
              <w:t>Conduent</w:t>
            </w:r>
          </w:p>
        </w:tc>
        <w:tc>
          <w:tcPr>
            <w:tcW w:w="3820" w:type="dxa"/>
            <w:vAlign w:val="bottom"/>
            <w:tcBorders>
              <w:bottom w:val="single" w:sz="8" w:color="auto"/>
              <w:right w:val="single" w:sz="8" w:color="auto"/>
            </w:tcBorders>
          </w:tcPr>
          <w:p>
            <w:pPr>
              <w:spacing w:after="0" w:line="143" w:lineRule="exact"/>
              <w:rPr>
                <w:sz w:val="20"/>
                <w:szCs w:val="20"/>
                <w:color w:val="auto"/>
              </w:rPr>
            </w:pPr>
            <w:r>
              <w:rPr>
                <w:rFonts w:ascii="Arial" w:cs="Arial" w:eastAsia="Arial" w:hAnsi="Arial"/>
                <w:sz w:val="13"/>
                <w:szCs w:val="13"/>
                <w:color w:val="auto"/>
              </w:rPr>
              <w:t>Exela Technologies</w:t>
            </w:r>
          </w:p>
        </w:tc>
        <w:tc>
          <w:tcPr>
            <w:tcW w:w="3840" w:type="dxa"/>
            <w:vAlign w:val="bottom"/>
            <w:tcBorders>
              <w:bottom w:val="single" w:sz="8" w:color="auto"/>
              <w:right w:val="single" w:sz="8" w:color="auto"/>
            </w:tcBorders>
          </w:tcPr>
          <w:p>
            <w:pPr>
              <w:spacing w:after="0" w:line="143" w:lineRule="exact"/>
              <w:rPr>
                <w:sz w:val="20"/>
                <w:szCs w:val="20"/>
                <w:color w:val="auto"/>
              </w:rPr>
            </w:pPr>
            <w:r>
              <w:rPr>
                <w:rFonts w:ascii="Arial" w:cs="Arial" w:eastAsia="Arial" w:hAnsi="Arial"/>
                <w:sz w:val="13"/>
                <w:szCs w:val="13"/>
                <w:color w:val="auto"/>
              </w:rPr>
              <w:t>i3 Verticals</w:t>
            </w:r>
          </w:p>
        </w:tc>
      </w:tr>
      <w:tr>
        <w:trPr>
          <w:trHeight w:val="142"/>
        </w:trPr>
        <w:tc>
          <w:tcPr>
            <w:tcW w:w="3820" w:type="dxa"/>
            <w:vAlign w:val="bottom"/>
            <w:tcBorders>
              <w:left w:val="single" w:sz="8" w:color="auto"/>
              <w:bottom w:val="single" w:sz="8" w:color="auto"/>
              <w:right w:val="single" w:sz="8" w:color="auto"/>
            </w:tcBorders>
          </w:tcPr>
          <w:p>
            <w:pPr>
              <w:spacing w:after="0" w:line="143" w:lineRule="exact"/>
              <w:rPr>
                <w:sz w:val="20"/>
                <w:szCs w:val="20"/>
                <w:color w:val="auto"/>
              </w:rPr>
            </w:pPr>
            <w:r>
              <w:rPr>
                <w:rFonts w:ascii="Arial" w:cs="Arial" w:eastAsia="Arial" w:hAnsi="Arial"/>
                <w:sz w:val="13"/>
                <w:szCs w:val="13"/>
                <w:color w:val="auto"/>
              </w:rPr>
              <w:t>Sabre</w:t>
            </w:r>
          </w:p>
        </w:tc>
        <w:tc>
          <w:tcPr>
            <w:tcW w:w="3820" w:type="dxa"/>
            <w:vAlign w:val="bottom"/>
            <w:tcBorders>
              <w:bottom w:val="single" w:sz="8" w:color="auto"/>
              <w:right w:val="single" w:sz="8" w:color="auto"/>
            </w:tcBorders>
          </w:tcPr>
          <w:p>
            <w:pPr>
              <w:spacing w:after="0" w:line="143" w:lineRule="exact"/>
              <w:rPr>
                <w:sz w:val="20"/>
                <w:szCs w:val="20"/>
                <w:color w:val="auto"/>
              </w:rPr>
            </w:pPr>
            <w:r>
              <w:rPr>
                <w:rFonts w:ascii="Arial" w:cs="Arial" w:eastAsia="Arial" w:hAnsi="Arial"/>
                <w:sz w:val="13"/>
                <w:szCs w:val="13"/>
                <w:color w:val="auto"/>
              </w:rPr>
              <w:t>Cardtronics plc</w:t>
            </w:r>
          </w:p>
        </w:tc>
        <w:tc>
          <w:tcPr>
            <w:tcW w:w="3840" w:type="dxa"/>
            <w:vAlign w:val="bottom"/>
            <w:tcBorders>
              <w:bottom w:val="single" w:sz="8" w:color="auto"/>
              <w:right w:val="single" w:sz="8" w:color="auto"/>
            </w:tcBorders>
          </w:tcPr>
          <w:p>
            <w:pPr>
              <w:spacing w:after="0" w:line="143" w:lineRule="exact"/>
              <w:rPr>
                <w:sz w:val="20"/>
                <w:szCs w:val="20"/>
                <w:color w:val="auto"/>
              </w:rPr>
            </w:pPr>
            <w:r>
              <w:rPr>
                <w:rFonts w:ascii="Arial" w:cs="Arial" w:eastAsia="Arial" w:hAnsi="Arial"/>
                <w:sz w:val="13"/>
                <w:szCs w:val="13"/>
                <w:color w:val="auto"/>
              </w:rPr>
              <w:t>NIC Inc.</w:t>
            </w:r>
          </w:p>
        </w:tc>
      </w:tr>
      <w:tr>
        <w:trPr>
          <w:trHeight w:val="142"/>
        </w:trPr>
        <w:tc>
          <w:tcPr>
            <w:tcW w:w="3820" w:type="dxa"/>
            <w:vAlign w:val="bottom"/>
            <w:tcBorders>
              <w:left w:val="single" w:sz="8" w:color="auto"/>
              <w:bottom w:val="single" w:sz="8" w:color="auto"/>
              <w:right w:val="single" w:sz="8" w:color="auto"/>
            </w:tcBorders>
          </w:tcPr>
          <w:p>
            <w:pPr>
              <w:spacing w:after="0" w:line="143" w:lineRule="exact"/>
              <w:rPr>
                <w:sz w:val="20"/>
                <w:szCs w:val="20"/>
                <w:color w:val="auto"/>
              </w:rPr>
            </w:pPr>
            <w:r>
              <w:rPr>
                <w:rFonts w:ascii="Arial" w:cs="Arial" w:eastAsia="Arial" w:hAnsi="Arial"/>
                <w:sz w:val="13"/>
                <w:szCs w:val="13"/>
                <w:color w:val="auto"/>
              </w:rPr>
              <w:t>Genpact Limited</w:t>
            </w:r>
          </w:p>
        </w:tc>
        <w:tc>
          <w:tcPr>
            <w:tcW w:w="3820" w:type="dxa"/>
            <w:vAlign w:val="bottom"/>
            <w:tcBorders>
              <w:bottom w:val="single" w:sz="8" w:color="auto"/>
              <w:right w:val="single" w:sz="8" w:color="auto"/>
            </w:tcBorders>
          </w:tcPr>
          <w:p>
            <w:pPr>
              <w:spacing w:after="0" w:line="143" w:lineRule="exact"/>
              <w:rPr>
                <w:sz w:val="20"/>
                <w:szCs w:val="20"/>
                <w:color w:val="auto"/>
              </w:rPr>
            </w:pPr>
            <w:r>
              <w:rPr>
                <w:rFonts w:ascii="Arial" w:cs="Arial" w:eastAsia="Arial" w:hAnsi="Arial"/>
                <w:sz w:val="13"/>
                <w:szCs w:val="13"/>
                <w:color w:val="auto"/>
              </w:rPr>
              <w:t>Black Knight</w:t>
            </w:r>
          </w:p>
        </w:tc>
        <w:tc>
          <w:tcPr>
            <w:tcW w:w="3840" w:type="dxa"/>
            <w:vAlign w:val="bottom"/>
            <w:tcBorders>
              <w:bottom w:val="single" w:sz="8" w:color="auto"/>
              <w:right w:val="single" w:sz="8" w:color="auto"/>
            </w:tcBorders>
          </w:tcPr>
          <w:p>
            <w:pPr>
              <w:spacing w:after="0" w:line="143" w:lineRule="exact"/>
              <w:rPr>
                <w:sz w:val="20"/>
                <w:szCs w:val="20"/>
                <w:color w:val="auto"/>
              </w:rPr>
            </w:pPr>
            <w:r>
              <w:rPr>
                <w:rFonts w:ascii="Arial" w:cs="Arial" w:eastAsia="Arial" w:hAnsi="Arial"/>
                <w:sz w:val="13"/>
                <w:szCs w:val="13"/>
                <w:color w:val="auto"/>
              </w:rPr>
              <w:t>Int’l Money Express</w:t>
            </w:r>
          </w:p>
        </w:tc>
      </w:tr>
      <w:tr>
        <w:trPr>
          <w:trHeight w:val="142"/>
        </w:trPr>
        <w:tc>
          <w:tcPr>
            <w:tcW w:w="3820" w:type="dxa"/>
            <w:vAlign w:val="bottom"/>
            <w:tcBorders>
              <w:left w:val="single" w:sz="8" w:color="auto"/>
              <w:bottom w:val="single" w:sz="8" w:color="auto"/>
              <w:right w:val="single" w:sz="8" w:color="auto"/>
            </w:tcBorders>
          </w:tcPr>
          <w:p>
            <w:pPr>
              <w:spacing w:after="0" w:line="143" w:lineRule="exact"/>
              <w:rPr>
                <w:sz w:val="20"/>
                <w:szCs w:val="20"/>
                <w:color w:val="auto"/>
              </w:rPr>
            </w:pPr>
            <w:r>
              <w:rPr>
                <w:rFonts w:ascii="Arial" w:cs="Arial" w:eastAsia="Arial" w:hAnsi="Arial"/>
                <w:sz w:val="13"/>
                <w:szCs w:val="13"/>
                <w:color w:val="auto"/>
              </w:rPr>
              <w:t>MAXIMUS</w:t>
            </w:r>
          </w:p>
        </w:tc>
        <w:tc>
          <w:tcPr>
            <w:tcW w:w="3820" w:type="dxa"/>
            <w:vAlign w:val="bottom"/>
            <w:tcBorders>
              <w:bottom w:val="single" w:sz="8" w:color="auto"/>
              <w:right w:val="single" w:sz="8" w:color="auto"/>
            </w:tcBorders>
          </w:tcPr>
          <w:p>
            <w:pPr>
              <w:spacing w:after="0" w:line="143" w:lineRule="exact"/>
              <w:rPr>
                <w:sz w:val="20"/>
                <w:szCs w:val="20"/>
                <w:color w:val="auto"/>
              </w:rPr>
            </w:pPr>
            <w:r>
              <w:rPr>
                <w:rFonts w:ascii="Arial" w:cs="Arial" w:eastAsia="Arial" w:hAnsi="Arial"/>
                <w:sz w:val="13"/>
                <w:szCs w:val="13"/>
                <w:color w:val="auto"/>
              </w:rPr>
              <w:t>CSG Systems Int’l</w:t>
            </w:r>
          </w:p>
        </w:tc>
        <w:tc>
          <w:tcPr>
            <w:tcW w:w="3840" w:type="dxa"/>
            <w:vAlign w:val="bottom"/>
            <w:tcBorders>
              <w:bottom w:val="single" w:sz="8" w:color="auto"/>
              <w:right w:val="single" w:sz="8" w:color="auto"/>
            </w:tcBorders>
          </w:tcPr>
          <w:p>
            <w:pPr>
              <w:spacing w:after="0" w:line="143" w:lineRule="exact"/>
              <w:rPr>
                <w:sz w:val="20"/>
                <w:szCs w:val="20"/>
                <w:color w:val="auto"/>
              </w:rPr>
            </w:pPr>
            <w:r>
              <w:rPr>
                <w:rFonts w:ascii="Arial" w:cs="Arial" w:eastAsia="Arial" w:hAnsi="Arial"/>
                <w:sz w:val="13"/>
                <w:szCs w:val="13"/>
                <w:color w:val="auto"/>
              </w:rPr>
              <w:t>PRGX Global</w:t>
            </w:r>
          </w:p>
        </w:tc>
      </w:tr>
      <w:tr>
        <w:trPr>
          <w:trHeight w:val="142"/>
        </w:trPr>
        <w:tc>
          <w:tcPr>
            <w:tcW w:w="3820" w:type="dxa"/>
            <w:vAlign w:val="bottom"/>
            <w:tcBorders>
              <w:left w:val="single" w:sz="8" w:color="auto"/>
              <w:bottom w:val="single" w:sz="8" w:color="auto"/>
              <w:right w:val="single" w:sz="8" w:color="auto"/>
            </w:tcBorders>
          </w:tcPr>
          <w:p>
            <w:pPr>
              <w:spacing w:after="0" w:line="143" w:lineRule="exact"/>
              <w:rPr>
                <w:sz w:val="20"/>
                <w:szCs w:val="20"/>
                <w:color w:val="auto"/>
              </w:rPr>
            </w:pPr>
            <w:r>
              <w:rPr>
                <w:rFonts w:ascii="Arial" w:cs="Arial" w:eastAsia="Arial" w:hAnsi="Arial"/>
                <w:sz w:val="13"/>
                <w:szCs w:val="13"/>
                <w:color w:val="auto"/>
              </w:rPr>
              <w:t>Euronet</w:t>
            </w:r>
          </w:p>
        </w:tc>
        <w:tc>
          <w:tcPr>
            <w:tcW w:w="3820" w:type="dxa"/>
            <w:vAlign w:val="bottom"/>
            <w:tcBorders>
              <w:bottom w:val="single" w:sz="8" w:color="auto"/>
              <w:right w:val="single" w:sz="8" w:color="auto"/>
            </w:tcBorders>
          </w:tcPr>
          <w:p>
            <w:pPr>
              <w:spacing w:after="0" w:line="143" w:lineRule="exact"/>
              <w:rPr>
                <w:sz w:val="20"/>
                <w:szCs w:val="20"/>
                <w:color w:val="auto"/>
              </w:rPr>
            </w:pPr>
            <w:r>
              <w:rPr>
                <w:rFonts w:ascii="Arial" w:cs="Arial" w:eastAsia="Arial" w:hAnsi="Arial"/>
                <w:sz w:val="13"/>
                <w:szCs w:val="13"/>
                <w:color w:val="auto"/>
              </w:rPr>
              <w:t>Exl Service</w:t>
            </w:r>
          </w:p>
        </w:tc>
        <w:tc>
          <w:tcPr>
            <w:tcW w:w="3840" w:type="dxa"/>
            <w:vAlign w:val="bottom"/>
            <w:tcBorders>
              <w:bottom w:val="single" w:sz="8" w:color="auto"/>
              <w:right w:val="single" w:sz="8" w:color="auto"/>
            </w:tcBorders>
          </w:tcPr>
          <w:p>
            <w:pPr>
              <w:spacing w:after="0" w:line="143" w:lineRule="exact"/>
              <w:rPr>
                <w:sz w:val="20"/>
                <w:szCs w:val="20"/>
                <w:color w:val="auto"/>
              </w:rPr>
            </w:pPr>
            <w:r>
              <w:rPr>
                <w:rFonts w:ascii="Arial" w:cs="Arial" w:eastAsia="Arial" w:hAnsi="Arial"/>
                <w:sz w:val="13"/>
                <w:szCs w:val="13"/>
                <w:color w:val="auto"/>
              </w:rPr>
              <w:t>Cass Information</w:t>
            </w:r>
          </w:p>
        </w:tc>
      </w:tr>
      <w:tr>
        <w:trPr>
          <w:trHeight w:val="142"/>
        </w:trPr>
        <w:tc>
          <w:tcPr>
            <w:tcW w:w="3820" w:type="dxa"/>
            <w:vAlign w:val="bottom"/>
            <w:tcBorders>
              <w:left w:val="single" w:sz="8" w:color="auto"/>
              <w:bottom w:val="single" w:sz="8" w:color="auto"/>
              <w:right w:val="single" w:sz="8" w:color="auto"/>
            </w:tcBorders>
          </w:tcPr>
          <w:p>
            <w:pPr>
              <w:spacing w:after="0" w:line="143" w:lineRule="exact"/>
              <w:rPr>
                <w:sz w:val="20"/>
                <w:szCs w:val="20"/>
                <w:color w:val="auto"/>
              </w:rPr>
            </w:pPr>
            <w:r>
              <w:rPr>
                <w:rFonts w:ascii="Arial" w:cs="Arial" w:eastAsia="Arial" w:hAnsi="Arial"/>
                <w:sz w:val="13"/>
                <w:szCs w:val="13"/>
                <w:color w:val="auto"/>
              </w:rPr>
              <w:t>CoreLogic</w:t>
            </w:r>
          </w:p>
        </w:tc>
        <w:tc>
          <w:tcPr>
            <w:tcW w:w="3820" w:type="dxa"/>
            <w:vAlign w:val="bottom"/>
            <w:tcBorders>
              <w:bottom w:val="single" w:sz="8" w:color="auto"/>
              <w:right w:val="single" w:sz="8" w:color="auto"/>
            </w:tcBorders>
          </w:tcPr>
          <w:p>
            <w:pPr>
              <w:spacing w:after="0" w:line="143" w:lineRule="exact"/>
              <w:rPr>
                <w:sz w:val="20"/>
                <w:szCs w:val="20"/>
                <w:color w:val="auto"/>
              </w:rPr>
            </w:pPr>
            <w:r>
              <w:rPr>
                <w:rFonts w:ascii="Arial" w:cs="Arial" w:eastAsia="Arial" w:hAnsi="Arial"/>
                <w:sz w:val="13"/>
                <w:szCs w:val="13"/>
                <w:color w:val="auto"/>
              </w:rPr>
              <w:t>StarTek</w:t>
            </w:r>
          </w:p>
        </w:tc>
        <w:tc>
          <w:tcPr>
            <w:tcW w:w="3840" w:type="dxa"/>
            <w:vAlign w:val="bottom"/>
            <w:tcBorders>
              <w:bottom w:val="single" w:sz="8" w:color="auto"/>
              <w:right w:val="single" w:sz="8" w:color="auto"/>
            </w:tcBorders>
          </w:tcPr>
          <w:p>
            <w:pPr>
              <w:spacing w:after="0" w:line="143" w:lineRule="exact"/>
              <w:rPr>
                <w:sz w:val="20"/>
                <w:szCs w:val="20"/>
                <w:color w:val="auto"/>
              </w:rPr>
            </w:pPr>
            <w:r>
              <w:rPr>
                <w:rFonts w:ascii="Arial" w:cs="Arial" w:eastAsia="Arial" w:hAnsi="Arial"/>
                <w:sz w:val="13"/>
                <w:szCs w:val="13"/>
                <w:color w:val="auto"/>
              </w:rPr>
              <w:t>PaySign</w:t>
            </w:r>
          </w:p>
        </w:tc>
      </w:tr>
      <w:tr>
        <w:trPr>
          <w:trHeight w:val="142"/>
        </w:trPr>
        <w:tc>
          <w:tcPr>
            <w:tcW w:w="3820" w:type="dxa"/>
            <w:vAlign w:val="bottom"/>
            <w:tcBorders>
              <w:left w:val="single" w:sz="8" w:color="auto"/>
              <w:bottom w:val="single" w:sz="8" w:color="auto"/>
              <w:right w:val="single" w:sz="8" w:color="auto"/>
            </w:tcBorders>
          </w:tcPr>
          <w:p>
            <w:pPr>
              <w:spacing w:after="0" w:line="143" w:lineRule="exact"/>
              <w:rPr>
                <w:sz w:val="20"/>
                <w:szCs w:val="20"/>
                <w:color w:val="auto"/>
              </w:rPr>
            </w:pPr>
            <w:r>
              <w:rPr>
                <w:rFonts w:ascii="Arial" w:cs="Arial" w:eastAsia="Arial" w:hAnsi="Arial"/>
                <w:sz w:val="13"/>
                <w:szCs w:val="13"/>
                <w:color w:val="auto"/>
              </w:rPr>
              <w:t>WEX, Inc.</w:t>
            </w:r>
          </w:p>
        </w:tc>
        <w:tc>
          <w:tcPr>
            <w:tcW w:w="3820" w:type="dxa"/>
            <w:vAlign w:val="bottom"/>
            <w:tcBorders>
              <w:bottom w:val="single" w:sz="8" w:color="auto"/>
              <w:right w:val="single" w:sz="8" w:color="auto"/>
            </w:tcBorders>
          </w:tcPr>
          <w:p>
            <w:pPr>
              <w:spacing w:after="0" w:line="143" w:lineRule="exact"/>
              <w:rPr>
                <w:sz w:val="20"/>
                <w:szCs w:val="20"/>
                <w:color w:val="auto"/>
              </w:rPr>
            </w:pPr>
            <w:r>
              <w:rPr>
                <w:rFonts w:ascii="Arial" w:cs="Arial" w:eastAsia="Arial" w:hAnsi="Arial"/>
                <w:sz w:val="13"/>
                <w:szCs w:val="13"/>
                <w:color w:val="auto"/>
              </w:rPr>
              <w:t>EVO Payments</w:t>
            </w:r>
          </w:p>
        </w:tc>
        <w:tc>
          <w:tcPr>
            <w:tcW w:w="3840" w:type="dxa"/>
            <w:vAlign w:val="bottom"/>
            <w:tcBorders>
              <w:bottom w:val="single" w:sz="8" w:color="auto"/>
              <w:right w:val="single" w:sz="8" w:color="auto"/>
            </w:tcBorders>
          </w:tcPr>
          <w:p>
            <w:pPr>
              <w:spacing w:after="0" w:line="143" w:lineRule="exact"/>
              <w:rPr>
                <w:sz w:val="20"/>
                <w:szCs w:val="20"/>
                <w:color w:val="auto"/>
              </w:rPr>
            </w:pPr>
            <w:r>
              <w:rPr>
                <w:rFonts w:ascii="Arial" w:cs="Arial" w:eastAsia="Arial" w:hAnsi="Arial"/>
                <w:sz w:val="13"/>
                <w:szCs w:val="13"/>
                <w:color w:val="auto"/>
              </w:rPr>
              <w:t>-----</w:t>
            </w:r>
          </w:p>
        </w:tc>
      </w:tr>
      <w:tr>
        <w:trPr>
          <w:trHeight w:val="142"/>
        </w:trPr>
        <w:tc>
          <w:tcPr>
            <w:tcW w:w="3820" w:type="dxa"/>
            <w:vAlign w:val="bottom"/>
            <w:tcBorders>
              <w:left w:val="single" w:sz="8" w:color="auto"/>
              <w:bottom w:val="single" w:sz="8" w:color="auto"/>
              <w:right w:val="single" w:sz="8" w:color="auto"/>
            </w:tcBorders>
          </w:tcPr>
          <w:p>
            <w:pPr>
              <w:spacing w:after="0" w:line="143" w:lineRule="exact"/>
              <w:rPr>
                <w:sz w:val="20"/>
                <w:szCs w:val="20"/>
                <w:color w:val="auto"/>
              </w:rPr>
            </w:pPr>
            <w:r>
              <w:rPr>
                <w:rFonts w:ascii="Arial" w:cs="Arial" w:eastAsia="Arial" w:hAnsi="Arial"/>
                <w:sz w:val="13"/>
                <w:szCs w:val="13"/>
                <w:color w:val="auto"/>
              </w:rPr>
              <w:t>Sykes Enterprises</w:t>
            </w:r>
          </w:p>
        </w:tc>
        <w:tc>
          <w:tcPr>
            <w:tcW w:w="3820" w:type="dxa"/>
            <w:vAlign w:val="bottom"/>
            <w:tcBorders>
              <w:bottom w:val="single" w:sz="8" w:color="auto"/>
              <w:right w:val="single" w:sz="8" w:color="auto"/>
            </w:tcBorders>
          </w:tcPr>
          <w:p>
            <w:pPr>
              <w:spacing w:after="0" w:line="143" w:lineRule="exact"/>
              <w:rPr>
                <w:sz w:val="20"/>
                <w:szCs w:val="20"/>
                <w:color w:val="auto"/>
              </w:rPr>
            </w:pPr>
            <w:r>
              <w:rPr>
                <w:rFonts w:ascii="Arial" w:cs="Arial" w:eastAsia="Arial" w:hAnsi="Arial"/>
                <w:sz w:val="13"/>
                <w:szCs w:val="13"/>
                <w:color w:val="auto"/>
              </w:rPr>
              <w:t>EVERTEC</w:t>
            </w:r>
          </w:p>
        </w:tc>
        <w:tc>
          <w:tcPr>
            <w:tcW w:w="3840" w:type="dxa"/>
            <w:vAlign w:val="bottom"/>
            <w:tcBorders>
              <w:bottom w:val="single" w:sz="8" w:color="auto"/>
              <w:right w:val="single" w:sz="8" w:color="auto"/>
            </w:tcBorders>
          </w:tcPr>
          <w:p>
            <w:pPr>
              <w:spacing w:after="0" w:line="143" w:lineRule="exact"/>
              <w:rPr>
                <w:sz w:val="20"/>
                <w:szCs w:val="20"/>
                <w:color w:val="auto"/>
              </w:rPr>
            </w:pPr>
            <w:r>
              <w:rPr>
                <w:rFonts w:ascii="Arial" w:cs="Arial" w:eastAsia="Arial" w:hAnsi="Arial"/>
                <w:sz w:val="13"/>
                <w:szCs w:val="13"/>
                <w:color w:val="auto"/>
              </w:rPr>
              <w:t>-----</w:t>
            </w:r>
          </w:p>
        </w:tc>
      </w:tr>
    </w:tbl>
    <w:p>
      <w:pPr>
        <w:spacing w:after="0" w:line="134" w:lineRule="exact"/>
        <w:rPr>
          <w:sz w:val="20"/>
          <w:szCs w:val="20"/>
          <w:color w:val="auto"/>
        </w:rPr>
      </w:pPr>
    </w:p>
    <w:p>
      <w:pPr>
        <w:jc w:val="both"/>
        <w:spacing w:after="0" w:line="271" w:lineRule="auto"/>
        <w:rPr>
          <w:sz w:val="20"/>
          <w:szCs w:val="20"/>
          <w:color w:val="auto"/>
        </w:rPr>
      </w:pPr>
      <w:r>
        <w:rPr>
          <w:rFonts w:ascii="Arial" w:cs="Arial" w:eastAsia="Arial" w:hAnsi="Arial"/>
          <w:sz w:val="13"/>
          <w:szCs w:val="13"/>
          <w:color w:val="auto"/>
        </w:rPr>
        <w:t>The Comparator Group established as of the Grant Date, and, if applicable, a constituent’s company’s Total Stockholder Return for the Performance Period, will only be modified during the Performance Period as follows:</w:t>
      </w:r>
    </w:p>
    <w:p>
      <w:pPr>
        <w:spacing w:after="0" w:line="113" w:lineRule="exact"/>
        <w:rPr>
          <w:sz w:val="20"/>
          <w:szCs w:val="20"/>
          <w:color w:val="auto"/>
        </w:rPr>
      </w:pPr>
    </w:p>
    <w:p>
      <w:pPr>
        <w:ind w:left="880" w:hanging="447"/>
        <w:spacing w:after="0" w:line="271" w:lineRule="auto"/>
        <w:tabs>
          <w:tab w:leader="none" w:pos="880" w:val="left"/>
        </w:tabs>
        <w:numPr>
          <w:ilvl w:val="0"/>
          <w:numId w:val="112"/>
        </w:numPr>
        <w:rPr>
          <w:rFonts w:ascii="Arial" w:cs="Arial" w:eastAsia="Arial" w:hAnsi="Arial"/>
          <w:sz w:val="13"/>
          <w:szCs w:val="13"/>
          <w:color w:val="auto"/>
        </w:rPr>
      </w:pPr>
      <w:r>
        <w:rPr>
          <w:rFonts w:ascii="Arial" w:cs="Arial" w:eastAsia="Arial" w:hAnsi="Arial"/>
          <w:sz w:val="13"/>
          <w:szCs w:val="13"/>
          <w:color w:val="auto"/>
        </w:rPr>
        <w:t>A constituent company that becomes bankrupt during the Performance Period will remain a member of the Comparator Group, but its Annualized TSR for the Performance Period will be deemed to equal negative 100%.</w:t>
      </w:r>
    </w:p>
    <w:p>
      <w:pPr>
        <w:spacing w:after="0" w:line="112" w:lineRule="exact"/>
        <w:rPr>
          <w:rFonts w:ascii="Arial" w:cs="Arial" w:eastAsia="Arial" w:hAnsi="Arial"/>
          <w:sz w:val="13"/>
          <w:szCs w:val="13"/>
          <w:color w:val="auto"/>
        </w:rPr>
      </w:pPr>
    </w:p>
    <w:p>
      <w:pPr>
        <w:ind w:left="880" w:hanging="447"/>
        <w:spacing w:after="0"/>
        <w:tabs>
          <w:tab w:leader="none" w:pos="880" w:val="left"/>
        </w:tabs>
        <w:numPr>
          <w:ilvl w:val="0"/>
          <w:numId w:val="112"/>
        </w:numPr>
        <w:rPr>
          <w:rFonts w:ascii="Arial" w:cs="Arial" w:eastAsia="Arial" w:hAnsi="Arial"/>
          <w:sz w:val="13"/>
          <w:szCs w:val="13"/>
          <w:color w:val="auto"/>
        </w:rPr>
      </w:pPr>
      <w:r>
        <w:rPr>
          <w:rFonts w:ascii="Arial" w:cs="Arial" w:eastAsia="Arial" w:hAnsi="Arial"/>
          <w:sz w:val="13"/>
          <w:szCs w:val="13"/>
          <w:color w:val="auto"/>
        </w:rPr>
        <w:t>A constituent company that is acquired or ceases to be publicly traded for a reason other than bankruptcy during the Performance Period will be excluded from the Comparator Group.</w:t>
      </w:r>
    </w:p>
    <w:p>
      <w:pPr>
        <w:spacing w:after="0" w:line="147" w:lineRule="exact"/>
        <w:rPr>
          <w:rFonts w:ascii="Arial" w:cs="Arial" w:eastAsia="Arial" w:hAnsi="Arial"/>
          <w:sz w:val="13"/>
          <w:szCs w:val="13"/>
          <w:color w:val="auto"/>
        </w:rPr>
      </w:pPr>
    </w:p>
    <w:p>
      <w:pPr>
        <w:ind w:left="880" w:hanging="447"/>
        <w:spacing w:after="0" w:line="271" w:lineRule="auto"/>
        <w:tabs>
          <w:tab w:leader="none" w:pos="880" w:val="left"/>
        </w:tabs>
        <w:numPr>
          <w:ilvl w:val="0"/>
          <w:numId w:val="112"/>
        </w:numPr>
        <w:rPr>
          <w:rFonts w:ascii="Arial" w:cs="Arial" w:eastAsia="Arial" w:hAnsi="Arial"/>
          <w:sz w:val="13"/>
          <w:szCs w:val="13"/>
          <w:color w:val="auto"/>
        </w:rPr>
      </w:pPr>
      <w:r>
        <w:rPr>
          <w:rFonts w:ascii="Arial" w:cs="Arial" w:eastAsia="Arial" w:hAnsi="Arial"/>
          <w:sz w:val="13"/>
          <w:szCs w:val="13"/>
          <w:color w:val="auto"/>
        </w:rPr>
        <w:t>A constituent company that distributes a portion of its business in a spin-off transaction during the Performance Period and that remains publicly traded will be retained in the Comparator Group, but the company that is spun off will not be included in the Comparator Group.</w:t>
      </w:r>
    </w:p>
    <w:p>
      <w:pPr>
        <w:spacing w:after="0" w:line="112" w:lineRule="exact"/>
        <w:rPr>
          <w:rFonts w:ascii="Arial" w:cs="Arial" w:eastAsia="Arial" w:hAnsi="Arial"/>
          <w:sz w:val="13"/>
          <w:szCs w:val="13"/>
          <w:color w:val="auto"/>
        </w:rPr>
      </w:pPr>
    </w:p>
    <w:p>
      <w:pPr>
        <w:ind w:left="880" w:hanging="447"/>
        <w:spacing w:after="0"/>
        <w:tabs>
          <w:tab w:leader="none" w:pos="880" w:val="left"/>
        </w:tabs>
        <w:numPr>
          <w:ilvl w:val="0"/>
          <w:numId w:val="112"/>
        </w:numPr>
        <w:rPr>
          <w:rFonts w:ascii="Arial" w:cs="Arial" w:eastAsia="Arial" w:hAnsi="Arial"/>
          <w:sz w:val="13"/>
          <w:szCs w:val="13"/>
          <w:color w:val="auto"/>
        </w:rPr>
      </w:pPr>
      <w:r>
        <w:rPr>
          <w:rFonts w:ascii="Arial" w:cs="Arial" w:eastAsia="Arial" w:hAnsi="Arial"/>
          <w:sz w:val="13"/>
          <w:szCs w:val="13"/>
          <w:color w:val="auto"/>
        </w:rPr>
        <w:t>A constituent company that ceases to satisfy the Comparator Group Criteria during the Performance Period nevertheless will be retained in the Comparator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648335</wp:posOffset>
            </wp:positionV>
            <wp:extent cx="7329170" cy="3683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38">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269" w:right="199" w:bottom="1440" w:gutter="0" w:footer="0" w:header="0"/>
        </w:sectPr>
      </w:pPr>
    </w:p>
    <w:bookmarkStart w:id="157" w:name="page158"/>
    <w:bookmarkEnd w:id="157"/>
    <w:p>
      <w:pPr>
        <w:jc w:val="center"/>
        <w:ind w:right="-79"/>
        <w:spacing w:after="0"/>
        <w:rPr>
          <w:sz w:val="20"/>
          <w:szCs w:val="20"/>
          <w:color w:val="auto"/>
        </w:rPr>
      </w:pPr>
      <w:r>
        <w:rPr>
          <w:rFonts w:ascii="Arial" w:cs="Arial" w:eastAsia="Arial" w:hAnsi="Arial"/>
          <w:sz w:val="17"/>
          <w:szCs w:val="17"/>
          <w:b w:val="1"/>
          <w:bCs w:val="1"/>
          <w:color w:val="auto"/>
        </w:rPr>
        <w:t>VERRA MOBILITY CORPORATION</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PERFORMANCE SHARE UNITS</w:t>
      </w:r>
    </w:p>
    <w:p>
      <w:pPr>
        <w:spacing w:after="0" w:line="1"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AWARD AGREEMENT</w:t>
      </w:r>
    </w:p>
    <w:p>
      <w:pPr>
        <w:jc w:val="center"/>
        <w:ind w:right="-79"/>
        <w:spacing w:after="0"/>
        <w:rPr>
          <w:sz w:val="20"/>
          <w:szCs w:val="20"/>
          <w:color w:val="auto"/>
        </w:rPr>
      </w:pPr>
      <w:r>
        <w:rPr>
          <w:rFonts w:ascii="Arial" w:cs="Arial" w:eastAsia="Arial" w:hAnsi="Arial"/>
          <w:sz w:val="13"/>
          <w:szCs w:val="13"/>
          <w:b w:val="1"/>
          <w:bCs w:val="1"/>
          <w:color w:val="auto"/>
        </w:rPr>
        <w:t>(U.S. PARTICIPANTS)</w:t>
      </w:r>
    </w:p>
    <w:p>
      <w:pPr>
        <w:spacing w:after="0" w:line="138" w:lineRule="exact"/>
        <w:rPr>
          <w:sz w:val="20"/>
          <w:szCs w:val="20"/>
          <w:color w:val="auto"/>
        </w:rPr>
      </w:pPr>
    </w:p>
    <w:p>
      <w:pPr>
        <w:jc w:val="both"/>
        <w:ind w:left="80" w:hanging="10"/>
        <w:spacing w:after="0" w:line="258" w:lineRule="auto"/>
        <w:rPr>
          <w:sz w:val="20"/>
          <w:szCs w:val="20"/>
          <w:color w:val="auto"/>
        </w:rPr>
      </w:pPr>
      <w:r>
        <w:rPr>
          <w:rFonts w:ascii="Arial" w:cs="Arial" w:eastAsia="Arial" w:hAnsi="Arial"/>
          <w:sz w:val="13"/>
          <w:szCs w:val="13"/>
          <w:color w:val="auto"/>
        </w:rPr>
        <w:t>to the Participant named in the Grant Notice to which this Agreement is attached an Award consisting of Performance Share Units (the “</w:t>
      </w:r>
      <w:r>
        <w:rPr>
          <w:rFonts w:ascii="Arial" w:cs="Arial" w:eastAsia="Arial" w:hAnsi="Arial"/>
          <w:sz w:val="13"/>
          <w:szCs w:val="13"/>
          <w:b w:val="1"/>
          <w:bCs w:val="1"/>
          <w:i w:val="1"/>
          <w:iCs w:val="1"/>
          <w:color w:val="auto"/>
        </w:rPr>
        <w:t>Units</w:t>
      </w:r>
      <w:r>
        <w:rPr>
          <w:rFonts w:ascii="Arial" w:cs="Arial" w:eastAsia="Arial" w:hAnsi="Arial"/>
          <w:sz w:val="13"/>
          <w:szCs w:val="13"/>
          <w:color w:val="auto"/>
        </w:rPr>
        <w:t xml:space="preserve">”) subject to the terms and conditions set forth in the Grant Notice and this Agreement. The Award has been granted pursuant to the Verra Mobility Corporation 2018 Equity Incentive Plan (the </w:t>
      </w:r>
      <w:r>
        <w:rPr>
          <w:rFonts w:ascii="Arial" w:cs="Arial" w:eastAsia="Arial" w:hAnsi="Arial"/>
          <w:sz w:val="13"/>
          <w:szCs w:val="13"/>
          <w:i w:val="1"/>
          <w:iCs w:val="1"/>
          <w:color w:val="auto"/>
        </w:rPr>
        <w:t>“</w:t>
      </w:r>
      <w:r>
        <w:rPr>
          <w:rFonts w:ascii="Arial" w:cs="Arial" w:eastAsia="Arial" w:hAnsi="Arial"/>
          <w:sz w:val="13"/>
          <w:szCs w:val="13"/>
          <w:b w:val="1"/>
          <w:bCs w:val="1"/>
          <w:i w:val="1"/>
          <w:iCs w:val="1"/>
          <w:color w:val="auto"/>
        </w:rPr>
        <w:t>Plan</w:t>
      </w:r>
      <w:r>
        <w:rPr>
          <w:rFonts w:ascii="Arial" w:cs="Arial" w:eastAsia="Arial" w:hAnsi="Arial"/>
          <w:sz w:val="13"/>
          <w:szCs w:val="13"/>
          <w:i w:val="1"/>
          <w:iCs w:val="1"/>
          <w:color w:val="auto"/>
        </w:rPr>
        <w:t>”</w:t>
      </w:r>
      <w:r>
        <w:rPr>
          <w:rFonts w:ascii="Arial" w:cs="Arial" w:eastAsia="Arial" w:hAnsi="Arial"/>
          <w:sz w:val="13"/>
          <w:szCs w:val="13"/>
          <w:color w:val="auto"/>
        </w:rPr>
        <w:t>), as amended to the Grant Date, the provisions of which are incorporated herein by reference.</w:t>
      </w:r>
    </w:p>
    <w:p>
      <w:pPr>
        <w:spacing w:after="0" w:line="121" w:lineRule="exact"/>
        <w:rPr>
          <w:sz w:val="20"/>
          <w:szCs w:val="20"/>
          <w:color w:val="auto"/>
        </w:rPr>
      </w:pPr>
    </w:p>
    <w:p>
      <w:pPr>
        <w:spacing w:after="0"/>
        <w:rPr>
          <w:sz w:val="20"/>
          <w:szCs w:val="20"/>
          <w:color w:val="auto"/>
        </w:rPr>
      </w:pPr>
      <w:r>
        <w:rPr>
          <w:rFonts w:ascii="Arial" w:cs="Arial" w:eastAsia="Arial" w:hAnsi="Arial"/>
          <w:sz w:val="13"/>
          <w:szCs w:val="13"/>
          <w:color w:val="auto"/>
        </w:rPr>
        <w:t>apitalized terms shall have the meanings assigned under the Plan.</w:t>
      </w:r>
    </w:p>
    <w:p>
      <w:pPr>
        <w:spacing w:after="0" w:line="144" w:lineRule="exact"/>
        <w:rPr>
          <w:sz w:val="20"/>
          <w:szCs w:val="20"/>
          <w:color w:val="auto"/>
        </w:rPr>
      </w:pPr>
    </w:p>
    <w:p>
      <w:pPr>
        <w:ind w:left="1920" w:hanging="965"/>
        <w:spacing w:after="0"/>
        <w:tabs>
          <w:tab w:leader="none" w:pos="1920" w:val="left"/>
        </w:tabs>
        <w:numPr>
          <w:ilvl w:val="0"/>
          <w:numId w:val="113"/>
        </w:numPr>
        <w:rPr>
          <w:rFonts w:ascii="Arial" w:cs="Arial" w:eastAsia="Arial" w:hAnsi="Arial"/>
          <w:sz w:val="13"/>
          <w:szCs w:val="13"/>
          <w:color w:val="auto"/>
        </w:rPr>
      </w:pPr>
      <w:r>
        <w:rPr>
          <w:rFonts w:ascii="Arial" w:cs="Arial" w:eastAsia="Arial" w:hAnsi="Arial"/>
          <w:sz w:val="13"/>
          <w:szCs w:val="13"/>
          <w:b w:val="1"/>
          <w:bCs w:val="1"/>
          <w:color w:val="auto"/>
        </w:rPr>
        <w:t>T</w:t>
      </w:r>
      <w:r>
        <w:rPr>
          <w:rFonts w:ascii="Arial" w:cs="Arial" w:eastAsia="Arial" w:hAnsi="Arial"/>
          <w:sz w:val="9"/>
          <w:szCs w:val="9"/>
          <w:b w:val="1"/>
          <w:bCs w:val="1"/>
          <w:color w:val="auto"/>
        </w:rPr>
        <w:t>HE</w:t>
      </w:r>
      <w:r>
        <w:rPr>
          <w:rFonts w:ascii="Arial" w:cs="Arial" w:eastAsia="Arial" w:hAnsi="Arial"/>
          <w:sz w:val="13"/>
          <w:szCs w:val="13"/>
          <w:b w:val="1"/>
          <w:bCs w:val="1"/>
          <w:color w:val="auto"/>
        </w:rPr>
        <w:t xml:space="preserve"> A</w:t>
      </w:r>
      <w:r>
        <w:rPr>
          <w:rFonts w:ascii="Arial" w:cs="Arial" w:eastAsia="Arial" w:hAnsi="Arial"/>
          <w:sz w:val="9"/>
          <w:szCs w:val="9"/>
          <w:b w:val="1"/>
          <w:bCs w:val="1"/>
          <w:color w:val="auto"/>
        </w:rPr>
        <w:t>WARD</w:t>
      </w:r>
      <w:r>
        <w:rPr>
          <w:rFonts w:ascii="Arial" w:cs="Arial" w:eastAsia="Arial" w:hAnsi="Arial"/>
          <w:sz w:val="13"/>
          <w:szCs w:val="13"/>
          <w:b w:val="1"/>
          <w:bCs w:val="1"/>
          <w:color w:val="auto"/>
        </w:rPr>
        <w:t>.</w:t>
      </w:r>
    </w:p>
    <w:p>
      <w:pPr>
        <w:spacing w:after="0" w:line="152" w:lineRule="exact"/>
        <w:rPr>
          <w:sz w:val="20"/>
          <w:szCs w:val="20"/>
          <w:color w:val="auto"/>
        </w:rPr>
      </w:pPr>
    </w:p>
    <w:p>
      <w:pPr>
        <w:jc w:val="both"/>
        <w:ind w:left="80" w:firstLine="1766"/>
        <w:spacing w:after="0" w:line="315" w:lineRule="auto"/>
        <w:rPr>
          <w:sz w:val="20"/>
          <w:szCs w:val="20"/>
          <w:color w:val="auto"/>
        </w:rPr>
      </w:pPr>
      <w:r>
        <w:rPr>
          <w:rFonts w:ascii="Arial" w:cs="Arial" w:eastAsia="Arial" w:hAnsi="Arial"/>
          <w:sz w:val="11"/>
          <w:szCs w:val="11"/>
          <w:color w:val="auto"/>
        </w:rPr>
        <w:t>The Company hereby awards to the Participant the Target Number of Units set forth in the Grant Notice, which, depending on the extent to which the Performance Goal is attained during the Performance Period, may result in the Participant earning as little as zero (0) Units or as many as the Maximum Number of Units. Subject to the terms of this Agreement and the Plan, each Unit, to the extent it is earned and becomes a Vested Unit, represents a right to receive on the Settlement Date one (1) Share. Unless and until a Unit has been determined to be an Earned Unit and has vested and become a Vested Unit as set forth in the Grant Notice, the Participant will have no right to settlement of such Units. Prior to settlement of Vested Units, such Units will represent an unfunded and unsecured obligation of the Company.</w:t>
      </w:r>
    </w:p>
    <w:p>
      <w:pPr>
        <w:spacing w:after="0" w:line="89" w:lineRule="exact"/>
        <w:rPr>
          <w:sz w:val="20"/>
          <w:szCs w:val="20"/>
          <w:color w:val="auto"/>
        </w:rPr>
      </w:pPr>
    </w:p>
    <w:p>
      <w:pPr>
        <w:ind w:left="1480" w:hanging="525"/>
        <w:spacing w:after="0"/>
        <w:tabs>
          <w:tab w:leader="none" w:pos="1480" w:val="left"/>
        </w:tabs>
        <w:numPr>
          <w:ilvl w:val="0"/>
          <w:numId w:val="114"/>
        </w:numPr>
        <w:rPr>
          <w:rFonts w:ascii="Arial" w:cs="Arial" w:eastAsia="Arial" w:hAnsi="Arial"/>
          <w:sz w:val="13"/>
          <w:szCs w:val="13"/>
          <w:color w:val="auto"/>
        </w:rPr>
      </w:pPr>
      <w:r>
        <w:rPr>
          <w:rFonts w:ascii="Arial" w:cs="Arial" w:eastAsia="Arial" w:hAnsi="Arial"/>
          <w:sz w:val="13"/>
          <w:szCs w:val="13"/>
          <w:b w:val="1"/>
          <w:bCs w:val="1"/>
          <w:u w:val="single" w:color="auto"/>
          <w:color w:val="auto"/>
        </w:rPr>
        <w:t>C</w:t>
      </w:r>
      <w:r>
        <w:rPr>
          <w:rFonts w:ascii="Arial" w:cs="Arial" w:eastAsia="Arial" w:hAnsi="Arial"/>
          <w:sz w:val="9"/>
          <w:szCs w:val="9"/>
          <w:b w:val="1"/>
          <w:bCs w:val="1"/>
          <w:u w:val="single" w:color="auto"/>
          <w:color w:val="auto"/>
        </w:rPr>
        <w:t>ERTAIN</w:t>
      </w:r>
      <w:r>
        <w:rPr>
          <w:rFonts w:ascii="Arial" w:cs="Arial" w:eastAsia="Arial" w:hAnsi="Arial"/>
          <w:sz w:val="13"/>
          <w:szCs w:val="13"/>
          <w:b w:val="1"/>
          <w:bCs w:val="1"/>
          <w:color w:val="auto"/>
        </w:rPr>
        <w:t xml:space="preserve"> </w:t>
      </w:r>
      <w:r>
        <w:rPr>
          <w:rFonts w:ascii="Arial" w:cs="Arial" w:eastAsia="Arial" w:hAnsi="Arial"/>
          <w:sz w:val="13"/>
          <w:szCs w:val="13"/>
          <w:b w:val="1"/>
          <w:bCs w:val="1"/>
          <w:u w:val="single" w:color="auto"/>
          <w:color w:val="auto"/>
        </w:rPr>
        <w:t>D</w:t>
      </w:r>
      <w:r>
        <w:rPr>
          <w:rFonts w:ascii="Arial" w:cs="Arial" w:eastAsia="Arial" w:hAnsi="Arial"/>
          <w:sz w:val="9"/>
          <w:szCs w:val="9"/>
          <w:b w:val="1"/>
          <w:bCs w:val="1"/>
          <w:u w:val="single" w:color="auto"/>
          <w:color w:val="auto"/>
        </w:rPr>
        <w:t>EFINED</w:t>
      </w:r>
      <w:r>
        <w:rPr>
          <w:rFonts w:ascii="Arial" w:cs="Arial" w:eastAsia="Arial" w:hAnsi="Arial"/>
          <w:sz w:val="13"/>
          <w:szCs w:val="13"/>
          <w:b w:val="1"/>
          <w:bCs w:val="1"/>
          <w:color w:val="auto"/>
        </w:rPr>
        <w:t xml:space="preserve"> </w:t>
      </w:r>
      <w:r>
        <w:rPr>
          <w:rFonts w:ascii="Arial" w:cs="Arial" w:eastAsia="Arial" w:hAnsi="Arial"/>
          <w:sz w:val="13"/>
          <w:szCs w:val="13"/>
          <w:b w:val="1"/>
          <w:bCs w:val="1"/>
          <w:u w:val="single" w:color="auto"/>
          <w:color w:val="auto"/>
        </w:rPr>
        <w:t>T</w:t>
      </w:r>
      <w:r>
        <w:rPr>
          <w:rFonts w:ascii="Arial" w:cs="Arial" w:eastAsia="Arial" w:hAnsi="Arial"/>
          <w:sz w:val="9"/>
          <w:szCs w:val="9"/>
          <w:b w:val="1"/>
          <w:bCs w:val="1"/>
          <w:u w:val="single" w:color="auto"/>
          <w:color w:val="auto"/>
        </w:rPr>
        <w:t>ERMS</w:t>
      </w:r>
      <w:r>
        <w:rPr>
          <w:rFonts w:ascii="Arial" w:cs="Arial" w:eastAsia="Arial" w:hAnsi="Arial"/>
          <w:sz w:val="13"/>
          <w:szCs w:val="13"/>
          <w:b w:val="1"/>
          <w:bCs w:val="1"/>
          <w:color w:val="auto"/>
        </w:rPr>
        <w:t>.</w:t>
      </w:r>
    </w:p>
    <w:p>
      <w:pPr>
        <w:spacing w:after="0" w:line="152" w:lineRule="exact"/>
        <w:rPr>
          <w:sz w:val="20"/>
          <w:szCs w:val="20"/>
          <w:color w:val="auto"/>
        </w:rPr>
      </w:pPr>
    </w:p>
    <w:p>
      <w:pPr>
        <w:jc w:val="both"/>
        <w:ind w:left="80" w:right="20" w:firstLine="1766"/>
        <w:spacing w:after="0" w:line="258" w:lineRule="auto"/>
        <w:rPr>
          <w:sz w:val="20"/>
          <w:szCs w:val="20"/>
          <w:color w:val="auto"/>
        </w:rPr>
      </w:pPr>
      <w:r>
        <w:rPr>
          <w:rFonts w:ascii="Arial" w:cs="Arial" w:eastAsia="Arial" w:hAnsi="Arial"/>
          <w:sz w:val="13"/>
          <w:szCs w:val="13"/>
          <w:color w:val="auto"/>
        </w:rPr>
        <w:t>2.1 “</w:t>
      </w:r>
      <w:r>
        <w:rPr>
          <w:rFonts w:ascii="Arial" w:cs="Arial" w:eastAsia="Arial" w:hAnsi="Arial"/>
          <w:sz w:val="13"/>
          <w:szCs w:val="13"/>
          <w:b w:val="1"/>
          <w:bCs w:val="1"/>
          <w:i w:val="1"/>
          <w:iCs w:val="1"/>
          <w:color w:val="auto"/>
        </w:rPr>
        <w:t>Annualized TSR Percentage</w:t>
      </w:r>
      <w:r>
        <w:rPr>
          <w:rFonts w:ascii="Arial" w:cs="Arial" w:eastAsia="Arial" w:hAnsi="Arial"/>
          <w:sz w:val="13"/>
          <w:szCs w:val="13"/>
          <w:color w:val="auto"/>
        </w:rPr>
        <w:t>” means, for the Company and each Comparator Group Company, the compound annual growth rate, expressed as a percentage (rounded to the nearest 1/100 of 1%), in the value of one share of such company’s common stock during the Performance Period due to the appreciation in the price per share and dividends paid during such period with respect to such share, assuming dividends are reinvested, calculated as follows:</w:t>
      </w:r>
    </w:p>
    <w:p>
      <w:pPr>
        <w:spacing w:after="0" w:line="121" w:lineRule="exact"/>
        <w:rPr>
          <w:sz w:val="20"/>
          <w:szCs w:val="20"/>
          <w:color w:val="auto"/>
        </w:rPr>
      </w:pPr>
    </w:p>
    <w:p>
      <w:pPr>
        <w:ind w:left="1840"/>
        <w:spacing w:after="0"/>
        <w:rPr>
          <w:sz w:val="20"/>
          <w:szCs w:val="20"/>
          <w:color w:val="auto"/>
        </w:rPr>
      </w:pPr>
      <w:r>
        <w:rPr>
          <w:rFonts w:ascii="Arial" w:cs="Arial" w:eastAsia="Arial" w:hAnsi="Arial"/>
          <w:sz w:val="13"/>
          <w:szCs w:val="13"/>
          <w:color w:val="auto"/>
        </w:rPr>
        <w:t>x 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-87630</wp:posOffset>
            </wp:positionV>
            <wp:extent cx="3568700" cy="38290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39">
                      <a:extLst>
                        <a:ext uri="{28A0092B-C50C-407E-A947-70E740481C1C}"/>
                      </a:extLst>
                    </a:blip>
                    <a:srcRect/>
                    <a:stretch>
                      <a:fillRect/>
                    </a:stretch>
                  </pic:blipFill>
                  <pic:spPr bwMode="auto">
                    <a:xfrm>
                      <a:off x="0" y="0"/>
                      <a:ext cx="3568700" cy="382905"/>
                    </a:xfrm>
                    <a:prstGeom prst="rect">
                      <a:avLst/>
                    </a:prstGeom>
                    <a:noFill/>
                  </pic:spPr>
                </pic:pic>
              </a:graphicData>
            </a:graphic>
          </wp:anchor>
        </w:drawing>
      </w:r>
    </w:p>
    <w:p>
      <w:pPr>
        <w:spacing w:after="0" w:line="128" w:lineRule="exact"/>
        <w:rPr>
          <w:sz w:val="20"/>
          <w:szCs w:val="20"/>
          <w:color w:val="auto"/>
        </w:rPr>
      </w:pPr>
    </w:p>
    <w:p>
      <w:pPr>
        <w:ind w:left="960"/>
        <w:spacing w:after="0"/>
        <w:rPr>
          <w:sz w:val="20"/>
          <w:szCs w:val="20"/>
          <w:color w:val="auto"/>
        </w:rPr>
      </w:pPr>
      <w:r>
        <w:rPr>
          <w:rFonts w:ascii="Arial" w:cs="Arial" w:eastAsia="Arial" w:hAnsi="Arial"/>
          <w:sz w:val="13"/>
          <w:szCs w:val="13"/>
          <w:color w:val="auto"/>
        </w:rPr>
        <w:t>Where,</w:t>
      </w:r>
    </w:p>
    <w:p>
      <w:pPr>
        <w:spacing w:after="0" w:line="148" w:lineRule="exact"/>
        <w:rPr>
          <w:sz w:val="20"/>
          <w:szCs w:val="20"/>
          <w:color w:val="auto"/>
        </w:rPr>
      </w:pPr>
    </w:p>
    <w:p>
      <w:pPr>
        <w:ind w:left="1840"/>
        <w:spacing w:after="0"/>
        <w:rPr>
          <w:sz w:val="20"/>
          <w:szCs w:val="20"/>
          <w:color w:val="auto"/>
        </w:rPr>
      </w:pPr>
      <w:r>
        <w:rPr>
          <w:rFonts w:ascii="Arial" w:cs="Arial" w:eastAsia="Arial" w:hAnsi="Arial"/>
          <w:sz w:val="13"/>
          <w:szCs w:val="13"/>
          <w:color w:val="auto"/>
        </w:rPr>
        <w:t>“Ending Price” is the Ending Average Per Share Closing Price of such company;</w:t>
      </w:r>
    </w:p>
    <w:p>
      <w:pPr>
        <w:spacing w:after="0" w:line="148" w:lineRule="exact"/>
        <w:rPr>
          <w:sz w:val="20"/>
          <w:szCs w:val="20"/>
          <w:color w:val="auto"/>
        </w:rPr>
      </w:pPr>
    </w:p>
    <w:p>
      <w:pPr>
        <w:ind w:left="1840"/>
        <w:spacing w:after="0"/>
        <w:rPr>
          <w:sz w:val="20"/>
          <w:szCs w:val="20"/>
          <w:color w:val="auto"/>
        </w:rPr>
      </w:pPr>
      <w:r>
        <w:rPr>
          <w:rFonts w:ascii="Arial" w:cs="Arial" w:eastAsia="Arial" w:hAnsi="Arial"/>
          <w:sz w:val="12"/>
          <w:szCs w:val="12"/>
          <w:color w:val="auto"/>
        </w:rPr>
        <w:t>“Dividends” are the aggregate values of all dividends paid to a stockholder of record of such company with respect to one share of common stock during the Performance Period;</w:t>
      </w:r>
    </w:p>
    <w:p>
      <w:pPr>
        <w:spacing w:after="0" w:line="159" w:lineRule="exact"/>
        <w:rPr>
          <w:sz w:val="20"/>
          <w:szCs w:val="20"/>
          <w:color w:val="auto"/>
        </w:rPr>
      </w:pPr>
    </w:p>
    <w:p>
      <w:pPr>
        <w:ind w:left="1840"/>
        <w:spacing w:after="0"/>
        <w:rPr>
          <w:sz w:val="20"/>
          <w:szCs w:val="20"/>
          <w:color w:val="auto"/>
        </w:rPr>
      </w:pPr>
      <w:r>
        <w:rPr>
          <w:rFonts w:ascii="Arial" w:cs="Arial" w:eastAsia="Arial" w:hAnsi="Arial"/>
          <w:sz w:val="13"/>
          <w:szCs w:val="13"/>
          <w:color w:val="auto"/>
        </w:rPr>
        <w:t>“Beginning Price” is the Beginning Average Per Share Closing Price of such company; and</w:t>
      </w:r>
    </w:p>
    <w:p>
      <w:pPr>
        <w:spacing w:after="0" w:line="148" w:lineRule="exact"/>
        <w:rPr>
          <w:sz w:val="20"/>
          <w:szCs w:val="20"/>
          <w:color w:val="auto"/>
        </w:rPr>
      </w:pPr>
    </w:p>
    <w:p>
      <w:pPr>
        <w:ind w:left="1840"/>
        <w:spacing w:after="0"/>
        <w:rPr>
          <w:sz w:val="20"/>
          <w:szCs w:val="20"/>
          <w:color w:val="auto"/>
        </w:rPr>
      </w:pPr>
      <w:r>
        <w:rPr>
          <w:rFonts w:ascii="Arial" w:cs="Arial" w:eastAsia="Arial" w:hAnsi="Arial"/>
          <w:sz w:val="12"/>
          <w:szCs w:val="12"/>
          <w:color w:val="auto"/>
        </w:rPr>
        <w:t>“N” is the number of 12-month periods that have elapsed between the first day of the Performance Period and the last day of the Performance Period (which may not be a full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289560</wp:posOffset>
            </wp:positionV>
            <wp:extent cx="7329170" cy="3683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40">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560"/>
          </w:cols>
          <w:pgMar w:left="140" w:top="269" w:right="199" w:bottom="1440" w:gutter="0" w:footer="0" w:header="0"/>
        </w:sectPr>
      </w:pPr>
    </w:p>
    <w:bookmarkStart w:id="158" w:name="page159"/>
    <w:bookmarkEnd w:id="158"/>
    <w:p>
      <w:pPr>
        <w:ind w:left="1760"/>
        <w:spacing w:after="0"/>
        <w:rPr>
          <w:sz w:val="20"/>
          <w:szCs w:val="20"/>
          <w:color w:val="auto"/>
        </w:rPr>
      </w:pPr>
      <w:r>
        <w:rPr>
          <w:rFonts w:ascii="Arial" w:cs="Arial" w:eastAsia="Arial" w:hAnsi="Arial"/>
          <w:sz w:val="13"/>
          <w:szCs w:val="13"/>
          <w:color w:val="auto"/>
        </w:rPr>
        <w:t>integer if computed in connection with a Change in Control or a termination of employment under Section 9.2).</w:t>
      </w:r>
    </w:p>
    <w:p>
      <w:pPr>
        <w:spacing w:after="0" w:line="148" w:lineRule="exact"/>
        <w:rPr>
          <w:sz w:val="20"/>
          <w:szCs w:val="20"/>
          <w:color w:val="auto"/>
        </w:rPr>
      </w:pPr>
    </w:p>
    <w:p>
      <w:pPr>
        <w:ind w:right="40" w:firstLine="1766"/>
        <w:spacing w:after="0" w:line="314" w:lineRule="auto"/>
        <w:rPr>
          <w:sz w:val="20"/>
          <w:szCs w:val="20"/>
          <w:color w:val="auto"/>
        </w:rPr>
      </w:pPr>
      <w:r>
        <w:rPr>
          <w:rFonts w:ascii="Arial" w:cs="Arial" w:eastAsia="Arial" w:hAnsi="Arial"/>
          <w:sz w:val="12"/>
          <w:szCs w:val="12"/>
          <w:color w:val="auto"/>
        </w:rPr>
        <w:t>2.2 “</w:t>
      </w:r>
      <w:r>
        <w:rPr>
          <w:rFonts w:ascii="Arial" w:cs="Arial" w:eastAsia="Arial" w:hAnsi="Arial"/>
          <w:sz w:val="12"/>
          <w:szCs w:val="12"/>
          <w:b w:val="1"/>
          <w:bCs w:val="1"/>
          <w:i w:val="1"/>
          <w:iCs w:val="1"/>
          <w:color w:val="auto"/>
        </w:rPr>
        <w:t>Average Per Share Closing Price</w:t>
      </w:r>
      <w:r>
        <w:rPr>
          <w:rFonts w:ascii="Arial" w:cs="Arial" w:eastAsia="Arial" w:hAnsi="Arial"/>
          <w:sz w:val="12"/>
          <w:szCs w:val="12"/>
          <w:color w:val="auto"/>
        </w:rPr>
        <w:t>” means, for the Company and each Comparator Group Company, the average of the daily closing prices per share of common stock of such company as reported on the national or regional securities exchange or quotation system constituting the primary market for such common stock for all trading days falling within the applicable averaging period.</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580" w:type="dxa"/>
            <w:vAlign w:val="bottom"/>
          </w:tcPr>
          <w:p>
            <w:pPr>
              <w:jc w:val="right"/>
              <w:ind w:right="594"/>
              <w:spacing w:after="0"/>
              <w:rPr>
                <w:sz w:val="20"/>
                <w:szCs w:val="20"/>
                <w:color w:val="auto"/>
              </w:rPr>
            </w:pPr>
            <w:r>
              <w:rPr>
                <w:rFonts w:ascii="Arial" w:cs="Arial" w:eastAsia="Arial" w:hAnsi="Arial"/>
                <w:sz w:val="13"/>
                <w:szCs w:val="13"/>
                <w:color w:val="auto"/>
              </w:rPr>
              <w:t>2.3</w:t>
            </w:r>
          </w:p>
        </w:tc>
        <w:tc>
          <w:tcPr>
            <w:tcW w:w="8900" w:type="dxa"/>
            <w:vAlign w:val="bottom"/>
          </w:tcPr>
          <w:p>
            <w:pPr>
              <w:ind w:left="640"/>
              <w:spacing w:after="0"/>
              <w:rPr>
                <w:sz w:val="20"/>
                <w:szCs w:val="20"/>
                <w:color w:val="auto"/>
              </w:rPr>
            </w:pPr>
            <w:r>
              <w:rPr>
                <w:rFonts w:ascii="Arial" w:cs="Arial" w:eastAsia="Arial" w:hAnsi="Arial"/>
                <w:sz w:val="13"/>
                <w:szCs w:val="13"/>
                <w:color w:val="auto"/>
                <w:w w:val="92"/>
              </w:rPr>
              <w:t>“</w:t>
            </w:r>
            <w:r>
              <w:rPr>
                <w:rFonts w:ascii="Arial" w:cs="Arial" w:eastAsia="Arial" w:hAnsi="Arial"/>
                <w:sz w:val="13"/>
                <w:szCs w:val="13"/>
                <w:b w:val="1"/>
                <w:bCs w:val="1"/>
                <w:i w:val="1"/>
                <w:iCs w:val="1"/>
                <w:color w:val="auto"/>
                <w:w w:val="92"/>
              </w:rPr>
              <w:t>Beginning Average Per Share Closing Price</w:t>
            </w:r>
            <w:r>
              <w:rPr>
                <w:rFonts w:ascii="Arial" w:cs="Arial" w:eastAsia="Arial" w:hAnsi="Arial"/>
                <w:sz w:val="13"/>
                <w:szCs w:val="13"/>
                <w:color w:val="auto"/>
                <w:w w:val="92"/>
              </w:rPr>
              <w:t>” means, for the Company and each Comparator Group Company, the Average Per Share Closing Price for</w:t>
            </w:r>
          </w:p>
        </w:tc>
      </w:tr>
      <w:tr>
        <w:trPr>
          <w:trHeight w:val="166"/>
        </w:trPr>
        <w:tc>
          <w:tcPr>
            <w:tcW w:w="11480" w:type="dxa"/>
            <w:vAlign w:val="bottom"/>
            <w:gridSpan w:val="2"/>
          </w:tcPr>
          <w:p>
            <w:pPr>
              <w:spacing w:after="0"/>
              <w:rPr>
                <w:sz w:val="20"/>
                <w:szCs w:val="20"/>
                <w:color w:val="auto"/>
              </w:rPr>
            </w:pPr>
            <w:r>
              <w:rPr>
                <w:rFonts w:ascii="Arial" w:cs="Arial" w:eastAsia="Arial" w:hAnsi="Arial"/>
                <w:sz w:val="13"/>
                <w:szCs w:val="13"/>
                <w:color w:val="auto"/>
              </w:rPr>
              <w:t>the 20 trading days beginning on the first trading day occurring on or immediately following the first day of the Performance Period.</w:t>
            </w:r>
          </w:p>
        </w:tc>
      </w:tr>
      <w:tr>
        <w:trPr>
          <w:trHeight w:val="295"/>
        </w:trPr>
        <w:tc>
          <w:tcPr>
            <w:tcW w:w="2580" w:type="dxa"/>
            <w:vAlign w:val="bottom"/>
          </w:tcPr>
          <w:p>
            <w:pPr>
              <w:jc w:val="right"/>
              <w:ind w:right="594"/>
              <w:spacing w:after="0"/>
              <w:rPr>
                <w:sz w:val="20"/>
                <w:szCs w:val="20"/>
                <w:color w:val="auto"/>
              </w:rPr>
            </w:pPr>
            <w:r>
              <w:rPr>
                <w:rFonts w:ascii="Arial" w:cs="Arial" w:eastAsia="Arial" w:hAnsi="Arial"/>
                <w:sz w:val="13"/>
                <w:szCs w:val="13"/>
                <w:color w:val="auto"/>
              </w:rPr>
              <w:t>2.4</w:t>
            </w:r>
          </w:p>
        </w:tc>
        <w:tc>
          <w:tcPr>
            <w:tcW w:w="8900" w:type="dxa"/>
            <w:vAlign w:val="bottom"/>
          </w:tcPr>
          <w:p>
            <w:pPr>
              <w:ind w:left="640"/>
              <w:spacing w:after="0"/>
              <w:rPr>
                <w:sz w:val="20"/>
                <w:szCs w:val="20"/>
                <w:color w:val="auto"/>
              </w:rPr>
            </w:pPr>
            <w:r>
              <w:rPr>
                <w:rFonts w:ascii="Arial" w:cs="Arial" w:eastAsia="Arial" w:hAnsi="Arial"/>
                <w:sz w:val="13"/>
                <w:szCs w:val="13"/>
                <w:color w:val="auto"/>
                <w:w w:val="92"/>
              </w:rPr>
              <w:t>“</w:t>
            </w:r>
            <w:r>
              <w:rPr>
                <w:rFonts w:ascii="Arial" w:cs="Arial" w:eastAsia="Arial" w:hAnsi="Arial"/>
                <w:sz w:val="13"/>
                <w:szCs w:val="13"/>
                <w:b w:val="1"/>
                <w:bCs w:val="1"/>
                <w:i w:val="1"/>
                <w:iCs w:val="1"/>
                <w:color w:val="auto"/>
                <w:w w:val="92"/>
              </w:rPr>
              <w:t>Ending Average Per Share Closing Price</w:t>
            </w:r>
            <w:r>
              <w:rPr>
                <w:rFonts w:ascii="Arial" w:cs="Arial" w:eastAsia="Arial" w:hAnsi="Arial"/>
                <w:sz w:val="13"/>
                <w:szCs w:val="13"/>
                <w:color w:val="auto"/>
                <w:w w:val="92"/>
              </w:rPr>
              <w:t>” means, for the Company and each Comparator Group Company, the Average Per Share Closing Price for the</w:t>
            </w:r>
          </w:p>
        </w:tc>
      </w:tr>
    </w:tbl>
    <w:p>
      <w:pPr>
        <w:spacing w:after="0"/>
        <w:rPr>
          <w:sz w:val="20"/>
          <w:szCs w:val="20"/>
          <w:color w:val="auto"/>
        </w:rPr>
      </w:pPr>
      <w:r>
        <w:rPr>
          <w:rFonts w:ascii="Arial" w:cs="Arial" w:eastAsia="Arial" w:hAnsi="Arial"/>
          <w:sz w:val="13"/>
          <w:szCs w:val="13"/>
          <w:color w:val="auto"/>
        </w:rPr>
        <w:t>20 trading days ending on the last trading day of the Performance Period.</w:t>
      </w:r>
    </w:p>
    <w:p>
      <w:pPr>
        <w:spacing w:after="0" w:line="138" w:lineRule="exact"/>
        <w:rPr>
          <w:sz w:val="20"/>
          <w:szCs w:val="20"/>
          <w:color w:val="auto"/>
        </w:rPr>
      </w:pPr>
    </w:p>
    <w:p>
      <w:pPr>
        <w:jc w:val="both"/>
        <w:ind w:right="20" w:firstLine="1766"/>
        <w:spacing w:after="0" w:line="258" w:lineRule="auto"/>
        <w:rPr>
          <w:sz w:val="20"/>
          <w:szCs w:val="20"/>
          <w:color w:val="auto"/>
        </w:rPr>
      </w:pPr>
      <w:r>
        <w:rPr>
          <w:rFonts w:ascii="Arial" w:cs="Arial" w:eastAsia="Arial" w:hAnsi="Arial"/>
          <w:sz w:val="13"/>
          <w:szCs w:val="13"/>
          <w:color w:val="auto"/>
        </w:rPr>
        <w:t>2.5 “</w:t>
      </w:r>
      <w:r>
        <w:rPr>
          <w:rFonts w:ascii="Arial" w:cs="Arial" w:eastAsia="Arial" w:hAnsi="Arial"/>
          <w:sz w:val="13"/>
          <w:szCs w:val="13"/>
          <w:b w:val="1"/>
          <w:bCs w:val="1"/>
          <w:i w:val="1"/>
          <w:iCs w:val="1"/>
          <w:color w:val="auto"/>
        </w:rPr>
        <w:t>Company Absolute TSR</w:t>
      </w:r>
      <w:r>
        <w:rPr>
          <w:rFonts w:ascii="Arial" w:cs="Arial" w:eastAsia="Arial" w:hAnsi="Arial"/>
          <w:sz w:val="13"/>
          <w:szCs w:val="13"/>
          <w:color w:val="auto"/>
        </w:rPr>
        <w:t>” means the percentage point increase or decrease (rounded to the nearest 1/100 of 1%) equal to the quotient of (a) the sum of (i) the Ending Average Per Share Closing Price of the Company and (ii) the aggregate value of all dividends paid to a stockholder of record of the Company with respect to one Share during the Performance Period, divided by (b) the Beginning Average Per Share Closing Price of the Company.</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3000" w:type="dxa"/>
            <w:vAlign w:val="bottom"/>
          </w:tcPr>
          <w:p>
            <w:pPr>
              <w:jc w:val="right"/>
              <w:ind w:right="1014"/>
              <w:spacing w:after="0"/>
              <w:rPr>
                <w:sz w:val="20"/>
                <w:szCs w:val="20"/>
                <w:color w:val="auto"/>
              </w:rPr>
            </w:pPr>
            <w:r>
              <w:rPr>
                <w:rFonts w:ascii="Arial" w:cs="Arial" w:eastAsia="Arial" w:hAnsi="Arial"/>
                <w:sz w:val="13"/>
                <w:szCs w:val="13"/>
                <w:color w:val="auto"/>
              </w:rPr>
              <w:t>2.6</w:t>
            </w:r>
          </w:p>
        </w:tc>
        <w:tc>
          <w:tcPr>
            <w:tcW w:w="8480" w:type="dxa"/>
            <w:vAlign w:val="bottom"/>
            <w:gridSpan w:val="3"/>
          </w:tcPr>
          <w:p>
            <w:pPr>
              <w:ind w:left="2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Company Annualized TSR</w:t>
            </w:r>
            <w:r>
              <w:rPr>
                <w:rFonts w:ascii="Arial" w:cs="Arial" w:eastAsia="Arial" w:hAnsi="Arial"/>
                <w:sz w:val="13"/>
                <w:szCs w:val="13"/>
                <w:color w:val="auto"/>
              </w:rPr>
              <w:t>” means the Company’s Annualized TSR Percentage for the Performance Period.</w:t>
            </w:r>
          </w:p>
        </w:tc>
      </w:tr>
      <w:tr>
        <w:trPr>
          <w:trHeight w:val="285"/>
        </w:trPr>
        <w:tc>
          <w:tcPr>
            <w:tcW w:w="3000" w:type="dxa"/>
            <w:vAlign w:val="bottom"/>
          </w:tcPr>
          <w:p>
            <w:pPr>
              <w:jc w:val="right"/>
              <w:ind w:right="1014"/>
              <w:spacing w:after="0"/>
              <w:rPr>
                <w:sz w:val="20"/>
                <w:szCs w:val="20"/>
                <w:color w:val="auto"/>
              </w:rPr>
            </w:pPr>
            <w:r>
              <w:rPr>
                <w:rFonts w:ascii="Arial" w:cs="Arial" w:eastAsia="Arial" w:hAnsi="Arial"/>
                <w:sz w:val="13"/>
                <w:szCs w:val="13"/>
                <w:color w:val="auto"/>
              </w:rPr>
              <w:t>2.7</w:t>
            </w:r>
          </w:p>
        </w:tc>
        <w:tc>
          <w:tcPr>
            <w:tcW w:w="8480" w:type="dxa"/>
            <w:vAlign w:val="bottom"/>
            <w:gridSpan w:val="3"/>
          </w:tcPr>
          <w:p>
            <w:pPr>
              <w:ind w:left="220"/>
              <w:spacing w:after="0"/>
              <w:rPr>
                <w:sz w:val="20"/>
                <w:szCs w:val="20"/>
                <w:color w:val="auto"/>
              </w:rPr>
            </w:pPr>
            <w:r>
              <w:rPr>
                <w:rFonts w:ascii="Arial" w:cs="Arial" w:eastAsia="Arial" w:hAnsi="Arial"/>
                <w:sz w:val="13"/>
                <w:szCs w:val="13"/>
                <w:color w:val="auto"/>
                <w:w w:val="94"/>
              </w:rPr>
              <w:t>“</w:t>
            </w:r>
            <w:r>
              <w:rPr>
                <w:rFonts w:ascii="Arial" w:cs="Arial" w:eastAsia="Arial" w:hAnsi="Arial"/>
                <w:sz w:val="13"/>
                <w:szCs w:val="13"/>
                <w:b w:val="1"/>
                <w:bCs w:val="1"/>
                <w:i w:val="1"/>
                <w:iCs w:val="1"/>
                <w:color w:val="auto"/>
                <w:w w:val="94"/>
              </w:rPr>
              <w:t>Comparator Group Median Annualized TSR</w:t>
            </w:r>
            <w:r>
              <w:rPr>
                <w:rFonts w:ascii="Arial" w:cs="Arial" w:eastAsia="Arial" w:hAnsi="Arial"/>
                <w:sz w:val="13"/>
                <w:szCs w:val="13"/>
                <w:color w:val="auto"/>
                <w:w w:val="94"/>
              </w:rPr>
              <w:t>” means the median Annualized TSR Percentage of the Annualized TSR Percentages of all Comparator</w:t>
            </w:r>
          </w:p>
        </w:tc>
      </w:tr>
      <w:tr>
        <w:trPr>
          <w:trHeight w:val="166"/>
        </w:trPr>
        <w:tc>
          <w:tcPr>
            <w:tcW w:w="3000" w:type="dxa"/>
            <w:vAlign w:val="bottom"/>
          </w:tcPr>
          <w:p>
            <w:pPr>
              <w:spacing w:after="0"/>
              <w:rPr>
                <w:sz w:val="20"/>
                <w:szCs w:val="20"/>
                <w:color w:val="auto"/>
              </w:rPr>
            </w:pPr>
            <w:r>
              <w:rPr>
                <w:rFonts w:ascii="Arial" w:cs="Arial" w:eastAsia="Arial" w:hAnsi="Arial"/>
                <w:sz w:val="13"/>
                <w:szCs w:val="13"/>
                <w:color w:val="auto"/>
              </w:rPr>
              <w:t>Group Companies for the Performance Period.</w:t>
            </w:r>
          </w:p>
        </w:tc>
        <w:tc>
          <w:tcPr>
            <w:tcW w:w="15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5320" w:type="dxa"/>
            <w:vAlign w:val="bottom"/>
          </w:tcPr>
          <w:p>
            <w:pPr>
              <w:spacing w:after="0"/>
              <w:rPr>
                <w:sz w:val="14"/>
                <w:szCs w:val="14"/>
                <w:color w:val="auto"/>
              </w:rPr>
            </w:pPr>
          </w:p>
        </w:tc>
      </w:tr>
      <w:tr>
        <w:trPr>
          <w:trHeight w:val="285"/>
        </w:trPr>
        <w:tc>
          <w:tcPr>
            <w:tcW w:w="3000" w:type="dxa"/>
            <w:vAlign w:val="bottom"/>
          </w:tcPr>
          <w:p>
            <w:pPr>
              <w:jc w:val="right"/>
              <w:ind w:right="1014"/>
              <w:spacing w:after="0"/>
              <w:rPr>
                <w:sz w:val="20"/>
                <w:szCs w:val="20"/>
                <w:color w:val="auto"/>
              </w:rPr>
            </w:pPr>
            <w:r>
              <w:rPr>
                <w:rFonts w:ascii="Arial" w:cs="Arial" w:eastAsia="Arial" w:hAnsi="Arial"/>
                <w:sz w:val="13"/>
                <w:szCs w:val="13"/>
                <w:color w:val="auto"/>
              </w:rPr>
              <w:t>2.8</w:t>
            </w:r>
          </w:p>
        </w:tc>
        <w:tc>
          <w:tcPr>
            <w:tcW w:w="8480" w:type="dxa"/>
            <w:vAlign w:val="bottom"/>
            <w:gridSpan w:val="3"/>
          </w:tcPr>
          <w:p>
            <w:pPr>
              <w:ind w:left="220"/>
              <w:spacing w:after="0"/>
              <w:rPr>
                <w:sz w:val="20"/>
                <w:szCs w:val="20"/>
                <w:color w:val="auto"/>
              </w:rPr>
            </w:pPr>
            <w:r>
              <w:rPr>
                <w:rFonts w:ascii="Arial" w:cs="Arial" w:eastAsia="Arial" w:hAnsi="Arial"/>
                <w:sz w:val="13"/>
                <w:szCs w:val="13"/>
                <w:color w:val="auto"/>
                <w:w w:val="91"/>
              </w:rPr>
              <w:t>“</w:t>
            </w:r>
            <w:r>
              <w:rPr>
                <w:rFonts w:ascii="Arial" w:cs="Arial" w:eastAsia="Arial" w:hAnsi="Arial"/>
                <w:sz w:val="13"/>
                <w:szCs w:val="13"/>
                <w:b w:val="1"/>
                <w:bCs w:val="1"/>
                <w:i w:val="1"/>
                <w:iCs w:val="1"/>
                <w:color w:val="auto"/>
                <w:w w:val="91"/>
              </w:rPr>
              <w:t>Relative TSR</w:t>
            </w:r>
            <w:r>
              <w:rPr>
                <w:rFonts w:ascii="Arial" w:cs="Arial" w:eastAsia="Arial" w:hAnsi="Arial"/>
                <w:sz w:val="13"/>
                <w:szCs w:val="13"/>
                <w:color w:val="auto"/>
                <w:w w:val="91"/>
              </w:rPr>
              <w:t>” means, for the Performance Period, the positive or negative difference, measured in percentage points (rounded to the nearest 1/100 of 1%),</w:t>
            </w:r>
          </w:p>
        </w:tc>
      </w:tr>
      <w:tr>
        <w:trPr>
          <w:trHeight w:val="166"/>
        </w:trPr>
        <w:tc>
          <w:tcPr>
            <w:tcW w:w="11480" w:type="dxa"/>
            <w:vAlign w:val="bottom"/>
            <w:gridSpan w:val="4"/>
          </w:tcPr>
          <w:p>
            <w:pPr>
              <w:spacing w:after="0"/>
              <w:rPr>
                <w:sz w:val="20"/>
                <w:szCs w:val="20"/>
                <w:color w:val="auto"/>
              </w:rPr>
            </w:pPr>
            <w:r>
              <w:rPr>
                <w:rFonts w:ascii="Arial" w:cs="Arial" w:eastAsia="Arial" w:hAnsi="Arial"/>
                <w:sz w:val="13"/>
                <w:szCs w:val="13"/>
                <w:color w:val="auto"/>
              </w:rPr>
              <w:t>equal to (a) Company Annualized TSR minus (b) Comparator Group Median Annualized TSR.</w:t>
            </w:r>
          </w:p>
        </w:tc>
      </w:tr>
      <w:tr>
        <w:trPr>
          <w:trHeight w:val="297"/>
        </w:trPr>
        <w:tc>
          <w:tcPr>
            <w:tcW w:w="3000" w:type="dxa"/>
            <w:vAlign w:val="bottom"/>
          </w:tcPr>
          <w:p>
            <w:pPr>
              <w:jc w:val="right"/>
              <w:ind w:right="1014"/>
              <w:spacing w:after="0"/>
              <w:rPr>
                <w:sz w:val="20"/>
                <w:szCs w:val="20"/>
                <w:color w:val="auto"/>
              </w:rPr>
            </w:pPr>
            <w:r>
              <w:rPr>
                <w:rFonts w:ascii="Arial" w:cs="Arial" w:eastAsia="Arial" w:hAnsi="Arial"/>
                <w:sz w:val="13"/>
                <w:szCs w:val="13"/>
                <w:color w:val="auto"/>
              </w:rPr>
              <w:t>2.9</w:t>
            </w:r>
          </w:p>
        </w:tc>
        <w:tc>
          <w:tcPr>
            <w:tcW w:w="8480" w:type="dxa"/>
            <w:vAlign w:val="bottom"/>
            <w:gridSpan w:val="3"/>
          </w:tcPr>
          <w:p>
            <w:pPr>
              <w:ind w:left="2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Relative TSR Factor</w:t>
            </w:r>
            <w:r>
              <w:rPr>
                <w:rFonts w:ascii="Arial" w:cs="Arial" w:eastAsia="Arial" w:hAnsi="Arial"/>
                <w:sz w:val="13"/>
                <w:szCs w:val="13"/>
                <w:color w:val="auto"/>
              </w:rPr>
              <w:t>” means a percentage (rounded to the nearest 1/100 of 1%) determined as follows:</w:t>
            </w:r>
          </w:p>
        </w:tc>
      </w:tr>
      <w:tr>
        <w:trPr>
          <w:trHeight w:val="268"/>
        </w:trPr>
        <w:tc>
          <w:tcPr>
            <w:tcW w:w="3000" w:type="dxa"/>
            <w:vAlign w:val="bottom"/>
          </w:tcPr>
          <w:p>
            <w:pPr>
              <w:jc w:val="right"/>
              <w:ind w:right="154"/>
              <w:spacing w:after="0"/>
              <w:rPr>
                <w:sz w:val="20"/>
                <w:szCs w:val="20"/>
                <w:color w:val="auto"/>
              </w:rPr>
            </w:pPr>
            <w:r>
              <w:rPr>
                <w:rFonts w:ascii="Arial" w:cs="Arial" w:eastAsia="Arial" w:hAnsi="Arial"/>
                <w:sz w:val="13"/>
                <w:szCs w:val="13"/>
                <w:color w:val="auto"/>
              </w:rPr>
              <w:t>(a)</w:t>
            </w:r>
          </w:p>
        </w:tc>
        <w:tc>
          <w:tcPr>
            <w:tcW w:w="1520" w:type="dxa"/>
            <w:vAlign w:val="bottom"/>
          </w:tcPr>
          <w:p>
            <w:pPr>
              <w:spacing w:after="0"/>
              <w:rPr>
                <w:sz w:val="23"/>
                <w:szCs w:val="23"/>
                <w:color w:val="auto"/>
              </w:rPr>
            </w:pPr>
          </w:p>
        </w:tc>
        <w:tc>
          <w:tcPr>
            <w:tcW w:w="6960" w:type="dxa"/>
            <w:vAlign w:val="bottom"/>
            <w:gridSpan w:val="2"/>
          </w:tcPr>
          <w:p>
            <w:pPr>
              <w:spacing w:after="0"/>
              <w:rPr>
                <w:sz w:val="20"/>
                <w:szCs w:val="20"/>
                <w:color w:val="auto"/>
              </w:rPr>
            </w:pPr>
            <w:r>
              <w:rPr>
                <w:rFonts w:ascii="Arial" w:cs="Arial" w:eastAsia="Arial" w:hAnsi="Arial"/>
                <w:sz w:val="13"/>
                <w:szCs w:val="13"/>
                <w:color w:val="auto"/>
                <w:w w:val="95"/>
              </w:rPr>
              <w:t>Zero or Positive Relative TSR.  If the Relative TSR for the Performance Period is equal to or greater than zero (0), the Relative</w:t>
            </w:r>
          </w:p>
        </w:tc>
      </w:tr>
      <w:tr>
        <w:trPr>
          <w:trHeight w:val="162"/>
        </w:trPr>
        <w:tc>
          <w:tcPr>
            <w:tcW w:w="3000" w:type="dxa"/>
            <w:vAlign w:val="bottom"/>
          </w:tcPr>
          <w:p>
            <w:pPr>
              <w:spacing w:after="0"/>
              <w:rPr>
                <w:sz w:val="20"/>
                <w:szCs w:val="20"/>
                <w:color w:val="auto"/>
              </w:rPr>
            </w:pPr>
            <w:r>
              <w:rPr>
                <w:rFonts w:ascii="Arial" w:cs="Arial" w:eastAsia="Arial" w:hAnsi="Arial"/>
                <w:sz w:val="13"/>
                <w:szCs w:val="13"/>
                <w:color w:val="auto"/>
              </w:rPr>
              <w:t>TSR Factor shall be calculated as follows:</w:t>
            </w:r>
          </w:p>
        </w:tc>
        <w:tc>
          <w:tcPr>
            <w:tcW w:w="1520" w:type="dxa"/>
            <w:vAlign w:val="bottom"/>
          </w:tcPr>
          <w:p>
            <w:pPr>
              <w:spacing w:after="0"/>
              <w:rPr>
                <w:sz w:val="14"/>
                <w:szCs w:val="14"/>
                <w:color w:val="auto"/>
              </w:rPr>
            </w:pPr>
          </w:p>
        </w:tc>
        <w:tc>
          <w:tcPr>
            <w:tcW w:w="1640" w:type="dxa"/>
            <w:vAlign w:val="bottom"/>
            <w:tcBorders>
              <w:top w:val="single" w:sz="8" w:color="auto"/>
            </w:tcBorders>
          </w:tcPr>
          <w:p>
            <w:pPr>
              <w:spacing w:after="0"/>
              <w:rPr>
                <w:sz w:val="14"/>
                <w:szCs w:val="14"/>
                <w:color w:val="auto"/>
              </w:rPr>
            </w:pPr>
          </w:p>
        </w:tc>
        <w:tc>
          <w:tcPr>
            <w:tcW w:w="5320" w:type="dxa"/>
            <w:vAlign w:val="bottom"/>
          </w:tcPr>
          <w:p>
            <w:pPr>
              <w:spacing w:after="0"/>
              <w:rPr>
                <w:sz w:val="14"/>
                <w:szCs w:val="14"/>
                <w:color w:val="auto"/>
              </w:rPr>
            </w:pPr>
          </w:p>
        </w:tc>
      </w:tr>
    </w:tbl>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160" w:type="dxa"/>
            <w:vAlign w:val="bottom"/>
          </w:tcPr>
          <w:p>
            <w:pPr>
              <w:ind w:left="2640"/>
              <w:spacing w:after="0"/>
              <w:rPr>
                <w:sz w:val="20"/>
                <w:szCs w:val="20"/>
                <w:color w:val="auto"/>
              </w:rPr>
            </w:pPr>
            <w:r>
              <w:rPr>
                <w:rFonts w:ascii="Arial" w:cs="Arial" w:eastAsia="Arial" w:hAnsi="Arial"/>
                <w:sz w:val="13"/>
                <w:szCs w:val="13"/>
                <w:color w:val="auto"/>
              </w:rPr>
              <w:t>(b)</w:t>
            </w:r>
          </w:p>
        </w:tc>
        <w:tc>
          <w:tcPr>
            <w:tcW w:w="2640" w:type="dxa"/>
            <w:vAlign w:val="bottom"/>
            <w:gridSpan w:val="3"/>
          </w:tcPr>
          <w:p>
            <w:pPr>
              <w:ind w:left="1360"/>
              <w:spacing w:after="0"/>
              <w:rPr>
                <w:sz w:val="20"/>
                <w:szCs w:val="20"/>
                <w:color w:val="auto"/>
              </w:rPr>
            </w:pPr>
            <w:r>
              <w:rPr>
                <w:rFonts w:ascii="Arial" w:cs="Arial" w:eastAsia="Arial" w:hAnsi="Arial"/>
                <w:sz w:val="13"/>
                <w:szCs w:val="13"/>
                <w:color w:val="auto"/>
                <w:w w:val="93"/>
              </w:rPr>
              <w:t>Negative Relative TSR.</w:t>
            </w:r>
          </w:p>
        </w:tc>
        <w:tc>
          <w:tcPr>
            <w:tcW w:w="5700" w:type="dxa"/>
            <w:vAlign w:val="bottom"/>
          </w:tcPr>
          <w:p>
            <w:pPr>
              <w:ind w:left="100"/>
              <w:spacing w:after="0"/>
              <w:rPr>
                <w:sz w:val="20"/>
                <w:szCs w:val="20"/>
                <w:color w:val="auto"/>
              </w:rPr>
            </w:pPr>
            <w:r>
              <w:rPr>
                <w:rFonts w:ascii="Arial" w:cs="Arial" w:eastAsia="Arial" w:hAnsi="Arial"/>
                <w:sz w:val="13"/>
                <w:szCs w:val="13"/>
                <w:color w:val="auto"/>
                <w:w w:val="96"/>
              </w:rPr>
              <w:t>If the Relative TSR for the Performance Period is less than zero (0), the Relative TSR Factor shall be</w:t>
            </w:r>
          </w:p>
        </w:tc>
      </w:tr>
      <w:tr>
        <w:trPr>
          <w:trHeight w:val="162"/>
        </w:trPr>
        <w:tc>
          <w:tcPr>
            <w:tcW w:w="3160" w:type="dxa"/>
            <w:vAlign w:val="bottom"/>
          </w:tcPr>
          <w:p>
            <w:pPr>
              <w:spacing w:after="0"/>
              <w:rPr>
                <w:sz w:val="20"/>
                <w:szCs w:val="20"/>
                <w:color w:val="auto"/>
              </w:rPr>
            </w:pPr>
            <w:r>
              <w:rPr>
                <w:rFonts w:ascii="Arial" w:cs="Arial" w:eastAsia="Arial" w:hAnsi="Arial"/>
                <w:sz w:val="13"/>
                <w:szCs w:val="13"/>
                <w:color w:val="auto"/>
              </w:rPr>
              <w:t>calculated as follows:</w:t>
            </w:r>
          </w:p>
        </w:tc>
        <w:tc>
          <w:tcPr>
            <w:tcW w:w="1360" w:type="dxa"/>
            <w:vAlign w:val="bottom"/>
          </w:tcPr>
          <w:p>
            <w:pPr>
              <w:spacing w:after="0"/>
              <w:rPr>
                <w:sz w:val="14"/>
                <w:szCs w:val="14"/>
                <w:color w:val="auto"/>
              </w:rPr>
            </w:pPr>
          </w:p>
        </w:tc>
        <w:tc>
          <w:tcPr>
            <w:tcW w:w="124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5700" w:type="dxa"/>
            <w:vAlign w:val="bottom"/>
          </w:tcPr>
          <w:p>
            <w:pPr>
              <w:spacing w:after="0"/>
              <w:rPr>
                <w:sz w:val="14"/>
                <w:szCs w:val="14"/>
                <w:color w:val="auto"/>
              </w:rPr>
            </w:pPr>
          </w:p>
        </w:tc>
      </w:tr>
      <w:tr>
        <w:trPr>
          <w:trHeight w:val="285"/>
        </w:trPr>
        <w:tc>
          <w:tcPr>
            <w:tcW w:w="5800" w:type="dxa"/>
            <w:vAlign w:val="bottom"/>
            <w:gridSpan w:val="4"/>
          </w:tcPr>
          <w:p>
            <w:pPr>
              <w:spacing w:after="0"/>
              <w:rPr>
                <w:sz w:val="20"/>
                <w:szCs w:val="20"/>
                <w:color w:val="auto"/>
              </w:rPr>
            </w:pPr>
            <w:r>
              <w:rPr>
                <w:rFonts w:ascii="Arial" w:cs="Arial" w:eastAsia="Arial" w:hAnsi="Arial"/>
                <w:sz w:val="13"/>
                <w:szCs w:val="13"/>
                <w:color w:val="auto"/>
                <w:w w:val="93"/>
              </w:rPr>
              <w:t>Notwithstanding the foregoing, the calculation of the Relative TSR Factor shall be qualified by the following:</w:t>
            </w:r>
          </w:p>
        </w:tc>
        <w:tc>
          <w:tcPr>
            <w:tcW w:w="5700" w:type="dxa"/>
            <w:vAlign w:val="bottom"/>
          </w:tcPr>
          <w:p>
            <w:pPr>
              <w:spacing w:after="0"/>
              <w:rPr>
                <w:sz w:val="24"/>
                <w:szCs w:val="24"/>
                <w:color w:val="auto"/>
              </w:rPr>
            </w:pPr>
          </w:p>
        </w:tc>
      </w:tr>
      <w:tr>
        <w:trPr>
          <w:trHeight w:val="166"/>
        </w:trPr>
        <w:tc>
          <w:tcPr>
            <w:tcW w:w="3160" w:type="dxa"/>
            <w:vAlign w:val="bottom"/>
          </w:tcPr>
          <w:p>
            <w:pPr>
              <w:spacing w:after="0"/>
              <w:rPr>
                <w:sz w:val="14"/>
                <w:szCs w:val="14"/>
                <w:color w:val="auto"/>
              </w:rPr>
            </w:pPr>
          </w:p>
        </w:tc>
        <w:tc>
          <w:tcPr>
            <w:tcW w:w="2640" w:type="dxa"/>
            <w:vAlign w:val="bottom"/>
            <w:gridSpan w:val="3"/>
          </w:tcPr>
          <w:p>
            <w:pPr>
              <w:ind w:left="360"/>
              <w:spacing w:after="0"/>
              <w:rPr>
                <w:sz w:val="20"/>
                <w:szCs w:val="20"/>
                <w:color w:val="auto"/>
              </w:rPr>
            </w:pPr>
            <w:r>
              <w:rPr>
                <w:rFonts w:ascii="Arial" w:cs="Arial" w:eastAsia="Arial" w:hAnsi="Arial"/>
                <w:sz w:val="13"/>
                <w:szCs w:val="13"/>
                <w:color w:val="auto"/>
              </w:rPr>
              <w:t>(i)</w:t>
            </w:r>
          </w:p>
        </w:tc>
        <w:tc>
          <w:tcPr>
            <w:tcW w:w="5700" w:type="dxa"/>
            <w:vAlign w:val="bottom"/>
          </w:tcPr>
          <w:p>
            <w:pPr>
              <w:ind w:left="20"/>
              <w:spacing w:after="0"/>
              <w:rPr>
                <w:sz w:val="20"/>
                <w:szCs w:val="20"/>
                <w:color w:val="auto"/>
              </w:rPr>
            </w:pPr>
            <w:r>
              <w:rPr>
                <w:rFonts w:ascii="Arial" w:cs="Arial" w:eastAsia="Arial" w:hAnsi="Arial"/>
                <w:sz w:val="13"/>
                <w:szCs w:val="13"/>
                <w:color w:val="auto"/>
              </w:rPr>
              <w:t>the Relative TSR Factor may not exceed 150%;</w:t>
            </w:r>
          </w:p>
        </w:tc>
      </w:tr>
      <w:tr>
        <w:trPr>
          <w:trHeight w:val="279"/>
        </w:trPr>
        <w:tc>
          <w:tcPr>
            <w:tcW w:w="3160" w:type="dxa"/>
            <w:vAlign w:val="bottom"/>
          </w:tcPr>
          <w:p>
            <w:pPr>
              <w:jc w:val="right"/>
              <w:ind w:right="2154"/>
              <w:spacing w:after="0"/>
              <w:rPr>
                <w:sz w:val="20"/>
                <w:szCs w:val="20"/>
                <w:color w:val="auto"/>
              </w:rPr>
            </w:pPr>
            <w:r>
              <w:rPr>
                <w:rFonts w:ascii="Arial" w:cs="Arial" w:eastAsia="Arial" w:hAnsi="Arial"/>
                <w:sz w:val="13"/>
                <w:szCs w:val="13"/>
                <w:color w:val="auto"/>
              </w:rPr>
              <w:t>2</w:t>
            </w:r>
          </w:p>
        </w:tc>
        <w:tc>
          <w:tcPr>
            <w:tcW w:w="1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700" w:type="dxa"/>
            <w:vAlign w:val="bottom"/>
          </w:tcPr>
          <w:p>
            <w:pPr>
              <w:spacing w:after="0"/>
              <w:rPr>
                <w:sz w:val="24"/>
                <w:szCs w:val="24"/>
                <w:color w:val="auto"/>
              </w:rPr>
            </w:pPr>
          </w:p>
        </w:tc>
      </w:tr>
      <w:tr>
        <w:trPr>
          <w:trHeight w:val="169"/>
        </w:trPr>
        <w:tc>
          <w:tcPr>
            <w:tcW w:w="3160" w:type="dxa"/>
            <w:vAlign w:val="bottom"/>
            <w:tcBorders>
              <w:bottom w:val="single" w:sz="8" w:color="9A9A9A"/>
            </w:tcBorders>
          </w:tcPr>
          <w:p>
            <w:pPr>
              <w:spacing w:after="0"/>
              <w:rPr>
                <w:sz w:val="14"/>
                <w:szCs w:val="14"/>
                <w:color w:val="auto"/>
              </w:rPr>
            </w:pPr>
          </w:p>
        </w:tc>
        <w:tc>
          <w:tcPr>
            <w:tcW w:w="1360" w:type="dxa"/>
            <w:vAlign w:val="bottom"/>
            <w:tcBorders>
              <w:bottom w:val="single" w:sz="8" w:color="9A9A9A"/>
            </w:tcBorders>
          </w:tcPr>
          <w:p>
            <w:pPr>
              <w:spacing w:after="0"/>
              <w:rPr>
                <w:sz w:val="14"/>
                <w:szCs w:val="14"/>
                <w:color w:val="auto"/>
              </w:rPr>
            </w:pPr>
          </w:p>
        </w:tc>
        <w:tc>
          <w:tcPr>
            <w:tcW w:w="124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5700" w:type="dxa"/>
            <w:vAlign w:val="bottom"/>
            <w:tcBorders>
              <w:bottom w:val="single" w:sz="8" w:color="9A9A9A"/>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7280275</wp:posOffset>
            </wp:positionH>
            <wp:positionV relativeFrom="paragraph">
              <wp:posOffset>-23495</wp:posOffset>
            </wp:positionV>
            <wp:extent cx="31115" cy="3683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41">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42">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-50165</wp:posOffset>
            </wp:positionH>
            <wp:positionV relativeFrom="paragraph">
              <wp:posOffset>-777240</wp:posOffset>
            </wp:positionV>
            <wp:extent cx="3568700" cy="971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43">
                      <a:extLst>
                        <a:ext uri="{28A0092B-C50C-407E-A947-70E740481C1C}"/>
                      </a:extLst>
                    </a:blip>
                    <a:srcRect/>
                    <a:stretch>
                      <a:fillRect/>
                    </a:stretch>
                  </pic:blipFill>
                  <pic:spPr bwMode="auto">
                    <a:xfrm>
                      <a:off x="0" y="0"/>
                      <a:ext cx="3568700" cy="97155"/>
                    </a:xfrm>
                    <a:prstGeom prst="rect">
                      <a:avLst/>
                    </a:prstGeom>
                    <a:noFill/>
                  </pic:spPr>
                </pic:pic>
              </a:graphicData>
            </a:graphic>
          </wp:anchor>
        </w:drawing>
        <w:drawing>
          <wp:anchor simplePos="0" relativeHeight="251657728" behindDoc="1" locked="0" layoutInCell="0" allowOverlap="1">
            <wp:simplePos x="0" y="0"/>
            <wp:positionH relativeFrom="column">
              <wp:posOffset>-50165</wp:posOffset>
            </wp:positionH>
            <wp:positionV relativeFrom="paragraph">
              <wp:posOffset>-491490</wp:posOffset>
            </wp:positionV>
            <wp:extent cx="3568700" cy="971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44">
                      <a:extLst>
                        <a:ext uri="{28A0092B-C50C-407E-A947-70E740481C1C}"/>
                      </a:extLst>
                    </a:blip>
                    <a:srcRect/>
                    <a:stretch>
                      <a:fillRect/>
                    </a:stretch>
                  </pic:blipFill>
                  <pic:spPr bwMode="auto">
                    <a:xfrm>
                      <a:off x="0" y="0"/>
                      <a:ext cx="3568700" cy="97155"/>
                    </a:xfrm>
                    <a:prstGeom prst="rect">
                      <a:avLst/>
                    </a:prstGeom>
                    <a:noFill/>
                  </pic:spPr>
                </pic:pic>
              </a:graphicData>
            </a:graphic>
          </wp:anchor>
        </w:drawing>
      </w:r>
    </w:p>
    <w:p>
      <w:pPr>
        <w:sectPr>
          <w:pgSz w:w="11900" w:h="16838" w:orient="portrait"/>
          <w:cols w:equalWidth="0" w:num="1">
            <w:col w:w="11500"/>
          </w:cols>
          <w:pgMar w:left="220" w:top="273" w:right="179" w:bottom="1440" w:gutter="0" w:footer="0" w:header="0"/>
        </w:sectPr>
      </w:pPr>
    </w:p>
    <w:bookmarkStart w:id="159" w:name="page160"/>
    <w:bookmarkEnd w:id="159"/>
    <w:p>
      <w:pPr>
        <w:ind w:firstLine="3534"/>
        <w:spacing w:after="0" w:line="271" w:lineRule="auto"/>
        <w:rPr>
          <w:sz w:val="20"/>
          <w:szCs w:val="20"/>
          <w:color w:val="auto"/>
        </w:rPr>
      </w:pPr>
      <w:r>
        <w:rPr>
          <w:rFonts w:ascii="Arial" w:cs="Arial" w:eastAsia="Arial" w:hAnsi="Arial"/>
          <w:sz w:val="13"/>
          <w:szCs w:val="13"/>
          <w:color w:val="auto"/>
        </w:rPr>
        <w:t>(ii) if the Company Absolute TSR for the Performance Period is a negative number, the Relative TSR Factor may not exceed 100% even if the Company Annualized TSR exceeds the Comparator Group Median Annualized TSR; and</w:t>
      </w:r>
    </w:p>
    <w:p>
      <w:pPr>
        <w:sectPr>
          <w:pgSz w:w="11900" w:h="16838" w:orient="portrait"/>
          <w:cols w:equalWidth="0" w:num="1">
            <w:col w:w="11480"/>
          </w:cols>
          <w:pgMar w:left="220" w:top="273" w:right="199" w:bottom="1440" w:gutter="0" w:footer="0" w:header="0"/>
        </w:sectPr>
      </w:pPr>
    </w:p>
    <w:p>
      <w:pPr>
        <w:spacing w:after="0" w:line="113" w:lineRule="exact"/>
        <w:rPr>
          <w:sz w:val="20"/>
          <w:szCs w:val="20"/>
          <w:color w:val="auto"/>
        </w:rPr>
      </w:pPr>
    </w:p>
    <w:p>
      <w:pPr>
        <w:ind w:left="3520"/>
        <w:spacing w:after="0"/>
        <w:rPr>
          <w:sz w:val="20"/>
          <w:szCs w:val="20"/>
          <w:color w:val="auto"/>
        </w:rPr>
      </w:pPr>
      <w:r>
        <w:rPr>
          <w:rFonts w:ascii="Arial" w:cs="Arial" w:eastAsia="Arial" w:hAnsi="Arial"/>
          <w:sz w:val="13"/>
          <w:szCs w:val="13"/>
          <w:color w:val="auto"/>
        </w:rPr>
        <w:t>(iii)</w:t>
      </w:r>
    </w:p>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spacing w:after="0"/>
        <w:rPr>
          <w:sz w:val="20"/>
          <w:szCs w:val="20"/>
          <w:color w:val="auto"/>
        </w:rPr>
      </w:pPr>
      <w:r>
        <w:rPr>
          <w:rFonts w:ascii="Arial" w:cs="Arial" w:eastAsia="Arial" w:hAnsi="Arial"/>
          <w:sz w:val="11"/>
          <w:szCs w:val="11"/>
          <w:color w:val="auto"/>
        </w:rPr>
        <w:t>if the Relative TSR is less than negative 8%, the Relative TSR Factor shall be zero percent (0%).</w:t>
      </w:r>
    </w:p>
    <w:p>
      <w:pPr>
        <w:spacing w:after="0" w:line="167" w:lineRule="exact"/>
        <w:rPr>
          <w:sz w:val="20"/>
          <w:szCs w:val="20"/>
          <w:color w:val="auto"/>
        </w:rPr>
      </w:pPr>
    </w:p>
    <w:p>
      <w:pPr>
        <w:sectPr>
          <w:pgSz w:w="11900" w:h="16838" w:orient="portrait"/>
          <w:cols w:equalWidth="0" w:num="2">
            <w:col w:w="5160" w:space="720"/>
            <w:col w:w="5600"/>
          </w:cols>
          <w:pgMar w:left="220" w:top="273" w:right="199" w:bottom="1440" w:gutter="0" w:footer="0" w:header="0"/>
          <w:type w:val="continuous"/>
        </w:sectPr>
      </w:pPr>
    </w:p>
    <w:p>
      <w:pPr>
        <w:ind w:left="1400" w:hanging="525"/>
        <w:spacing w:after="0"/>
        <w:tabs>
          <w:tab w:leader="none" w:pos="1400" w:val="left"/>
        </w:tabs>
        <w:numPr>
          <w:ilvl w:val="0"/>
          <w:numId w:val="115"/>
        </w:numPr>
        <w:rPr>
          <w:rFonts w:ascii="Arial" w:cs="Arial" w:eastAsia="Arial" w:hAnsi="Arial"/>
          <w:sz w:val="13"/>
          <w:szCs w:val="13"/>
          <w:color w:val="auto"/>
        </w:rPr>
      </w:pPr>
      <w:r>
        <w:rPr>
          <w:rFonts w:ascii="Arial" w:cs="Arial" w:eastAsia="Arial" w:hAnsi="Arial"/>
          <w:sz w:val="13"/>
          <w:szCs w:val="13"/>
          <w:b w:val="1"/>
          <w:bCs w:val="1"/>
          <w:u w:val="single" w:color="auto"/>
          <w:color w:val="auto"/>
        </w:rPr>
        <w:t>C</w:t>
      </w:r>
      <w:r>
        <w:rPr>
          <w:rFonts w:ascii="Arial" w:cs="Arial" w:eastAsia="Arial" w:hAnsi="Arial"/>
          <w:sz w:val="9"/>
          <w:szCs w:val="9"/>
          <w:b w:val="1"/>
          <w:bCs w:val="1"/>
          <w:u w:val="single" w:color="auto"/>
          <w:color w:val="auto"/>
        </w:rPr>
        <w:t>OMMITTEE</w:t>
      </w:r>
      <w:r>
        <w:rPr>
          <w:rFonts w:ascii="Arial" w:cs="Arial" w:eastAsia="Arial" w:hAnsi="Arial"/>
          <w:sz w:val="13"/>
          <w:szCs w:val="13"/>
          <w:b w:val="1"/>
          <w:bCs w:val="1"/>
          <w:color w:val="auto"/>
        </w:rPr>
        <w:t xml:space="preserve"> </w:t>
      </w:r>
      <w:r>
        <w:rPr>
          <w:rFonts w:ascii="Arial" w:cs="Arial" w:eastAsia="Arial" w:hAnsi="Arial"/>
          <w:sz w:val="13"/>
          <w:szCs w:val="13"/>
          <w:b w:val="1"/>
          <w:bCs w:val="1"/>
          <w:u w:val="single" w:color="auto"/>
          <w:color w:val="auto"/>
        </w:rPr>
        <w:t>D</w:t>
      </w:r>
      <w:r>
        <w:rPr>
          <w:rFonts w:ascii="Arial" w:cs="Arial" w:eastAsia="Arial" w:hAnsi="Arial"/>
          <w:sz w:val="9"/>
          <w:szCs w:val="9"/>
          <w:b w:val="1"/>
          <w:bCs w:val="1"/>
          <w:u w:val="single" w:color="auto"/>
          <w:color w:val="auto"/>
        </w:rPr>
        <w:t>ETERMINATION OF</w:t>
      </w:r>
      <w:r>
        <w:rPr>
          <w:rFonts w:ascii="Arial" w:cs="Arial" w:eastAsia="Arial" w:hAnsi="Arial"/>
          <w:sz w:val="13"/>
          <w:szCs w:val="13"/>
          <w:b w:val="1"/>
          <w:bCs w:val="1"/>
          <w:color w:val="auto"/>
        </w:rPr>
        <w:t xml:space="preserve"> </w:t>
      </w:r>
      <w:r>
        <w:rPr>
          <w:rFonts w:ascii="Arial" w:cs="Arial" w:eastAsia="Arial" w:hAnsi="Arial"/>
          <w:sz w:val="13"/>
          <w:szCs w:val="13"/>
          <w:b w:val="1"/>
          <w:bCs w:val="1"/>
          <w:u w:val="single" w:color="auto"/>
          <w:color w:val="auto"/>
        </w:rPr>
        <w:t>E</w:t>
      </w:r>
      <w:r>
        <w:rPr>
          <w:rFonts w:ascii="Arial" w:cs="Arial" w:eastAsia="Arial" w:hAnsi="Arial"/>
          <w:sz w:val="9"/>
          <w:szCs w:val="9"/>
          <w:b w:val="1"/>
          <w:bCs w:val="1"/>
          <w:u w:val="single" w:color="auto"/>
          <w:color w:val="auto"/>
        </w:rPr>
        <w:t>ARNED</w:t>
      </w:r>
      <w:r>
        <w:rPr>
          <w:rFonts w:ascii="Arial" w:cs="Arial" w:eastAsia="Arial" w:hAnsi="Arial"/>
          <w:sz w:val="13"/>
          <w:szCs w:val="13"/>
          <w:b w:val="1"/>
          <w:bCs w:val="1"/>
          <w:color w:val="auto"/>
        </w:rPr>
        <w:t xml:space="preserve"> </w:t>
      </w:r>
      <w:r>
        <w:rPr>
          <w:rFonts w:ascii="Arial" w:cs="Arial" w:eastAsia="Arial" w:hAnsi="Arial"/>
          <w:sz w:val="13"/>
          <w:szCs w:val="13"/>
          <w:b w:val="1"/>
          <w:bCs w:val="1"/>
          <w:u w:val="single" w:color="auto"/>
          <w:color w:val="auto"/>
        </w:rPr>
        <w:t>U</w:t>
      </w:r>
      <w:r>
        <w:rPr>
          <w:rFonts w:ascii="Arial" w:cs="Arial" w:eastAsia="Arial" w:hAnsi="Arial"/>
          <w:sz w:val="9"/>
          <w:szCs w:val="9"/>
          <w:b w:val="1"/>
          <w:bCs w:val="1"/>
          <w:u w:val="single" w:color="auto"/>
          <w:color w:val="auto"/>
        </w:rPr>
        <w:t>NITS</w:t>
      </w:r>
      <w:r>
        <w:rPr>
          <w:rFonts w:ascii="Arial" w:cs="Arial" w:eastAsia="Arial" w:hAnsi="Arial"/>
          <w:sz w:val="13"/>
          <w:szCs w:val="13"/>
          <w:b w:val="1"/>
          <w:bCs w:val="1"/>
          <w:color w:val="auto"/>
        </w:rPr>
        <w:t>.</w:t>
      </w:r>
    </w:p>
    <w:p>
      <w:pPr>
        <w:spacing w:after="0" w:line="148" w:lineRule="exact"/>
        <w:rPr>
          <w:sz w:val="20"/>
          <w:szCs w:val="20"/>
          <w:color w:val="auto"/>
        </w:rPr>
      </w:pPr>
    </w:p>
    <w:p>
      <w:pPr>
        <w:jc w:val="both"/>
        <w:ind w:right="20" w:firstLine="1766"/>
        <w:spacing w:after="0" w:line="321" w:lineRule="auto"/>
        <w:rPr>
          <w:sz w:val="20"/>
          <w:szCs w:val="20"/>
          <w:color w:val="auto"/>
        </w:rPr>
      </w:pPr>
      <w:r>
        <w:rPr>
          <w:rFonts w:ascii="Arial" w:cs="Arial" w:eastAsia="Arial" w:hAnsi="Arial"/>
          <w:sz w:val="12"/>
          <w:szCs w:val="12"/>
          <w:color w:val="auto"/>
        </w:rPr>
        <w:t xml:space="preserve">3.1 </w:t>
      </w:r>
      <w:r>
        <w:rPr>
          <w:rFonts w:ascii="Arial" w:cs="Arial" w:eastAsia="Arial" w:hAnsi="Arial"/>
          <w:sz w:val="12"/>
          <w:szCs w:val="12"/>
          <w:b w:val="1"/>
          <w:bCs w:val="1"/>
          <w:color w:val="auto"/>
        </w:rPr>
        <w:t>Level of Performance Measure Attained.</w:t>
      </w:r>
      <w:r>
        <w:rPr>
          <w:rFonts w:ascii="Arial" w:cs="Arial" w:eastAsia="Arial" w:hAnsi="Arial"/>
          <w:sz w:val="12"/>
          <w:szCs w:val="12"/>
          <w:color w:val="auto"/>
        </w:rPr>
        <w:t xml:space="preserve"> As soon as practicable following completion of the Performance Period, but in any event no later than the Settlement Date, the Committee shall determine the level of attainment of the Performance Measure during the Performance Period, the resulting Relative TSR Factor and the number of Units which have become Earned Units.</w:t>
      </w:r>
    </w:p>
    <w:p>
      <w:pPr>
        <w:spacing w:after="0" w:line="81" w:lineRule="exact"/>
        <w:rPr>
          <w:sz w:val="20"/>
          <w:szCs w:val="20"/>
          <w:color w:val="auto"/>
        </w:rPr>
      </w:pPr>
    </w:p>
    <w:p>
      <w:pPr>
        <w:jc w:val="both"/>
        <w:ind w:firstLine="1766"/>
        <w:spacing w:after="0" w:line="252" w:lineRule="auto"/>
        <w:rPr>
          <w:sz w:val="20"/>
          <w:szCs w:val="20"/>
          <w:color w:val="auto"/>
        </w:rPr>
      </w:pPr>
      <w:r>
        <w:rPr>
          <w:rFonts w:ascii="Arial" w:cs="Arial" w:eastAsia="Arial" w:hAnsi="Arial"/>
          <w:sz w:val="13"/>
          <w:szCs w:val="13"/>
          <w:color w:val="auto"/>
        </w:rPr>
        <w:t xml:space="preserve">3.2 </w:t>
      </w:r>
      <w:r>
        <w:rPr>
          <w:rFonts w:ascii="Arial" w:cs="Arial" w:eastAsia="Arial" w:hAnsi="Arial"/>
          <w:sz w:val="13"/>
          <w:szCs w:val="13"/>
          <w:b w:val="1"/>
          <w:bCs w:val="1"/>
          <w:color w:val="auto"/>
        </w:rPr>
        <w:t>Adjustment for Leave of Absence or Part-Time Work.</w:t>
      </w:r>
      <w:r>
        <w:rPr>
          <w:rFonts w:ascii="Arial" w:cs="Arial" w:eastAsia="Arial" w:hAnsi="Arial"/>
          <w:sz w:val="13"/>
          <w:szCs w:val="13"/>
          <w:color w:val="auto"/>
        </w:rPr>
        <w:t xml:space="preserve"> Unless otherwise required by law or Company policy, if the Participant takes one or more unpaid leaves of absence in excess of thirty (30) days in the aggregate during the Performance Period, the number of Units which would otherwise become Earned Units shall be prorated on the basis of the number of days of the Participant’s Service during the Performance Period during which the Participant was not on an unpaid leave of absence. Unless otherwise required by law or Company policy, if the Participant commences working on a part-time basis during the Performance Period, the Committee may, in its discretion, reduce on a pro rata basis (reflecting the portion of the Performance Period worked by the Participant on a full-time equivalent basis) the number of Units which would otherwise become Earned Units, or provide that the number of Units which would otherwise become Earned Units shall be reduced as provided by the terms of an agreement between the Participant and the Company pertaining to the Participant’s part-time schedule.</w:t>
      </w:r>
    </w:p>
    <w:p>
      <w:pPr>
        <w:spacing w:after="0" w:line="121" w:lineRule="exact"/>
        <w:rPr>
          <w:sz w:val="20"/>
          <w:szCs w:val="20"/>
          <w:color w:val="auto"/>
        </w:rPr>
      </w:pPr>
    </w:p>
    <w:p>
      <w:pPr>
        <w:ind w:left="1400" w:hanging="525"/>
        <w:spacing w:after="0"/>
        <w:tabs>
          <w:tab w:leader="none" w:pos="1400" w:val="left"/>
        </w:tabs>
        <w:numPr>
          <w:ilvl w:val="0"/>
          <w:numId w:val="116"/>
        </w:numPr>
        <w:rPr>
          <w:rFonts w:ascii="Arial" w:cs="Arial" w:eastAsia="Arial" w:hAnsi="Arial"/>
          <w:sz w:val="13"/>
          <w:szCs w:val="13"/>
          <w:color w:val="auto"/>
        </w:rPr>
      </w:pPr>
      <w:r>
        <w:rPr>
          <w:rFonts w:ascii="Arial" w:cs="Arial" w:eastAsia="Arial" w:hAnsi="Arial"/>
          <w:sz w:val="13"/>
          <w:szCs w:val="13"/>
          <w:b w:val="1"/>
          <w:bCs w:val="1"/>
          <w:u w:val="single" w:color="auto"/>
          <w:color w:val="auto"/>
        </w:rPr>
        <w:t>V</w:t>
      </w:r>
      <w:r>
        <w:rPr>
          <w:rFonts w:ascii="Arial" w:cs="Arial" w:eastAsia="Arial" w:hAnsi="Arial"/>
          <w:sz w:val="9"/>
          <w:szCs w:val="9"/>
          <w:b w:val="1"/>
          <w:bCs w:val="1"/>
          <w:u w:val="single" w:color="auto"/>
          <w:color w:val="auto"/>
        </w:rPr>
        <w:t>ESTING OF</w:t>
      </w:r>
      <w:r>
        <w:rPr>
          <w:rFonts w:ascii="Arial" w:cs="Arial" w:eastAsia="Arial" w:hAnsi="Arial"/>
          <w:sz w:val="13"/>
          <w:szCs w:val="13"/>
          <w:b w:val="1"/>
          <w:bCs w:val="1"/>
          <w:color w:val="auto"/>
        </w:rPr>
        <w:t xml:space="preserve"> </w:t>
      </w:r>
      <w:r>
        <w:rPr>
          <w:rFonts w:ascii="Arial" w:cs="Arial" w:eastAsia="Arial" w:hAnsi="Arial"/>
          <w:sz w:val="13"/>
          <w:szCs w:val="13"/>
          <w:b w:val="1"/>
          <w:bCs w:val="1"/>
          <w:u w:val="single" w:color="auto"/>
          <w:color w:val="auto"/>
        </w:rPr>
        <w:t>E</w:t>
      </w:r>
      <w:r>
        <w:rPr>
          <w:rFonts w:ascii="Arial" w:cs="Arial" w:eastAsia="Arial" w:hAnsi="Arial"/>
          <w:sz w:val="9"/>
          <w:szCs w:val="9"/>
          <w:b w:val="1"/>
          <w:bCs w:val="1"/>
          <w:u w:val="single" w:color="auto"/>
          <w:color w:val="auto"/>
        </w:rPr>
        <w:t>ARNED</w:t>
      </w:r>
      <w:r>
        <w:rPr>
          <w:rFonts w:ascii="Arial" w:cs="Arial" w:eastAsia="Arial" w:hAnsi="Arial"/>
          <w:sz w:val="13"/>
          <w:szCs w:val="13"/>
          <w:b w:val="1"/>
          <w:bCs w:val="1"/>
          <w:color w:val="auto"/>
        </w:rPr>
        <w:t xml:space="preserve"> </w:t>
      </w:r>
      <w:r>
        <w:rPr>
          <w:rFonts w:ascii="Arial" w:cs="Arial" w:eastAsia="Arial" w:hAnsi="Arial"/>
          <w:sz w:val="13"/>
          <w:szCs w:val="13"/>
          <w:b w:val="1"/>
          <w:bCs w:val="1"/>
          <w:u w:val="single" w:color="auto"/>
          <w:color w:val="auto"/>
        </w:rPr>
        <w:t>U</w:t>
      </w:r>
      <w:r>
        <w:rPr>
          <w:rFonts w:ascii="Arial" w:cs="Arial" w:eastAsia="Arial" w:hAnsi="Arial"/>
          <w:sz w:val="9"/>
          <w:szCs w:val="9"/>
          <w:b w:val="1"/>
          <w:bCs w:val="1"/>
          <w:u w:val="single" w:color="auto"/>
          <w:color w:val="auto"/>
        </w:rPr>
        <w:t>NITS</w:t>
      </w:r>
      <w:r>
        <w:rPr>
          <w:rFonts w:ascii="Arial" w:cs="Arial" w:eastAsia="Arial" w:hAnsi="Arial"/>
          <w:sz w:val="13"/>
          <w:szCs w:val="13"/>
          <w:b w:val="1"/>
          <w:bCs w:val="1"/>
          <w:color w:val="auto"/>
        </w:rPr>
        <w:t>.</w:t>
      </w:r>
    </w:p>
    <w:p>
      <w:pPr>
        <w:spacing w:after="0" w:line="148" w:lineRule="exact"/>
        <w:rPr>
          <w:sz w:val="20"/>
          <w:szCs w:val="20"/>
          <w:color w:val="auto"/>
        </w:rPr>
      </w:pPr>
    </w:p>
    <w:tbl>
      <w:tblPr>
        <w:tblLayout w:type="fixed"/>
        <w:tblInd w:w="1760" w:type="dxa"/>
        <w:tblCellMar>
          <w:top w:w="0" w:type="dxa"/>
          <w:left w:w="0" w:type="dxa"/>
          <w:bottom w:w="0" w:type="dxa"/>
          <w:right w:w="0" w:type="dxa"/>
        </w:tblCellMar>
      </w:tblPr>
      <w:tr>
        <w:trPr>
          <w:trHeight w:val="170"/>
        </w:trPr>
        <w:tc>
          <w:tcPr>
            <w:tcW w:w="380" w:type="dxa"/>
            <w:vAlign w:val="bottom"/>
          </w:tcPr>
          <w:p>
            <w:pPr>
              <w:jc w:val="right"/>
              <w:ind w:right="154"/>
              <w:spacing w:after="0"/>
              <w:rPr>
                <w:sz w:val="20"/>
                <w:szCs w:val="20"/>
                <w:color w:val="auto"/>
              </w:rPr>
            </w:pPr>
            <w:r>
              <w:rPr>
                <w:rFonts w:ascii="Arial" w:cs="Arial" w:eastAsia="Arial" w:hAnsi="Arial"/>
                <w:sz w:val="13"/>
                <w:szCs w:val="13"/>
                <w:color w:val="auto"/>
                <w:w w:val="77"/>
              </w:rPr>
              <w:t>4.1</w:t>
            </w:r>
          </w:p>
        </w:tc>
        <w:tc>
          <w:tcPr>
            <w:tcW w:w="9240" w:type="dxa"/>
            <w:vAlign w:val="bottom"/>
          </w:tcPr>
          <w:p>
            <w:pPr>
              <w:ind w:left="220"/>
              <w:spacing w:after="0"/>
              <w:rPr>
                <w:sz w:val="20"/>
                <w:szCs w:val="20"/>
                <w:color w:val="auto"/>
              </w:rPr>
            </w:pPr>
            <w:r>
              <w:rPr>
                <w:rFonts w:ascii="Arial" w:cs="Arial" w:eastAsia="Arial" w:hAnsi="Arial"/>
                <w:sz w:val="13"/>
                <w:szCs w:val="13"/>
                <w:b w:val="1"/>
                <w:bCs w:val="1"/>
                <w:color w:val="auto"/>
              </w:rPr>
              <w:t xml:space="preserve">Normal Vesting. </w:t>
            </w:r>
            <w:r>
              <w:rPr>
                <w:rFonts w:ascii="Arial" w:cs="Arial" w:eastAsia="Arial" w:hAnsi="Arial"/>
                <w:sz w:val="13"/>
                <w:szCs w:val="13"/>
                <w:color w:val="auto"/>
              </w:rPr>
              <w:t>Except as otherwise provided by this Agreement, Earned Units shall vest and become Vested Units as provided in the Grant Notice.</w:t>
            </w:r>
          </w:p>
        </w:tc>
      </w:tr>
      <w:tr>
        <w:trPr>
          <w:trHeight w:val="297"/>
        </w:trPr>
        <w:tc>
          <w:tcPr>
            <w:tcW w:w="380" w:type="dxa"/>
            <w:vAlign w:val="bottom"/>
          </w:tcPr>
          <w:p>
            <w:pPr>
              <w:jc w:val="right"/>
              <w:ind w:right="154"/>
              <w:spacing w:after="0"/>
              <w:rPr>
                <w:sz w:val="20"/>
                <w:szCs w:val="20"/>
                <w:color w:val="auto"/>
              </w:rPr>
            </w:pPr>
            <w:r>
              <w:rPr>
                <w:rFonts w:ascii="Arial" w:cs="Arial" w:eastAsia="Arial" w:hAnsi="Arial"/>
                <w:sz w:val="13"/>
                <w:szCs w:val="13"/>
                <w:color w:val="auto"/>
                <w:w w:val="77"/>
              </w:rPr>
              <w:t>4.2</w:t>
            </w:r>
          </w:p>
        </w:tc>
        <w:tc>
          <w:tcPr>
            <w:tcW w:w="9240" w:type="dxa"/>
            <w:vAlign w:val="bottom"/>
          </w:tcPr>
          <w:p>
            <w:pPr>
              <w:ind w:left="1080"/>
              <w:spacing w:after="0"/>
              <w:rPr>
                <w:sz w:val="20"/>
                <w:szCs w:val="20"/>
                <w:color w:val="auto"/>
              </w:rPr>
            </w:pPr>
            <w:r>
              <w:rPr>
                <w:rFonts w:ascii="Arial" w:cs="Arial" w:eastAsia="Arial" w:hAnsi="Arial"/>
                <w:sz w:val="13"/>
                <w:szCs w:val="13"/>
                <w:b w:val="1"/>
                <w:bCs w:val="1"/>
                <w:color w:val="auto"/>
                <w:w w:val="92"/>
              </w:rPr>
              <w:t xml:space="preserve">Vesting Upon a Change in Control. </w:t>
            </w:r>
            <w:r>
              <w:rPr>
                <w:rFonts w:ascii="Arial" w:cs="Arial" w:eastAsia="Arial" w:hAnsi="Arial"/>
                <w:sz w:val="13"/>
                <w:szCs w:val="13"/>
                <w:color w:val="auto"/>
                <w:w w:val="92"/>
              </w:rPr>
              <w:t>In the event of a Change in Control, the vesting of Earned Units shall be determined in accordance with Section 9.1.</w:t>
            </w:r>
          </w:p>
        </w:tc>
      </w:tr>
      <w:tr>
        <w:trPr>
          <w:trHeight w:val="295"/>
        </w:trPr>
        <w:tc>
          <w:tcPr>
            <w:tcW w:w="380" w:type="dxa"/>
            <w:vAlign w:val="bottom"/>
          </w:tcPr>
          <w:p>
            <w:pPr>
              <w:jc w:val="right"/>
              <w:ind w:right="154"/>
              <w:spacing w:after="0"/>
              <w:rPr>
                <w:sz w:val="20"/>
                <w:szCs w:val="20"/>
                <w:color w:val="auto"/>
              </w:rPr>
            </w:pPr>
            <w:r>
              <w:rPr>
                <w:rFonts w:ascii="Arial" w:cs="Arial" w:eastAsia="Arial" w:hAnsi="Arial"/>
                <w:sz w:val="13"/>
                <w:szCs w:val="13"/>
                <w:color w:val="auto"/>
                <w:w w:val="77"/>
              </w:rPr>
              <w:t>4.3</w:t>
            </w:r>
          </w:p>
        </w:tc>
        <w:tc>
          <w:tcPr>
            <w:tcW w:w="9240" w:type="dxa"/>
            <w:vAlign w:val="bottom"/>
          </w:tcPr>
          <w:p>
            <w:pPr>
              <w:ind w:left="1080"/>
              <w:spacing w:after="0"/>
              <w:rPr>
                <w:sz w:val="20"/>
                <w:szCs w:val="20"/>
                <w:color w:val="auto"/>
              </w:rPr>
            </w:pPr>
            <w:r>
              <w:rPr>
                <w:rFonts w:ascii="Arial" w:cs="Arial" w:eastAsia="Arial" w:hAnsi="Arial"/>
                <w:sz w:val="13"/>
                <w:szCs w:val="13"/>
                <w:b w:val="1"/>
                <w:bCs w:val="1"/>
                <w:color w:val="auto"/>
                <w:w w:val="93"/>
              </w:rPr>
              <w:t xml:space="preserve">Vesting Upon Involuntary Termination in Anticipation of a Change in Control. </w:t>
            </w:r>
            <w:r>
              <w:rPr>
                <w:rFonts w:ascii="Arial" w:cs="Arial" w:eastAsia="Arial" w:hAnsi="Arial"/>
                <w:sz w:val="13"/>
                <w:szCs w:val="13"/>
                <w:color w:val="auto"/>
                <w:w w:val="93"/>
              </w:rPr>
              <w:t>In the event that Participant’s Service is terminated by the Company</w:t>
            </w:r>
          </w:p>
        </w:tc>
      </w:tr>
    </w:tbl>
    <w:p>
      <w:pPr>
        <w:ind w:right="160"/>
        <w:spacing w:after="0" w:line="250" w:lineRule="auto"/>
        <w:rPr>
          <w:sz w:val="20"/>
          <w:szCs w:val="20"/>
          <w:color w:val="auto"/>
        </w:rPr>
      </w:pPr>
      <w:r>
        <w:rPr>
          <w:rFonts w:ascii="Arial" w:cs="Arial" w:eastAsia="Arial" w:hAnsi="Arial"/>
          <w:sz w:val="13"/>
          <w:szCs w:val="13"/>
          <w:color w:val="auto"/>
        </w:rPr>
        <w:t>for a reason other than for Cause, death or Disability (an “</w:t>
      </w:r>
      <w:r>
        <w:rPr>
          <w:rFonts w:ascii="Arial" w:cs="Arial" w:eastAsia="Arial" w:hAnsi="Arial"/>
          <w:sz w:val="13"/>
          <w:szCs w:val="13"/>
          <w:b w:val="1"/>
          <w:bCs w:val="1"/>
          <w:i w:val="1"/>
          <w:iCs w:val="1"/>
          <w:color w:val="auto"/>
        </w:rPr>
        <w:t>Involuntary Termination</w:t>
      </w:r>
      <w:r>
        <w:rPr>
          <w:rFonts w:ascii="Arial" w:cs="Arial" w:eastAsia="Arial" w:hAnsi="Arial"/>
          <w:sz w:val="13"/>
          <w:szCs w:val="13"/>
          <w:color w:val="auto"/>
        </w:rPr>
        <w:t>”), and such Involuntary Termination either (a) occurred within the ninety (90) day period prior to the effective date of a Change in Control or (b) is demonstrated by the Participant to the reasonable satisfaction of the Committee to have been at the request of a third party who is a party to such Change in Control (in either case, an “</w:t>
      </w:r>
      <w:r>
        <w:rPr>
          <w:rFonts w:ascii="Arial" w:cs="Arial" w:eastAsia="Arial" w:hAnsi="Arial"/>
          <w:sz w:val="13"/>
          <w:szCs w:val="13"/>
          <w:b w:val="1"/>
          <w:bCs w:val="1"/>
          <w:i w:val="1"/>
          <w:iCs w:val="1"/>
          <w:color w:val="auto"/>
        </w:rPr>
        <w:t>Involuntary</w:t>
      </w:r>
      <w:r>
        <w:rPr>
          <w:rFonts w:ascii="Arial" w:cs="Arial" w:eastAsia="Arial" w:hAnsi="Arial"/>
          <w:sz w:val="13"/>
          <w:szCs w:val="13"/>
          <w:color w:val="auto"/>
        </w:rPr>
        <w:t xml:space="preserve"> </w:t>
      </w:r>
      <w:r>
        <w:rPr>
          <w:rFonts w:ascii="Arial" w:cs="Arial" w:eastAsia="Arial" w:hAnsi="Arial"/>
          <w:sz w:val="13"/>
          <w:szCs w:val="13"/>
          <w:b w:val="1"/>
          <w:bCs w:val="1"/>
          <w:i w:val="1"/>
          <w:iCs w:val="1"/>
          <w:color w:val="auto"/>
        </w:rPr>
        <w:t>Termination in Anticipation of a Change in Control</w:t>
      </w:r>
      <w:r>
        <w:rPr>
          <w:rFonts w:ascii="Arial" w:cs="Arial" w:eastAsia="Arial" w:hAnsi="Arial"/>
          <w:sz w:val="13"/>
          <w:szCs w:val="13"/>
          <w:color w:val="auto"/>
        </w:rPr>
        <w:t>”), then the vesting of Earned Units shall be determined in accordance with Section 9.2.</w:t>
      </w:r>
    </w:p>
    <w:p>
      <w:pPr>
        <w:spacing w:after="0" w:line="122" w:lineRule="exact"/>
        <w:rPr>
          <w:sz w:val="20"/>
          <w:szCs w:val="20"/>
          <w:color w:val="auto"/>
        </w:rPr>
      </w:pPr>
    </w:p>
    <w:p>
      <w:pPr>
        <w:ind w:right="240" w:firstLine="1766"/>
        <w:spacing w:after="0" w:line="278" w:lineRule="auto"/>
        <w:rPr>
          <w:sz w:val="20"/>
          <w:szCs w:val="20"/>
          <w:color w:val="auto"/>
        </w:rPr>
      </w:pPr>
      <w:r>
        <w:rPr>
          <w:rFonts w:ascii="Arial" w:cs="Arial" w:eastAsia="Arial" w:hAnsi="Arial"/>
          <w:sz w:val="13"/>
          <w:szCs w:val="13"/>
          <w:color w:val="auto"/>
        </w:rPr>
        <w:t xml:space="preserve">4.4 </w:t>
      </w:r>
      <w:r>
        <w:rPr>
          <w:rFonts w:ascii="Arial" w:cs="Arial" w:eastAsia="Arial" w:hAnsi="Arial"/>
          <w:sz w:val="13"/>
          <w:szCs w:val="13"/>
          <w:b w:val="1"/>
          <w:bCs w:val="1"/>
          <w:color w:val="auto"/>
        </w:rPr>
        <w:t>Vesting Upon Involuntary Termination Following a Change in Control.</w:t>
      </w:r>
      <w:r>
        <w:rPr>
          <w:rFonts w:ascii="Arial" w:cs="Arial" w:eastAsia="Arial" w:hAnsi="Arial"/>
          <w:sz w:val="13"/>
          <w:szCs w:val="13"/>
          <w:color w:val="auto"/>
        </w:rPr>
        <w:t xml:space="preserve"> In the event that upon or within twelve (12) months following the effective date of a Change in Control, the Participant’s Service terminates due to Involuntary Termination, then the vesting of Earned Units shall be determined in accordance with Section 9.3.</w:t>
      </w:r>
    </w:p>
    <w:p>
      <w:pPr>
        <w:spacing w:after="0" w:line="90" w:lineRule="exact"/>
        <w:rPr>
          <w:sz w:val="20"/>
          <w:szCs w:val="20"/>
          <w:color w:val="auto"/>
        </w:rPr>
      </w:pPr>
    </w:p>
    <w:p>
      <w:pPr>
        <w:ind w:left="880"/>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104775</wp:posOffset>
            </wp:positionV>
            <wp:extent cx="7329170" cy="3683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45">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273" w:right="199" w:bottom="1440" w:gutter="0" w:footer="0" w:header="0"/>
          <w:type w:val="continuous"/>
        </w:sectPr>
      </w:pPr>
    </w:p>
    <w:bookmarkStart w:id="160" w:name="page161"/>
    <w:bookmarkEnd w:id="160"/>
    <w:p>
      <w:pPr>
        <w:spacing w:after="0"/>
        <w:rPr>
          <w:sz w:val="20"/>
          <w:szCs w:val="20"/>
          <w:color w:val="auto"/>
        </w:rPr>
      </w:pPr>
      <w:r>
        <w:rPr>
          <w:rFonts w:ascii="Arial" w:cs="Arial" w:eastAsia="Arial" w:hAnsi="Arial"/>
          <w:sz w:val="9"/>
          <w:szCs w:val="9"/>
          <w:b w:val="1"/>
          <w:bCs w:val="1"/>
          <w:u w:val="single" w:color="auto"/>
          <w:color w:val="auto"/>
        </w:rPr>
        <w:t>ATION OF</w:t>
      </w:r>
      <w:r>
        <w:rPr>
          <w:rFonts w:ascii="Arial" w:cs="Arial" w:eastAsia="Arial" w:hAnsi="Arial"/>
          <w:sz w:val="9"/>
          <w:szCs w:val="9"/>
          <w:b w:val="1"/>
          <w:bCs w:val="1"/>
          <w:color w:val="auto"/>
        </w:rPr>
        <w:t xml:space="preserve"> </w:t>
      </w:r>
      <w:r>
        <w:rPr>
          <w:rFonts w:ascii="Arial" w:cs="Arial" w:eastAsia="Arial" w:hAnsi="Arial"/>
          <w:sz w:val="13"/>
          <w:szCs w:val="13"/>
          <w:b w:val="1"/>
          <w:bCs w:val="1"/>
          <w:u w:val="single" w:color="auto"/>
          <w:color w:val="auto"/>
        </w:rPr>
        <w:t>S</w:t>
      </w:r>
      <w:r>
        <w:rPr>
          <w:rFonts w:ascii="Arial" w:cs="Arial" w:eastAsia="Arial" w:hAnsi="Arial"/>
          <w:sz w:val="9"/>
          <w:szCs w:val="9"/>
          <w:b w:val="1"/>
          <w:bCs w:val="1"/>
          <w:u w:val="single" w:color="auto"/>
          <w:color w:val="auto"/>
        </w:rPr>
        <w:t>ERVICE</w:t>
      </w:r>
      <w:r>
        <w:rPr>
          <w:rFonts w:ascii="Arial" w:cs="Arial" w:eastAsia="Arial" w:hAnsi="Arial"/>
          <w:sz w:val="13"/>
          <w:szCs w:val="13"/>
          <w:b w:val="1"/>
          <w:bCs w:val="1"/>
          <w:color w:val="auto"/>
        </w:rPr>
        <w:t>.</w:t>
      </w:r>
      <w:r>
        <w:rPr>
          <w:rFonts w:ascii="Arial" w:cs="Arial" w:eastAsia="Arial" w:hAnsi="Arial"/>
          <w:sz w:val="9"/>
          <w:szCs w:val="9"/>
          <w:b w:val="1"/>
          <w:bCs w:val="1"/>
          <w:color w:val="auto"/>
        </w:rPr>
        <w:t xml:space="preserve"> </w:t>
      </w:r>
      <w:r>
        <w:rPr>
          <w:rFonts w:ascii="Arial" w:cs="Arial" w:eastAsia="Arial" w:hAnsi="Arial"/>
          <w:sz w:val="13"/>
          <w:szCs w:val="13"/>
          <w:color w:val="auto"/>
        </w:rPr>
        <w:t>5.</w:t>
      </w:r>
    </w:p>
    <w:p>
      <w:pPr>
        <w:spacing w:after="0" w:line="152" w:lineRule="exact"/>
        <w:rPr>
          <w:sz w:val="20"/>
          <w:szCs w:val="20"/>
          <w:color w:val="auto"/>
        </w:rPr>
      </w:pPr>
    </w:p>
    <w:p>
      <w:pPr>
        <w:jc w:val="both"/>
        <w:ind w:left="80" w:firstLine="1766"/>
        <w:spacing w:after="0" w:line="271" w:lineRule="auto"/>
        <w:rPr>
          <w:sz w:val="20"/>
          <w:szCs w:val="20"/>
          <w:color w:val="auto"/>
        </w:rPr>
      </w:pPr>
      <w:r>
        <w:rPr>
          <w:rFonts w:ascii="Arial" w:cs="Arial" w:eastAsia="Arial" w:hAnsi="Arial"/>
          <w:sz w:val="13"/>
          <w:szCs w:val="13"/>
          <w:color w:val="auto"/>
        </w:rPr>
        <w:t>In the event that the Participant’s Service terminates for any reason, with or without cause, other than as described in Section 4.3 or 4.4, the Participant shall forfeit and the Company shall automatically reacquire all Units which are not, as of the time of such termination, Vested Units, and the Participant shall not be entitled to any payment therefor.</w:t>
      </w:r>
    </w:p>
    <w:p>
      <w:pPr>
        <w:spacing w:after="0" w:line="109" w:lineRule="exact"/>
        <w:rPr>
          <w:sz w:val="20"/>
          <w:szCs w:val="20"/>
          <w:color w:val="auto"/>
        </w:rPr>
      </w:pPr>
    </w:p>
    <w:p>
      <w:pPr>
        <w:spacing w:after="0"/>
        <w:rPr>
          <w:sz w:val="20"/>
          <w:szCs w:val="20"/>
          <w:color w:val="auto"/>
        </w:rPr>
      </w:pPr>
      <w:r>
        <w:rPr>
          <w:rFonts w:ascii="Arial" w:cs="Arial" w:eastAsia="Arial" w:hAnsi="Arial"/>
          <w:sz w:val="9"/>
          <w:szCs w:val="9"/>
          <w:b w:val="1"/>
          <w:bCs w:val="1"/>
          <w:u w:val="single" w:color="auto"/>
          <w:color w:val="auto"/>
        </w:rPr>
        <w:t>ENT OF THE</w:t>
      </w:r>
      <w:r>
        <w:rPr>
          <w:rFonts w:ascii="Arial" w:cs="Arial" w:eastAsia="Arial" w:hAnsi="Arial"/>
          <w:sz w:val="9"/>
          <w:szCs w:val="9"/>
          <w:b w:val="1"/>
          <w:bCs w:val="1"/>
          <w:color w:val="auto"/>
        </w:rPr>
        <w:t xml:space="preserve"> </w:t>
      </w:r>
      <w:r>
        <w:rPr>
          <w:rFonts w:ascii="Arial" w:cs="Arial" w:eastAsia="Arial" w:hAnsi="Arial"/>
          <w:sz w:val="13"/>
          <w:szCs w:val="13"/>
          <w:b w:val="1"/>
          <w:bCs w:val="1"/>
          <w:u w:val="single" w:color="auto"/>
          <w:color w:val="auto"/>
        </w:rPr>
        <w:t>A</w:t>
      </w:r>
      <w:r>
        <w:rPr>
          <w:rFonts w:ascii="Arial" w:cs="Arial" w:eastAsia="Arial" w:hAnsi="Arial"/>
          <w:sz w:val="9"/>
          <w:szCs w:val="9"/>
          <w:b w:val="1"/>
          <w:bCs w:val="1"/>
          <w:u w:val="single" w:color="auto"/>
          <w:color w:val="auto"/>
        </w:rPr>
        <w:t>WARD</w:t>
      </w:r>
      <w:r>
        <w:rPr>
          <w:rFonts w:ascii="Arial" w:cs="Arial" w:eastAsia="Arial" w:hAnsi="Arial"/>
          <w:sz w:val="13"/>
          <w:szCs w:val="13"/>
          <w:color w:val="auto"/>
        </w:rPr>
        <w:t>6</w:t>
      </w:r>
      <w:r>
        <w:rPr>
          <w:rFonts w:ascii="Arial" w:cs="Arial" w:eastAsia="Arial" w:hAnsi="Arial"/>
          <w:sz w:val="13"/>
          <w:szCs w:val="13"/>
          <w:b w:val="1"/>
          <w:bCs w:val="1"/>
          <w:color w:val="auto"/>
        </w:rPr>
        <w:t>.</w:t>
      </w:r>
      <w:r>
        <w:rPr>
          <w:rFonts w:ascii="Arial" w:cs="Arial" w:eastAsia="Arial" w:hAnsi="Arial"/>
          <w:sz w:val="13"/>
          <w:szCs w:val="13"/>
          <w:color w:val="auto"/>
        </w:rPr>
        <w:t>.</w:t>
      </w:r>
    </w:p>
    <w:p>
      <w:pPr>
        <w:spacing w:after="0" w:line="148" w:lineRule="exact"/>
        <w:rPr>
          <w:sz w:val="20"/>
          <w:szCs w:val="20"/>
          <w:color w:val="auto"/>
        </w:rPr>
      </w:pPr>
    </w:p>
    <w:p>
      <w:pPr>
        <w:jc w:val="both"/>
        <w:ind w:left="80" w:firstLine="1766"/>
        <w:spacing w:after="0" w:line="261" w:lineRule="auto"/>
        <w:rPr>
          <w:sz w:val="20"/>
          <w:szCs w:val="20"/>
          <w:color w:val="auto"/>
        </w:rPr>
      </w:pPr>
      <w:r>
        <w:rPr>
          <w:rFonts w:ascii="Arial" w:cs="Arial" w:eastAsia="Arial" w:hAnsi="Arial"/>
          <w:sz w:val="13"/>
          <w:szCs w:val="13"/>
          <w:color w:val="auto"/>
        </w:rPr>
        <w:t xml:space="preserve">6.1 </w:t>
      </w:r>
      <w:r>
        <w:rPr>
          <w:rFonts w:ascii="Arial" w:cs="Arial" w:eastAsia="Arial" w:hAnsi="Arial"/>
          <w:sz w:val="13"/>
          <w:szCs w:val="13"/>
          <w:b w:val="1"/>
          <w:bCs w:val="1"/>
          <w:color w:val="auto"/>
        </w:rPr>
        <w:t>Issuance of Shares</w:t>
      </w:r>
      <w:r>
        <w:rPr>
          <w:rFonts w:ascii="Arial" w:cs="Arial" w:eastAsia="Arial" w:hAnsi="Arial"/>
          <w:sz w:val="13"/>
          <w:szCs w:val="13"/>
          <w:b w:val="1"/>
          <w:bCs w:val="1"/>
          <w:i w:val="1"/>
          <w:iCs w:val="1"/>
          <w:color w:val="auto"/>
        </w:rPr>
        <w:t>.</w:t>
      </w:r>
      <w:r>
        <w:rPr>
          <w:rFonts w:ascii="Arial" w:cs="Arial" w:eastAsia="Arial" w:hAnsi="Arial"/>
          <w:sz w:val="13"/>
          <w:szCs w:val="13"/>
          <w:color w:val="auto"/>
        </w:rPr>
        <w:t xml:space="preserve"> Subject to the provisions of Section 6.3 and Section 7 below, the Company shall issue to the Participant on the Settlement Date with respect to each Vested Unit to be settled on such date one (1) Share. Shares issued in settlement of Vested Units shall not be subject to any restriction on transfer other than any such restriction as may be required pursuant to Section 6.3.</w:t>
      </w:r>
    </w:p>
    <w:p>
      <w:pPr>
        <w:spacing w:after="0" w:line="116" w:lineRule="exact"/>
        <w:rPr>
          <w:sz w:val="20"/>
          <w:szCs w:val="20"/>
          <w:color w:val="auto"/>
        </w:rPr>
      </w:pPr>
    </w:p>
    <w:p>
      <w:pPr>
        <w:jc w:val="both"/>
        <w:ind w:left="80" w:firstLine="1766"/>
        <w:spacing w:after="0" w:line="256" w:lineRule="auto"/>
        <w:rPr>
          <w:sz w:val="20"/>
          <w:szCs w:val="20"/>
          <w:color w:val="auto"/>
        </w:rPr>
      </w:pPr>
      <w:r>
        <w:rPr>
          <w:rFonts w:ascii="Arial" w:cs="Arial" w:eastAsia="Arial" w:hAnsi="Arial"/>
          <w:sz w:val="13"/>
          <w:szCs w:val="13"/>
          <w:color w:val="auto"/>
        </w:rPr>
        <w:t xml:space="preserve">6.2 </w:t>
      </w:r>
      <w:r>
        <w:rPr>
          <w:rFonts w:ascii="Arial" w:cs="Arial" w:eastAsia="Arial" w:hAnsi="Arial"/>
          <w:sz w:val="13"/>
          <w:szCs w:val="13"/>
          <w:b w:val="1"/>
          <w:bCs w:val="1"/>
          <w:color w:val="auto"/>
        </w:rPr>
        <w:t>Beneficial Ownership of Shares; Certificate Registration</w:t>
      </w:r>
      <w:r>
        <w:rPr>
          <w:rFonts w:ascii="Arial" w:cs="Arial" w:eastAsia="Arial" w:hAnsi="Arial"/>
          <w:sz w:val="13"/>
          <w:szCs w:val="13"/>
          <w:b w:val="1"/>
          <w:bCs w:val="1"/>
          <w:i w:val="1"/>
          <w:iCs w:val="1"/>
          <w:color w:val="auto"/>
        </w:rPr>
        <w:t>.</w:t>
      </w:r>
      <w:r>
        <w:rPr>
          <w:rFonts w:ascii="Arial" w:cs="Arial" w:eastAsia="Arial" w:hAnsi="Arial"/>
          <w:sz w:val="13"/>
          <w:szCs w:val="13"/>
          <w:color w:val="auto"/>
        </w:rPr>
        <w:t xml:space="preserve"> The Participant hereby authorizes the Company, in its sole discretion, to deposit any or all Shares acquired by the Participant pursuant to the settlement of the Award with the Company’s transfer agent, including any successor transfer agent, to be held in book entry form, or to deposit such Shares for the benefit of the Participant with any broker with which the Participant has an account relationship of which the Company has notice. Except as provided by the foregoing, a certificate for the Shares acquired by the Participant shall be registered in the name of the Participant, or, if applicable, in the names of the heirs of the Participant.</w:t>
      </w:r>
    </w:p>
    <w:p>
      <w:pPr>
        <w:spacing w:after="0" w:line="119" w:lineRule="exact"/>
        <w:rPr>
          <w:sz w:val="20"/>
          <w:szCs w:val="20"/>
          <w:color w:val="auto"/>
        </w:rPr>
      </w:pPr>
    </w:p>
    <w:p>
      <w:pPr>
        <w:jc w:val="both"/>
        <w:ind w:left="80" w:firstLine="418"/>
        <w:spacing w:after="0" w:line="249" w:lineRule="auto"/>
        <w:rPr>
          <w:sz w:val="20"/>
          <w:szCs w:val="20"/>
          <w:color w:val="auto"/>
        </w:rPr>
      </w:pPr>
      <w:r>
        <w:rPr>
          <w:rFonts w:ascii="Arial" w:cs="Arial" w:eastAsia="Arial" w:hAnsi="Arial"/>
          <w:sz w:val="13"/>
          <w:szCs w:val="13"/>
          <w:b w:val="1"/>
          <w:bCs w:val="1"/>
          <w:color w:val="auto"/>
        </w:rPr>
        <w:t>Restrictions on Grant of</w:t>
      </w:r>
      <w:r>
        <w:rPr>
          <w:rFonts w:ascii="Arial" w:cs="Arial" w:eastAsia="Arial" w:hAnsi="Arial"/>
          <w:sz w:val="13"/>
          <w:szCs w:val="13"/>
          <w:color w:val="auto"/>
        </w:rPr>
        <w:t>6</w:t>
      </w:r>
      <w:r>
        <w:rPr>
          <w:rFonts w:ascii="Arial" w:cs="Arial" w:eastAsia="Arial" w:hAnsi="Arial"/>
          <w:sz w:val="13"/>
          <w:szCs w:val="13"/>
          <w:b w:val="1"/>
          <w:bCs w:val="1"/>
          <w:color w:val="auto"/>
        </w:rPr>
        <w:t>the</w:t>
      </w:r>
      <w:r>
        <w:rPr>
          <w:rFonts w:ascii="Arial" w:cs="Arial" w:eastAsia="Arial" w:hAnsi="Arial"/>
          <w:sz w:val="13"/>
          <w:szCs w:val="13"/>
          <w:color w:val="auto"/>
        </w:rPr>
        <w:t>.3</w:t>
      </w:r>
      <w:r>
        <w:rPr>
          <w:rFonts w:ascii="Arial" w:cs="Arial" w:eastAsia="Arial" w:hAnsi="Arial"/>
          <w:sz w:val="13"/>
          <w:szCs w:val="13"/>
          <w:b w:val="1"/>
          <w:bCs w:val="1"/>
          <w:color w:val="auto"/>
        </w:rPr>
        <w:t xml:space="preserve"> Award and Issuance of Shares</w:t>
      </w:r>
      <w:r>
        <w:rPr>
          <w:rFonts w:ascii="Arial" w:cs="Arial" w:eastAsia="Arial" w:hAnsi="Arial"/>
          <w:sz w:val="13"/>
          <w:szCs w:val="13"/>
          <w:b w:val="1"/>
          <w:bCs w:val="1"/>
          <w:i w:val="1"/>
          <w:iCs w:val="1"/>
          <w:color w:val="auto"/>
        </w:rPr>
        <w:t>.</w:t>
      </w:r>
      <w:r>
        <w:rPr>
          <w:rFonts w:ascii="Arial" w:cs="Arial" w:eastAsia="Arial" w:hAnsi="Arial"/>
          <w:sz w:val="13"/>
          <w:szCs w:val="13"/>
          <w:b w:val="1"/>
          <w:bCs w:val="1"/>
          <w:color w:val="auto"/>
        </w:rPr>
        <w:t xml:space="preserve"> </w:t>
      </w:r>
      <w:r>
        <w:rPr>
          <w:rFonts w:ascii="Arial" w:cs="Arial" w:eastAsia="Arial" w:hAnsi="Arial"/>
          <w:sz w:val="13"/>
          <w:szCs w:val="13"/>
          <w:color w:val="auto"/>
        </w:rPr>
        <w:t>The grant of the Award and issuance of Shares upon settlement of the Award shall be subject to compliance with all applicable requirements of</w:t>
      </w:r>
      <w:r>
        <w:rPr>
          <w:rFonts w:ascii="Arial" w:cs="Arial" w:eastAsia="Arial" w:hAnsi="Arial"/>
          <w:sz w:val="13"/>
          <w:szCs w:val="13"/>
          <w:b w:val="1"/>
          <w:bCs w:val="1"/>
          <w:color w:val="auto"/>
        </w:rPr>
        <w:t xml:space="preserve"> </w:t>
      </w:r>
      <w:r>
        <w:rPr>
          <w:rFonts w:ascii="Arial" w:cs="Arial" w:eastAsia="Arial" w:hAnsi="Arial"/>
          <w:sz w:val="13"/>
          <w:szCs w:val="13"/>
          <w:color w:val="auto"/>
        </w:rPr>
        <w:t>U.S. federal, state or foreign law with respect to such securities. No Shares may be issued hereunder if the issuance of such Shares would constitute a violation of any applicable U.S. federal, state or foreign securities laws or other laws or regulations or the requirements of any stock exchange or market system upon which the Stock may then be listed. The inability of the Company to obtain from any regulatory body having jurisdiction the authority, if any, deemed by the Company’s legal counsel to be necessary to the lawful issuance of any Shares subject to the Award shall relieve the Company of any liability in respect of the failure to issue such Shares as to which such requisite authority shall not have been obtained. As a condition to the settlement of the Award, the Company may require the Participant to satisfy any qualifications that may be necessary or appropriate, to evidence compliance with any applicable law or regulation and to make any representation or warranty with respect thereto as may be requested by the Company. Further, regardless of whether the transfer or issuance of the Shares to be issued pursuant to the Units has been registered under the Securities Act or has been registered or qualified under the securities laws of any State, the Company may impose additional restrictions upon the sale, pledge, or other transfer of the Shares (including the placement of appropriate legends on stock certificates and the issuance of stop-transfer instructions to the Company’s transfer agent) if, in the judgment of the Company and the Company’s counsel, such restrictions are necessary in order to achieve compliance with the provisions of the Securities Act, the securities laws of any State, or any other law.</w:t>
      </w:r>
    </w:p>
    <w:p>
      <w:pPr>
        <w:spacing w:after="0" w:line="124" w:lineRule="exact"/>
        <w:rPr>
          <w:sz w:val="20"/>
          <w:szCs w:val="20"/>
          <w:color w:val="auto"/>
        </w:rPr>
      </w:pPr>
    </w:p>
    <w:p>
      <w:pPr>
        <w:ind w:left="560"/>
        <w:spacing w:after="0"/>
        <w:rPr>
          <w:sz w:val="20"/>
          <w:szCs w:val="20"/>
          <w:color w:val="auto"/>
        </w:rPr>
      </w:pPr>
      <w:r>
        <w:rPr>
          <w:rFonts w:ascii="Arial" w:cs="Arial" w:eastAsia="Arial" w:hAnsi="Arial"/>
          <w:sz w:val="13"/>
          <w:szCs w:val="13"/>
          <w:b w:val="1"/>
          <w:bCs w:val="1"/>
          <w:color w:val="auto"/>
        </w:rPr>
        <w:t>Fractional Shares</w:t>
      </w:r>
      <w:r>
        <w:rPr>
          <w:rFonts w:ascii="Arial" w:cs="Arial" w:eastAsia="Arial" w:hAnsi="Arial"/>
          <w:sz w:val="13"/>
          <w:szCs w:val="13"/>
          <w:b w:val="1"/>
          <w:bCs w:val="1"/>
          <w:i w:val="1"/>
          <w:iCs w:val="1"/>
          <w:color w:val="auto"/>
        </w:rPr>
        <w:t>.</w:t>
      </w:r>
      <w:r>
        <w:rPr>
          <w:rFonts w:ascii="Arial" w:cs="Arial" w:eastAsia="Arial" w:hAnsi="Arial"/>
          <w:sz w:val="13"/>
          <w:szCs w:val="13"/>
          <w:b w:val="1"/>
          <w:bCs w:val="1"/>
          <w:color w:val="auto"/>
        </w:rPr>
        <w:t xml:space="preserve"> </w:t>
      </w:r>
      <w:r>
        <w:rPr>
          <w:rFonts w:ascii="Arial" w:cs="Arial" w:eastAsia="Arial" w:hAnsi="Arial"/>
          <w:sz w:val="13"/>
          <w:szCs w:val="13"/>
          <w:color w:val="auto"/>
        </w:rPr>
        <w:t>The6Company.4 shall not be required to issue fractional Shares upon the settlement of the Award.</w:t>
      </w:r>
    </w:p>
    <w:p>
      <w:pPr>
        <w:spacing w:after="0" w:line="148" w:lineRule="exact"/>
        <w:rPr>
          <w:sz w:val="20"/>
          <w:szCs w:val="20"/>
          <w:color w:val="auto"/>
        </w:rPr>
      </w:pPr>
    </w:p>
    <w:p>
      <w:pPr>
        <w:ind w:left="20"/>
        <w:spacing w:after="0"/>
        <w:rPr>
          <w:sz w:val="20"/>
          <w:szCs w:val="20"/>
          <w:color w:val="auto"/>
        </w:rPr>
      </w:pPr>
      <w:r>
        <w:rPr>
          <w:rFonts w:ascii="Arial" w:cs="Arial" w:eastAsia="Arial" w:hAnsi="Arial"/>
          <w:sz w:val="9"/>
          <w:szCs w:val="9"/>
          <w:b w:val="1"/>
          <w:bCs w:val="1"/>
          <w:u w:val="single" w:color="auto"/>
          <w:color w:val="auto"/>
        </w:rPr>
        <w:t>HHOLDING AND</w:t>
      </w:r>
      <w:r>
        <w:rPr>
          <w:rFonts w:ascii="Arial" w:cs="Arial" w:eastAsia="Arial" w:hAnsi="Arial"/>
          <w:sz w:val="9"/>
          <w:szCs w:val="9"/>
          <w:b w:val="1"/>
          <w:bCs w:val="1"/>
          <w:color w:val="auto"/>
        </w:rPr>
        <w:t xml:space="preserve"> </w:t>
      </w:r>
      <w:r>
        <w:rPr>
          <w:rFonts w:ascii="Arial" w:cs="Arial" w:eastAsia="Arial" w:hAnsi="Arial"/>
          <w:sz w:val="13"/>
          <w:szCs w:val="13"/>
          <w:b w:val="1"/>
          <w:bCs w:val="1"/>
          <w:u w:val="single" w:color="auto"/>
          <w:color w:val="auto"/>
        </w:rPr>
        <w:t>A</w:t>
      </w:r>
      <w:r>
        <w:rPr>
          <w:rFonts w:ascii="Arial" w:cs="Arial" w:eastAsia="Arial" w:hAnsi="Arial"/>
          <w:sz w:val="9"/>
          <w:szCs w:val="9"/>
          <w:b w:val="1"/>
          <w:bCs w:val="1"/>
          <w:u w:val="single" w:color="auto"/>
          <w:color w:val="auto"/>
        </w:rPr>
        <w:t>DVICE</w:t>
      </w:r>
      <w:r>
        <w:rPr>
          <w:rFonts w:ascii="Arial" w:cs="Arial" w:eastAsia="Arial" w:hAnsi="Arial"/>
          <w:sz w:val="13"/>
          <w:szCs w:val="13"/>
          <w:color w:val="auto"/>
        </w:rPr>
        <w:t>7.</w:t>
      </w:r>
      <w:r>
        <w:rPr>
          <w:rFonts w:ascii="Arial" w:cs="Arial" w:eastAsia="Arial" w:hAnsi="Arial"/>
          <w:sz w:val="13"/>
          <w:szCs w:val="13"/>
          <w:b w:val="1"/>
          <w:bCs w:val="1"/>
          <w:color w:val="auto"/>
        </w:rPr>
        <w:t>.</w:t>
      </w:r>
    </w:p>
    <w:p>
      <w:pPr>
        <w:spacing w:after="0" w:line="148" w:lineRule="exact"/>
        <w:rPr>
          <w:sz w:val="20"/>
          <w:szCs w:val="20"/>
          <w:color w:val="auto"/>
        </w:rPr>
      </w:pPr>
    </w:p>
    <w:p>
      <w:pPr>
        <w:jc w:val="both"/>
        <w:ind w:left="80" w:firstLine="1766"/>
        <w:spacing w:after="0" w:line="261" w:lineRule="auto"/>
        <w:rPr>
          <w:sz w:val="20"/>
          <w:szCs w:val="20"/>
          <w:color w:val="auto"/>
        </w:rPr>
      </w:pPr>
      <w:r>
        <w:rPr>
          <w:rFonts w:ascii="Arial" w:cs="Arial" w:eastAsia="Arial" w:hAnsi="Arial"/>
          <w:sz w:val="13"/>
          <w:szCs w:val="13"/>
          <w:color w:val="auto"/>
        </w:rPr>
        <w:t xml:space="preserve">7.1 </w:t>
      </w:r>
      <w:r>
        <w:rPr>
          <w:rFonts w:ascii="Arial" w:cs="Arial" w:eastAsia="Arial" w:hAnsi="Arial"/>
          <w:sz w:val="13"/>
          <w:szCs w:val="13"/>
          <w:b w:val="1"/>
          <w:bCs w:val="1"/>
          <w:color w:val="auto"/>
        </w:rPr>
        <w:t>In General.</w:t>
      </w:r>
      <w:r>
        <w:rPr>
          <w:rFonts w:ascii="Arial" w:cs="Arial" w:eastAsia="Arial" w:hAnsi="Arial"/>
          <w:sz w:val="13"/>
          <w:szCs w:val="13"/>
          <w:color w:val="auto"/>
        </w:rPr>
        <w:t xml:space="preserve"> Subject to Section 7.2, at the time the Grant Notice is executed, or at any time thereafter as requested by the Company, the Participant hereby authorizes withholding from payroll and any other amounts payable to the Participant, and otherwise agrees to make adequate provision for, any sums required to satisfy the U.S. federal, state, and local taxes and (if applicable) taxes imposed by</w:t>
      </w:r>
    </w:p>
    <w:p>
      <w:pPr>
        <w:spacing w:after="0" w:line="102" w:lineRule="exact"/>
        <w:rPr>
          <w:sz w:val="20"/>
          <w:szCs w:val="20"/>
          <w:color w:val="auto"/>
        </w:rPr>
      </w:pPr>
    </w:p>
    <w:p>
      <w:pPr>
        <w:ind w:left="960"/>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104775</wp:posOffset>
            </wp:positionV>
            <wp:extent cx="7329170" cy="3683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46">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560"/>
          </w:cols>
          <w:pgMar w:left="140" w:top="269" w:right="199" w:bottom="1440" w:gutter="0" w:footer="0" w:header="0"/>
        </w:sectPr>
      </w:pPr>
    </w:p>
    <w:bookmarkStart w:id="161" w:name="page162"/>
    <w:bookmarkEnd w:id="161"/>
    <w:p>
      <w:pPr>
        <w:jc w:val="both"/>
        <w:ind w:left="80"/>
        <w:spacing w:after="0" w:line="271" w:lineRule="auto"/>
        <w:rPr>
          <w:sz w:val="20"/>
          <w:szCs w:val="20"/>
          <w:color w:val="auto"/>
        </w:rPr>
      </w:pPr>
      <w:r>
        <w:rPr>
          <w:rFonts w:ascii="Arial" w:cs="Arial" w:eastAsia="Arial" w:hAnsi="Arial"/>
          <w:sz w:val="13"/>
          <w:szCs w:val="13"/>
          <w:color w:val="auto"/>
        </w:rPr>
        <w:t>jurisdictions outside of the United States (including income tax, social insurance contributions, payment on account and any other taxes) and required by law to be withheld with respect to any taxable event arising as a result of the Participant’s participation in the Plan (referred to herein as “</w:t>
      </w:r>
      <w:r>
        <w:rPr>
          <w:rFonts w:ascii="Arial" w:cs="Arial" w:eastAsia="Arial" w:hAnsi="Arial"/>
          <w:sz w:val="13"/>
          <w:szCs w:val="13"/>
          <w:b w:val="1"/>
          <w:bCs w:val="1"/>
          <w:i w:val="1"/>
          <w:iCs w:val="1"/>
          <w:color w:val="auto"/>
        </w:rPr>
        <w:t>Tax-Related Items</w:t>
      </w:r>
      <w:r>
        <w:rPr>
          <w:rFonts w:ascii="Arial" w:cs="Arial" w:eastAsia="Arial" w:hAnsi="Arial"/>
          <w:sz w:val="13"/>
          <w:szCs w:val="13"/>
          <w:color w:val="auto"/>
        </w:rPr>
        <w:t>”).</w:t>
      </w:r>
    </w:p>
    <w:p>
      <w:pPr>
        <w:spacing w:after="0" w:line="109" w:lineRule="exact"/>
        <w:rPr>
          <w:sz w:val="20"/>
          <w:szCs w:val="20"/>
          <w:color w:val="auto"/>
        </w:rPr>
      </w:pPr>
    </w:p>
    <w:p>
      <w:pPr>
        <w:jc w:val="both"/>
        <w:ind w:left="80" w:right="20" w:firstLine="418"/>
        <w:spacing w:after="0" w:line="256" w:lineRule="auto"/>
        <w:rPr>
          <w:sz w:val="20"/>
          <w:szCs w:val="20"/>
          <w:color w:val="auto"/>
        </w:rPr>
      </w:pPr>
      <w:r>
        <w:rPr>
          <w:rFonts w:ascii="Arial" w:cs="Arial" w:eastAsia="Arial" w:hAnsi="Arial"/>
          <w:sz w:val="13"/>
          <w:szCs w:val="13"/>
          <w:b w:val="1"/>
          <w:bCs w:val="1"/>
          <w:color w:val="auto"/>
        </w:rPr>
        <w:t xml:space="preserve">Withholding of Taxes. </w:t>
      </w:r>
      <w:r>
        <w:rPr>
          <w:rFonts w:ascii="Arial" w:cs="Arial" w:eastAsia="Arial" w:hAnsi="Arial"/>
          <w:sz w:val="13"/>
          <w:szCs w:val="13"/>
          <w:color w:val="auto"/>
        </w:rPr>
        <w:t>The7.2 Company or any other Participating Company, as appropriate, shall have the authority and the right to deduct or withhold, or require the Participant to remit to the applicable</w:t>
      </w:r>
      <w:r>
        <w:rPr>
          <w:rFonts w:ascii="Arial" w:cs="Arial" w:eastAsia="Arial" w:hAnsi="Arial"/>
          <w:sz w:val="13"/>
          <w:szCs w:val="13"/>
          <w:b w:val="1"/>
          <w:bCs w:val="1"/>
          <w:color w:val="auto"/>
        </w:rPr>
        <w:t xml:space="preserve"> </w:t>
      </w:r>
      <w:r>
        <w:rPr>
          <w:rFonts w:ascii="Arial" w:cs="Arial" w:eastAsia="Arial" w:hAnsi="Arial"/>
          <w:sz w:val="13"/>
          <w:szCs w:val="13"/>
          <w:color w:val="auto"/>
        </w:rPr>
        <w:t>Participating Company, an amount sufficient to satisfy applicable Tax-Related Items or to take such other action as may be necessary in the opinion of the applicable Participating Company to satisfy such Tax-Related Items (including hypothetical withholding tax amounts if the Participant is covered under a Company tax equalization policy). In this regard, the Participant authorizes the applicable Participating Company or their respective agents, at their discretion, to satisfy the obligations with regard to all Tax-Related Items by one or a combination of the following:</w:t>
      </w:r>
    </w:p>
    <w:p>
      <w:pPr>
        <w:spacing w:after="0" w:line="123" w:lineRule="exact"/>
        <w:rPr>
          <w:sz w:val="20"/>
          <w:szCs w:val="20"/>
          <w:color w:val="auto"/>
        </w:rPr>
      </w:pPr>
    </w:p>
    <w:p>
      <w:pPr>
        <w:ind w:left="1360"/>
        <w:spacing w:after="0"/>
        <w:rPr>
          <w:sz w:val="20"/>
          <w:szCs w:val="20"/>
          <w:color w:val="auto"/>
        </w:rPr>
      </w:pPr>
      <w:r>
        <w:rPr>
          <w:rFonts w:ascii="Arial" w:cs="Arial" w:eastAsia="Arial" w:hAnsi="Arial"/>
          <w:sz w:val="13"/>
          <w:szCs w:val="13"/>
          <w:color w:val="auto"/>
        </w:rPr>
        <w:t>withholding from the Participant’s(a) wages or other cash compensation paid to the Participant by the applicable Participating Company; or</w:t>
      </w:r>
    </w:p>
    <w:p>
      <w:pPr>
        <w:spacing w:after="0" w:line="148" w:lineRule="exact"/>
        <w:rPr>
          <w:sz w:val="20"/>
          <w:szCs w:val="20"/>
          <w:color w:val="auto"/>
        </w:rPr>
      </w:pPr>
    </w:p>
    <w:p>
      <w:pPr>
        <w:jc w:val="both"/>
        <w:ind w:left="80" w:firstLine="1291"/>
        <w:spacing w:after="0" w:line="271" w:lineRule="auto"/>
        <w:rPr>
          <w:sz w:val="20"/>
          <w:szCs w:val="20"/>
          <w:color w:val="auto"/>
        </w:rPr>
      </w:pPr>
      <w:r>
        <w:rPr>
          <w:rFonts w:ascii="Arial" w:cs="Arial" w:eastAsia="Arial" w:hAnsi="Arial"/>
          <w:sz w:val="13"/>
          <w:szCs w:val="13"/>
          <w:color w:val="auto"/>
        </w:rPr>
        <w:t>withholding from proceeds(b)of the sale of Shares acquired upon vesting and settlement of the Units, either through a voluntary sale or through a mandatory sale arranged by the Company (on the Participant’s behalf pursuant to this authorization); or</w:t>
      </w:r>
    </w:p>
    <w:p>
      <w:pPr>
        <w:spacing w:after="0" w:line="113" w:lineRule="exact"/>
        <w:rPr>
          <w:sz w:val="20"/>
          <w:szCs w:val="20"/>
          <w:color w:val="auto"/>
        </w:rPr>
      </w:pPr>
    </w:p>
    <w:p>
      <w:pPr>
        <w:ind w:left="1460"/>
        <w:spacing w:after="0"/>
        <w:rPr>
          <w:sz w:val="20"/>
          <w:szCs w:val="20"/>
          <w:color w:val="auto"/>
        </w:rPr>
      </w:pPr>
      <w:r>
        <w:rPr>
          <w:rFonts w:ascii="Arial" w:cs="Arial" w:eastAsia="Arial" w:hAnsi="Arial"/>
          <w:sz w:val="13"/>
          <w:szCs w:val="13"/>
          <w:color w:val="auto"/>
        </w:rPr>
        <w:t>withholding in Shares to(c)be issued upon vesting and settlement of the Units; or</w:t>
      </w:r>
    </w:p>
    <w:p>
      <w:pPr>
        <w:spacing w:after="0" w:line="148" w:lineRule="exact"/>
        <w:rPr>
          <w:sz w:val="20"/>
          <w:szCs w:val="20"/>
          <w:color w:val="auto"/>
        </w:rPr>
      </w:pPr>
    </w:p>
    <w:p>
      <w:pPr>
        <w:ind w:left="3300" w:hanging="578"/>
        <w:spacing w:after="0"/>
        <w:tabs>
          <w:tab w:leader="none" w:pos="3300" w:val="left"/>
        </w:tabs>
        <w:numPr>
          <w:ilvl w:val="0"/>
          <w:numId w:val="117"/>
        </w:numPr>
        <w:rPr>
          <w:rFonts w:ascii="Arial" w:cs="Arial" w:eastAsia="Arial" w:hAnsi="Arial"/>
          <w:sz w:val="13"/>
          <w:szCs w:val="13"/>
          <w:color w:val="auto"/>
        </w:rPr>
      </w:pPr>
      <w:r>
        <w:rPr>
          <w:rFonts w:ascii="Arial" w:cs="Arial" w:eastAsia="Arial" w:hAnsi="Arial"/>
          <w:sz w:val="13"/>
          <w:szCs w:val="13"/>
          <w:color w:val="auto"/>
        </w:rPr>
        <w:t>direct payment from the Participant.</w:t>
      </w:r>
    </w:p>
    <w:p>
      <w:pPr>
        <w:spacing w:after="0" w:line="148" w:lineRule="exact"/>
        <w:rPr>
          <w:sz w:val="20"/>
          <w:szCs w:val="20"/>
          <w:color w:val="auto"/>
        </w:rPr>
      </w:pPr>
    </w:p>
    <w:p>
      <w:pPr>
        <w:jc w:val="both"/>
        <w:ind w:left="80" w:firstLine="883"/>
        <w:spacing w:after="0" w:line="252" w:lineRule="auto"/>
        <w:rPr>
          <w:sz w:val="20"/>
          <w:szCs w:val="20"/>
          <w:color w:val="auto"/>
        </w:rPr>
      </w:pPr>
      <w:r>
        <w:rPr>
          <w:rFonts w:ascii="Arial" w:cs="Arial" w:eastAsia="Arial" w:hAnsi="Arial"/>
          <w:sz w:val="13"/>
          <w:szCs w:val="13"/>
          <w:color w:val="auto"/>
        </w:rPr>
        <w:t>To avoid negative accounting treatment, the Company may withhold or account for Tax-Related Items by considering applicable minimum statutory withholding amounts or other applicable withholding rates. If the Participant is covered by a Company tax equalization policy, the Participant agrees to pay to the Company any additional hypothetical tax obligation calculated and paid under the terms and conditions of such tax equalization policy. Finally, the Participant shall pay to the applicable Participating Company any amount of Tax-Related Items that the Participating Company may be required to withhold as a result of his or her participation in the Plan that cannot be satisfied by the means previously described. The Company may refuse to issue or deliver the Shares that may be issued in connection with the settlement of the Units if the Participant fails to comply with his or her Tax-Related Items obligations.</w:t>
      </w:r>
    </w:p>
    <w:p>
      <w:pPr>
        <w:spacing w:after="0" w:line="121" w:lineRule="exact"/>
        <w:rPr>
          <w:sz w:val="20"/>
          <w:szCs w:val="20"/>
          <w:color w:val="auto"/>
        </w:rPr>
      </w:pPr>
    </w:p>
    <w:p>
      <w:pPr>
        <w:jc w:val="both"/>
        <w:ind w:left="80" w:firstLine="1766"/>
        <w:spacing w:after="0" w:line="284" w:lineRule="auto"/>
        <w:rPr>
          <w:sz w:val="20"/>
          <w:szCs w:val="20"/>
          <w:color w:val="auto"/>
        </w:rPr>
      </w:pPr>
      <w:r>
        <w:rPr>
          <w:rFonts w:ascii="Arial" w:cs="Arial" w:eastAsia="Arial" w:hAnsi="Arial"/>
          <w:sz w:val="12"/>
          <w:szCs w:val="12"/>
          <w:color w:val="auto"/>
        </w:rPr>
        <w:t xml:space="preserve">7.3 </w:t>
      </w:r>
      <w:r>
        <w:rPr>
          <w:rFonts w:ascii="Arial" w:cs="Arial" w:eastAsia="Arial" w:hAnsi="Arial"/>
          <w:sz w:val="12"/>
          <w:szCs w:val="12"/>
          <w:b w:val="1"/>
          <w:bCs w:val="1"/>
          <w:color w:val="auto"/>
        </w:rPr>
        <w:t>Tax Advice</w:t>
      </w:r>
      <w:r>
        <w:rPr>
          <w:rFonts w:ascii="Arial" w:cs="Arial" w:eastAsia="Arial" w:hAnsi="Arial"/>
          <w:sz w:val="12"/>
          <w:szCs w:val="12"/>
          <w:color w:val="auto"/>
        </w:rPr>
        <w:t>. The Participant represents, warrants and acknowledges that the Company has made no warranties or representations to the Participant with respect to the income tax consequences of the transactions contemplated by this Agreement, and the Participant is in no manner relying on the Company or the Company’s representatives for an assessment of such tax consequences. THE PARTICIPANT UNDERSTANDS THAT THE TAX LAWS AND REGULATIONS ARE SUBJECT TO CHANGE. THE PARTICIPANT SHOULD CONSULT HIS OR HER OWN TAX ADVISOR REGARDING THE UNITS. NOTHING STATED HEREIN IS INTENDED OR WRITTEN TO BE USED, AND CANNOT BE USED, FOR THE PURPOSE OF AVOIDING TAXPAYER PENALTIES.</w:t>
      </w:r>
    </w:p>
    <w:p>
      <w:pPr>
        <w:spacing w:after="0" w:line="107" w:lineRule="exact"/>
        <w:rPr>
          <w:sz w:val="20"/>
          <w:szCs w:val="20"/>
          <w:color w:val="auto"/>
        </w:rPr>
      </w:pPr>
    </w:p>
    <w:p>
      <w:pPr>
        <w:spacing w:after="0"/>
        <w:rPr>
          <w:sz w:val="20"/>
          <w:szCs w:val="20"/>
          <w:color w:val="auto"/>
        </w:rPr>
      </w:pPr>
      <w:r>
        <w:rPr>
          <w:rFonts w:ascii="Arial" w:cs="Arial" w:eastAsia="Arial" w:hAnsi="Arial"/>
          <w:sz w:val="9"/>
          <w:szCs w:val="9"/>
          <w:color w:val="auto"/>
        </w:rPr>
        <w:t xml:space="preserve">ZATION TO </w:t>
      </w:r>
      <w:r>
        <w:rPr>
          <w:rFonts w:ascii="Arial" w:cs="Arial" w:eastAsia="Arial" w:hAnsi="Arial"/>
          <w:sz w:val="13"/>
          <w:szCs w:val="13"/>
          <w:color w:val="auto"/>
        </w:rPr>
        <w:t>R</w:t>
      </w:r>
      <w:r>
        <w:rPr>
          <w:rFonts w:ascii="Arial" w:cs="Arial" w:eastAsia="Arial" w:hAnsi="Arial"/>
          <w:sz w:val="9"/>
          <w:szCs w:val="9"/>
          <w:color w:val="auto"/>
        </w:rPr>
        <w:t xml:space="preserve">ELEASE </w:t>
      </w:r>
      <w:r>
        <w:rPr>
          <w:rFonts w:ascii="Arial" w:cs="Arial" w:eastAsia="Arial" w:hAnsi="Arial"/>
          <w:sz w:val="13"/>
          <w:szCs w:val="13"/>
          <w:color w:val="auto"/>
        </w:rPr>
        <w:t>N8.</w:t>
      </w:r>
      <w:r>
        <w:rPr>
          <w:rFonts w:ascii="Arial" w:cs="Arial" w:eastAsia="Arial" w:hAnsi="Arial"/>
          <w:sz w:val="9"/>
          <w:szCs w:val="9"/>
          <w:color w:val="auto"/>
        </w:rPr>
        <w:t xml:space="preserve">ECESSARY </w:t>
      </w:r>
      <w:r>
        <w:rPr>
          <w:rFonts w:ascii="Arial" w:cs="Arial" w:eastAsia="Arial" w:hAnsi="Arial"/>
          <w:sz w:val="13"/>
          <w:szCs w:val="13"/>
          <w:color w:val="auto"/>
        </w:rPr>
        <w:t>P</w:t>
      </w:r>
      <w:r>
        <w:rPr>
          <w:rFonts w:ascii="Arial" w:cs="Arial" w:eastAsia="Arial" w:hAnsi="Arial"/>
          <w:sz w:val="9"/>
          <w:szCs w:val="9"/>
          <w:color w:val="auto"/>
        </w:rPr>
        <w:t xml:space="preserve">ERSONAL </w:t>
      </w:r>
      <w:r>
        <w:rPr>
          <w:rFonts w:ascii="Arial" w:cs="Arial" w:eastAsia="Arial" w:hAnsi="Arial"/>
          <w:sz w:val="13"/>
          <w:szCs w:val="13"/>
          <w:color w:val="auto"/>
        </w:rPr>
        <w:t>I</w:t>
      </w:r>
      <w:r>
        <w:rPr>
          <w:rFonts w:ascii="Arial" w:cs="Arial" w:eastAsia="Arial" w:hAnsi="Arial"/>
          <w:sz w:val="9"/>
          <w:szCs w:val="9"/>
          <w:color w:val="auto"/>
        </w:rPr>
        <w:t>NFORMATION</w:t>
      </w:r>
      <w:r>
        <w:rPr>
          <w:rFonts w:ascii="Arial" w:cs="Arial" w:eastAsia="Arial" w:hAnsi="Arial"/>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wp:posOffset>
            </wp:positionV>
            <wp:extent cx="1703070" cy="571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47">
                      <a:extLst>
                        <a:ext uri="{28A0092B-C50C-407E-A947-70E740481C1C}"/>
                      </a:extLst>
                    </a:blip>
                    <a:srcRect/>
                    <a:stretch>
                      <a:fillRect/>
                    </a:stretch>
                  </pic:blipFill>
                  <pic:spPr bwMode="auto">
                    <a:xfrm>
                      <a:off x="0" y="0"/>
                      <a:ext cx="1703070" cy="5715"/>
                    </a:xfrm>
                    <a:prstGeom prst="rect">
                      <a:avLst/>
                    </a:prstGeom>
                    <a:noFill/>
                  </pic:spPr>
                </pic:pic>
              </a:graphicData>
            </a:graphic>
          </wp:anchor>
        </w:drawing>
      </w:r>
    </w:p>
    <w:p>
      <w:pPr>
        <w:spacing w:after="0" w:line="128" w:lineRule="exact"/>
        <w:rPr>
          <w:sz w:val="20"/>
          <w:szCs w:val="20"/>
          <w:color w:val="auto"/>
        </w:rPr>
      </w:pPr>
    </w:p>
    <w:p>
      <w:pPr>
        <w:jc w:val="both"/>
        <w:ind w:left="80" w:firstLine="1766"/>
        <w:spacing w:after="0" w:line="258" w:lineRule="auto"/>
        <w:rPr>
          <w:sz w:val="20"/>
          <w:szCs w:val="20"/>
          <w:color w:val="auto"/>
        </w:rPr>
      </w:pPr>
      <w:r>
        <w:rPr>
          <w:rFonts w:ascii="Arial" w:cs="Arial" w:eastAsia="Arial" w:hAnsi="Arial"/>
          <w:sz w:val="13"/>
          <w:szCs w:val="13"/>
          <w:color w:val="auto"/>
        </w:rPr>
        <w:t>The Participant hereby authorizes and directs the Participant’s employer to collect, use and transfer in electronic or other form, any personal information (the “</w:t>
      </w:r>
      <w:r>
        <w:rPr>
          <w:rFonts w:ascii="Arial" w:cs="Arial" w:eastAsia="Arial" w:hAnsi="Arial"/>
          <w:sz w:val="13"/>
          <w:szCs w:val="13"/>
          <w:b w:val="1"/>
          <w:bCs w:val="1"/>
          <w:i w:val="1"/>
          <w:iCs w:val="1"/>
          <w:color w:val="auto"/>
        </w:rPr>
        <w:t>Data</w:t>
      </w:r>
      <w:r>
        <w:rPr>
          <w:rFonts w:ascii="Arial" w:cs="Arial" w:eastAsia="Arial" w:hAnsi="Arial"/>
          <w:sz w:val="13"/>
          <w:szCs w:val="13"/>
          <w:color w:val="auto"/>
        </w:rPr>
        <w:t>”) regarding the Participant’s Service, the nature and amount of the Participant’s compensation and the fact and conditions of the Participant’s participation in the Plan (including, but not limited to, the Participant’s name, home address, telephone number, date of birth, social security number (or any other social or national identification</w:t>
      </w:r>
    </w:p>
    <w:p>
      <w:pPr>
        <w:spacing w:after="0" w:line="103" w:lineRule="exact"/>
        <w:rPr>
          <w:sz w:val="20"/>
          <w:szCs w:val="20"/>
          <w:color w:val="auto"/>
        </w:rPr>
      </w:pPr>
    </w:p>
    <w:p>
      <w:pPr>
        <w:ind w:left="960"/>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104775</wp:posOffset>
            </wp:positionV>
            <wp:extent cx="7329170" cy="3683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48">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560"/>
          </w:cols>
          <w:pgMar w:left="140" w:top="273" w:right="199" w:bottom="1440" w:gutter="0" w:footer="0" w:header="0"/>
        </w:sectPr>
      </w:pPr>
    </w:p>
    <w:bookmarkStart w:id="162" w:name="page163"/>
    <w:bookmarkEnd w:id="162"/>
    <w:p>
      <w:pPr>
        <w:jc w:val="both"/>
        <w:ind w:left="60"/>
        <w:spacing w:after="0" w:line="249" w:lineRule="auto"/>
        <w:rPr>
          <w:sz w:val="20"/>
          <w:szCs w:val="20"/>
          <w:color w:val="auto"/>
        </w:rPr>
      </w:pPr>
      <w:r>
        <w:rPr>
          <w:rFonts w:ascii="Arial" w:cs="Arial" w:eastAsia="Arial" w:hAnsi="Arial"/>
          <w:sz w:val="13"/>
          <w:szCs w:val="13"/>
          <w:color w:val="auto"/>
        </w:rPr>
        <w:t>number), salary, nationality, job title, number of Shares held and the details of all Units or any other entitlement to Shares awarded, cancelled, exercised, vested, unvested or outstanding) for the purpose of implementing, administering and managing the Participant’s participation in the Plan. The Participant understands that the Data may be transferred to the Company or any other Participating Company, or to any third parties assisting in the implementation, administration and management of the Plan, including any requisite transfer to a brokerage firm or other third party assisting with administration of the Award or with whom Shares acquired upon settlement of this Award or cash from the sale of such Shares may be deposited. The Participant acknowledges that recipients of the Data may be located in different countries, and those countries may have data privacy laws and protections different from those in the country of the Participant’s residence. Furthermore, the Participant acknowledges and understands that the transfer of the Data to the Company or any of other Participating Company, or to any third parties is necessary for Participant’s participation in the Plan. The Participant may at any time withdraw the consents herein, by contacting the Company’s stock administration department in writing. The Participant further acknowledges that withdrawal of consent may affect the Participant’s ability to realize benefits from the Award, and the Participant’s ability to participate in the Plan.</w:t>
      </w:r>
    </w:p>
    <w:p>
      <w:pPr>
        <w:spacing w:after="0" w:line="124" w:lineRule="exact"/>
        <w:rPr>
          <w:sz w:val="20"/>
          <w:szCs w:val="20"/>
          <w:color w:val="auto"/>
        </w:rPr>
      </w:pPr>
    </w:p>
    <w:p>
      <w:pPr>
        <w:spacing w:after="0"/>
        <w:tabs>
          <w:tab w:leader="none" w:pos="920" w:val="left"/>
        </w:tabs>
        <w:rPr>
          <w:sz w:val="20"/>
          <w:szCs w:val="20"/>
          <w:color w:val="auto"/>
        </w:rPr>
      </w:pPr>
      <w:r>
        <w:rPr>
          <w:rFonts w:ascii="Arial" w:cs="Arial" w:eastAsia="Arial" w:hAnsi="Arial"/>
          <w:sz w:val="9"/>
          <w:szCs w:val="9"/>
          <w:b w:val="1"/>
          <w:bCs w:val="1"/>
          <w:color w:val="auto"/>
        </w:rPr>
        <w:t xml:space="preserve">E IN </w:t>
      </w:r>
      <w:r>
        <w:rPr>
          <w:rFonts w:ascii="Arial" w:cs="Arial" w:eastAsia="Arial" w:hAnsi="Arial"/>
          <w:sz w:val="13"/>
          <w:szCs w:val="13"/>
          <w:b w:val="1"/>
          <w:bCs w:val="1"/>
          <w:color w:val="auto"/>
        </w:rPr>
        <w:t>C</w:t>
      </w:r>
      <w:r>
        <w:rPr>
          <w:rFonts w:ascii="Arial" w:cs="Arial" w:eastAsia="Arial" w:hAnsi="Arial"/>
          <w:sz w:val="9"/>
          <w:szCs w:val="9"/>
          <w:b w:val="1"/>
          <w:bCs w:val="1"/>
          <w:color w:val="auto"/>
        </w:rPr>
        <w:t>ONTROL</w:t>
      </w:r>
      <w:r>
        <w:rPr>
          <w:rFonts w:ascii="Arial" w:cs="Arial" w:eastAsia="Arial" w:hAnsi="Arial"/>
          <w:sz w:val="13"/>
          <w:szCs w:val="13"/>
          <w:b w:val="1"/>
          <w:bCs w:val="1"/>
          <w:i w:val="1"/>
          <w:iCs w:val="1"/>
          <w:color w:val="auto"/>
        </w:rPr>
        <w:t>.</w:t>
      </w:r>
      <w:r>
        <w:rPr>
          <w:sz w:val="20"/>
          <w:szCs w:val="20"/>
          <w:color w:val="auto"/>
        </w:rPr>
        <w:tab/>
      </w:r>
      <w:r>
        <w:rPr>
          <w:rFonts w:ascii="Arial" w:cs="Arial" w:eastAsia="Arial" w:hAnsi="Arial"/>
          <w:sz w:val="11"/>
          <w:szCs w:val="11"/>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-5080</wp:posOffset>
            </wp:positionV>
            <wp:extent cx="461010" cy="571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49">
                      <a:extLst>
                        <a:ext uri="{28A0092B-C50C-407E-A947-70E740481C1C}"/>
                      </a:extLst>
                    </a:blip>
                    <a:srcRect/>
                    <a:stretch>
                      <a:fillRect/>
                    </a:stretch>
                  </pic:blipFill>
                  <pic:spPr bwMode="auto">
                    <a:xfrm>
                      <a:off x="0" y="0"/>
                      <a:ext cx="461010" cy="5715"/>
                    </a:xfrm>
                    <a:prstGeom prst="rect">
                      <a:avLst/>
                    </a:prstGeom>
                    <a:noFill/>
                  </pic:spPr>
                </pic:pic>
              </a:graphicData>
            </a:graphic>
          </wp:anchor>
        </w:drawing>
      </w:r>
    </w:p>
    <w:p>
      <w:pPr>
        <w:spacing w:after="0" w:line="132" w:lineRule="exact"/>
        <w:rPr>
          <w:sz w:val="20"/>
          <w:szCs w:val="20"/>
          <w:color w:val="auto"/>
        </w:rPr>
      </w:pPr>
    </w:p>
    <w:p>
      <w:pPr>
        <w:jc w:val="both"/>
        <w:ind w:left="60" w:firstLine="1766"/>
        <w:spacing w:after="0" w:line="271" w:lineRule="auto"/>
        <w:rPr>
          <w:sz w:val="20"/>
          <w:szCs w:val="20"/>
          <w:color w:val="auto"/>
        </w:rPr>
      </w:pPr>
      <w:r>
        <w:rPr>
          <w:rFonts w:ascii="Arial" w:cs="Arial" w:eastAsia="Arial" w:hAnsi="Arial"/>
          <w:sz w:val="13"/>
          <w:szCs w:val="13"/>
          <w:color w:val="auto"/>
        </w:rPr>
        <w:t>In the event of a Change in Control, this Section 9 shall determine the treatment of the Units which have not otherwise become Vested Units, except as otherwise determined in accordance with an employment agreement or other agreement between the Company and the Participant which is applicable to this Award.</w:t>
      </w:r>
    </w:p>
    <w:p>
      <w:pPr>
        <w:sectPr>
          <w:pgSz w:w="11900" w:h="16838" w:orient="portrait"/>
          <w:cols w:equalWidth="0" w:num="1">
            <w:col w:w="11540"/>
          </w:cols>
          <w:pgMar w:left="160" w:top="273" w:right="199" w:bottom="1440" w:gutter="0" w:footer="0" w:header="0"/>
        </w:sectPr>
      </w:pPr>
    </w:p>
    <w:p>
      <w:pPr>
        <w:spacing w:after="0" w:line="266" w:lineRule="exact"/>
        <w:rPr>
          <w:sz w:val="20"/>
          <w:szCs w:val="20"/>
          <w:color w:val="auto"/>
        </w:rPr>
      </w:pPr>
    </w:p>
    <w:p>
      <w:pPr>
        <w:ind w:left="60"/>
        <w:spacing w:after="0"/>
        <w:rPr>
          <w:sz w:val="20"/>
          <w:szCs w:val="20"/>
          <w:color w:val="auto"/>
        </w:rPr>
      </w:pPr>
      <w:r>
        <w:rPr>
          <w:rFonts w:ascii="Arial" w:cs="Arial" w:eastAsia="Arial" w:hAnsi="Arial"/>
          <w:sz w:val="11"/>
          <w:szCs w:val="11"/>
          <w:b w:val="1"/>
          <w:bCs w:val="1"/>
          <w:i w:val="1"/>
          <w:iCs w:val="1"/>
          <w:color w:val="auto"/>
        </w:rPr>
        <w:t>Period</w:t>
      </w:r>
      <w:r>
        <w:rPr>
          <w:rFonts w:ascii="Arial" w:cs="Arial" w:eastAsia="Arial" w:hAnsi="Arial"/>
          <w:sz w:val="11"/>
          <w:szCs w:val="11"/>
          <w:color w:val="auto"/>
        </w:rPr>
        <w:t>”).</w:t>
      </w:r>
    </w:p>
    <w:p>
      <w:pPr>
        <w:spacing w:after="0" w:line="20" w:lineRule="exact"/>
        <w:rPr>
          <w:sz w:val="20"/>
          <w:szCs w:val="20"/>
          <w:color w:val="auto"/>
        </w:rPr>
      </w:pPr>
      <w:r>
        <w:rPr>
          <w:sz w:val="20"/>
          <w:szCs w:val="20"/>
          <w:color w:val="auto"/>
        </w:rPr>
        <w:br w:type="column"/>
      </w:r>
    </w:p>
    <w:p>
      <w:pPr>
        <w:spacing w:after="0" w:line="89" w:lineRule="exact"/>
        <w:rPr>
          <w:sz w:val="20"/>
          <w:szCs w:val="20"/>
          <w:color w:val="auto"/>
        </w:rPr>
      </w:pPr>
    </w:p>
    <w:p>
      <w:pPr>
        <w:ind w:right="20" w:hanging="31"/>
        <w:spacing w:after="0" w:line="278" w:lineRule="auto"/>
        <w:rPr>
          <w:sz w:val="20"/>
          <w:szCs w:val="20"/>
          <w:color w:val="auto"/>
        </w:rPr>
      </w:pPr>
      <w:r>
        <w:rPr>
          <w:rFonts w:ascii="Arial" w:cs="Arial" w:eastAsia="Arial" w:hAnsi="Arial"/>
          <w:sz w:val="13"/>
          <w:szCs w:val="13"/>
          <w:b w:val="1"/>
          <w:bCs w:val="1"/>
          <w:color w:val="auto"/>
        </w:rPr>
        <w:t>Effect of Change in Control</w:t>
      </w:r>
      <w:r>
        <w:rPr>
          <w:rFonts w:ascii="Arial" w:cs="Arial" w:eastAsia="Arial" w:hAnsi="Arial"/>
          <w:sz w:val="13"/>
          <w:szCs w:val="13"/>
          <w:color w:val="auto"/>
        </w:rPr>
        <w:t>9.1</w:t>
      </w:r>
      <w:r>
        <w:rPr>
          <w:rFonts w:ascii="Arial" w:cs="Arial" w:eastAsia="Arial" w:hAnsi="Arial"/>
          <w:sz w:val="13"/>
          <w:szCs w:val="13"/>
          <w:b w:val="1"/>
          <w:bCs w:val="1"/>
          <w:color w:val="auto"/>
        </w:rPr>
        <w:t xml:space="preserve"> on Award. </w:t>
      </w:r>
      <w:r>
        <w:rPr>
          <w:rFonts w:ascii="Arial" w:cs="Arial" w:eastAsia="Arial" w:hAnsi="Arial"/>
          <w:sz w:val="13"/>
          <w:szCs w:val="13"/>
          <w:color w:val="auto"/>
        </w:rPr>
        <w:t>In the event of a Change in Control, the Performance Period shall end on the day immediately preceding the Change in Control (the “</w:t>
      </w:r>
      <w:r>
        <w:rPr>
          <w:rFonts w:ascii="Arial" w:cs="Arial" w:eastAsia="Arial" w:hAnsi="Arial"/>
          <w:sz w:val="13"/>
          <w:szCs w:val="13"/>
          <w:b w:val="1"/>
          <w:bCs w:val="1"/>
          <w:i w:val="1"/>
          <w:iCs w:val="1"/>
          <w:color w:val="auto"/>
        </w:rPr>
        <w:t>Adjusted Performance</w:t>
      </w:r>
      <w:r>
        <w:rPr>
          <w:rFonts w:ascii="Arial" w:cs="Arial" w:eastAsia="Arial" w:hAnsi="Arial"/>
          <w:sz w:val="13"/>
          <w:szCs w:val="13"/>
          <w:b w:val="1"/>
          <w:bCs w:val="1"/>
          <w:color w:val="auto"/>
        </w:rPr>
        <w:t xml:space="preserve"> </w:t>
      </w:r>
      <w:r>
        <w:rPr>
          <w:rFonts w:ascii="Arial" w:cs="Arial" w:eastAsia="Arial" w:hAnsi="Arial"/>
          <w:sz w:val="13"/>
          <w:szCs w:val="13"/>
          <w:color w:val="auto"/>
        </w:rPr>
        <w:t>The number of Earned Units and the vesting of those Units shall be determined for the Adjusted Performance Period in accordance with the following:</w:t>
      </w:r>
    </w:p>
    <w:p>
      <w:pPr>
        <w:spacing w:after="0" w:line="104" w:lineRule="exact"/>
        <w:rPr>
          <w:sz w:val="20"/>
          <w:szCs w:val="20"/>
          <w:color w:val="auto"/>
        </w:rPr>
      </w:pPr>
    </w:p>
    <w:p>
      <w:pPr>
        <w:sectPr>
          <w:pgSz w:w="11900" w:h="16838" w:orient="portrait"/>
          <w:cols w:equalWidth="0" w:num="2">
            <w:col w:w="540" w:space="80"/>
            <w:col w:w="10920"/>
          </w:cols>
          <w:pgMar w:left="160" w:top="273" w:right="199" w:bottom="1440" w:gutter="0" w:footer="0" w:header="0"/>
          <w:type w:val="continuous"/>
        </w:sectPr>
      </w:pPr>
    </w:p>
    <w:p>
      <w:pPr>
        <w:spacing w:after="0" w:line="4" w:lineRule="exact"/>
        <w:rPr>
          <w:sz w:val="20"/>
          <w:szCs w:val="20"/>
          <w:color w:val="auto"/>
        </w:rPr>
      </w:pPr>
    </w:p>
    <w:p>
      <w:pPr>
        <w:ind w:left="2700"/>
        <w:spacing w:after="0"/>
        <w:rPr>
          <w:sz w:val="20"/>
          <w:szCs w:val="20"/>
          <w:color w:val="auto"/>
        </w:rPr>
      </w:pPr>
      <w:r>
        <w:rPr>
          <w:rFonts w:ascii="Arial" w:cs="Arial" w:eastAsia="Arial" w:hAnsi="Arial"/>
          <w:sz w:val="11"/>
          <w:szCs w:val="11"/>
          <w:color w:val="auto"/>
        </w:rPr>
        <w:t>(a)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b w:val="1"/>
          <w:bCs w:val="1"/>
          <w:color w:val="auto"/>
        </w:rPr>
        <w:t>Earned Units.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In the Committee’s determination of the number of Earned Units for the Adjusted Performance Period, the</w:t>
      </w:r>
    </w:p>
    <w:p>
      <w:pPr>
        <w:spacing w:after="0" w:line="28" w:lineRule="exact"/>
        <w:rPr>
          <w:sz w:val="20"/>
          <w:szCs w:val="20"/>
          <w:color w:val="auto"/>
        </w:rPr>
      </w:pPr>
    </w:p>
    <w:p>
      <w:pPr>
        <w:sectPr>
          <w:pgSz w:w="11900" w:h="16838" w:orient="portrait"/>
          <w:cols w:equalWidth="0" w:num="3">
            <w:col w:w="3860" w:space="720"/>
            <w:col w:w="780" w:space="60"/>
            <w:col w:w="6120"/>
          </w:cols>
          <w:pgMar w:left="160" w:top="273" w:right="199" w:bottom="1440" w:gutter="0" w:footer="0" w:header="0"/>
          <w:type w:val="continuous"/>
        </w:sectPr>
      </w:pPr>
    </w:p>
    <w:p>
      <w:pPr>
        <w:ind w:left="60"/>
        <w:spacing w:after="0"/>
        <w:rPr>
          <w:sz w:val="20"/>
          <w:szCs w:val="20"/>
          <w:color w:val="auto"/>
        </w:rPr>
      </w:pPr>
      <w:r>
        <w:rPr>
          <w:rFonts w:ascii="Arial" w:cs="Arial" w:eastAsia="Arial" w:hAnsi="Arial"/>
          <w:sz w:val="13"/>
          <w:szCs w:val="13"/>
          <w:color w:val="auto"/>
        </w:rPr>
        <w:t>following modifications shall be made to the components of the Relative TSR Factor:</w:t>
      </w:r>
    </w:p>
    <w:p>
      <w:pPr>
        <w:spacing w:after="0" w:line="135" w:lineRule="exact"/>
        <w:rPr>
          <w:sz w:val="20"/>
          <w:szCs w:val="20"/>
          <w:color w:val="auto"/>
        </w:rPr>
      </w:pPr>
    </w:p>
    <w:p>
      <w:pPr>
        <w:ind w:left="3580"/>
        <w:spacing w:after="0"/>
        <w:tabs>
          <w:tab w:leader="none" w:pos="5860" w:val="left"/>
        </w:tabs>
        <w:rPr>
          <w:sz w:val="20"/>
          <w:szCs w:val="20"/>
          <w:color w:val="auto"/>
        </w:rPr>
      </w:pPr>
      <w:r>
        <w:rPr>
          <w:rFonts w:ascii="Arial" w:cs="Arial" w:eastAsia="Arial" w:hAnsi="Arial"/>
          <w:sz w:val="11"/>
          <w:szCs w:val="11"/>
          <w:color w:val="auto"/>
        </w:rPr>
        <w:t>(i)</w:t>
      </w:r>
      <w:r>
        <w:rPr>
          <w:sz w:val="20"/>
          <w:szCs w:val="20"/>
          <w:color w:val="auto"/>
        </w:rPr>
        <w:tab/>
      </w:r>
      <w:r>
        <w:rPr>
          <w:rFonts w:ascii="Arial" w:cs="Arial" w:eastAsia="Arial" w:hAnsi="Arial"/>
          <w:sz w:val="11"/>
          <w:szCs w:val="11"/>
          <w:color w:val="auto"/>
        </w:rPr>
        <w:t>The Company’s Annualized TSR Percentage shall be determined for the Adjusted Performance Period as</w:t>
      </w:r>
    </w:p>
    <w:p>
      <w:pPr>
        <w:sectPr>
          <w:pgSz w:w="11900" w:h="16838" w:orient="portrait"/>
          <w:cols w:equalWidth="0" w:num="1">
            <w:col w:w="11540"/>
          </w:cols>
          <w:pgMar w:left="160" w:top="273" w:right="199" w:bottom="1440" w:gutter="0" w:footer="0" w:header="0"/>
          <w:type w:val="continuous"/>
        </w:sectPr>
      </w:pPr>
    </w:p>
    <w:p>
      <w:pPr>
        <w:spacing w:after="0" w:line="39" w:lineRule="exact"/>
        <w:rPr>
          <w:sz w:val="20"/>
          <w:szCs w:val="20"/>
          <w:color w:val="auto"/>
        </w:rPr>
      </w:pPr>
    </w:p>
    <w:p>
      <w:pPr>
        <w:ind w:left="60" w:right="100"/>
        <w:spacing w:after="0" w:line="315" w:lineRule="auto"/>
        <w:rPr>
          <w:sz w:val="20"/>
          <w:szCs w:val="20"/>
          <w:color w:val="auto"/>
        </w:rPr>
      </w:pPr>
      <w:r>
        <w:rPr>
          <w:rFonts w:ascii="Arial" w:cs="Arial" w:eastAsia="Arial" w:hAnsi="Arial"/>
          <w:sz w:val="11"/>
          <w:szCs w:val="11"/>
          <w:color w:val="auto"/>
        </w:rPr>
        <w:t>provided by Section 2.1, except that the Ending Average Per Share Closing Price for the 20 trading days ending on the last day of the Adjusted Performance Period shall be replaced with the price per Share to be paid to the holder thereof in accordance with the definitive agreement governing the transaction constituting the Change in Control (or, in the absence of such agreement, the closing price per Share as reported on the Nasdaq Capital Market for the last trading day of the Adjusted Performance Period), increased by the aggregate of all cash dividends paid to the holder of a share of Stock during the Adjusted Performance Period.</w:t>
      </w:r>
    </w:p>
    <w:p>
      <w:pPr>
        <w:spacing w:after="0" w:line="93" w:lineRule="exact"/>
        <w:rPr>
          <w:sz w:val="20"/>
          <w:szCs w:val="20"/>
          <w:color w:val="auto"/>
        </w:rPr>
      </w:pPr>
    </w:p>
    <w:p>
      <w:pPr>
        <w:ind w:left="60" w:right="120" w:firstLine="3534"/>
        <w:spacing w:after="0" w:line="271" w:lineRule="auto"/>
        <w:rPr>
          <w:sz w:val="20"/>
          <w:szCs w:val="20"/>
          <w:color w:val="auto"/>
        </w:rPr>
      </w:pPr>
      <w:r>
        <w:rPr>
          <w:rFonts w:ascii="Arial" w:cs="Arial" w:eastAsia="Arial" w:hAnsi="Arial"/>
          <w:sz w:val="13"/>
          <w:szCs w:val="13"/>
          <w:color w:val="auto"/>
        </w:rPr>
        <w:t>(ii) The Comparator Group Median Annualized TSR shall be determined as provided by Section 2.7, except that the Ending Average Per Share Closing Price for each Comparator Group Company shall be determined for the 20 trading days ending on the last day of the Adjusted Performance Period.</w:t>
      </w:r>
    </w:p>
    <w:p>
      <w:pPr>
        <w:spacing w:after="0" w:line="109" w:lineRule="exact"/>
        <w:rPr>
          <w:sz w:val="20"/>
          <w:szCs w:val="20"/>
          <w:color w:val="auto"/>
        </w:rPr>
      </w:pPr>
    </w:p>
    <w:p>
      <w:pPr>
        <w:ind w:left="2700"/>
        <w:spacing w:after="0"/>
        <w:tabs>
          <w:tab w:leader="none" w:pos="4560" w:val="left"/>
        </w:tabs>
        <w:rPr>
          <w:sz w:val="20"/>
          <w:szCs w:val="20"/>
          <w:color w:val="auto"/>
        </w:rPr>
      </w:pPr>
      <w:r>
        <w:rPr>
          <w:rFonts w:ascii="Arial" w:cs="Arial" w:eastAsia="Arial" w:hAnsi="Arial"/>
          <w:sz w:val="11"/>
          <w:szCs w:val="11"/>
          <w:color w:val="auto"/>
        </w:rPr>
        <w:t>(b)</w:t>
      </w:r>
      <w:r>
        <w:rPr>
          <w:sz w:val="20"/>
          <w:szCs w:val="20"/>
          <w:color w:val="auto"/>
        </w:rPr>
        <w:tab/>
      </w:r>
      <w:r>
        <w:rPr>
          <w:rFonts w:ascii="Arial" w:cs="Arial" w:eastAsia="Arial" w:hAnsi="Arial"/>
          <w:sz w:val="11"/>
          <w:szCs w:val="11"/>
          <w:b w:val="1"/>
          <w:bCs w:val="1"/>
          <w:color w:val="auto"/>
        </w:rPr>
        <w:t xml:space="preserve">Vested Units. </w:t>
      </w:r>
      <w:r>
        <w:rPr>
          <w:rFonts w:ascii="Arial" w:cs="Arial" w:eastAsia="Arial" w:hAnsi="Arial"/>
          <w:sz w:val="11"/>
          <w:szCs w:val="11"/>
          <w:color w:val="auto"/>
        </w:rPr>
        <w:t>As of the last day of the Adjusted Performance Period and provided that the Participant’s Service has not terminated</w:t>
      </w:r>
    </w:p>
    <w:p>
      <w:pPr>
        <w:spacing w:after="0" w:line="41" w:lineRule="exact"/>
        <w:rPr>
          <w:sz w:val="20"/>
          <w:szCs w:val="20"/>
          <w:color w:val="auto"/>
        </w:rPr>
      </w:pPr>
    </w:p>
    <w:p>
      <w:pPr>
        <w:ind w:left="60" w:right="20"/>
        <w:spacing w:after="0" w:line="255" w:lineRule="auto"/>
        <w:rPr>
          <w:sz w:val="20"/>
          <w:szCs w:val="20"/>
          <w:color w:val="auto"/>
        </w:rPr>
      </w:pPr>
      <w:r>
        <w:rPr>
          <w:rFonts w:ascii="Arial" w:cs="Arial" w:eastAsia="Arial" w:hAnsi="Arial"/>
          <w:sz w:val="13"/>
          <w:szCs w:val="13"/>
          <w:color w:val="auto"/>
        </w:rPr>
        <w:t>prior to such date (except as provided by Section 9.2), a portion of the Earned Units determined in accordance with Section 9.1(a) shall become Vested Units (the “</w:t>
      </w:r>
      <w:r>
        <w:rPr>
          <w:rFonts w:ascii="Arial" w:cs="Arial" w:eastAsia="Arial" w:hAnsi="Arial"/>
          <w:sz w:val="13"/>
          <w:szCs w:val="13"/>
          <w:b w:val="1"/>
          <w:bCs w:val="1"/>
          <w:i w:val="1"/>
          <w:iCs w:val="1"/>
          <w:color w:val="auto"/>
        </w:rPr>
        <w:t>Accelerated Units</w:t>
      </w:r>
      <w:r>
        <w:rPr>
          <w:rFonts w:ascii="Arial" w:cs="Arial" w:eastAsia="Arial" w:hAnsi="Arial"/>
          <w:sz w:val="13"/>
          <w:szCs w:val="13"/>
          <w:color w:val="auto"/>
        </w:rPr>
        <w:t>”), with such portion determined by multiplying the total number of Earned Units by a fraction, the numerator of which equals the number of days contained in the Adjusted</w:t>
      </w:r>
    </w:p>
    <w:p>
      <w:pPr>
        <w:spacing w:after="0" w:line="105" w:lineRule="exact"/>
        <w:rPr>
          <w:sz w:val="20"/>
          <w:szCs w:val="20"/>
          <w:color w:val="auto"/>
        </w:rPr>
      </w:pPr>
    </w:p>
    <w:p>
      <w:pPr>
        <w:ind w:left="940"/>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104775</wp:posOffset>
            </wp:positionV>
            <wp:extent cx="7329170" cy="3683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50">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540"/>
          </w:cols>
          <w:pgMar w:left="160" w:top="273" w:right="199" w:bottom="1440" w:gutter="0" w:footer="0" w:header="0"/>
          <w:type w:val="continuous"/>
        </w:sectPr>
      </w:pPr>
    </w:p>
    <w:bookmarkStart w:id="163" w:name="page164"/>
    <w:bookmarkEnd w:id="163"/>
    <w:p>
      <w:pPr>
        <w:ind w:left="60" w:right="100"/>
        <w:spacing w:after="0" w:line="275" w:lineRule="auto"/>
        <w:rPr>
          <w:sz w:val="20"/>
          <w:szCs w:val="20"/>
          <w:color w:val="auto"/>
        </w:rPr>
      </w:pPr>
      <w:r>
        <w:rPr>
          <w:rFonts w:ascii="Arial" w:cs="Arial" w:eastAsia="Arial" w:hAnsi="Arial"/>
          <w:sz w:val="12"/>
          <w:szCs w:val="12"/>
          <w:color w:val="auto"/>
        </w:rPr>
        <w:t>Performance Period and the denominator of which equals the number of days contained in the original Performance Period determined without regard to this Section. The Accelerated Units shall be settled in accordance Section 6 immediately prior to the consummation of the Change in Control. Except as otherwise provided by Section 9.3, that portion of the Earned Units determined in accordance with Section 9.1(a) in excess of the number of Accelerated Units shall become Vested Units on the Vesting Date of the original Performance Period determined without regard to this Section, provided that the Participant’s Service has not terminated prior to such Vesting Date. Such Vested Units shall be settled on the Settlement Date in accordance with Section 6, provided that payment for each Vested Unit shall be made in the amount and in the form of the consideration (whether stock, cash, other securities or property or a combination thereof) to which a holder of a Share on the effective date of the Change in Control was entitled (and if holders were offered a choice of consideration, the type of consideration chosen by the holders of a majority of the outstanding Shares).</w:t>
      </w:r>
    </w:p>
    <w:p>
      <w:pPr>
        <w:spacing w:after="0" w:line="110" w:lineRule="exact"/>
        <w:rPr>
          <w:sz w:val="20"/>
          <w:szCs w:val="20"/>
          <w:color w:val="auto"/>
        </w:rPr>
      </w:pPr>
    </w:p>
    <w:p>
      <w:pPr>
        <w:jc w:val="both"/>
        <w:ind w:left="60" w:firstLine="1766"/>
        <w:spacing w:after="0" w:line="256" w:lineRule="auto"/>
        <w:rPr>
          <w:sz w:val="20"/>
          <w:szCs w:val="20"/>
          <w:color w:val="auto"/>
        </w:rPr>
      </w:pPr>
      <w:r>
        <w:rPr>
          <w:rFonts w:ascii="Arial" w:cs="Arial" w:eastAsia="Arial" w:hAnsi="Arial"/>
          <w:sz w:val="13"/>
          <w:szCs w:val="13"/>
          <w:color w:val="auto"/>
        </w:rPr>
        <w:t xml:space="preserve">9.2 </w:t>
      </w:r>
      <w:r>
        <w:rPr>
          <w:rFonts w:ascii="Arial" w:cs="Arial" w:eastAsia="Arial" w:hAnsi="Arial"/>
          <w:sz w:val="13"/>
          <w:szCs w:val="13"/>
          <w:b w:val="1"/>
          <w:bCs w:val="1"/>
          <w:color w:val="auto"/>
        </w:rPr>
        <w:t>Involuntary Termination in Anticipation of a Change in Control.</w:t>
      </w:r>
      <w:r>
        <w:rPr>
          <w:rFonts w:ascii="Arial" w:cs="Arial" w:eastAsia="Arial" w:hAnsi="Arial"/>
          <w:sz w:val="13"/>
          <w:szCs w:val="13"/>
          <w:color w:val="auto"/>
        </w:rPr>
        <w:t xml:space="preserve"> In the event that the Participant’s Service terminates due to Involuntary Termination in Anticipation of a Change in Control, the number of Earned Units shall be determined in the manner specified by Section 9.1 as of the day immediately preceding the Change in Control, with respect to an Adjusted Performance Period ending on such day. The number of Earned Units so determined shall vest in full and become Vested Units, and such Vested Units shall be settled in accordance Section 6 immediately prior to the consummation of the Change in Control.</w:t>
      </w:r>
    </w:p>
    <w:p>
      <w:pPr>
        <w:spacing w:after="0" w:line="119" w:lineRule="exact"/>
        <w:rPr>
          <w:sz w:val="20"/>
          <w:szCs w:val="20"/>
          <w:color w:val="auto"/>
        </w:rPr>
      </w:pPr>
    </w:p>
    <w:p>
      <w:pPr>
        <w:jc w:val="both"/>
        <w:ind w:left="60" w:firstLine="1766"/>
        <w:spacing w:after="0" w:line="280" w:lineRule="auto"/>
        <w:rPr>
          <w:sz w:val="20"/>
          <w:szCs w:val="20"/>
          <w:color w:val="auto"/>
        </w:rPr>
      </w:pPr>
      <w:r>
        <w:rPr>
          <w:rFonts w:ascii="Arial" w:cs="Arial" w:eastAsia="Arial" w:hAnsi="Arial"/>
          <w:sz w:val="12"/>
          <w:szCs w:val="12"/>
          <w:color w:val="auto"/>
        </w:rPr>
        <w:t xml:space="preserve">9.3 </w:t>
      </w:r>
      <w:r>
        <w:rPr>
          <w:rFonts w:ascii="Arial" w:cs="Arial" w:eastAsia="Arial" w:hAnsi="Arial"/>
          <w:sz w:val="12"/>
          <w:szCs w:val="12"/>
          <w:b w:val="1"/>
          <w:bCs w:val="1"/>
          <w:color w:val="auto"/>
        </w:rPr>
        <w:t>Involuntary Termination Following Change in Control.</w:t>
      </w:r>
      <w:r>
        <w:rPr>
          <w:rFonts w:ascii="Arial" w:cs="Arial" w:eastAsia="Arial" w:hAnsi="Arial"/>
          <w:sz w:val="12"/>
          <w:szCs w:val="12"/>
          <w:color w:val="auto"/>
        </w:rPr>
        <w:t xml:space="preserve"> In the event that upon or within twelve (12) months following the effective date of the Change in Control, the Participant’s Service terminates due to Involuntary Termination, the vesting of the Earned Units determined in accordance with Section 9.1(a) in excess of the number of Accelerated Units shall be deemed Vested Units effective as of the date of the Participant’s Involuntary Termination and shall be settled in accordance with Section 6, treating the date of the Participant’s termination of Service as the Vesting Date, and provided that payment for each Vested Unit shall be made in the amount and in the form of the consideration (whether stock, cash, other securities or property or a combination thereof) to which a holder of a Share on the effective date of the Change in Control was entitled (and if holders were offered a choice of consideration, the type of consideration chosen by the holders of a majority of the outstanding Shares).</w:t>
      </w:r>
    </w:p>
    <w:p>
      <w:pPr>
        <w:spacing w:after="0" w:line="105" w:lineRule="exact"/>
        <w:rPr>
          <w:sz w:val="20"/>
          <w:szCs w:val="20"/>
          <w:color w:val="auto"/>
        </w:rPr>
      </w:pPr>
    </w:p>
    <w:p>
      <w:pPr>
        <w:ind w:left="1540" w:hanging="605"/>
        <w:spacing w:after="0"/>
        <w:tabs>
          <w:tab w:leader="none" w:pos="1540" w:val="left"/>
        </w:tabs>
        <w:numPr>
          <w:ilvl w:val="0"/>
          <w:numId w:val="118"/>
        </w:numPr>
        <w:rPr>
          <w:rFonts w:ascii="Arial" w:cs="Arial" w:eastAsia="Arial" w:hAnsi="Arial"/>
          <w:sz w:val="13"/>
          <w:szCs w:val="13"/>
          <w:color w:val="auto"/>
        </w:rPr>
      </w:pPr>
      <w:r>
        <w:rPr>
          <w:rFonts w:ascii="Arial" w:cs="Arial" w:eastAsia="Arial" w:hAnsi="Arial"/>
          <w:sz w:val="13"/>
          <w:szCs w:val="13"/>
          <w:b w:val="1"/>
          <w:bCs w:val="1"/>
          <w:u w:val="single" w:color="auto"/>
          <w:color w:val="auto"/>
        </w:rPr>
        <w:t>A</w:t>
      </w:r>
      <w:r>
        <w:rPr>
          <w:rFonts w:ascii="Arial" w:cs="Arial" w:eastAsia="Arial" w:hAnsi="Arial"/>
          <w:sz w:val="9"/>
          <w:szCs w:val="9"/>
          <w:b w:val="1"/>
          <w:bCs w:val="1"/>
          <w:u w:val="single" w:color="auto"/>
          <w:color w:val="auto"/>
        </w:rPr>
        <w:t>DJUSTMENTS FOR</w:t>
      </w:r>
      <w:r>
        <w:rPr>
          <w:rFonts w:ascii="Arial" w:cs="Arial" w:eastAsia="Arial" w:hAnsi="Arial"/>
          <w:sz w:val="13"/>
          <w:szCs w:val="13"/>
          <w:b w:val="1"/>
          <w:bCs w:val="1"/>
          <w:color w:val="auto"/>
        </w:rPr>
        <w:t xml:space="preserve"> </w:t>
      </w:r>
      <w:r>
        <w:rPr>
          <w:rFonts w:ascii="Arial" w:cs="Arial" w:eastAsia="Arial" w:hAnsi="Arial"/>
          <w:sz w:val="13"/>
          <w:szCs w:val="13"/>
          <w:b w:val="1"/>
          <w:bCs w:val="1"/>
          <w:u w:val="single" w:color="auto"/>
          <w:color w:val="auto"/>
        </w:rPr>
        <w:t>C</w:t>
      </w:r>
      <w:r>
        <w:rPr>
          <w:rFonts w:ascii="Arial" w:cs="Arial" w:eastAsia="Arial" w:hAnsi="Arial"/>
          <w:sz w:val="9"/>
          <w:szCs w:val="9"/>
          <w:b w:val="1"/>
          <w:bCs w:val="1"/>
          <w:u w:val="single" w:color="auto"/>
          <w:color w:val="auto"/>
        </w:rPr>
        <w:t>HANGES IN</w:t>
      </w:r>
      <w:r>
        <w:rPr>
          <w:rFonts w:ascii="Arial" w:cs="Arial" w:eastAsia="Arial" w:hAnsi="Arial"/>
          <w:sz w:val="13"/>
          <w:szCs w:val="13"/>
          <w:b w:val="1"/>
          <w:bCs w:val="1"/>
          <w:color w:val="auto"/>
        </w:rPr>
        <w:t xml:space="preserve"> </w:t>
      </w:r>
      <w:r>
        <w:rPr>
          <w:rFonts w:ascii="Arial" w:cs="Arial" w:eastAsia="Arial" w:hAnsi="Arial"/>
          <w:sz w:val="13"/>
          <w:szCs w:val="13"/>
          <w:b w:val="1"/>
          <w:bCs w:val="1"/>
          <w:u w:val="single" w:color="auto"/>
          <w:color w:val="auto"/>
        </w:rPr>
        <w:t>C</w:t>
      </w:r>
      <w:r>
        <w:rPr>
          <w:rFonts w:ascii="Arial" w:cs="Arial" w:eastAsia="Arial" w:hAnsi="Arial"/>
          <w:sz w:val="9"/>
          <w:szCs w:val="9"/>
          <w:b w:val="1"/>
          <w:bCs w:val="1"/>
          <w:u w:val="single" w:color="auto"/>
          <w:color w:val="auto"/>
        </w:rPr>
        <w:t>APITAL</w:t>
      </w:r>
      <w:r>
        <w:rPr>
          <w:rFonts w:ascii="Arial" w:cs="Arial" w:eastAsia="Arial" w:hAnsi="Arial"/>
          <w:sz w:val="13"/>
          <w:szCs w:val="13"/>
          <w:b w:val="1"/>
          <w:bCs w:val="1"/>
          <w:color w:val="auto"/>
        </w:rPr>
        <w:t xml:space="preserve"> </w:t>
      </w:r>
      <w:r>
        <w:rPr>
          <w:rFonts w:ascii="Arial" w:cs="Arial" w:eastAsia="Arial" w:hAnsi="Arial"/>
          <w:sz w:val="13"/>
          <w:szCs w:val="13"/>
          <w:b w:val="1"/>
          <w:bCs w:val="1"/>
          <w:u w:val="single" w:color="auto"/>
          <w:color w:val="auto"/>
        </w:rPr>
        <w:t>S</w:t>
      </w:r>
      <w:r>
        <w:rPr>
          <w:rFonts w:ascii="Arial" w:cs="Arial" w:eastAsia="Arial" w:hAnsi="Arial"/>
          <w:sz w:val="9"/>
          <w:szCs w:val="9"/>
          <w:b w:val="1"/>
          <w:bCs w:val="1"/>
          <w:u w:val="single" w:color="auto"/>
          <w:color w:val="auto"/>
        </w:rPr>
        <w:t>TRUCTURE</w:t>
      </w:r>
      <w:r>
        <w:rPr>
          <w:rFonts w:ascii="Arial" w:cs="Arial" w:eastAsia="Arial" w:hAnsi="Arial"/>
          <w:sz w:val="13"/>
          <w:szCs w:val="13"/>
          <w:b w:val="1"/>
          <w:bCs w:val="1"/>
          <w:color w:val="auto"/>
        </w:rPr>
        <w:t>.</w:t>
      </w:r>
    </w:p>
    <w:p>
      <w:pPr>
        <w:spacing w:after="0" w:line="152" w:lineRule="exact"/>
        <w:rPr>
          <w:sz w:val="20"/>
          <w:szCs w:val="20"/>
          <w:color w:val="auto"/>
        </w:rPr>
      </w:pPr>
    </w:p>
    <w:p>
      <w:pPr>
        <w:jc w:val="both"/>
        <w:ind w:left="60" w:firstLine="883"/>
        <w:spacing w:after="0" w:line="290" w:lineRule="auto"/>
        <w:rPr>
          <w:sz w:val="20"/>
          <w:szCs w:val="20"/>
          <w:color w:val="auto"/>
        </w:rPr>
      </w:pPr>
      <w:r>
        <w:rPr>
          <w:rFonts w:ascii="Arial" w:cs="Arial" w:eastAsia="Arial" w:hAnsi="Arial"/>
          <w:sz w:val="12"/>
          <w:szCs w:val="12"/>
          <w:color w:val="auto"/>
        </w:rPr>
        <w:t>The number of Units awarded pursuant to this Agreement is subject to adjustment as provided in Section 4.3 of the Plan. Upon the occurrence of an event described in Section 4.3 of the Plan, any and all new, substituted or additional securities or other property to which a holder of a Share issuable in settlement of the Award would be entitled shall be immediately subject to the Agreement and included within the meaning of the term “Shares” for all purposes of the Award. The Participant shall be notified of such adjustments and such adjustments shall be binding upon the Company and the Participant.</w:t>
      </w:r>
    </w:p>
    <w:p>
      <w:pPr>
        <w:spacing w:after="0" w:line="99" w:lineRule="exact"/>
        <w:rPr>
          <w:sz w:val="20"/>
          <w:szCs w:val="20"/>
          <w:color w:val="auto"/>
        </w:rPr>
      </w:pPr>
    </w:p>
    <w:p>
      <w:pPr>
        <w:spacing w:after="0"/>
        <w:rPr>
          <w:sz w:val="20"/>
          <w:szCs w:val="20"/>
          <w:color w:val="auto"/>
        </w:rPr>
      </w:pPr>
      <w:r>
        <w:rPr>
          <w:rFonts w:ascii="Arial" w:cs="Arial" w:eastAsia="Arial" w:hAnsi="Arial"/>
          <w:sz w:val="9"/>
          <w:szCs w:val="9"/>
          <w:b w:val="1"/>
          <w:bCs w:val="1"/>
          <w:u w:val="single" w:color="auto"/>
          <w:color w:val="auto"/>
        </w:rPr>
        <w:t>ITLEMENT OR CLAIMS</w:t>
      </w:r>
      <w:r>
        <w:rPr>
          <w:rFonts w:ascii="Arial" w:cs="Arial" w:eastAsia="Arial" w:hAnsi="Arial"/>
          <w:sz w:val="13"/>
          <w:szCs w:val="13"/>
          <w:u w:val="single" w:color="auto"/>
          <w:color w:val="auto"/>
        </w:rPr>
        <w:t>11.</w:t>
      </w:r>
      <w:r>
        <w:rPr>
          <w:rFonts w:ascii="Arial" w:cs="Arial" w:eastAsia="Arial" w:hAnsi="Arial"/>
          <w:sz w:val="9"/>
          <w:szCs w:val="9"/>
          <w:b w:val="1"/>
          <w:bCs w:val="1"/>
          <w:u w:val="single" w:color="auto"/>
          <w:color w:val="auto"/>
        </w:rPr>
        <w:t>FOR COMPENSATION</w:t>
      </w:r>
      <w:r>
        <w:rPr>
          <w:rFonts w:ascii="Arial" w:cs="Arial" w:eastAsia="Arial" w:hAnsi="Arial"/>
          <w:sz w:val="13"/>
          <w:szCs w:val="13"/>
          <w:b w:val="1"/>
          <w:bCs w:val="1"/>
          <w:color w:val="auto"/>
        </w:rPr>
        <w:t>.</w:t>
      </w:r>
    </w:p>
    <w:p>
      <w:pPr>
        <w:spacing w:after="0" w:line="152" w:lineRule="exact"/>
        <w:rPr>
          <w:sz w:val="20"/>
          <w:szCs w:val="20"/>
          <w:color w:val="auto"/>
        </w:rPr>
      </w:pPr>
    </w:p>
    <w:p>
      <w:pPr>
        <w:jc w:val="both"/>
        <w:ind w:left="60" w:firstLine="479"/>
        <w:spacing w:after="0" w:line="254" w:lineRule="auto"/>
        <w:rPr>
          <w:sz w:val="20"/>
          <w:szCs w:val="20"/>
          <w:color w:val="auto"/>
        </w:rPr>
      </w:pPr>
      <w:r>
        <w:rPr>
          <w:rFonts w:ascii="Arial" w:cs="Arial" w:eastAsia="Arial" w:hAnsi="Arial"/>
          <w:sz w:val="13"/>
          <w:szCs w:val="13"/>
          <w:color w:val="auto"/>
        </w:rPr>
        <w:t>The Participant’s rights, 11if.any,1 in respect of or in connection with the Units are derived solely from the discretionary decision of the Company to permit the Participant to participate in the Plan and to benefit from a discretionary Award. By accepting the Units, the Participant expressly acknowledges that there is no obligation on the part of the Company to continue the Plan and/or grant any additional Units or other Awards to the Participant. The Units are not intended to be compensation of a continuing or recurring nature, or part of the Participant’s normal or expected compensation, and in no way represents any portion of the Participant’s salary, compensation, or other remuneration for purposes of pension benefits, severance, redundancy, resignation or any other purpose.</w:t>
      </w:r>
    </w:p>
    <w:p>
      <w:pPr>
        <w:spacing w:after="0" w:line="106" w:lineRule="exact"/>
        <w:rPr>
          <w:sz w:val="20"/>
          <w:szCs w:val="20"/>
          <w:color w:val="auto"/>
        </w:rPr>
      </w:pPr>
    </w:p>
    <w:p>
      <w:pPr>
        <w:ind w:left="940"/>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104775</wp:posOffset>
            </wp:positionV>
            <wp:extent cx="7329170" cy="3683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51">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540"/>
          </w:cols>
          <w:pgMar w:left="160" w:top="273" w:right="199" w:bottom="1440" w:gutter="0" w:footer="0" w:header="0"/>
        </w:sectPr>
      </w:pPr>
    </w:p>
    <w:bookmarkStart w:id="164" w:name="page165"/>
    <w:bookmarkEnd w:id="164"/>
    <w:p>
      <w:pPr>
        <w:jc w:val="both"/>
        <w:ind w:left="80" w:firstLine="479"/>
        <w:spacing w:after="0" w:line="282" w:lineRule="auto"/>
        <w:rPr>
          <w:sz w:val="20"/>
          <w:szCs w:val="20"/>
          <w:color w:val="auto"/>
        </w:rPr>
      </w:pPr>
      <w:r>
        <w:rPr>
          <w:rFonts w:ascii="Arial" w:cs="Arial" w:eastAsia="Arial" w:hAnsi="Arial"/>
          <w:sz w:val="12"/>
          <w:szCs w:val="12"/>
          <w:color w:val="auto"/>
        </w:rPr>
        <w:t>Neither the Plan nor the 11Units.2 shall be deemed to give the Participant a right to remain an Employee, Director or Consultant of the Company or any other Participating Company. The Participating Company Group reserves the right to terminate the Service of the Participant at any time, with or without cause, and for any reason, subject to applicable laws, the Company’s Certificate of Incorporation and Bylaws and a written employment agreement (if any), and the Participant shall be deemed irrevocably to have waived any claim to damages or specific performance for breach of contract or dismissal, compensation for loss of office, tort or otherwise with respect to the Plan, the Units or any other outstanding Award that is forfeited and/or is terminated by its terms or to any future Award.</w:t>
      </w:r>
    </w:p>
    <w:p>
      <w:pPr>
        <w:spacing w:after="0" w:line="104" w:lineRule="exact"/>
        <w:rPr>
          <w:sz w:val="20"/>
          <w:szCs w:val="20"/>
          <w:color w:val="auto"/>
        </w:rPr>
      </w:pPr>
    </w:p>
    <w:p>
      <w:pPr>
        <w:ind w:left="1560" w:hanging="605"/>
        <w:spacing w:after="0"/>
        <w:tabs>
          <w:tab w:leader="none" w:pos="1560" w:val="left"/>
        </w:tabs>
        <w:numPr>
          <w:ilvl w:val="0"/>
          <w:numId w:val="119"/>
        </w:numPr>
        <w:rPr>
          <w:rFonts w:ascii="Arial" w:cs="Arial" w:eastAsia="Arial" w:hAnsi="Arial"/>
          <w:sz w:val="13"/>
          <w:szCs w:val="13"/>
          <w:color w:val="auto"/>
        </w:rPr>
      </w:pPr>
      <w:r>
        <w:rPr>
          <w:rFonts w:ascii="Arial" w:cs="Arial" w:eastAsia="Arial" w:hAnsi="Arial"/>
          <w:sz w:val="13"/>
          <w:szCs w:val="13"/>
          <w:b w:val="1"/>
          <w:bCs w:val="1"/>
          <w:u w:val="single" w:color="auto"/>
          <w:color w:val="auto"/>
        </w:rPr>
        <w:t>R</w:t>
      </w:r>
      <w:r>
        <w:rPr>
          <w:rFonts w:ascii="Arial" w:cs="Arial" w:eastAsia="Arial" w:hAnsi="Arial"/>
          <w:sz w:val="9"/>
          <w:szCs w:val="9"/>
          <w:b w:val="1"/>
          <w:bCs w:val="1"/>
          <w:u w:val="single" w:color="auto"/>
          <w:color w:val="auto"/>
        </w:rPr>
        <w:t>IGHTS AS A</w:t>
      </w:r>
      <w:r>
        <w:rPr>
          <w:rFonts w:ascii="Arial" w:cs="Arial" w:eastAsia="Arial" w:hAnsi="Arial"/>
          <w:sz w:val="13"/>
          <w:szCs w:val="13"/>
          <w:b w:val="1"/>
          <w:bCs w:val="1"/>
          <w:color w:val="auto"/>
        </w:rPr>
        <w:t xml:space="preserve"> </w:t>
      </w:r>
      <w:r>
        <w:rPr>
          <w:rFonts w:ascii="Arial" w:cs="Arial" w:eastAsia="Arial" w:hAnsi="Arial"/>
          <w:sz w:val="13"/>
          <w:szCs w:val="13"/>
          <w:b w:val="1"/>
          <w:bCs w:val="1"/>
          <w:u w:val="single" w:color="auto"/>
          <w:color w:val="auto"/>
        </w:rPr>
        <w:t>S</w:t>
      </w:r>
      <w:r>
        <w:rPr>
          <w:rFonts w:ascii="Arial" w:cs="Arial" w:eastAsia="Arial" w:hAnsi="Arial"/>
          <w:sz w:val="9"/>
          <w:szCs w:val="9"/>
          <w:b w:val="1"/>
          <w:bCs w:val="1"/>
          <w:u w:val="single" w:color="auto"/>
          <w:color w:val="auto"/>
        </w:rPr>
        <w:t>TOCKHOLDER</w:t>
      </w:r>
      <w:r>
        <w:rPr>
          <w:rFonts w:ascii="Arial" w:cs="Arial" w:eastAsia="Arial" w:hAnsi="Arial"/>
          <w:sz w:val="13"/>
          <w:szCs w:val="13"/>
          <w:b w:val="1"/>
          <w:bCs w:val="1"/>
          <w:color w:val="auto"/>
        </w:rPr>
        <w:t>.</w:t>
      </w:r>
    </w:p>
    <w:p>
      <w:pPr>
        <w:spacing w:after="0" w:line="152" w:lineRule="exact"/>
        <w:rPr>
          <w:sz w:val="20"/>
          <w:szCs w:val="20"/>
          <w:color w:val="auto"/>
        </w:rPr>
      </w:pPr>
    </w:p>
    <w:p>
      <w:pPr>
        <w:jc w:val="both"/>
        <w:ind w:left="80" w:firstLine="1766"/>
        <w:spacing w:after="0" w:line="258" w:lineRule="auto"/>
        <w:rPr>
          <w:sz w:val="20"/>
          <w:szCs w:val="20"/>
          <w:color w:val="auto"/>
        </w:rPr>
      </w:pPr>
      <w:r>
        <w:rPr>
          <w:rFonts w:ascii="Arial" w:cs="Arial" w:eastAsia="Arial" w:hAnsi="Arial"/>
          <w:sz w:val="13"/>
          <w:szCs w:val="13"/>
          <w:color w:val="auto"/>
        </w:rPr>
        <w:t>The Participant shall have no rights as a stockholder with respect to any Shares that may be issued in settlement of this Award until the date of the issuance of a certificate for such Shares (as evidenced by the appropriate entry on the books of the Company or of a duly authorized transfer agent of the Company). No adjustment shall be made for dividends, dividend equivalents, distributions or other rights for which the record date is prior to the date such certificate is issued, except as provided in Section 10.</w:t>
      </w:r>
    </w:p>
    <w:p>
      <w:pPr>
        <w:spacing w:after="0" w:line="117" w:lineRule="exact"/>
        <w:rPr>
          <w:sz w:val="20"/>
          <w:szCs w:val="20"/>
          <w:color w:val="auto"/>
        </w:rPr>
      </w:pPr>
    </w:p>
    <w:p>
      <w:pPr>
        <w:spacing w:after="0"/>
        <w:rPr>
          <w:sz w:val="20"/>
          <w:szCs w:val="20"/>
          <w:color w:val="auto"/>
        </w:rPr>
      </w:pPr>
      <w:r>
        <w:rPr>
          <w:rFonts w:ascii="Arial" w:cs="Arial" w:eastAsia="Arial" w:hAnsi="Arial"/>
          <w:sz w:val="9"/>
          <w:szCs w:val="9"/>
          <w:b w:val="1"/>
          <w:bCs w:val="1"/>
          <w:u w:val="single" w:color="auto"/>
          <w:color w:val="auto"/>
        </w:rPr>
        <w:t>LANEOUS</w:t>
      </w:r>
      <w:r>
        <w:rPr>
          <w:rFonts w:ascii="Arial" w:cs="Arial" w:eastAsia="Arial" w:hAnsi="Arial"/>
          <w:sz w:val="9"/>
          <w:szCs w:val="9"/>
          <w:b w:val="1"/>
          <w:bCs w:val="1"/>
          <w:color w:val="auto"/>
        </w:rPr>
        <w:t xml:space="preserve"> </w:t>
      </w:r>
      <w:r>
        <w:rPr>
          <w:rFonts w:ascii="Arial" w:cs="Arial" w:eastAsia="Arial" w:hAnsi="Arial"/>
          <w:sz w:val="13"/>
          <w:szCs w:val="13"/>
          <w:b w:val="1"/>
          <w:bCs w:val="1"/>
          <w:u w:val="single" w:color="auto"/>
          <w:color w:val="auto"/>
        </w:rPr>
        <w:t>P</w:t>
      </w:r>
      <w:r>
        <w:rPr>
          <w:rFonts w:ascii="Arial" w:cs="Arial" w:eastAsia="Arial" w:hAnsi="Arial"/>
          <w:sz w:val="9"/>
          <w:szCs w:val="9"/>
          <w:b w:val="1"/>
          <w:bCs w:val="1"/>
          <w:u w:val="single" w:color="auto"/>
          <w:color w:val="auto"/>
        </w:rPr>
        <w:t>ROVISIONS</w:t>
      </w:r>
      <w:r>
        <w:rPr>
          <w:rFonts w:ascii="Arial" w:cs="Arial" w:eastAsia="Arial" w:hAnsi="Arial"/>
          <w:sz w:val="13"/>
          <w:szCs w:val="13"/>
          <w:u w:val="single" w:color="auto"/>
          <w:color w:val="auto"/>
        </w:rPr>
        <w:t>13</w:t>
      </w:r>
      <w:r>
        <w:rPr>
          <w:rFonts w:ascii="Arial" w:cs="Arial" w:eastAsia="Arial" w:hAnsi="Arial"/>
          <w:sz w:val="13"/>
          <w:szCs w:val="13"/>
          <w:b w:val="1"/>
          <w:bCs w:val="1"/>
          <w:color w:val="auto"/>
        </w:rPr>
        <w:t>.</w:t>
      </w:r>
      <w:r>
        <w:rPr>
          <w:rFonts w:ascii="Arial" w:cs="Arial" w:eastAsia="Arial" w:hAnsi="Arial"/>
          <w:sz w:val="13"/>
          <w:szCs w:val="13"/>
          <w:color w:val="auto"/>
        </w:rPr>
        <w:t>.</w:t>
      </w:r>
    </w:p>
    <w:p>
      <w:pPr>
        <w:spacing w:after="0" w:line="148" w:lineRule="exact"/>
        <w:rPr>
          <w:sz w:val="20"/>
          <w:szCs w:val="20"/>
          <w:color w:val="auto"/>
        </w:rPr>
      </w:pPr>
    </w:p>
    <w:p>
      <w:pPr>
        <w:jc w:val="both"/>
        <w:ind w:left="80" w:firstLine="1766"/>
        <w:spacing w:after="0" w:line="261" w:lineRule="auto"/>
        <w:rPr>
          <w:sz w:val="20"/>
          <w:szCs w:val="20"/>
          <w:color w:val="auto"/>
        </w:rPr>
      </w:pPr>
      <w:r>
        <w:rPr>
          <w:rFonts w:ascii="Arial" w:cs="Arial" w:eastAsia="Arial" w:hAnsi="Arial"/>
          <w:sz w:val="13"/>
          <w:szCs w:val="13"/>
          <w:color w:val="auto"/>
        </w:rPr>
        <w:t xml:space="preserve">13.1 </w:t>
      </w:r>
      <w:r>
        <w:rPr>
          <w:rFonts w:ascii="Arial" w:cs="Arial" w:eastAsia="Arial" w:hAnsi="Arial"/>
          <w:sz w:val="13"/>
          <w:szCs w:val="13"/>
          <w:b w:val="1"/>
          <w:bCs w:val="1"/>
          <w:color w:val="auto"/>
        </w:rPr>
        <w:t>Amendment.</w:t>
      </w:r>
      <w:r>
        <w:rPr>
          <w:rFonts w:ascii="Arial" w:cs="Arial" w:eastAsia="Arial" w:hAnsi="Arial"/>
          <w:sz w:val="13"/>
          <w:szCs w:val="13"/>
          <w:color w:val="auto"/>
        </w:rPr>
        <w:t xml:space="preserve"> The Committee may amend this Agreement at any time; provided, however, that no such amendment may adversely affect the Participant’s rights under this Agreement without the consent of the Participant, except to the extent such amendment is necessary to comply with applicable law, including, but not limited to, Code Section 409A. No amendment or addition to this Agreement shall be effective unless in writing.</w:t>
      </w:r>
    </w:p>
    <w:p>
      <w:pPr>
        <w:spacing w:after="0" w:line="116" w:lineRule="exact"/>
        <w:rPr>
          <w:sz w:val="20"/>
          <w:szCs w:val="20"/>
          <w:color w:val="auto"/>
        </w:rPr>
      </w:pPr>
    </w:p>
    <w:p>
      <w:pPr>
        <w:jc w:val="both"/>
        <w:ind w:left="80" w:firstLine="1766"/>
        <w:spacing w:after="0" w:line="284" w:lineRule="auto"/>
        <w:rPr>
          <w:sz w:val="20"/>
          <w:szCs w:val="20"/>
          <w:color w:val="auto"/>
        </w:rPr>
      </w:pPr>
      <w:r>
        <w:rPr>
          <w:rFonts w:ascii="Arial" w:cs="Arial" w:eastAsia="Arial" w:hAnsi="Arial"/>
          <w:sz w:val="12"/>
          <w:szCs w:val="12"/>
          <w:color w:val="auto"/>
        </w:rPr>
        <w:t xml:space="preserve">13.2 </w:t>
      </w:r>
      <w:r>
        <w:rPr>
          <w:rFonts w:ascii="Arial" w:cs="Arial" w:eastAsia="Arial" w:hAnsi="Arial"/>
          <w:sz w:val="12"/>
          <w:szCs w:val="12"/>
          <w:b w:val="1"/>
          <w:bCs w:val="1"/>
          <w:color w:val="auto"/>
        </w:rPr>
        <w:t>Nontransferability of the Award.</w:t>
      </w:r>
      <w:r>
        <w:rPr>
          <w:rFonts w:ascii="Arial" w:cs="Arial" w:eastAsia="Arial" w:hAnsi="Arial"/>
          <w:sz w:val="12"/>
          <w:szCs w:val="12"/>
          <w:color w:val="auto"/>
        </w:rPr>
        <w:t xml:space="preserve"> Prior to the issuance of Shares on the applicable Settlement Date, no right or interest of the Participant in the Award nor any Shares issuable on settlement of the Award shall be in any manner pledged, encumbered, or hypothecated to or in favor of any party other than the Company or shall become subject to any lien, obligation, or liability of such Participant to any other party other than the Company. Except as otherwise provided by the Committee, no Award shall be assigned, transferred or otherwise disposed of other than by will or the laws of descent and distribution. All rights with respect to the Award shall be exercisable during the Participant’s lifetime only by the Participant or the Participant’s guardian or legal representative.</w:t>
      </w:r>
    </w:p>
    <w:p>
      <w:pPr>
        <w:spacing w:after="0" w:line="103" w:lineRule="exact"/>
        <w:rPr>
          <w:sz w:val="20"/>
          <w:szCs w:val="20"/>
          <w:color w:val="auto"/>
        </w:rPr>
      </w:pPr>
    </w:p>
    <w:p>
      <w:pPr>
        <w:ind w:left="620"/>
        <w:spacing w:after="0"/>
        <w:rPr>
          <w:sz w:val="20"/>
          <w:szCs w:val="20"/>
          <w:color w:val="auto"/>
        </w:rPr>
      </w:pPr>
      <w:r>
        <w:rPr>
          <w:rFonts w:ascii="Arial" w:cs="Arial" w:eastAsia="Arial" w:hAnsi="Arial"/>
          <w:sz w:val="12"/>
          <w:szCs w:val="12"/>
          <w:b w:val="1"/>
          <w:bCs w:val="1"/>
          <w:color w:val="auto"/>
        </w:rPr>
        <w:t xml:space="preserve">Further Instruments. </w:t>
      </w:r>
      <w:r>
        <w:rPr>
          <w:rFonts w:ascii="Arial" w:cs="Arial" w:eastAsia="Arial" w:hAnsi="Arial"/>
          <w:sz w:val="12"/>
          <w:szCs w:val="12"/>
          <w:color w:val="auto"/>
        </w:rPr>
        <w:t>13The.3 parties hereto agree to execute such further instruments and to take such further action as may reasonably be necessary to carry out the intent of this Agreement.</w:t>
      </w:r>
    </w:p>
    <w:p>
      <w:pPr>
        <w:spacing w:after="0" w:line="159" w:lineRule="exact"/>
        <w:rPr>
          <w:sz w:val="20"/>
          <w:szCs w:val="20"/>
          <w:color w:val="auto"/>
        </w:rPr>
      </w:pPr>
    </w:p>
    <w:p>
      <w:pPr>
        <w:jc w:val="both"/>
        <w:ind w:left="80" w:firstLine="484"/>
        <w:spacing w:after="0" w:line="278" w:lineRule="auto"/>
        <w:rPr>
          <w:sz w:val="20"/>
          <w:szCs w:val="20"/>
          <w:color w:val="auto"/>
        </w:rPr>
      </w:pPr>
      <w:r>
        <w:rPr>
          <w:rFonts w:ascii="Arial" w:cs="Arial" w:eastAsia="Arial" w:hAnsi="Arial"/>
          <w:sz w:val="13"/>
          <w:szCs w:val="13"/>
          <w:b w:val="1"/>
          <w:bCs w:val="1"/>
          <w:color w:val="auto"/>
        </w:rPr>
        <w:t xml:space="preserve">Binding Effect. </w:t>
      </w:r>
      <w:r>
        <w:rPr>
          <w:rFonts w:ascii="Arial" w:cs="Arial" w:eastAsia="Arial" w:hAnsi="Arial"/>
          <w:sz w:val="13"/>
          <w:szCs w:val="13"/>
          <w:color w:val="auto"/>
        </w:rPr>
        <w:t>This Agreement13.4 shall inure to the benefit of the successors and assigns of the Company and, subject to the restrictions on transfer set forth herein, be binding upon the Participant and the</w:t>
      </w:r>
      <w:r>
        <w:rPr>
          <w:rFonts w:ascii="Arial" w:cs="Arial" w:eastAsia="Arial" w:hAnsi="Arial"/>
          <w:sz w:val="13"/>
          <w:szCs w:val="13"/>
          <w:b w:val="1"/>
          <w:bCs w:val="1"/>
          <w:color w:val="auto"/>
        </w:rPr>
        <w:t xml:space="preserve"> </w:t>
      </w:r>
      <w:r>
        <w:rPr>
          <w:rFonts w:ascii="Arial" w:cs="Arial" w:eastAsia="Arial" w:hAnsi="Arial"/>
          <w:sz w:val="13"/>
          <w:szCs w:val="13"/>
          <w:color w:val="auto"/>
        </w:rPr>
        <w:t>Participant’s heirs, executors, administrators, successors and assigns.</w:t>
      </w:r>
    </w:p>
    <w:p>
      <w:pPr>
        <w:spacing w:after="0" w:line="104" w:lineRule="exact"/>
        <w:rPr>
          <w:sz w:val="20"/>
          <w:szCs w:val="20"/>
          <w:color w:val="auto"/>
        </w:rPr>
      </w:pPr>
    </w:p>
    <w:p>
      <w:pPr>
        <w:jc w:val="both"/>
        <w:ind w:left="80" w:firstLine="484"/>
        <w:spacing w:after="0" w:line="261" w:lineRule="auto"/>
        <w:rPr>
          <w:sz w:val="20"/>
          <w:szCs w:val="20"/>
          <w:color w:val="auto"/>
        </w:rPr>
      </w:pPr>
      <w:r>
        <w:rPr>
          <w:rFonts w:ascii="Arial" w:cs="Arial" w:eastAsia="Arial" w:hAnsi="Arial"/>
          <w:sz w:val="13"/>
          <w:szCs w:val="13"/>
          <w:b w:val="1"/>
          <w:bCs w:val="1"/>
          <w:color w:val="auto"/>
        </w:rPr>
        <w:t xml:space="preserve">Notices. </w:t>
      </w:r>
      <w:r>
        <w:rPr>
          <w:rFonts w:ascii="Arial" w:cs="Arial" w:eastAsia="Arial" w:hAnsi="Arial"/>
          <w:sz w:val="13"/>
          <w:szCs w:val="13"/>
          <w:color w:val="auto"/>
        </w:rPr>
        <w:t>Any notice required13.5 to be given or delivered to the Company under the terms of this Agreement shall be in writing and addressed to the Company at its principal corporate offices. Any notice</w:t>
      </w:r>
      <w:r>
        <w:rPr>
          <w:rFonts w:ascii="Arial" w:cs="Arial" w:eastAsia="Arial" w:hAnsi="Arial"/>
          <w:sz w:val="13"/>
          <w:szCs w:val="13"/>
          <w:b w:val="1"/>
          <w:bCs w:val="1"/>
          <w:color w:val="auto"/>
        </w:rPr>
        <w:t xml:space="preserve"> </w:t>
      </w:r>
      <w:r>
        <w:rPr>
          <w:rFonts w:ascii="Arial" w:cs="Arial" w:eastAsia="Arial" w:hAnsi="Arial"/>
          <w:sz w:val="13"/>
          <w:szCs w:val="13"/>
          <w:color w:val="auto"/>
        </w:rPr>
        <w:t>required to be given or delivered to the Participant shall be in writing and addressed to the Participant at the address maintained for the Participant in the Company’s records or at the address of the local office of the Company or of any other Participating Company at which the Participant works.</w:t>
      </w:r>
    </w:p>
    <w:p>
      <w:pPr>
        <w:spacing w:after="0" w:line="116" w:lineRule="exact"/>
        <w:rPr>
          <w:sz w:val="20"/>
          <w:szCs w:val="20"/>
          <w:color w:val="auto"/>
        </w:rPr>
      </w:pPr>
    </w:p>
    <w:p>
      <w:pPr>
        <w:ind w:left="560"/>
        <w:spacing w:after="0"/>
        <w:rPr>
          <w:sz w:val="20"/>
          <w:szCs w:val="20"/>
          <w:color w:val="auto"/>
        </w:rPr>
      </w:pPr>
      <w:r>
        <w:rPr>
          <w:rFonts w:ascii="Arial" w:cs="Arial" w:eastAsia="Arial" w:hAnsi="Arial"/>
          <w:sz w:val="12"/>
          <w:szCs w:val="12"/>
          <w:b w:val="1"/>
          <w:bCs w:val="1"/>
          <w:color w:val="auto"/>
        </w:rPr>
        <w:t>Construction of Agreement</w:t>
      </w:r>
      <w:r>
        <w:rPr>
          <w:rFonts w:ascii="Arial" w:cs="Arial" w:eastAsia="Arial" w:hAnsi="Arial"/>
          <w:sz w:val="12"/>
          <w:szCs w:val="12"/>
          <w:color w:val="auto"/>
        </w:rPr>
        <w:t>13.6</w:t>
      </w:r>
      <w:r>
        <w:rPr>
          <w:rFonts w:ascii="Arial" w:cs="Arial" w:eastAsia="Arial" w:hAnsi="Arial"/>
          <w:sz w:val="12"/>
          <w:szCs w:val="12"/>
          <w:b w:val="1"/>
          <w:bCs w:val="1"/>
          <w:color w:val="auto"/>
        </w:rPr>
        <w:t xml:space="preserve">. </w:t>
      </w:r>
      <w:r>
        <w:rPr>
          <w:rFonts w:ascii="Arial" w:cs="Arial" w:eastAsia="Arial" w:hAnsi="Arial"/>
          <w:sz w:val="12"/>
          <w:szCs w:val="12"/>
          <w:color w:val="auto"/>
        </w:rPr>
        <w:t>The Grant Notice, this Agreement, and the Units evidenced hereby (i) are made and granted pursuant to the Plan and are in all respects limited by and subject</w:t>
      </w:r>
    </w:p>
    <w:p>
      <w:pPr>
        <w:spacing w:after="0" w:line="145" w:lineRule="exact"/>
        <w:rPr>
          <w:sz w:val="20"/>
          <w:szCs w:val="20"/>
          <w:color w:val="auto"/>
        </w:rPr>
      </w:pPr>
    </w:p>
    <w:p>
      <w:pPr>
        <w:ind w:left="960"/>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104775</wp:posOffset>
            </wp:positionV>
            <wp:extent cx="7329170" cy="3683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52">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560"/>
          </w:cols>
          <w:pgMar w:left="140" w:top="273" w:right="199" w:bottom="1440" w:gutter="0" w:footer="0" w:header="0"/>
        </w:sectPr>
      </w:pPr>
    </w:p>
    <w:bookmarkStart w:id="165" w:name="page166"/>
    <w:bookmarkEnd w:id="165"/>
    <w:p>
      <w:pPr>
        <w:jc w:val="both"/>
        <w:spacing w:after="0" w:line="258" w:lineRule="auto"/>
        <w:rPr>
          <w:sz w:val="20"/>
          <w:szCs w:val="20"/>
          <w:color w:val="auto"/>
        </w:rPr>
      </w:pPr>
      <w:r>
        <w:rPr>
          <w:rFonts w:ascii="Arial" w:cs="Arial" w:eastAsia="Arial" w:hAnsi="Arial"/>
          <w:sz w:val="13"/>
          <w:szCs w:val="13"/>
          <w:color w:val="auto"/>
        </w:rPr>
        <w:t>to the terms of the Plan, and (ii) constitute the entire agreement between the Participant and the Company on the subject matter hereof and supersede all proposals, written or oral, and all other communications between the parties related to the subject matter. All decisions of the Committee with respect to any question or issue arising under the Grant Notice, this Agreement or the Plan shall be conclusive and binding on all persons having an interest in the Units.</w:t>
      </w:r>
    </w:p>
    <w:p>
      <w:pPr>
        <w:spacing w:after="0" w:line="117" w:lineRule="exact"/>
        <w:rPr>
          <w:sz w:val="20"/>
          <w:szCs w:val="20"/>
          <w:color w:val="auto"/>
        </w:rPr>
      </w:pPr>
    </w:p>
    <w:p>
      <w:pPr>
        <w:jc w:val="both"/>
        <w:ind w:firstLine="484"/>
        <w:spacing w:after="0" w:line="278" w:lineRule="auto"/>
        <w:rPr>
          <w:sz w:val="20"/>
          <w:szCs w:val="20"/>
          <w:color w:val="auto"/>
        </w:rPr>
      </w:pPr>
      <w:r>
        <w:rPr>
          <w:rFonts w:ascii="Arial" w:cs="Arial" w:eastAsia="Arial" w:hAnsi="Arial"/>
          <w:sz w:val="13"/>
          <w:szCs w:val="13"/>
          <w:b w:val="1"/>
          <w:bCs w:val="1"/>
          <w:color w:val="auto"/>
        </w:rPr>
        <w:t xml:space="preserve">Governing Law. </w:t>
      </w:r>
      <w:r>
        <w:rPr>
          <w:rFonts w:ascii="Arial" w:cs="Arial" w:eastAsia="Arial" w:hAnsi="Arial"/>
          <w:sz w:val="13"/>
          <w:szCs w:val="13"/>
          <w:color w:val="auto"/>
        </w:rPr>
        <w:t>The interpretation,13.7 performance and enforcement of this Agreement shall be governed by the laws of the State of Delaware without regard to the conflict-of-laws rules thereof or of any other</w:t>
      </w:r>
      <w:r>
        <w:rPr>
          <w:rFonts w:ascii="Arial" w:cs="Arial" w:eastAsia="Arial" w:hAnsi="Arial"/>
          <w:sz w:val="13"/>
          <w:szCs w:val="13"/>
          <w:b w:val="1"/>
          <w:bCs w:val="1"/>
          <w:color w:val="auto"/>
        </w:rPr>
        <w:t xml:space="preserve"> </w:t>
      </w:r>
      <w:r>
        <w:rPr>
          <w:rFonts w:ascii="Arial" w:cs="Arial" w:eastAsia="Arial" w:hAnsi="Arial"/>
          <w:sz w:val="13"/>
          <w:szCs w:val="13"/>
          <w:color w:val="auto"/>
        </w:rPr>
        <w:t>jurisdiction.</w:t>
      </w:r>
    </w:p>
    <w:p>
      <w:pPr>
        <w:spacing w:after="0" w:line="104" w:lineRule="exact"/>
        <w:rPr>
          <w:sz w:val="20"/>
          <w:szCs w:val="20"/>
          <w:color w:val="auto"/>
        </w:rPr>
      </w:pPr>
    </w:p>
    <w:tbl>
      <w:tblPr>
        <w:tblLayout w:type="fixed"/>
        <w:tblInd w:w="1760" w:type="dxa"/>
        <w:tblCellMar>
          <w:top w:w="0" w:type="dxa"/>
          <w:left w:w="0" w:type="dxa"/>
          <w:bottom w:w="0" w:type="dxa"/>
          <w:right w:w="0" w:type="dxa"/>
        </w:tblCellMar>
      </w:tblPr>
      <w:tr>
        <w:trPr>
          <w:trHeight w:val="170"/>
        </w:trPr>
        <w:tc>
          <w:tcPr>
            <w:tcW w:w="440" w:type="dxa"/>
            <w:vAlign w:val="bottom"/>
          </w:tcPr>
          <w:p>
            <w:pPr>
              <w:jc w:val="right"/>
              <w:ind w:right="154"/>
              <w:spacing w:after="0"/>
              <w:rPr>
                <w:sz w:val="20"/>
                <w:szCs w:val="20"/>
                <w:color w:val="auto"/>
              </w:rPr>
            </w:pPr>
            <w:r>
              <w:rPr>
                <w:rFonts w:ascii="Arial" w:cs="Arial" w:eastAsia="Arial" w:hAnsi="Arial"/>
                <w:sz w:val="13"/>
                <w:szCs w:val="13"/>
                <w:color w:val="auto"/>
                <w:w w:val="78"/>
              </w:rPr>
              <w:t>13.8</w:t>
            </w:r>
          </w:p>
        </w:tc>
        <w:tc>
          <w:tcPr>
            <w:tcW w:w="1660" w:type="dxa"/>
            <w:vAlign w:val="bottom"/>
          </w:tcPr>
          <w:p>
            <w:pPr>
              <w:ind w:left="220"/>
              <w:spacing w:after="0"/>
              <w:rPr>
                <w:sz w:val="20"/>
                <w:szCs w:val="20"/>
                <w:color w:val="auto"/>
              </w:rPr>
            </w:pPr>
            <w:r>
              <w:rPr>
                <w:rFonts w:ascii="Arial" w:cs="Arial" w:eastAsia="Arial" w:hAnsi="Arial"/>
                <w:sz w:val="13"/>
                <w:szCs w:val="13"/>
                <w:b w:val="1"/>
                <w:bCs w:val="1"/>
                <w:color w:val="auto"/>
              </w:rPr>
              <w:t>Section 409A.</w:t>
            </w:r>
          </w:p>
        </w:tc>
        <w:tc>
          <w:tcPr>
            <w:tcW w:w="7480" w:type="dxa"/>
            <w:vAlign w:val="bottom"/>
          </w:tcPr>
          <w:p>
            <w:pPr>
              <w:spacing w:after="0"/>
              <w:rPr>
                <w:sz w:val="14"/>
                <w:szCs w:val="14"/>
                <w:color w:val="auto"/>
              </w:rPr>
            </w:pPr>
          </w:p>
        </w:tc>
      </w:tr>
      <w:tr>
        <w:trPr>
          <w:trHeight w:val="295"/>
        </w:trPr>
        <w:tc>
          <w:tcPr>
            <w:tcW w:w="440" w:type="dxa"/>
            <w:vAlign w:val="bottom"/>
          </w:tcPr>
          <w:p>
            <w:pPr>
              <w:spacing w:after="0"/>
              <w:rPr>
                <w:sz w:val="24"/>
                <w:szCs w:val="24"/>
                <w:color w:val="auto"/>
              </w:rPr>
            </w:pPr>
          </w:p>
        </w:tc>
        <w:tc>
          <w:tcPr>
            <w:tcW w:w="1660" w:type="dxa"/>
            <w:vAlign w:val="bottom"/>
          </w:tcPr>
          <w:p>
            <w:pPr>
              <w:ind w:left="440"/>
              <w:spacing w:after="0"/>
              <w:rPr>
                <w:sz w:val="20"/>
                <w:szCs w:val="20"/>
                <w:color w:val="auto"/>
              </w:rPr>
            </w:pPr>
            <w:r>
              <w:rPr>
                <w:rFonts w:ascii="Arial" w:cs="Arial" w:eastAsia="Arial" w:hAnsi="Arial"/>
                <w:sz w:val="13"/>
                <w:szCs w:val="13"/>
                <w:color w:val="auto"/>
              </w:rPr>
              <w:t>(a)</w:t>
            </w:r>
          </w:p>
        </w:tc>
        <w:tc>
          <w:tcPr>
            <w:tcW w:w="7480" w:type="dxa"/>
            <w:vAlign w:val="bottom"/>
          </w:tcPr>
          <w:p>
            <w:pPr>
              <w:ind w:left="660"/>
              <w:spacing w:after="0"/>
              <w:rPr>
                <w:sz w:val="20"/>
                <w:szCs w:val="20"/>
                <w:color w:val="auto"/>
              </w:rPr>
            </w:pPr>
            <w:r>
              <w:rPr>
                <w:rFonts w:ascii="Arial" w:cs="Arial" w:eastAsia="Arial" w:hAnsi="Arial"/>
                <w:sz w:val="13"/>
                <w:szCs w:val="13"/>
                <w:b w:val="1"/>
                <w:bCs w:val="1"/>
                <w:color w:val="auto"/>
                <w:w w:val="92"/>
              </w:rPr>
              <w:t xml:space="preserve">Compliance with Section 409A. </w:t>
            </w:r>
            <w:r>
              <w:rPr>
                <w:rFonts w:ascii="Arial" w:cs="Arial" w:eastAsia="Arial" w:hAnsi="Arial"/>
                <w:sz w:val="13"/>
                <w:szCs w:val="13"/>
                <w:color w:val="auto"/>
                <w:w w:val="92"/>
              </w:rPr>
              <w:t>Notwithstanding any other provision of the Plan, this Agreement or the Grant Notice, the Plan,</w:t>
            </w:r>
          </w:p>
        </w:tc>
      </w:tr>
    </w:tbl>
    <w:p>
      <w:pPr>
        <w:ind w:right="40"/>
        <w:spacing w:after="0" w:line="273" w:lineRule="auto"/>
        <w:rPr>
          <w:sz w:val="20"/>
          <w:szCs w:val="20"/>
          <w:color w:val="auto"/>
        </w:rPr>
      </w:pPr>
      <w:r>
        <w:rPr>
          <w:rFonts w:ascii="Arial" w:cs="Arial" w:eastAsia="Arial" w:hAnsi="Arial"/>
          <w:sz w:val="12"/>
          <w:szCs w:val="12"/>
          <w:color w:val="auto"/>
        </w:rPr>
        <w:t xml:space="preserve">this Agreement and the Grant Notice shall be interpreted in accordance with, and incorporate the terms and conditions required by, Section 409A of the Code (together with any Department of Treasury regulations and other interpretive guidance issued thereunder, including without limitation any such regulations or other guidance that may be issued after the date hereof). The vesting and settlement of Units awarded pursuant to this Agreement are intended to qualify for the “short-term deferral” exemption from Code Section 409A. The Company reserves the right, to the extent the Company deems necessary or advisable in its sole discretion, to unilaterally amend or modify the Plan and/or this Agreement to ensure that the Units qualify for exemption from or comply with Section 409A of the Code;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w:t>
      </w:r>
      <w:r>
        <w:rPr>
          <w:rFonts w:ascii="Arial" w:cs="Arial" w:eastAsia="Arial" w:hAnsi="Arial"/>
          <w:sz w:val="12"/>
          <w:szCs w:val="12"/>
          <w:i w:val="1"/>
          <w:iCs w:val="1"/>
          <w:color w:val="auto"/>
        </w:rPr>
        <w:t>however</w:t>
      </w:r>
      <w:r>
        <w:rPr>
          <w:rFonts w:ascii="Arial" w:cs="Arial" w:eastAsia="Arial" w:hAnsi="Arial"/>
          <w:sz w:val="12"/>
          <w:szCs w:val="12"/>
          <w:color w:val="auto"/>
        </w:rPr>
        <w:t>, that the Company makes no representations that the Units will be exempt from Section 409A and makes no undertaking to preclude Section 409A from applying to the Units.</w:t>
      </w:r>
    </w:p>
    <w:p>
      <w:pPr>
        <w:spacing w:after="0" w:line="111" w:lineRule="exact"/>
        <w:rPr>
          <w:sz w:val="20"/>
          <w:szCs w:val="20"/>
          <w:color w:val="auto"/>
        </w:rPr>
      </w:pPr>
    </w:p>
    <w:p>
      <w:pPr>
        <w:ind w:left="2640"/>
        <w:spacing w:after="0"/>
        <w:tabs>
          <w:tab w:leader="none" w:pos="4500" w:val="left"/>
        </w:tabs>
        <w:rPr>
          <w:sz w:val="20"/>
          <w:szCs w:val="20"/>
          <w:color w:val="auto"/>
        </w:rPr>
      </w:pPr>
      <w:r>
        <w:rPr>
          <w:rFonts w:ascii="Arial" w:cs="Arial" w:eastAsia="Arial" w:hAnsi="Arial"/>
          <w:sz w:val="12"/>
          <w:szCs w:val="12"/>
          <w:color w:val="auto"/>
        </w:rPr>
        <w:t>(b)</w:t>
      </w:r>
      <w:r>
        <w:rPr>
          <w:sz w:val="20"/>
          <w:szCs w:val="20"/>
          <w:color w:val="auto"/>
        </w:rPr>
        <w:tab/>
      </w:r>
      <w:r>
        <w:rPr>
          <w:rFonts w:ascii="Arial" w:cs="Arial" w:eastAsia="Arial" w:hAnsi="Arial"/>
          <w:sz w:val="12"/>
          <w:szCs w:val="12"/>
          <w:b w:val="1"/>
          <w:bCs w:val="1"/>
          <w:color w:val="auto"/>
        </w:rPr>
        <w:t xml:space="preserve">Separation from Service; Required Delay in Payment to Specified Employee. </w:t>
      </w:r>
      <w:r>
        <w:rPr>
          <w:rFonts w:ascii="Arial" w:cs="Arial" w:eastAsia="Arial" w:hAnsi="Arial"/>
          <w:sz w:val="12"/>
          <w:szCs w:val="12"/>
          <w:color w:val="auto"/>
        </w:rPr>
        <w:t>Notwithstanding anything set forth herein to the</w:t>
      </w:r>
    </w:p>
    <w:p>
      <w:pPr>
        <w:spacing w:after="0" w:line="29" w:lineRule="exact"/>
        <w:rPr>
          <w:sz w:val="20"/>
          <w:szCs w:val="20"/>
          <w:color w:val="auto"/>
        </w:rPr>
      </w:pPr>
    </w:p>
    <w:p>
      <w:pPr>
        <w:ind w:right="60"/>
        <w:spacing w:after="0" w:line="273" w:lineRule="auto"/>
        <w:rPr>
          <w:sz w:val="20"/>
          <w:szCs w:val="20"/>
          <w:color w:val="auto"/>
        </w:rPr>
      </w:pPr>
      <w:r>
        <w:rPr>
          <w:rFonts w:ascii="Arial" w:cs="Arial" w:eastAsia="Arial" w:hAnsi="Arial"/>
          <w:sz w:val="12"/>
          <w:szCs w:val="12"/>
          <w:color w:val="auto"/>
        </w:rPr>
        <w:t xml:space="preserve">contrary, no amount payable pursuant to this Agreement on account of the Participant’s termination of Service which constitutes a “deferral of compensation” within the meaning of Section 409A of the Code shall be paid unless and until the Participant has incurred a “separation from service” within the meaning of Section 409A. Furthermore, to the extent that the Participant is a “specified employee” within the meaning of Section 409A as of the date of the Participant’s separation from service, no amount that constitutes a deferral of compensation which is payable on account of the Participant’s separation from service shall paid to the Participant before the date (the </w:t>
      </w:r>
      <w:r>
        <w:rPr>
          <w:rFonts w:ascii="Arial" w:cs="Arial" w:eastAsia="Arial" w:hAnsi="Arial"/>
          <w:sz w:val="12"/>
          <w:szCs w:val="12"/>
          <w:i w:val="1"/>
          <w:iCs w:val="1"/>
          <w:color w:val="auto"/>
        </w:rPr>
        <w:t>“</w:t>
      </w:r>
      <w:r>
        <w:rPr>
          <w:rFonts w:ascii="Arial" w:cs="Arial" w:eastAsia="Arial" w:hAnsi="Arial"/>
          <w:sz w:val="12"/>
          <w:szCs w:val="12"/>
          <w:b w:val="1"/>
          <w:bCs w:val="1"/>
          <w:i w:val="1"/>
          <w:iCs w:val="1"/>
          <w:color w:val="auto"/>
        </w:rPr>
        <w:t>Delayed Payment Date</w:t>
      </w:r>
      <w:r>
        <w:rPr>
          <w:rFonts w:ascii="Arial" w:cs="Arial" w:eastAsia="Arial" w:hAnsi="Arial"/>
          <w:sz w:val="12"/>
          <w:szCs w:val="12"/>
          <w:i w:val="1"/>
          <w:iCs w:val="1"/>
          <w:color w:val="auto"/>
        </w:rPr>
        <w:t>”</w:t>
      </w:r>
      <w:r>
        <w:rPr>
          <w:rFonts w:ascii="Arial" w:cs="Arial" w:eastAsia="Arial" w:hAnsi="Arial"/>
          <w:sz w:val="12"/>
          <w:szCs w:val="12"/>
          <w:color w:val="auto"/>
        </w:rPr>
        <w:t>) which is the first day of the seventh month after the date of the Participant’s separation from service or, if earlier, the date of the Participant’s death following such separation from service. All such amounts that would, but for this Section, become payable prior to the Delayed Payment Date will be accumulated and paid on the Delayed Payment Date.</w:t>
      </w:r>
    </w:p>
    <w:p>
      <w:pPr>
        <w:spacing w:after="0" w:line="111" w:lineRule="exact"/>
        <w:rPr>
          <w:sz w:val="20"/>
          <w:szCs w:val="20"/>
          <w:color w:val="auto"/>
        </w:rPr>
      </w:pPr>
    </w:p>
    <w:p>
      <w:pPr>
        <w:jc w:val="both"/>
        <w:ind w:firstLine="1766"/>
        <w:spacing w:after="0" w:line="256" w:lineRule="auto"/>
        <w:rPr>
          <w:sz w:val="20"/>
          <w:szCs w:val="20"/>
          <w:color w:val="auto"/>
        </w:rPr>
      </w:pPr>
      <w:r>
        <w:rPr>
          <w:rFonts w:ascii="Arial" w:cs="Arial" w:eastAsia="Arial" w:hAnsi="Arial"/>
          <w:sz w:val="13"/>
          <w:szCs w:val="13"/>
          <w:color w:val="auto"/>
        </w:rPr>
        <w:t xml:space="preserve">13.9 </w:t>
      </w:r>
      <w:r>
        <w:rPr>
          <w:rFonts w:ascii="Arial" w:cs="Arial" w:eastAsia="Arial" w:hAnsi="Arial"/>
          <w:sz w:val="13"/>
          <w:szCs w:val="13"/>
          <w:b w:val="1"/>
          <w:bCs w:val="1"/>
          <w:color w:val="auto"/>
        </w:rPr>
        <w:t>Administration.</w:t>
      </w:r>
      <w:r>
        <w:rPr>
          <w:rFonts w:ascii="Arial" w:cs="Arial" w:eastAsia="Arial" w:hAnsi="Arial"/>
          <w:sz w:val="13"/>
          <w:szCs w:val="13"/>
          <w:color w:val="auto"/>
        </w:rPr>
        <w:t xml:space="preserve"> The Committee shall have the power to interpret the Plan and this Agreement and to adopt such rules for the administration, interpretation and application of the Plan as are consistent therewith and to interpret, amend or revoke any such rules. All actions taken and all interpretations and determinations made by the Committee in good faith shall be final and binding upon the Participant, the Company and all other interested persons. No member of the Committee or the Board shall be personally liable for any action, determination or interpretation made in good faith with respect to the Plan, this Agreement or the Units.</w:t>
      </w:r>
    </w:p>
    <w:p>
      <w:pPr>
        <w:spacing w:after="0" w:line="119" w:lineRule="exact"/>
        <w:rPr>
          <w:sz w:val="20"/>
          <w:szCs w:val="20"/>
          <w:color w:val="auto"/>
        </w:rPr>
      </w:pPr>
    </w:p>
    <w:p>
      <w:pPr>
        <w:ind w:left="1760"/>
        <w:spacing w:after="0"/>
        <w:tabs>
          <w:tab w:leader="none" w:pos="2460" w:val="left"/>
        </w:tabs>
        <w:rPr>
          <w:sz w:val="20"/>
          <w:szCs w:val="20"/>
          <w:color w:val="auto"/>
        </w:rPr>
      </w:pPr>
      <w:r>
        <w:rPr>
          <w:rFonts w:ascii="Arial" w:cs="Arial" w:eastAsia="Arial" w:hAnsi="Arial"/>
          <w:sz w:val="13"/>
          <w:szCs w:val="13"/>
          <w:color w:val="auto"/>
        </w:rPr>
        <w:t>13.10</w:t>
      </w:r>
      <w:r>
        <w:rPr>
          <w:sz w:val="20"/>
          <w:szCs w:val="20"/>
          <w:color w:val="auto"/>
        </w:rPr>
        <w:tab/>
      </w:r>
      <w:r>
        <w:rPr>
          <w:rFonts w:ascii="Arial" w:cs="Arial" w:eastAsia="Arial" w:hAnsi="Arial"/>
          <w:sz w:val="12"/>
          <w:szCs w:val="12"/>
          <w:b w:val="1"/>
          <w:bCs w:val="1"/>
          <w:color w:val="auto"/>
        </w:rPr>
        <w:t xml:space="preserve">Counterparts. </w:t>
      </w:r>
      <w:r>
        <w:rPr>
          <w:rFonts w:ascii="Arial" w:cs="Arial" w:eastAsia="Arial" w:hAnsi="Arial"/>
          <w:sz w:val="12"/>
          <w:szCs w:val="12"/>
          <w:color w:val="auto"/>
        </w:rPr>
        <w:t>The Grant Notice may be executed in counterparts, each of which shall be deemed an original, but all of which together shall constitute one and the same</w:t>
      </w:r>
    </w:p>
    <w:p>
      <w:pPr>
        <w:spacing w:after="0" w:line="18" w:lineRule="exact"/>
        <w:rPr>
          <w:sz w:val="20"/>
          <w:szCs w:val="20"/>
          <w:color w:val="auto"/>
        </w:rPr>
      </w:pPr>
    </w:p>
    <w:p>
      <w:pPr>
        <w:spacing w:after="0"/>
        <w:rPr>
          <w:sz w:val="20"/>
          <w:szCs w:val="20"/>
          <w:color w:val="auto"/>
        </w:rPr>
      </w:pPr>
      <w:r>
        <w:rPr>
          <w:rFonts w:ascii="Arial" w:cs="Arial" w:eastAsia="Arial" w:hAnsi="Arial"/>
          <w:sz w:val="13"/>
          <w:szCs w:val="13"/>
          <w:color w:val="auto"/>
        </w:rPr>
        <w:t>instrument.</w:t>
      </w:r>
    </w:p>
    <w:p>
      <w:pPr>
        <w:spacing w:after="0" w:line="134" w:lineRule="exact"/>
        <w:rPr>
          <w:sz w:val="20"/>
          <w:szCs w:val="20"/>
          <w:color w:val="auto"/>
        </w:rPr>
      </w:pPr>
    </w:p>
    <w:p>
      <w:pPr>
        <w:ind w:left="600"/>
        <w:spacing w:after="0"/>
        <w:rPr>
          <w:sz w:val="20"/>
          <w:szCs w:val="20"/>
          <w:color w:val="auto"/>
        </w:rPr>
      </w:pPr>
      <w:r>
        <w:rPr>
          <w:rFonts w:ascii="Arial" w:cs="Arial" w:eastAsia="Arial" w:hAnsi="Arial"/>
          <w:sz w:val="12"/>
          <w:szCs w:val="12"/>
          <w:b w:val="1"/>
          <w:bCs w:val="1"/>
          <w:color w:val="auto"/>
        </w:rPr>
        <w:t xml:space="preserve">Severability. </w:t>
      </w:r>
      <w:r>
        <w:rPr>
          <w:rFonts w:ascii="Arial" w:cs="Arial" w:eastAsia="Arial" w:hAnsi="Arial"/>
          <w:sz w:val="12"/>
          <w:szCs w:val="12"/>
          <w:color w:val="auto"/>
        </w:rPr>
        <w:t>If any provision13.11 of this Agreement is held to be unenforceable for any reason, it shall be adjusted rather than voided, if possible, in order to achieve the intent of the parties</w:t>
      </w:r>
    </w:p>
    <w:p>
      <w:pPr>
        <w:spacing w:after="0" w:line="145" w:lineRule="exact"/>
        <w:rPr>
          <w:sz w:val="20"/>
          <w:szCs w:val="20"/>
          <w:color w:val="auto"/>
        </w:rPr>
      </w:pPr>
    </w:p>
    <w:p>
      <w:pPr>
        <w:ind w:left="880"/>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104775</wp:posOffset>
            </wp:positionV>
            <wp:extent cx="7329170" cy="3683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53">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273" w:right="199" w:bottom="1440" w:gutter="0" w:footer="0" w:header="0"/>
        </w:sectPr>
      </w:pPr>
    </w:p>
    <w:bookmarkStart w:id="166" w:name="page167"/>
    <w:bookmarkEnd w:id="166"/>
    <w:p>
      <w:pPr>
        <w:spacing w:after="0"/>
        <w:rPr>
          <w:sz w:val="20"/>
          <w:szCs w:val="20"/>
          <w:color w:val="auto"/>
        </w:rPr>
      </w:pPr>
      <w:r>
        <w:rPr>
          <w:rFonts w:ascii="Arial" w:cs="Arial" w:eastAsia="Arial" w:hAnsi="Arial"/>
          <w:sz w:val="13"/>
          <w:szCs w:val="13"/>
          <w:color w:val="auto"/>
        </w:rPr>
        <w:t>to the extent possible. In any event, all other provisions of this Agreement shall be deemed valid and enforceable to the full extent possible.</w:t>
      </w:r>
    </w:p>
    <w:p>
      <w:pPr>
        <w:spacing w:after="0" w:line="144" w:lineRule="exact"/>
        <w:rPr>
          <w:sz w:val="20"/>
          <w:szCs w:val="20"/>
          <w:color w:val="auto"/>
        </w:rPr>
      </w:pPr>
    </w:p>
    <w:p>
      <w:pPr>
        <w:jc w:val="both"/>
        <w:ind w:firstLine="1766"/>
        <w:spacing w:after="0" w:line="261" w:lineRule="auto"/>
        <w:rPr>
          <w:sz w:val="20"/>
          <w:szCs w:val="20"/>
          <w:color w:val="auto"/>
        </w:rPr>
      </w:pPr>
      <w:r>
        <w:rPr>
          <w:rFonts w:ascii="Arial" w:cs="Arial" w:eastAsia="Arial" w:hAnsi="Arial"/>
          <w:sz w:val="13"/>
          <w:szCs w:val="13"/>
          <w:color w:val="auto"/>
        </w:rPr>
        <w:t xml:space="preserve">13.12 </w:t>
      </w:r>
      <w:r>
        <w:rPr>
          <w:rFonts w:ascii="Arial" w:cs="Arial" w:eastAsia="Arial" w:hAnsi="Arial"/>
          <w:sz w:val="13"/>
          <w:szCs w:val="13"/>
          <w:b w:val="1"/>
          <w:bCs w:val="1"/>
          <w:color w:val="auto"/>
        </w:rPr>
        <w:t>Relocation Outside the United States.</w:t>
      </w:r>
      <w:r>
        <w:rPr>
          <w:rFonts w:ascii="Arial" w:cs="Arial" w:eastAsia="Arial" w:hAnsi="Arial"/>
          <w:sz w:val="13"/>
          <w:szCs w:val="13"/>
          <w:color w:val="auto"/>
        </w:rPr>
        <w:t xml:space="preserve"> If the Participant relocates to a country outside the United States, the Company reserves the right to impose other requirements on the Participant’s participation in the Plan, on the Units and on any Shares acquired under the Plan, to the extent the Company determines necessary or advisable in order to comply with local law or facilitate the administration of the Plan, and to require the Participant to sign any additional agreements or undertakings that may be necessary to accomplish the foregoing.</w:t>
      </w:r>
    </w:p>
    <w:p>
      <w:pPr>
        <w:spacing w:after="0" w:line="390" w:lineRule="exact"/>
        <w:rPr>
          <w:sz w:val="20"/>
          <w:szCs w:val="20"/>
          <w:color w:val="auto"/>
        </w:rPr>
      </w:pPr>
    </w:p>
    <w:p>
      <w:pPr>
        <w:ind w:left="880"/>
        <w:spacing w:after="0"/>
        <w:rPr>
          <w:sz w:val="20"/>
          <w:szCs w:val="20"/>
          <w:color w:val="auto"/>
        </w:rPr>
      </w:pPr>
      <w:r>
        <w:rPr>
          <w:rFonts w:ascii="Arial" w:cs="Arial" w:eastAsia="Arial" w:hAnsi="Arial"/>
          <w:sz w:val="13"/>
          <w:szCs w:val="13"/>
          <w:color w:val="auto"/>
        </w:rPr>
        <w:t>10</w:t>
      </w:r>
    </w:p>
    <w:p>
      <w:pPr>
        <w:sectPr>
          <w:pgSz w:w="11900" w:h="16838" w:orient="portrait"/>
          <w:cols w:equalWidth="0" w:num="1">
            <w:col w:w="11480"/>
          </w:cols>
          <w:pgMar w:left="220" w:top="273" w:right="199" w:bottom="1440" w:gutter="0" w:footer="0" w:header="0"/>
        </w:sectPr>
      </w:pPr>
    </w:p>
    <w:bookmarkStart w:id="167" w:name="page168"/>
    <w:bookmarkEnd w:id="167"/>
    <w:p>
      <w:pPr>
        <w:jc w:val="right"/>
        <w:spacing w:after="0"/>
        <w:rPr>
          <w:sz w:val="20"/>
          <w:szCs w:val="20"/>
          <w:color w:val="auto"/>
        </w:rPr>
      </w:pPr>
      <w:r>
        <w:rPr>
          <w:rFonts w:ascii="Arial" w:cs="Arial" w:eastAsia="Arial" w:hAnsi="Arial"/>
          <w:sz w:val="12"/>
          <w:szCs w:val="12"/>
          <w:b w:val="1"/>
          <w:bCs w:val="1"/>
          <w:color w:val="auto"/>
        </w:rPr>
        <w:t>Exhibit 21.1</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3740" w:type="dxa"/>
            <w:vAlign w:val="bottom"/>
          </w:tcPr>
          <w:p>
            <w:pPr>
              <w:spacing w:after="0"/>
              <w:rPr>
                <w:sz w:val="13"/>
                <w:szCs w:val="13"/>
                <w:color w:val="auto"/>
              </w:rPr>
            </w:pPr>
          </w:p>
        </w:tc>
        <w:tc>
          <w:tcPr>
            <w:tcW w:w="7740" w:type="dxa"/>
            <w:vAlign w:val="bottom"/>
            <w:gridSpan w:val="3"/>
          </w:tcPr>
          <w:p>
            <w:pPr>
              <w:ind w:left="880"/>
              <w:spacing w:after="0"/>
              <w:rPr>
                <w:sz w:val="20"/>
                <w:szCs w:val="20"/>
                <w:color w:val="auto"/>
              </w:rPr>
            </w:pPr>
            <w:r>
              <w:rPr>
                <w:rFonts w:ascii="Arial" w:cs="Arial" w:eastAsia="Arial" w:hAnsi="Arial"/>
                <w:sz w:val="12"/>
                <w:szCs w:val="12"/>
                <w:b w:val="1"/>
                <w:bCs w:val="1"/>
                <w:color w:val="auto"/>
              </w:rPr>
              <w:t>Subsidiaries of Verra Mobility Corporation</w:t>
            </w:r>
          </w:p>
        </w:tc>
      </w:tr>
      <w:tr>
        <w:trPr>
          <w:trHeight w:val="302"/>
        </w:trPr>
        <w:tc>
          <w:tcPr>
            <w:tcW w:w="3740" w:type="dxa"/>
            <w:vAlign w:val="bottom"/>
            <w:tcBorders>
              <w:bottom w:val="single" w:sz="8" w:color="auto"/>
            </w:tcBorders>
          </w:tcPr>
          <w:p>
            <w:pPr>
              <w:ind w:left="2560"/>
              <w:spacing w:after="0"/>
              <w:rPr>
                <w:sz w:val="20"/>
                <w:szCs w:val="20"/>
                <w:color w:val="auto"/>
              </w:rPr>
            </w:pPr>
            <w:r>
              <w:rPr>
                <w:rFonts w:ascii="Arial" w:cs="Arial" w:eastAsia="Arial" w:hAnsi="Arial"/>
                <w:sz w:val="12"/>
                <w:szCs w:val="12"/>
                <w:b w:val="1"/>
                <w:bCs w:val="1"/>
                <w:color w:val="auto"/>
              </w:rPr>
              <w:t>Entity</w:t>
            </w:r>
          </w:p>
        </w:tc>
        <w:tc>
          <w:tcPr>
            <w:tcW w:w="1700" w:type="dxa"/>
            <w:vAlign w:val="bottom"/>
            <w:tcBorders>
              <w:bottom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5600" w:type="dxa"/>
            <w:vAlign w:val="bottom"/>
            <w:tcBorders>
              <w:bottom w:val="single" w:sz="8" w:color="auto"/>
            </w:tcBorders>
          </w:tcPr>
          <w:p>
            <w:pPr>
              <w:ind w:left="2200"/>
              <w:spacing w:after="0"/>
              <w:rPr>
                <w:sz w:val="20"/>
                <w:szCs w:val="20"/>
                <w:color w:val="auto"/>
              </w:rPr>
            </w:pPr>
            <w:r>
              <w:rPr>
                <w:rFonts w:ascii="Arial" w:cs="Arial" w:eastAsia="Arial" w:hAnsi="Arial"/>
                <w:sz w:val="11"/>
                <w:szCs w:val="11"/>
                <w:b w:val="1"/>
                <w:bCs w:val="1"/>
                <w:color w:val="auto"/>
              </w:rPr>
              <w:t>Jurisdiction of Formation</w:t>
            </w:r>
          </w:p>
        </w:tc>
      </w:tr>
      <w:tr>
        <w:trPr>
          <w:trHeight w:val="201"/>
        </w:trPr>
        <w:tc>
          <w:tcPr>
            <w:tcW w:w="3740" w:type="dxa"/>
            <w:vAlign w:val="bottom"/>
          </w:tcPr>
          <w:p>
            <w:pPr>
              <w:spacing w:after="0"/>
              <w:rPr>
                <w:sz w:val="20"/>
                <w:szCs w:val="20"/>
                <w:color w:val="auto"/>
              </w:rPr>
            </w:pPr>
            <w:r>
              <w:rPr>
                <w:rFonts w:ascii="Arial" w:cs="Arial" w:eastAsia="Arial" w:hAnsi="Arial"/>
                <w:sz w:val="12"/>
                <w:szCs w:val="12"/>
                <w:color w:val="auto"/>
              </w:rPr>
              <w:t>Verra Mobility Holdings, LLC</w:t>
            </w:r>
          </w:p>
        </w:tc>
        <w:tc>
          <w:tcPr>
            <w:tcW w:w="1700" w:type="dxa"/>
            <w:vAlign w:val="bottom"/>
          </w:tcPr>
          <w:p>
            <w:pPr>
              <w:spacing w:after="0"/>
              <w:rPr>
                <w:sz w:val="17"/>
                <w:szCs w:val="17"/>
                <w:color w:val="auto"/>
              </w:rPr>
            </w:pPr>
          </w:p>
        </w:tc>
        <w:tc>
          <w:tcPr>
            <w:tcW w:w="6040" w:type="dxa"/>
            <w:vAlign w:val="bottom"/>
            <w:gridSpan w:val="2"/>
          </w:tcPr>
          <w:p>
            <w:pPr>
              <w:ind w:left="440"/>
              <w:spacing w:after="0"/>
              <w:rPr>
                <w:sz w:val="20"/>
                <w:szCs w:val="20"/>
                <w:color w:val="auto"/>
              </w:rPr>
            </w:pPr>
            <w:r>
              <w:rPr>
                <w:rFonts w:ascii="Arial" w:cs="Arial" w:eastAsia="Arial" w:hAnsi="Arial"/>
                <w:sz w:val="12"/>
                <w:szCs w:val="12"/>
                <w:color w:val="auto"/>
              </w:rPr>
              <w:t>Delaware</w:t>
            </w:r>
          </w:p>
        </w:tc>
      </w:tr>
      <w:tr>
        <w:trPr>
          <w:trHeight w:val="198"/>
        </w:trPr>
        <w:tc>
          <w:tcPr>
            <w:tcW w:w="3740" w:type="dxa"/>
            <w:vAlign w:val="bottom"/>
          </w:tcPr>
          <w:p>
            <w:pPr>
              <w:spacing w:after="0"/>
              <w:rPr>
                <w:sz w:val="20"/>
                <w:szCs w:val="20"/>
                <w:color w:val="auto"/>
              </w:rPr>
            </w:pPr>
            <w:r>
              <w:rPr>
                <w:rFonts w:ascii="Arial" w:cs="Arial" w:eastAsia="Arial" w:hAnsi="Arial"/>
                <w:sz w:val="12"/>
                <w:szCs w:val="12"/>
                <w:color w:val="auto"/>
              </w:rPr>
              <w:t>Greenlight Holding Corporation</w:t>
            </w:r>
          </w:p>
        </w:tc>
        <w:tc>
          <w:tcPr>
            <w:tcW w:w="1700" w:type="dxa"/>
            <w:vAlign w:val="bottom"/>
          </w:tcPr>
          <w:p>
            <w:pPr>
              <w:spacing w:after="0"/>
              <w:rPr>
                <w:sz w:val="17"/>
                <w:szCs w:val="17"/>
                <w:color w:val="auto"/>
              </w:rPr>
            </w:pPr>
          </w:p>
        </w:tc>
        <w:tc>
          <w:tcPr>
            <w:tcW w:w="6040" w:type="dxa"/>
            <w:vAlign w:val="bottom"/>
            <w:gridSpan w:val="2"/>
          </w:tcPr>
          <w:p>
            <w:pPr>
              <w:ind w:left="440"/>
              <w:spacing w:after="0"/>
              <w:rPr>
                <w:sz w:val="20"/>
                <w:szCs w:val="20"/>
                <w:color w:val="auto"/>
              </w:rPr>
            </w:pPr>
            <w:r>
              <w:rPr>
                <w:rFonts w:ascii="Arial" w:cs="Arial" w:eastAsia="Arial" w:hAnsi="Arial"/>
                <w:sz w:val="12"/>
                <w:szCs w:val="12"/>
                <w:color w:val="auto"/>
              </w:rPr>
              <w:t>Delaware</w:t>
            </w:r>
          </w:p>
        </w:tc>
      </w:tr>
      <w:tr>
        <w:trPr>
          <w:trHeight w:val="207"/>
        </w:trPr>
        <w:tc>
          <w:tcPr>
            <w:tcW w:w="3740" w:type="dxa"/>
            <w:vAlign w:val="bottom"/>
          </w:tcPr>
          <w:p>
            <w:pPr>
              <w:spacing w:after="0"/>
              <w:rPr>
                <w:sz w:val="20"/>
                <w:szCs w:val="20"/>
                <w:color w:val="auto"/>
              </w:rPr>
            </w:pPr>
            <w:r>
              <w:rPr>
                <w:rFonts w:ascii="Arial" w:cs="Arial" w:eastAsia="Arial" w:hAnsi="Arial"/>
                <w:sz w:val="12"/>
                <w:szCs w:val="12"/>
                <w:color w:val="auto"/>
              </w:rPr>
              <w:t>Greenlight Intermediate Holding Corporation</w:t>
            </w:r>
          </w:p>
        </w:tc>
        <w:tc>
          <w:tcPr>
            <w:tcW w:w="1700" w:type="dxa"/>
            <w:vAlign w:val="bottom"/>
          </w:tcPr>
          <w:p>
            <w:pPr>
              <w:spacing w:after="0"/>
              <w:rPr>
                <w:sz w:val="18"/>
                <w:szCs w:val="18"/>
                <w:color w:val="auto"/>
              </w:rPr>
            </w:pPr>
          </w:p>
        </w:tc>
        <w:tc>
          <w:tcPr>
            <w:tcW w:w="6040" w:type="dxa"/>
            <w:vAlign w:val="bottom"/>
            <w:gridSpan w:val="2"/>
          </w:tcPr>
          <w:p>
            <w:pPr>
              <w:ind w:left="440"/>
              <w:spacing w:after="0"/>
              <w:rPr>
                <w:sz w:val="20"/>
                <w:szCs w:val="20"/>
                <w:color w:val="auto"/>
              </w:rPr>
            </w:pPr>
            <w:r>
              <w:rPr>
                <w:rFonts w:ascii="Arial" w:cs="Arial" w:eastAsia="Arial" w:hAnsi="Arial"/>
                <w:sz w:val="12"/>
                <w:szCs w:val="12"/>
                <w:color w:val="auto"/>
              </w:rPr>
              <w:t>Delaware</w:t>
            </w:r>
          </w:p>
        </w:tc>
      </w:tr>
      <w:tr>
        <w:trPr>
          <w:trHeight w:val="207"/>
        </w:trPr>
        <w:tc>
          <w:tcPr>
            <w:tcW w:w="3740" w:type="dxa"/>
            <w:vAlign w:val="bottom"/>
          </w:tcPr>
          <w:p>
            <w:pPr>
              <w:spacing w:after="0"/>
              <w:rPr>
                <w:sz w:val="20"/>
                <w:szCs w:val="20"/>
                <w:color w:val="auto"/>
              </w:rPr>
            </w:pPr>
            <w:r>
              <w:rPr>
                <w:rFonts w:ascii="Arial" w:cs="Arial" w:eastAsia="Arial" w:hAnsi="Arial"/>
                <w:sz w:val="12"/>
                <w:szCs w:val="12"/>
                <w:color w:val="auto"/>
              </w:rPr>
              <w:t>Greenlight Acquisition Corporation</w:t>
            </w:r>
          </w:p>
        </w:tc>
        <w:tc>
          <w:tcPr>
            <w:tcW w:w="1700" w:type="dxa"/>
            <w:vAlign w:val="bottom"/>
          </w:tcPr>
          <w:p>
            <w:pPr>
              <w:spacing w:after="0"/>
              <w:rPr>
                <w:sz w:val="18"/>
                <w:szCs w:val="18"/>
                <w:color w:val="auto"/>
              </w:rPr>
            </w:pPr>
          </w:p>
        </w:tc>
        <w:tc>
          <w:tcPr>
            <w:tcW w:w="6040" w:type="dxa"/>
            <w:vAlign w:val="bottom"/>
            <w:gridSpan w:val="2"/>
          </w:tcPr>
          <w:p>
            <w:pPr>
              <w:ind w:left="440"/>
              <w:spacing w:after="0"/>
              <w:rPr>
                <w:sz w:val="20"/>
                <w:szCs w:val="20"/>
                <w:color w:val="auto"/>
              </w:rPr>
            </w:pPr>
            <w:r>
              <w:rPr>
                <w:rFonts w:ascii="Arial" w:cs="Arial" w:eastAsia="Arial" w:hAnsi="Arial"/>
                <w:sz w:val="12"/>
                <w:szCs w:val="12"/>
                <w:color w:val="auto"/>
              </w:rPr>
              <w:t>Delaware</w:t>
            </w:r>
          </w:p>
        </w:tc>
      </w:tr>
      <w:tr>
        <w:trPr>
          <w:trHeight w:val="207"/>
        </w:trPr>
        <w:tc>
          <w:tcPr>
            <w:tcW w:w="3740" w:type="dxa"/>
            <w:vAlign w:val="bottom"/>
          </w:tcPr>
          <w:p>
            <w:pPr>
              <w:spacing w:after="0"/>
              <w:rPr>
                <w:sz w:val="20"/>
                <w:szCs w:val="20"/>
                <w:color w:val="auto"/>
              </w:rPr>
            </w:pPr>
            <w:r>
              <w:rPr>
                <w:rFonts w:ascii="Arial" w:cs="Arial" w:eastAsia="Arial" w:hAnsi="Arial"/>
                <w:sz w:val="12"/>
                <w:szCs w:val="12"/>
                <w:color w:val="auto"/>
              </w:rPr>
              <w:t>VM Consolidated, Inc.</w:t>
            </w:r>
          </w:p>
        </w:tc>
        <w:tc>
          <w:tcPr>
            <w:tcW w:w="1700" w:type="dxa"/>
            <w:vAlign w:val="bottom"/>
          </w:tcPr>
          <w:p>
            <w:pPr>
              <w:spacing w:after="0"/>
              <w:rPr>
                <w:sz w:val="18"/>
                <w:szCs w:val="18"/>
                <w:color w:val="auto"/>
              </w:rPr>
            </w:pPr>
          </w:p>
        </w:tc>
        <w:tc>
          <w:tcPr>
            <w:tcW w:w="6040" w:type="dxa"/>
            <w:vAlign w:val="bottom"/>
            <w:gridSpan w:val="2"/>
          </w:tcPr>
          <w:p>
            <w:pPr>
              <w:ind w:left="440"/>
              <w:spacing w:after="0"/>
              <w:rPr>
                <w:sz w:val="20"/>
                <w:szCs w:val="20"/>
                <w:color w:val="auto"/>
              </w:rPr>
            </w:pPr>
            <w:r>
              <w:rPr>
                <w:rFonts w:ascii="Arial" w:cs="Arial" w:eastAsia="Arial" w:hAnsi="Arial"/>
                <w:sz w:val="12"/>
                <w:szCs w:val="12"/>
                <w:color w:val="auto"/>
              </w:rPr>
              <w:t>Delaware</w:t>
            </w:r>
          </w:p>
        </w:tc>
      </w:tr>
      <w:tr>
        <w:trPr>
          <w:trHeight w:val="207"/>
        </w:trPr>
        <w:tc>
          <w:tcPr>
            <w:tcW w:w="3740" w:type="dxa"/>
            <w:vAlign w:val="bottom"/>
          </w:tcPr>
          <w:p>
            <w:pPr>
              <w:spacing w:after="0"/>
              <w:rPr>
                <w:sz w:val="20"/>
                <w:szCs w:val="20"/>
                <w:color w:val="auto"/>
              </w:rPr>
            </w:pPr>
            <w:r>
              <w:rPr>
                <w:rFonts w:ascii="Arial" w:cs="Arial" w:eastAsia="Arial" w:hAnsi="Arial"/>
                <w:sz w:val="12"/>
                <w:szCs w:val="12"/>
                <w:color w:val="auto"/>
              </w:rPr>
              <w:t>American Traffic Solutions, Inc.</w:t>
            </w:r>
          </w:p>
        </w:tc>
        <w:tc>
          <w:tcPr>
            <w:tcW w:w="1700" w:type="dxa"/>
            <w:vAlign w:val="bottom"/>
          </w:tcPr>
          <w:p>
            <w:pPr>
              <w:spacing w:after="0"/>
              <w:rPr>
                <w:sz w:val="18"/>
                <w:szCs w:val="18"/>
                <w:color w:val="auto"/>
              </w:rPr>
            </w:pPr>
          </w:p>
        </w:tc>
        <w:tc>
          <w:tcPr>
            <w:tcW w:w="6040" w:type="dxa"/>
            <w:vAlign w:val="bottom"/>
            <w:gridSpan w:val="2"/>
          </w:tcPr>
          <w:p>
            <w:pPr>
              <w:ind w:left="440"/>
              <w:spacing w:after="0"/>
              <w:rPr>
                <w:sz w:val="20"/>
                <w:szCs w:val="20"/>
                <w:color w:val="auto"/>
              </w:rPr>
            </w:pPr>
            <w:r>
              <w:rPr>
                <w:rFonts w:ascii="Arial" w:cs="Arial" w:eastAsia="Arial" w:hAnsi="Arial"/>
                <w:sz w:val="12"/>
                <w:szCs w:val="12"/>
                <w:color w:val="auto"/>
              </w:rPr>
              <w:t>Kansas</w:t>
            </w:r>
          </w:p>
        </w:tc>
      </w:tr>
      <w:tr>
        <w:trPr>
          <w:trHeight w:val="207"/>
        </w:trPr>
        <w:tc>
          <w:tcPr>
            <w:tcW w:w="3740" w:type="dxa"/>
            <w:vAlign w:val="bottom"/>
          </w:tcPr>
          <w:p>
            <w:pPr>
              <w:spacing w:after="0"/>
              <w:rPr>
                <w:sz w:val="20"/>
                <w:szCs w:val="20"/>
                <w:color w:val="auto"/>
              </w:rPr>
            </w:pPr>
            <w:r>
              <w:rPr>
                <w:rFonts w:ascii="Arial" w:cs="Arial" w:eastAsia="Arial" w:hAnsi="Arial"/>
                <w:sz w:val="12"/>
                <w:szCs w:val="12"/>
                <w:color w:val="auto"/>
              </w:rPr>
              <w:t>LaserCraft, Inc.</w:t>
            </w:r>
          </w:p>
        </w:tc>
        <w:tc>
          <w:tcPr>
            <w:tcW w:w="1700" w:type="dxa"/>
            <w:vAlign w:val="bottom"/>
          </w:tcPr>
          <w:p>
            <w:pPr>
              <w:spacing w:after="0"/>
              <w:rPr>
                <w:sz w:val="18"/>
                <w:szCs w:val="18"/>
                <w:color w:val="auto"/>
              </w:rPr>
            </w:pPr>
          </w:p>
        </w:tc>
        <w:tc>
          <w:tcPr>
            <w:tcW w:w="6040" w:type="dxa"/>
            <w:vAlign w:val="bottom"/>
            <w:gridSpan w:val="2"/>
          </w:tcPr>
          <w:p>
            <w:pPr>
              <w:ind w:left="440"/>
              <w:spacing w:after="0"/>
              <w:rPr>
                <w:sz w:val="20"/>
                <w:szCs w:val="20"/>
                <w:color w:val="auto"/>
              </w:rPr>
            </w:pPr>
            <w:r>
              <w:rPr>
                <w:rFonts w:ascii="Arial" w:cs="Arial" w:eastAsia="Arial" w:hAnsi="Arial"/>
                <w:sz w:val="12"/>
                <w:szCs w:val="12"/>
                <w:color w:val="auto"/>
              </w:rPr>
              <w:t>Georgia</w:t>
            </w:r>
          </w:p>
        </w:tc>
      </w:tr>
      <w:tr>
        <w:trPr>
          <w:trHeight w:val="207"/>
        </w:trPr>
        <w:tc>
          <w:tcPr>
            <w:tcW w:w="3740" w:type="dxa"/>
            <w:vAlign w:val="bottom"/>
          </w:tcPr>
          <w:p>
            <w:pPr>
              <w:spacing w:after="0"/>
              <w:rPr>
                <w:sz w:val="20"/>
                <w:szCs w:val="20"/>
                <w:color w:val="auto"/>
              </w:rPr>
            </w:pPr>
            <w:r>
              <w:rPr>
                <w:rFonts w:ascii="Arial" w:cs="Arial" w:eastAsia="Arial" w:hAnsi="Arial"/>
                <w:sz w:val="12"/>
                <w:szCs w:val="12"/>
                <w:color w:val="auto"/>
              </w:rPr>
              <w:t>Mulvihill ICS, Inc.</w:t>
            </w:r>
          </w:p>
        </w:tc>
        <w:tc>
          <w:tcPr>
            <w:tcW w:w="1700" w:type="dxa"/>
            <w:vAlign w:val="bottom"/>
          </w:tcPr>
          <w:p>
            <w:pPr>
              <w:spacing w:after="0"/>
              <w:rPr>
                <w:sz w:val="18"/>
                <w:szCs w:val="18"/>
                <w:color w:val="auto"/>
              </w:rPr>
            </w:pPr>
          </w:p>
        </w:tc>
        <w:tc>
          <w:tcPr>
            <w:tcW w:w="6040" w:type="dxa"/>
            <w:vAlign w:val="bottom"/>
            <w:gridSpan w:val="2"/>
          </w:tcPr>
          <w:p>
            <w:pPr>
              <w:ind w:left="440"/>
              <w:spacing w:after="0"/>
              <w:rPr>
                <w:sz w:val="20"/>
                <w:szCs w:val="20"/>
                <w:color w:val="auto"/>
              </w:rPr>
            </w:pPr>
            <w:r>
              <w:rPr>
                <w:rFonts w:ascii="Arial" w:cs="Arial" w:eastAsia="Arial" w:hAnsi="Arial"/>
                <w:sz w:val="12"/>
                <w:szCs w:val="12"/>
                <w:color w:val="auto"/>
              </w:rPr>
              <w:t>New York</w:t>
            </w:r>
          </w:p>
        </w:tc>
      </w:tr>
      <w:tr>
        <w:trPr>
          <w:trHeight w:val="207"/>
        </w:trPr>
        <w:tc>
          <w:tcPr>
            <w:tcW w:w="3740" w:type="dxa"/>
            <w:vAlign w:val="bottom"/>
          </w:tcPr>
          <w:p>
            <w:pPr>
              <w:spacing w:after="0"/>
              <w:rPr>
                <w:sz w:val="20"/>
                <w:szCs w:val="20"/>
                <w:color w:val="auto"/>
              </w:rPr>
            </w:pPr>
            <w:r>
              <w:rPr>
                <w:rFonts w:ascii="Arial" w:cs="Arial" w:eastAsia="Arial" w:hAnsi="Arial"/>
                <w:sz w:val="12"/>
                <w:szCs w:val="12"/>
                <w:color w:val="auto"/>
              </w:rPr>
              <w:t>Mulvihill Electrical Enterprises, Inc.</w:t>
            </w:r>
          </w:p>
        </w:tc>
        <w:tc>
          <w:tcPr>
            <w:tcW w:w="1700" w:type="dxa"/>
            <w:vAlign w:val="bottom"/>
          </w:tcPr>
          <w:p>
            <w:pPr>
              <w:spacing w:after="0"/>
              <w:rPr>
                <w:sz w:val="18"/>
                <w:szCs w:val="18"/>
                <w:color w:val="auto"/>
              </w:rPr>
            </w:pPr>
          </w:p>
        </w:tc>
        <w:tc>
          <w:tcPr>
            <w:tcW w:w="6040" w:type="dxa"/>
            <w:vAlign w:val="bottom"/>
            <w:gridSpan w:val="2"/>
          </w:tcPr>
          <w:p>
            <w:pPr>
              <w:ind w:left="440"/>
              <w:spacing w:after="0"/>
              <w:rPr>
                <w:sz w:val="20"/>
                <w:szCs w:val="20"/>
                <w:color w:val="auto"/>
              </w:rPr>
            </w:pPr>
            <w:r>
              <w:rPr>
                <w:rFonts w:ascii="Arial" w:cs="Arial" w:eastAsia="Arial" w:hAnsi="Arial"/>
                <w:sz w:val="12"/>
                <w:szCs w:val="12"/>
                <w:color w:val="auto"/>
              </w:rPr>
              <w:t>New York</w:t>
            </w:r>
          </w:p>
        </w:tc>
      </w:tr>
      <w:tr>
        <w:trPr>
          <w:trHeight w:val="207"/>
        </w:trPr>
        <w:tc>
          <w:tcPr>
            <w:tcW w:w="3740" w:type="dxa"/>
            <w:vAlign w:val="bottom"/>
          </w:tcPr>
          <w:p>
            <w:pPr>
              <w:spacing w:after="0"/>
              <w:rPr>
                <w:sz w:val="20"/>
                <w:szCs w:val="20"/>
                <w:color w:val="auto"/>
              </w:rPr>
            </w:pPr>
            <w:r>
              <w:rPr>
                <w:rFonts w:ascii="Arial" w:cs="Arial" w:eastAsia="Arial" w:hAnsi="Arial"/>
                <w:sz w:val="12"/>
                <w:szCs w:val="12"/>
                <w:color w:val="auto"/>
              </w:rPr>
              <w:t>American Traffic Solutions Consolidated, L.L.C.</w:t>
            </w:r>
          </w:p>
        </w:tc>
        <w:tc>
          <w:tcPr>
            <w:tcW w:w="1700" w:type="dxa"/>
            <w:vAlign w:val="bottom"/>
          </w:tcPr>
          <w:p>
            <w:pPr>
              <w:spacing w:after="0"/>
              <w:rPr>
                <w:sz w:val="18"/>
                <w:szCs w:val="18"/>
                <w:color w:val="auto"/>
              </w:rPr>
            </w:pPr>
          </w:p>
        </w:tc>
        <w:tc>
          <w:tcPr>
            <w:tcW w:w="6040" w:type="dxa"/>
            <w:vAlign w:val="bottom"/>
            <w:gridSpan w:val="2"/>
          </w:tcPr>
          <w:p>
            <w:pPr>
              <w:ind w:left="440"/>
              <w:spacing w:after="0"/>
              <w:rPr>
                <w:sz w:val="20"/>
                <w:szCs w:val="20"/>
                <w:color w:val="auto"/>
              </w:rPr>
            </w:pPr>
            <w:r>
              <w:rPr>
                <w:rFonts w:ascii="Arial" w:cs="Arial" w:eastAsia="Arial" w:hAnsi="Arial"/>
                <w:sz w:val="12"/>
                <w:szCs w:val="12"/>
                <w:color w:val="auto"/>
              </w:rPr>
              <w:t>Delaware</w:t>
            </w:r>
          </w:p>
        </w:tc>
      </w:tr>
      <w:tr>
        <w:trPr>
          <w:trHeight w:val="207"/>
        </w:trPr>
        <w:tc>
          <w:tcPr>
            <w:tcW w:w="3740" w:type="dxa"/>
            <w:vAlign w:val="bottom"/>
          </w:tcPr>
          <w:p>
            <w:pPr>
              <w:spacing w:after="0"/>
              <w:rPr>
                <w:sz w:val="20"/>
                <w:szCs w:val="20"/>
                <w:color w:val="auto"/>
              </w:rPr>
            </w:pPr>
            <w:r>
              <w:rPr>
                <w:rFonts w:ascii="Arial" w:cs="Arial" w:eastAsia="Arial" w:hAnsi="Arial"/>
                <w:sz w:val="12"/>
                <w:szCs w:val="12"/>
                <w:color w:val="auto"/>
              </w:rPr>
              <w:t>American Traffic Solutions, L.L.C.</w:t>
            </w:r>
          </w:p>
        </w:tc>
        <w:tc>
          <w:tcPr>
            <w:tcW w:w="1700" w:type="dxa"/>
            <w:vAlign w:val="bottom"/>
          </w:tcPr>
          <w:p>
            <w:pPr>
              <w:spacing w:after="0"/>
              <w:rPr>
                <w:sz w:val="18"/>
                <w:szCs w:val="18"/>
                <w:color w:val="auto"/>
              </w:rPr>
            </w:pPr>
          </w:p>
        </w:tc>
        <w:tc>
          <w:tcPr>
            <w:tcW w:w="6040" w:type="dxa"/>
            <w:vAlign w:val="bottom"/>
            <w:gridSpan w:val="2"/>
          </w:tcPr>
          <w:p>
            <w:pPr>
              <w:ind w:left="440"/>
              <w:spacing w:after="0"/>
              <w:rPr>
                <w:sz w:val="20"/>
                <w:szCs w:val="20"/>
                <w:color w:val="auto"/>
              </w:rPr>
            </w:pPr>
            <w:r>
              <w:rPr>
                <w:rFonts w:ascii="Arial" w:cs="Arial" w:eastAsia="Arial" w:hAnsi="Arial"/>
                <w:sz w:val="12"/>
                <w:szCs w:val="12"/>
                <w:color w:val="auto"/>
              </w:rPr>
              <w:t>Delaware</w:t>
            </w:r>
          </w:p>
        </w:tc>
      </w:tr>
      <w:tr>
        <w:trPr>
          <w:trHeight w:val="207"/>
        </w:trPr>
        <w:tc>
          <w:tcPr>
            <w:tcW w:w="3740" w:type="dxa"/>
            <w:vAlign w:val="bottom"/>
          </w:tcPr>
          <w:p>
            <w:pPr>
              <w:spacing w:after="0"/>
              <w:rPr>
                <w:sz w:val="20"/>
                <w:szCs w:val="20"/>
                <w:color w:val="auto"/>
              </w:rPr>
            </w:pPr>
            <w:r>
              <w:rPr>
                <w:rFonts w:ascii="Arial" w:cs="Arial" w:eastAsia="Arial" w:hAnsi="Arial"/>
                <w:sz w:val="12"/>
                <w:szCs w:val="12"/>
                <w:color w:val="auto"/>
              </w:rPr>
              <w:t>ATS Processing Services, L.L.C.</w:t>
            </w:r>
          </w:p>
        </w:tc>
        <w:tc>
          <w:tcPr>
            <w:tcW w:w="1700" w:type="dxa"/>
            <w:vAlign w:val="bottom"/>
          </w:tcPr>
          <w:p>
            <w:pPr>
              <w:spacing w:after="0"/>
              <w:rPr>
                <w:sz w:val="18"/>
                <w:szCs w:val="18"/>
                <w:color w:val="auto"/>
              </w:rPr>
            </w:pPr>
          </w:p>
        </w:tc>
        <w:tc>
          <w:tcPr>
            <w:tcW w:w="6040" w:type="dxa"/>
            <w:vAlign w:val="bottom"/>
            <w:gridSpan w:val="2"/>
          </w:tcPr>
          <w:p>
            <w:pPr>
              <w:ind w:left="440"/>
              <w:spacing w:after="0"/>
              <w:rPr>
                <w:sz w:val="20"/>
                <w:szCs w:val="20"/>
                <w:color w:val="auto"/>
              </w:rPr>
            </w:pPr>
            <w:r>
              <w:rPr>
                <w:rFonts w:ascii="Arial" w:cs="Arial" w:eastAsia="Arial" w:hAnsi="Arial"/>
                <w:sz w:val="12"/>
                <w:szCs w:val="12"/>
                <w:color w:val="auto"/>
              </w:rPr>
              <w:t>Delaware</w:t>
            </w:r>
          </w:p>
        </w:tc>
      </w:tr>
      <w:tr>
        <w:trPr>
          <w:trHeight w:val="207"/>
        </w:trPr>
        <w:tc>
          <w:tcPr>
            <w:tcW w:w="3740" w:type="dxa"/>
            <w:vAlign w:val="bottom"/>
          </w:tcPr>
          <w:p>
            <w:pPr>
              <w:spacing w:after="0"/>
              <w:rPr>
                <w:sz w:val="20"/>
                <w:szCs w:val="20"/>
                <w:color w:val="auto"/>
              </w:rPr>
            </w:pPr>
            <w:r>
              <w:rPr>
                <w:rFonts w:ascii="Arial" w:cs="Arial" w:eastAsia="Arial" w:hAnsi="Arial"/>
                <w:sz w:val="12"/>
                <w:szCs w:val="12"/>
                <w:color w:val="auto"/>
              </w:rPr>
              <w:t>PlatePass, L.L.C.</w:t>
            </w:r>
          </w:p>
        </w:tc>
        <w:tc>
          <w:tcPr>
            <w:tcW w:w="1700" w:type="dxa"/>
            <w:vAlign w:val="bottom"/>
          </w:tcPr>
          <w:p>
            <w:pPr>
              <w:spacing w:after="0"/>
              <w:rPr>
                <w:sz w:val="18"/>
                <w:szCs w:val="18"/>
                <w:color w:val="auto"/>
              </w:rPr>
            </w:pPr>
          </w:p>
        </w:tc>
        <w:tc>
          <w:tcPr>
            <w:tcW w:w="6040" w:type="dxa"/>
            <w:vAlign w:val="bottom"/>
            <w:gridSpan w:val="2"/>
          </w:tcPr>
          <w:p>
            <w:pPr>
              <w:ind w:left="440"/>
              <w:spacing w:after="0"/>
              <w:rPr>
                <w:sz w:val="20"/>
                <w:szCs w:val="20"/>
                <w:color w:val="auto"/>
              </w:rPr>
            </w:pPr>
            <w:r>
              <w:rPr>
                <w:rFonts w:ascii="Arial" w:cs="Arial" w:eastAsia="Arial" w:hAnsi="Arial"/>
                <w:sz w:val="12"/>
                <w:szCs w:val="12"/>
                <w:color w:val="auto"/>
              </w:rPr>
              <w:t>Delaware</w:t>
            </w:r>
          </w:p>
        </w:tc>
      </w:tr>
      <w:tr>
        <w:trPr>
          <w:trHeight w:val="207"/>
        </w:trPr>
        <w:tc>
          <w:tcPr>
            <w:tcW w:w="3740" w:type="dxa"/>
            <w:vAlign w:val="bottom"/>
          </w:tcPr>
          <w:p>
            <w:pPr>
              <w:spacing w:after="0"/>
              <w:rPr>
                <w:sz w:val="20"/>
                <w:szCs w:val="20"/>
                <w:color w:val="auto"/>
              </w:rPr>
            </w:pPr>
            <w:r>
              <w:rPr>
                <w:rFonts w:ascii="Arial" w:cs="Arial" w:eastAsia="Arial" w:hAnsi="Arial"/>
                <w:sz w:val="12"/>
                <w:szCs w:val="12"/>
                <w:color w:val="auto"/>
              </w:rPr>
              <w:t>ATS Tolling LLC</w:t>
            </w:r>
          </w:p>
        </w:tc>
        <w:tc>
          <w:tcPr>
            <w:tcW w:w="1700" w:type="dxa"/>
            <w:vAlign w:val="bottom"/>
          </w:tcPr>
          <w:p>
            <w:pPr>
              <w:spacing w:after="0"/>
              <w:rPr>
                <w:sz w:val="18"/>
                <w:szCs w:val="18"/>
                <w:color w:val="auto"/>
              </w:rPr>
            </w:pPr>
          </w:p>
        </w:tc>
        <w:tc>
          <w:tcPr>
            <w:tcW w:w="6040" w:type="dxa"/>
            <w:vAlign w:val="bottom"/>
            <w:gridSpan w:val="2"/>
          </w:tcPr>
          <w:p>
            <w:pPr>
              <w:ind w:left="440"/>
              <w:spacing w:after="0"/>
              <w:rPr>
                <w:sz w:val="20"/>
                <w:szCs w:val="20"/>
                <w:color w:val="auto"/>
              </w:rPr>
            </w:pPr>
            <w:r>
              <w:rPr>
                <w:rFonts w:ascii="Arial" w:cs="Arial" w:eastAsia="Arial" w:hAnsi="Arial"/>
                <w:sz w:val="12"/>
                <w:szCs w:val="12"/>
                <w:color w:val="auto"/>
              </w:rPr>
              <w:t>Delaware</w:t>
            </w:r>
          </w:p>
        </w:tc>
      </w:tr>
      <w:tr>
        <w:trPr>
          <w:trHeight w:val="207"/>
        </w:trPr>
        <w:tc>
          <w:tcPr>
            <w:tcW w:w="3740" w:type="dxa"/>
            <w:vAlign w:val="bottom"/>
          </w:tcPr>
          <w:p>
            <w:pPr>
              <w:spacing w:after="0"/>
              <w:rPr>
                <w:sz w:val="20"/>
                <w:szCs w:val="20"/>
                <w:color w:val="auto"/>
              </w:rPr>
            </w:pPr>
            <w:r>
              <w:rPr>
                <w:rFonts w:ascii="Arial" w:cs="Arial" w:eastAsia="Arial" w:hAnsi="Arial"/>
                <w:sz w:val="12"/>
                <w:szCs w:val="12"/>
                <w:color w:val="auto"/>
              </w:rPr>
              <w:t>Sunshine State Tag Agency LLC</w:t>
            </w:r>
          </w:p>
        </w:tc>
        <w:tc>
          <w:tcPr>
            <w:tcW w:w="1700" w:type="dxa"/>
            <w:vAlign w:val="bottom"/>
          </w:tcPr>
          <w:p>
            <w:pPr>
              <w:spacing w:after="0"/>
              <w:rPr>
                <w:sz w:val="18"/>
                <w:szCs w:val="18"/>
                <w:color w:val="auto"/>
              </w:rPr>
            </w:pPr>
          </w:p>
        </w:tc>
        <w:tc>
          <w:tcPr>
            <w:tcW w:w="6040" w:type="dxa"/>
            <w:vAlign w:val="bottom"/>
            <w:gridSpan w:val="2"/>
          </w:tcPr>
          <w:p>
            <w:pPr>
              <w:ind w:left="440"/>
              <w:spacing w:after="0"/>
              <w:rPr>
                <w:sz w:val="20"/>
                <w:szCs w:val="20"/>
                <w:color w:val="auto"/>
              </w:rPr>
            </w:pPr>
            <w:r>
              <w:rPr>
                <w:rFonts w:ascii="Arial" w:cs="Arial" w:eastAsia="Arial" w:hAnsi="Arial"/>
                <w:sz w:val="12"/>
                <w:szCs w:val="12"/>
                <w:color w:val="auto"/>
              </w:rPr>
              <w:t>Delaware</w:t>
            </w:r>
          </w:p>
        </w:tc>
      </w:tr>
      <w:tr>
        <w:trPr>
          <w:trHeight w:val="207"/>
        </w:trPr>
        <w:tc>
          <w:tcPr>
            <w:tcW w:w="3740" w:type="dxa"/>
            <w:vAlign w:val="bottom"/>
          </w:tcPr>
          <w:p>
            <w:pPr>
              <w:spacing w:after="0"/>
              <w:rPr>
                <w:sz w:val="20"/>
                <w:szCs w:val="20"/>
                <w:color w:val="auto"/>
              </w:rPr>
            </w:pPr>
            <w:r>
              <w:rPr>
                <w:rFonts w:ascii="Arial" w:cs="Arial" w:eastAsia="Arial" w:hAnsi="Arial"/>
                <w:sz w:val="12"/>
                <w:szCs w:val="12"/>
                <w:color w:val="auto"/>
              </w:rPr>
              <w:t>Auto Tag of America LLC</w:t>
            </w:r>
          </w:p>
        </w:tc>
        <w:tc>
          <w:tcPr>
            <w:tcW w:w="1700" w:type="dxa"/>
            <w:vAlign w:val="bottom"/>
          </w:tcPr>
          <w:p>
            <w:pPr>
              <w:spacing w:after="0"/>
              <w:rPr>
                <w:sz w:val="18"/>
                <w:szCs w:val="18"/>
                <w:color w:val="auto"/>
              </w:rPr>
            </w:pPr>
          </w:p>
        </w:tc>
        <w:tc>
          <w:tcPr>
            <w:tcW w:w="6040" w:type="dxa"/>
            <w:vAlign w:val="bottom"/>
            <w:gridSpan w:val="2"/>
          </w:tcPr>
          <w:p>
            <w:pPr>
              <w:ind w:left="440"/>
              <w:spacing w:after="0"/>
              <w:rPr>
                <w:sz w:val="20"/>
                <w:szCs w:val="20"/>
                <w:color w:val="auto"/>
              </w:rPr>
            </w:pPr>
            <w:r>
              <w:rPr>
                <w:rFonts w:ascii="Arial" w:cs="Arial" w:eastAsia="Arial" w:hAnsi="Arial"/>
                <w:sz w:val="12"/>
                <w:szCs w:val="12"/>
                <w:color w:val="auto"/>
              </w:rPr>
              <w:t>Delaware</w:t>
            </w:r>
          </w:p>
        </w:tc>
      </w:tr>
      <w:tr>
        <w:trPr>
          <w:trHeight w:val="207"/>
        </w:trPr>
        <w:tc>
          <w:tcPr>
            <w:tcW w:w="3740" w:type="dxa"/>
            <w:vAlign w:val="bottom"/>
          </w:tcPr>
          <w:p>
            <w:pPr>
              <w:spacing w:after="0"/>
              <w:rPr>
                <w:sz w:val="20"/>
                <w:szCs w:val="20"/>
                <w:color w:val="auto"/>
              </w:rPr>
            </w:pPr>
            <w:r>
              <w:rPr>
                <w:rFonts w:ascii="Arial" w:cs="Arial" w:eastAsia="Arial" w:hAnsi="Arial"/>
                <w:sz w:val="12"/>
                <w:szCs w:val="12"/>
                <w:color w:val="auto"/>
              </w:rPr>
              <w:t>Auto Titles of America LLC</w:t>
            </w:r>
          </w:p>
        </w:tc>
        <w:tc>
          <w:tcPr>
            <w:tcW w:w="1700" w:type="dxa"/>
            <w:vAlign w:val="bottom"/>
          </w:tcPr>
          <w:p>
            <w:pPr>
              <w:spacing w:after="0"/>
              <w:rPr>
                <w:sz w:val="18"/>
                <w:szCs w:val="18"/>
                <w:color w:val="auto"/>
              </w:rPr>
            </w:pPr>
          </w:p>
        </w:tc>
        <w:tc>
          <w:tcPr>
            <w:tcW w:w="6040" w:type="dxa"/>
            <w:vAlign w:val="bottom"/>
            <w:gridSpan w:val="2"/>
          </w:tcPr>
          <w:p>
            <w:pPr>
              <w:ind w:left="440"/>
              <w:spacing w:after="0"/>
              <w:rPr>
                <w:sz w:val="20"/>
                <w:szCs w:val="20"/>
                <w:color w:val="auto"/>
              </w:rPr>
            </w:pPr>
            <w:r>
              <w:rPr>
                <w:rFonts w:ascii="Arial" w:cs="Arial" w:eastAsia="Arial" w:hAnsi="Arial"/>
                <w:sz w:val="12"/>
                <w:szCs w:val="12"/>
                <w:color w:val="auto"/>
              </w:rPr>
              <w:t>Delaware</w:t>
            </w:r>
          </w:p>
        </w:tc>
      </w:tr>
      <w:tr>
        <w:trPr>
          <w:trHeight w:val="207"/>
        </w:trPr>
        <w:tc>
          <w:tcPr>
            <w:tcW w:w="3740" w:type="dxa"/>
            <w:vAlign w:val="bottom"/>
          </w:tcPr>
          <w:p>
            <w:pPr>
              <w:spacing w:after="0"/>
              <w:rPr>
                <w:sz w:val="20"/>
                <w:szCs w:val="20"/>
                <w:color w:val="auto"/>
              </w:rPr>
            </w:pPr>
            <w:r>
              <w:rPr>
                <w:rFonts w:ascii="Arial" w:cs="Arial" w:eastAsia="Arial" w:hAnsi="Arial"/>
                <w:sz w:val="12"/>
                <w:szCs w:val="12"/>
                <w:color w:val="auto"/>
              </w:rPr>
              <w:t>Highway Toll Administration, LLC</w:t>
            </w:r>
          </w:p>
        </w:tc>
        <w:tc>
          <w:tcPr>
            <w:tcW w:w="1700" w:type="dxa"/>
            <w:vAlign w:val="bottom"/>
          </w:tcPr>
          <w:p>
            <w:pPr>
              <w:spacing w:after="0"/>
              <w:rPr>
                <w:sz w:val="18"/>
                <w:szCs w:val="18"/>
                <w:color w:val="auto"/>
              </w:rPr>
            </w:pPr>
          </w:p>
        </w:tc>
        <w:tc>
          <w:tcPr>
            <w:tcW w:w="6040" w:type="dxa"/>
            <w:vAlign w:val="bottom"/>
            <w:gridSpan w:val="2"/>
          </w:tcPr>
          <w:p>
            <w:pPr>
              <w:ind w:left="440"/>
              <w:spacing w:after="0"/>
              <w:rPr>
                <w:sz w:val="20"/>
                <w:szCs w:val="20"/>
                <w:color w:val="auto"/>
              </w:rPr>
            </w:pPr>
            <w:r>
              <w:rPr>
                <w:rFonts w:ascii="Arial" w:cs="Arial" w:eastAsia="Arial" w:hAnsi="Arial"/>
                <w:sz w:val="12"/>
                <w:szCs w:val="12"/>
                <w:color w:val="auto"/>
              </w:rPr>
              <w:t>New York</w:t>
            </w:r>
          </w:p>
        </w:tc>
      </w:tr>
      <w:tr>
        <w:trPr>
          <w:trHeight w:val="207"/>
        </w:trPr>
        <w:tc>
          <w:tcPr>
            <w:tcW w:w="3740" w:type="dxa"/>
            <w:vAlign w:val="bottom"/>
          </w:tcPr>
          <w:p>
            <w:pPr>
              <w:spacing w:after="0"/>
              <w:rPr>
                <w:sz w:val="20"/>
                <w:szCs w:val="20"/>
                <w:color w:val="auto"/>
              </w:rPr>
            </w:pPr>
            <w:r>
              <w:rPr>
                <w:rFonts w:ascii="Arial" w:cs="Arial" w:eastAsia="Arial" w:hAnsi="Arial"/>
                <w:sz w:val="12"/>
                <w:szCs w:val="12"/>
                <w:color w:val="auto"/>
              </w:rPr>
              <w:t>Canadian Highway Toll Administrations, Ltd</w:t>
            </w:r>
          </w:p>
        </w:tc>
        <w:tc>
          <w:tcPr>
            <w:tcW w:w="1700" w:type="dxa"/>
            <w:vAlign w:val="bottom"/>
          </w:tcPr>
          <w:p>
            <w:pPr>
              <w:spacing w:after="0"/>
              <w:rPr>
                <w:sz w:val="18"/>
                <w:szCs w:val="18"/>
                <w:color w:val="auto"/>
              </w:rPr>
            </w:pPr>
          </w:p>
        </w:tc>
        <w:tc>
          <w:tcPr>
            <w:tcW w:w="6040" w:type="dxa"/>
            <w:vAlign w:val="bottom"/>
            <w:gridSpan w:val="2"/>
          </w:tcPr>
          <w:p>
            <w:pPr>
              <w:ind w:left="440"/>
              <w:spacing w:after="0"/>
              <w:rPr>
                <w:sz w:val="20"/>
                <w:szCs w:val="20"/>
                <w:color w:val="auto"/>
              </w:rPr>
            </w:pPr>
            <w:r>
              <w:rPr>
                <w:rFonts w:ascii="Arial" w:cs="Arial" w:eastAsia="Arial" w:hAnsi="Arial"/>
                <w:sz w:val="12"/>
                <w:szCs w:val="12"/>
                <w:color w:val="auto"/>
              </w:rPr>
              <w:t>British Columbia</w:t>
            </w:r>
          </w:p>
        </w:tc>
      </w:tr>
      <w:tr>
        <w:trPr>
          <w:trHeight w:val="207"/>
        </w:trPr>
        <w:tc>
          <w:tcPr>
            <w:tcW w:w="3740" w:type="dxa"/>
            <w:vAlign w:val="bottom"/>
          </w:tcPr>
          <w:p>
            <w:pPr>
              <w:spacing w:after="0"/>
              <w:rPr>
                <w:sz w:val="20"/>
                <w:szCs w:val="20"/>
                <w:color w:val="auto"/>
              </w:rPr>
            </w:pPr>
            <w:r>
              <w:rPr>
                <w:rFonts w:ascii="Arial" w:cs="Arial" w:eastAsia="Arial" w:hAnsi="Arial"/>
                <w:sz w:val="12"/>
                <w:szCs w:val="12"/>
                <w:color w:val="auto"/>
              </w:rPr>
              <w:t>Toll Buddy, LLC</w:t>
            </w:r>
          </w:p>
        </w:tc>
        <w:tc>
          <w:tcPr>
            <w:tcW w:w="1700" w:type="dxa"/>
            <w:vAlign w:val="bottom"/>
          </w:tcPr>
          <w:p>
            <w:pPr>
              <w:spacing w:after="0"/>
              <w:rPr>
                <w:sz w:val="18"/>
                <w:szCs w:val="18"/>
                <w:color w:val="auto"/>
              </w:rPr>
            </w:pPr>
          </w:p>
        </w:tc>
        <w:tc>
          <w:tcPr>
            <w:tcW w:w="6040" w:type="dxa"/>
            <w:vAlign w:val="bottom"/>
            <w:gridSpan w:val="2"/>
          </w:tcPr>
          <w:p>
            <w:pPr>
              <w:ind w:left="440"/>
              <w:spacing w:after="0"/>
              <w:rPr>
                <w:sz w:val="20"/>
                <w:szCs w:val="20"/>
                <w:color w:val="auto"/>
              </w:rPr>
            </w:pPr>
            <w:r>
              <w:rPr>
                <w:rFonts w:ascii="Arial" w:cs="Arial" w:eastAsia="Arial" w:hAnsi="Arial"/>
                <w:sz w:val="12"/>
                <w:szCs w:val="12"/>
                <w:color w:val="auto"/>
              </w:rPr>
              <w:t>Delaware</w:t>
            </w:r>
          </w:p>
        </w:tc>
      </w:tr>
      <w:tr>
        <w:trPr>
          <w:trHeight w:val="207"/>
        </w:trPr>
        <w:tc>
          <w:tcPr>
            <w:tcW w:w="3740" w:type="dxa"/>
            <w:vAlign w:val="bottom"/>
          </w:tcPr>
          <w:p>
            <w:pPr>
              <w:spacing w:after="0"/>
              <w:rPr>
                <w:sz w:val="20"/>
                <w:szCs w:val="20"/>
                <w:color w:val="auto"/>
              </w:rPr>
            </w:pPr>
            <w:r>
              <w:rPr>
                <w:rFonts w:ascii="Arial" w:cs="Arial" w:eastAsia="Arial" w:hAnsi="Arial"/>
                <w:sz w:val="12"/>
                <w:szCs w:val="12"/>
                <w:color w:val="auto"/>
              </w:rPr>
              <w:t>Violation Management Solutions, LLC</w:t>
            </w:r>
          </w:p>
        </w:tc>
        <w:tc>
          <w:tcPr>
            <w:tcW w:w="1700" w:type="dxa"/>
            <w:vAlign w:val="bottom"/>
          </w:tcPr>
          <w:p>
            <w:pPr>
              <w:spacing w:after="0"/>
              <w:rPr>
                <w:sz w:val="18"/>
                <w:szCs w:val="18"/>
                <w:color w:val="auto"/>
              </w:rPr>
            </w:pPr>
          </w:p>
        </w:tc>
        <w:tc>
          <w:tcPr>
            <w:tcW w:w="6040" w:type="dxa"/>
            <w:vAlign w:val="bottom"/>
            <w:gridSpan w:val="2"/>
          </w:tcPr>
          <w:p>
            <w:pPr>
              <w:ind w:left="440"/>
              <w:spacing w:after="0"/>
              <w:rPr>
                <w:sz w:val="20"/>
                <w:szCs w:val="20"/>
                <w:color w:val="auto"/>
              </w:rPr>
            </w:pPr>
            <w:r>
              <w:rPr>
                <w:rFonts w:ascii="Arial" w:cs="Arial" w:eastAsia="Arial" w:hAnsi="Arial"/>
                <w:sz w:val="12"/>
                <w:szCs w:val="12"/>
                <w:color w:val="auto"/>
              </w:rPr>
              <w:t>Delaware</w:t>
            </w:r>
          </w:p>
        </w:tc>
      </w:tr>
      <w:tr>
        <w:trPr>
          <w:trHeight w:val="207"/>
        </w:trPr>
        <w:tc>
          <w:tcPr>
            <w:tcW w:w="3740" w:type="dxa"/>
            <w:vAlign w:val="bottom"/>
          </w:tcPr>
          <w:p>
            <w:pPr>
              <w:spacing w:after="0"/>
              <w:rPr>
                <w:sz w:val="20"/>
                <w:szCs w:val="20"/>
                <w:color w:val="auto"/>
              </w:rPr>
            </w:pPr>
            <w:r>
              <w:rPr>
                <w:rFonts w:ascii="Arial" w:cs="Arial" w:eastAsia="Arial" w:hAnsi="Arial"/>
                <w:sz w:val="12"/>
                <w:szCs w:val="12"/>
                <w:color w:val="auto"/>
              </w:rPr>
              <w:t>Euro Parking Collection, plc</w:t>
            </w:r>
          </w:p>
        </w:tc>
        <w:tc>
          <w:tcPr>
            <w:tcW w:w="1700" w:type="dxa"/>
            <w:vAlign w:val="bottom"/>
          </w:tcPr>
          <w:p>
            <w:pPr>
              <w:spacing w:after="0"/>
              <w:rPr>
                <w:sz w:val="18"/>
                <w:szCs w:val="18"/>
                <w:color w:val="auto"/>
              </w:rPr>
            </w:pPr>
          </w:p>
        </w:tc>
        <w:tc>
          <w:tcPr>
            <w:tcW w:w="6040" w:type="dxa"/>
            <w:vAlign w:val="bottom"/>
            <w:gridSpan w:val="2"/>
          </w:tcPr>
          <w:p>
            <w:pPr>
              <w:ind w:left="440"/>
              <w:spacing w:after="0"/>
              <w:rPr>
                <w:sz w:val="20"/>
                <w:szCs w:val="20"/>
                <w:color w:val="auto"/>
              </w:rPr>
            </w:pPr>
            <w:r>
              <w:rPr>
                <w:rFonts w:ascii="Arial" w:cs="Arial" w:eastAsia="Arial" w:hAnsi="Arial"/>
                <w:sz w:val="12"/>
                <w:szCs w:val="12"/>
                <w:color w:val="auto"/>
              </w:rPr>
              <w:t>England and Wales</w:t>
            </w:r>
          </w:p>
        </w:tc>
      </w:tr>
      <w:tr>
        <w:trPr>
          <w:trHeight w:val="207"/>
        </w:trPr>
        <w:tc>
          <w:tcPr>
            <w:tcW w:w="3740" w:type="dxa"/>
            <w:vAlign w:val="bottom"/>
          </w:tcPr>
          <w:p>
            <w:pPr>
              <w:spacing w:after="0"/>
              <w:rPr>
                <w:sz w:val="20"/>
                <w:szCs w:val="20"/>
                <w:color w:val="auto"/>
              </w:rPr>
            </w:pPr>
            <w:r>
              <w:rPr>
                <w:rFonts w:ascii="Arial" w:cs="Arial" w:eastAsia="Arial" w:hAnsi="Arial"/>
                <w:sz w:val="12"/>
                <w:szCs w:val="12"/>
                <w:color w:val="auto"/>
              </w:rPr>
              <w:t>Contractum Limited</w:t>
            </w:r>
          </w:p>
        </w:tc>
        <w:tc>
          <w:tcPr>
            <w:tcW w:w="1700" w:type="dxa"/>
            <w:vAlign w:val="bottom"/>
          </w:tcPr>
          <w:p>
            <w:pPr>
              <w:spacing w:after="0"/>
              <w:rPr>
                <w:sz w:val="18"/>
                <w:szCs w:val="18"/>
                <w:color w:val="auto"/>
              </w:rPr>
            </w:pPr>
          </w:p>
        </w:tc>
        <w:tc>
          <w:tcPr>
            <w:tcW w:w="6040" w:type="dxa"/>
            <w:vAlign w:val="bottom"/>
            <w:gridSpan w:val="2"/>
          </w:tcPr>
          <w:p>
            <w:pPr>
              <w:ind w:left="440"/>
              <w:spacing w:after="0"/>
              <w:rPr>
                <w:sz w:val="20"/>
                <w:szCs w:val="20"/>
                <w:color w:val="auto"/>
              </w:rPr>
            </w:pPr>
            <w:r>
              <w:rPr>
                <w:rFonts w:ascii="Arial" w:cs="Arial" w:eastAsia="Arial" w:hAnsi="Arial"/>
                <w:sz w:val="12"/>
                <w:szCs w:val="12"/>
                <w:color w:val="auto"/>
              </w:rPr>
              <w:t>England and Wales</w:t>
            </w:r>
          </w:p>
        </w:tc>
      </w:tr>
      <w:tr>
        <w:trPr>
          <w:trHeight w:val="207"/>
        </w:trPr>
        <w:tc>
          <w:tcPr>
            <w:tcW w:w="3740" w:type="dxa"/>
            <w:vAlign w:val="bottom"/>
          </w:tcPr>
          <w:p>
            <w:pPr>
              <w:spacing w:after="0"/>
              <w:rPr>
                <w:sz w:val="20"/>
                <w:szCs w:val="20"/>
                <w:color w:val="auto"/>
              </w:rPr>
            </w:pPr>
            <w:r>
              <w:rPr>
                <w:rFonts w:ascii="Arial" w:cs="Arial" w:eastAsia="Arial" w:hAnsi="Arial"/>
                <w:sz w:val="12"/>
                <w:szCs w:val="12"/>
                <w:color w:val="auto"/>
              </w:rPr>
              <w:t>EPC Hungary Kft</w:t>
            </w:r>
          </w:p>
        </w:tc>
        <w:tc>
          <w:tcPr>
            <w:tcW w:w="1700" w:type="dxa"/>
            <w:vAlign w:val="bottom"/>
          </w:tcPr>
          <w:p>
            <w:pPr>
              <w:spacing w:after="0"/>
              <w:rPr>
                <w:sz w:val="18"/>
                <w:szCs w:val="18"/>
                <w:color w:val="auto"/>
              </w:rPr>
            </w:pPr>
          </w:p>
        </w:tc>
        <w:tc>
          <w:tcPr>
            <w:tcW w:w="6040" w:type="dxa"/>
            <w:vAlign w:val="bottom"/>
            <w:gridSpan w:val="2"/>
          </w:tcPr>
          <w:p>
            <w:pPr>
              <w:ind w:left="440"/>
              <w:spacing w:after="0"/>
              <w:rPr>
                <w:sz w:val="20"/>
                <w:szCs w:val="20"/>
                <w:color w:val="auto"/>
              </w:rPr>
            </w:pPr>
            <w:r>
              <w:rPr>
                <w:rFonts w:ascii="Arial" w:cs="Arial" w:eastAsia="Arial" w:hAnsi="Arial"/>
                <w:sz w:val="12"/>
                <w:szCs w:val="12"/>
                <w:color w:val="auto"/>
              </w:rPr>
              <w:t>Hungary</w:t>
            </w:r>
          </w:p>
        </w:tc>
      </w:tr>
      <w:tr>
        <w:trPr>
          <w:trHeight w:val="207"/>
        </w:trPr>
        <w:tc>
          <w:tcPr>
            <w:tcW w:w="3740" w:type="dxa"/>
            <w:vAlign w:val="bottom"/>
          </w:tcPr>
          <w:p>
            <w:pPr>
              <w:spacing w:after="0"/>
              <w:rPr>
                <w:sz w:val="20"/>
                <w:szCs w:val="20"/>
                <w:color w:val="auto"/>
              </w:rPr>
            </w:pPr>
            <w:r>
              <w:rPr>
                <w:rFonts w:ascii="Arial" w:cs="Arial" w:eastAsia="Arial" w:hAnsi="Arial"/>
                <w:sz w:val="12"/>
                <w:szCs w:val="12"/>
                <w:color w:val="auto"/>
              </w:rPr>
              <w:t>EPC Finance Limited</w:t>
            </w:r>
          </w:p>
        </w:tc>
        <w:tc>
          <w:tcPr>
            <w:tcW w:w="1700" w:type="dxa"/>
            <w:vAlign w:val="bottom"/>
          </w:tcPr>
          <w:p>
            <w:pPr>
              <w:spacing w:after="0"/>
              <w:rPr>
                <w:sz w:val="18"/>
                <w:szCs w:val="18"/>
                <w:color w:val="auto"/>
              </w:rPr>
            </w:pPr>
          </w:p>
        </w:tc>
        <w:tc>
          <w:tcPr>
            <w:tcW w:w="6040" w:type="dxa"/>
            <w:vAlign w:val="bottom"/>
            <w:gridSpan w:val="2"/>
          </w:tcPr>
          <w:p>
            <w:pPr>
              <w:ind w:left="440"/>
              <w:spacing w:after="0"/>
              <w:rPr>
                <w:sz w:val="20"/>
                <w:szCs w:val="20"/>
                <w:color w:val="auto"/>
              </w:rPr>
            </w:pPr>
            <w:r>
              <w:rPr>
                <w:rFonts w:ascii="Arial" w:cs="Arial" w:eastAsia="Arial" w:hAnsi="Arial"/>
                <w:sz w:val="12"/>
                <w:szCs w:val="12"/>
                <w:color w:val="auto"/>
              </w:rPr>
              <w:t>England and Wales</w:t>
            </w:r>
          </w:p>
        </w:tc>
      </w:tr>
      <w:tr>
        <w:trPr>
          <w:trHeight w:val="207"/>
        </w:trPr>
        <w:tc>
          <w:tcPr>
            <w:tcW w:w="3740" w:type="dxa"/>
            <w:vAlign w:val="bottom"/>
          </w:tcPr>
          <w:p>
            <w:pPr>
              <w:spacing w:after="0"/>
              <w:rPr>
                <w:sz w:val="20"/>
                <w:szCs w:val="20"/>
                <w:color w:val="auto"/>
              </w:rPr>
            </w:pPr>
            <w:r>
              <w:rPr>
                <w:rFonts w:ascii="Arial" w:cs="Arial" w:eastAsia="Arial" w:hAnsi="Arial"/>
                <w:sz w:val="12"/>
                <w:szCs w:val="12"/>
                <w:color w:val="auto"/>
              </w:rPr>
              <w:t>Verra Mobility B.V.</w:t>
            </w:r>
          </w:p>
        </w:tc>
        <w:tc>
          <w:tcPr>
            <w:tcW w:w="1700" w:type="dxa"/>
            <w:vAlign w:val="bottom"/>
          </w:tcPr>
          <w:p>
            <w:pPr>
              <w:spacing w:after="0"/>
              <w:rPr>
                <w:sz w:val="18"/>
                <w:szCs w:val="18"/>
                <w:color w:val="auto"/>
              </w:rPr>
            </w:pPr>
          </w:p>
        </w:tc>
        <w:tc>
          <w:tcPr>
            <w:tcW w:w="6040" w:type="dxa"/>
            <w:vAlign w:val="bottom"/>
            <w:gridSpan w:val="2"/>
          </w:tcPr>
          <w:p>
            <w:pPr>
              <w:ind w:left="440"/>
              <w:spacing w:after="0"/>
              <w:rPr>
                <w:sz w:val="20"/>
                <w:szCs w:val="20"/>
                <w:color w:val="auto"/>
              </w:rPr>
            </w:pPr>
            <w:r>
              <w:rPr>
                <w:rFonts w:ascii="Arial" w:cs="Arial" w:eastAsia="Arial" w:hAnsi="Arial"/>
                <w:sz w:val="12"/>
                <w:szCs w:val="12"/>
                <w:color w:val="auto"/>
              </w:rPr>
              <w:t>Netherlands</w:t>
            </w:r>
          </w:p>
        </w:tc>
      </w:tr>
      <w:tr>
        <w:trPr>
          <w:trHeight w:val="216"/>
        </w:trPr>
        <w:tc>
          <w:tcPr>
            <w:tcW w:w="3740" w:type="dxa"/>
            <w:vAlign w:val="bottom"/>
          </w:tcPr>
          <w:p>
            <w:pPr>
              <w:spacing w:after="0"/>
              <w:rPr>
                <w:sz w:val="20"/>
                <w:szCs w:val="20"/>
                <w:color w:val="auto"/>
              </w:rPr>
            </w:pPr>
            <w:r>
              <w:rPr>
                <w:rFonts w:ascii="Arial" w:cs="Arial" w:eastAsia="Arial" w:hAnsi="Arial"/>
                <w:sz w:val="12"/>
                <w:szCs w:val="12"/>
                <w:color w:val="auto"/>
              </w:rPr>
              <w:t>Verra Mobility France S.A.S.</w:t>
            </w:r>
          </w:p>
        </w:tc>
        <w:tc>
          <w:tcPr>
            <w:tcW w:w="1700" w:type="dxa"/>
            <w:vAlign w:val="bottom"/>
          </w:tcPr>
          <w:p>
            <w:pPr>
              <w:spacing w:after="0"/>
              <w:rPr>
                <w:sz w:val="18"/>
                <w:szCs w:val="18"/>
                <w:color w:val="auto"/>
              </w:rPr>
            </w:pPr>
          </w:p>
        </w:tc>
        <w:tc>
          <w:tcPr>
            <w:tcW w:w="6040" w:type="dxa"/>
            <w:vAlign w:val="bottom"/>
            <w:gridSpan w:val="2"/>
          </w:tcPr>
          <w:p>
            <w:pPr>
              <w:ind w:left="440"/>
              <w:spacing w:after="0"/>
              <w:rPr>
                <w:sz w:val="20"/>
                <w:szCs w:val="20"/>
                <w:color w:val="auto"/>
              </w:rPr>
            </w:pPr>
            <w:r>
              <w:rPr>
                <w:rFonts w:ascii="Arial" w:cs="Arial" w:eastAsia="Arial" w:hAnsi="Arial"/>
                <w:sz w:val="12"/>
                <w:szCs w:val="12"/>
                <w:color w:val="auto"/>
              </w:rPr>
              <w:t>France</w:t>
            </w:r>
          </w:p>
        </w:tc>
      </w:tr>
      <w:tr>
        <w:trPr>
          <w:trHeight w:val="216"/>
        </w:trPr>
        <w:tc>
          <w:tcPr>
            <w:tcW w:w="3740" w:type="dxa"/>
            <w:vAlign w:val="bottom"/>
          </w:tcPr>
          <w:p>
            <w:pPr>
              <w:spacing w:after="0"/>
              <w:rPr>
                <w:sz w:val="20"/>
                <w:szCs w:val="20"/>
                <w:color w:val="auto"/>
              </w:rPr>
            </w:pPr>
            <w:r>
              <w:rPr>
                <w:rFonts w:ascii="Arial" w:cs="Arial" w:eastAsia="Arial" w:hAnsi="Arial"/>
                <w:sz w:val="12"/>
                <w:szCs w:val="12"/>
                <w:color w:val="auto"/>
              </w:rPr>
              <w:t>Pagatelia, S.L.</w:t>
            </w:r>
          </w:p>
        </w:tc>
        <w:tc>
          <w:tcPr>
            <w:tcW w:w="1700" w:type="dxa"/>
            <w:vAlign w:val="bottom"/>
          </w:tcPr>
          <w:p>
            <w:pPr>
              <w:spacing w:after="0"/>
              <w:rPr>
                <w:sz w:val="18"/>
                <w:szCs w:val="18"/>
                <w:color w:val="auto"/>
              </w:rPr>
            </w:pPr>
          </w:p>
        </w:tc>
        <w:tc>
          <w:tcPr>
            <w:tcW w:w="6040" w:type="dxa"/>
            <w:vAlign w:val="bottom"/>
            <w:gridSpan w:val="2"/>
          </w:tcPr>
          <w:p>
            <w:pPr>
              <w:ind w:left="440"/>
              <w:spacing w:after="0"/>
              <w:rPr>
                <w:sz w:val="20"/>
                <w:szCs w:val="20"/>
                <w:color w:val="auto"/>
              </w:rPr>
            </w:pPr>
            <w:r>
              <w:rPr>
                <w:rFonts w:ascii="Arial" w:cs="Arial" w:eastAsia="Arial" w:hAnsi="Arial"/>
                <w:sz w:val="12"/>
                <w:szCs w:val="12"/>
                <w:color w:val="auto"/>
              </w:rPr>
              <w:t>Spain</w:t>
            </w:r>
          </w:p>
        </w:tc>
      </w:tr>
      <w:tr>
        <w:trPr>
          <w:trHeight w:val="216"/>
        </w:trPr>
        <w:tc>
          <w:tcPr>
            <w:tcW w:w="3740" w:type="dxa"/>
            <w:vAlign w:val="bottom"/>
          </w:tcPr>
          <w:p>
            <w:pPr>
              <w:spacing w:after="0"/>
              <w:rPr>
                <w:sz w:val="20"/>
                <w:szCs w:val="20"/>
                <w:color w:val="auto"/>
              </w:rPr>
            </w:pPr>
            <w:r>
              <w:rPr>
                <w:rFonts w:ascii="Arial" w:cs="Arial" w:eastAsia="Arial" w:hAnsi="Arial"/>
                <w:sz w:val="12"/>
                <w:szCs w:val="12"/>
                <w:color w:val="auto"/>
              </w:rPr>
              <w:t>Verra Mobility Ireland Ltd.</w:t>
            </w:r>
          </w:p>
        </w:tc>
        <w:tc>
          <w:tcPr>
            <w:tcW w:w="1700" w:type="dxa"/>
            <w:vAlign w:val="bottom"/>
          </w:tcPr>
          <w:p>
            <w:pPr>
              <w:spacing w:after="0"/>
              <w:rPr>
                <w:sz w:val="18"/>
                <w:szCs w:val="18"/>
                <w:color w:val="auto"/>
              </w:rPr>
            </w:pPr>
          </w:p>
        </w:tc>
        <w:tc>
          <w:tcPr>
            <w:tcW w:w="6040" w:type="dxa"/>
            <w:vAlign w:val="bottom"/>
            <w:gridSpan w:val="2"/>
          </w:tcPr>
          <w:p>
            <w:pPr>
              <w:ind w:left="440"/>
              <w:spacing w:after="0"/>
              <w:rPr>
                <w:sz w:val="20"/>
                <w:szCs w:val="20"/>
                <w:color w:val="auto"/>
              </w:rPr>
            </w:pPr>
            <w:r>
              <w:rPr>
                <w:rFonts w:ascii="Arial" w:cs="Arial" w:eastAsia="Arial" w:hAnsi="Arial"/>
                <w:sz w:val="12"/>
                <w:szCs w:val="12"/>
                <w:color w:val="auto"/>
              </w:rPr>
              <w:t>Ireland</w:t>
            </w:r>
          </w:p>
        </w:tc>
      </w:tr>
    </w:tbl>
    <w:p>
      <w:pPr>
        <w:sectPr>
          <w:pgSz w:w="11900" w:h="16838" w:orient="portrait"/>
          <w:cols w:equalWidth="0" w:num="1">
            <w:col w:w="11480"/>
          </w:cols>
          <w:pgMar w:left="220" w:top="127" w:right="199" w:bottom="1440" w:gutter="0" w:footer="0" w:header="0"/>
        </w:sectPr>
      </w:pPr>
    </w:p>
    <w:bookmarkStart w:id="168" w:name="page169"/>
    <w:bookmarkEnd w:id="168"/>
    <w:p>
      <w:pPr>
        <w:jc w:val="right"/>
        <w:spacing w:after="0"/>
        <w:rPr>
          <w:sz w:val="20"/>
          <w:szCs w:val="20"/>
          <w:color w:val="auto"/>
        </w:rPr>
      </w:pPr>
      <w:r>
        <w:rPr>
          <w:rFonts w:ascii="Arial" w:cs="Arial" w:eastAsia="Arial" w:hAnsi="Arial"/>
          <w:sz w:val="12"/>
          <w:szCs w:val="12"/>
          <w:b w:val="1"/>
          <w:bCs w:val="1"/>
          <w:color w:val="auto"/>
        </w:rPr>
        <w:t>Exhibit 23.1</w:t>
      </w:r>
    </w:p>
    <w:p>
      <w:pPr>
        <w:spacing w:after="0" w:line="150" w:lineRule="exact"/>
        <w:rPr>
          <w:sz w:val="20"/>
          <w:szCs w:val="20"/>
          <w:color w:val="auto"/>
        </w:rPr>
      </w:pPr>
    </w:p>
    <w:p>
      <w:pPr>
        <w:ind w:left="3640"/>
        <w:spacing w:after="0"/>
        <w:rPr>
          <w:sz w:val="20"/>
          <w:szCs w:val="20"/>
          <w:color w:val="auto"/>
        </w:rPr>
      </w:pPr>
      <w:r>
        <w:rPr>
          <w:rFonts w:ascii="Arial" w:cs="Arial" w:eastAsia="Arial" w:hAnsi="Arial"/>
          <w:sz w:val="12"/>
          <w:szCs w:val="12"/>
          <w:b w:val="1"/>
          <w:bCs w:val="1"/>
          <w:color w:val="auto"/>
        </w:rPr>
        <w:t>CONSENT OF INDEPENDENT REGISTERED PUBLIC ACCOUNTING FIRM</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We consent to the incorporation by reference in the following Registration Statements:</w:t>
      </w:r>
    </w:p>
    <w:p>
      <w:pPr>
        <w:spacing w:after="0" w:line="150" w:lineRule="exact"/>
        <w:rPr>
          <w:sz w:val="20"/>
          <w:szCs w:val="20"/>
          <w:color w:val="auto"/>
        </w:rPr>
      </w:pPr>
    </w:p>
    <w:p>
      <w:pPr>
        <w:ind w:left="880" w:hanging="447"/>
        <w:spacing w:after="0"/>
        <w:tabs>
          <w:tab w:leader="none" w:pos="880" w:val="left"/>
        </w:tabs>
        <w:numPr>
          <w:ilvl w:val="0"/>
          <w:numId w:val="120"/>
        </w:numPr>
        <w:rPr>
          <w:rFonts w:ascii="Arial" w:cs="Arial" w:eastAsia="Arial" w:hAnsi="Arial"/>
          <w:sz w:val="12"/>
          <w:szCs w:val="12"/>
          <w:color w:val="auto"/>
        </w:rPr>
      </w:pPr>
      <w:r>
        <w:rPr>
          <w:rFonts w:ascii="Arial" w:cs="Arial" w:eastAsia="Arial" w:hAnsi="Arial"/>
          <w:sz w:val="12"/>
          <w:szCs w:val="12"/>
          <w:color w:val="auto"/>
        </w:rPr>
        <w:t>Registration Statement (Form S-3 No. 333-227952),</w:t>
      </w:r>
    </w:p>
    <w:p>
      <w:pPr>
        <w:spacing w:after="0" w:line="14" w:lineRule="exact"/>
        <w:rPr>
          <w:rFonts w:ascii="Arial" w:cs="Arial" w:eastAsia="Arial" w:hAnsi="Arial"/>
          <w:sz w:val="12"/>
          <w:szCs w:val="12"/>
          <w:color w:val="auto"/>
        </w:rPr>
      </w:pPr>
    </w:p>
    <w:p>
      <w:pPr>
        <w:ind w:left="880" w:hanging="447"/>
        <w:spacing w:after="0"/>
        <w:tabs>
          <w:tab w:leader="none" w:pos="880" w:val="left"/>
        </w:tabs>
        <w:numPr>
          <w:ilvl w:val="0"/>
          <w:numId w:val="120"/>
        </w:numPr>
        <w:rPr>
          <w:rFonts w:ascii="Arial" w:cs="Arial" w:eastAsia="Arial" w:hAnsi="Arial"/>
          <w:sz w:val="12"/>
          <w:szCs w:val="12"/>
          <w:color w:val="auto"/>
        </w:rPr>
      </w:pPr>
      <w:r>
        <w:rPr>
          <w:rFonts w:ascii="Arial" w:cs="Arial" w:eastAsia="Arial" w:hAnsi="Arial"/>
          <w:sz w:val="12"/>
          <w:szCs w:val="12"/>
          <w:color w:val="auto"/>
        </w:rPr>
        <w:t>Registration Statement (Form S-8 No. 333-212019) pertaining to the Verra Mobility Corporation 2018 Equity Incentive Plan;</w:t>
      </w:r>
    </w:p>
    <w:p>
      <w:pPr>
        <w:spacing w:after="0" w:line="141" w:lineRule="exact"/>
        <w:rPr>
          <w:sz w:val="20"/>
          <w:szCs w:val="20"/>
          <w:color w:val="auto"/>
        </w:rPr>
      </w:pPr>
    </w:p>
    <w:p>
      <w:pPr>
        <w:spacing w:after="0" w:line="276" w:lineRule="auto"/>
        <w:rPr>
          <w:sz w:val="20"/>
          <w:szCs w:val="20"/>
          <w:color w:val="auto"/>
        </w:rPr>
      </w:pPr>
      <w:r>
        <w:rPr>
          <w:rFonts w:ascii="Arial" w:cs="Arial" w:eastAsia="Arial" w:hAnsi="Arial"/>
          <w:sz w:val="12"/>
          <w:szCs w:val="12"/>
          <w:color w:val="auto"/>
        </w:rPr>
        <w:t>of our reports dated March 2, 2020, with respect to the consolidated financial statements of Verra Mobility Corporation and the effectiveness of internal control over financial reporting of Verra Mobility Corporation, included in this Annual Report (Form 10-K) for the year ended December 31, 2019.</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color w:val="auto"/>
        </w:rPr>
        <w:t>/s/ Ernst &amp; Young LLP</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Phoenix, Arizona</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March 2, 2020</w:t>
      </w:r>
    </w:p>
    <w:p>
      <w:pPr>
        <w:sectPr>
          <w:pgSz w:w="11900" w:h="16838" w:orient="portrait"/>
          <w:cols w:equalWidth="0" w:num="1">
            <w:col w:w="11480"/>
          </w:cols>
          <w:pgMar w:left="220" w:top="127" w:right="199" w:bottom="1440" w:gutter="0" w:footer="0" w:header="0"/>
        </w:sectPr>
      </w:pPr>
    </w:p>
    <w:bookmarkStart w:id="169" w:name="page170"/>
    <w:bookmarkEnd w:id="169"/>
    <w:p>
      <w:pPr>
        <w:jc w:val="right"/>
        <w:spacing w:after="0"/>
        <w:rPr>
          <w:sz w:val="20"/>
          <w:szCs w:val="20"/>
          <w:color w:val="auto"/>
        </w:rPr>
      </w:pPr>
      <w:r>
        <w:rPr>
          <w:rFonts w:ascii="Arial" w:cs="Arial" w:eastAsia="Arial" w:hAnsi="Arial"/>
          <w:sz w:val="12"/>
          <w:szCs w:val="12"/>
          <w:b w:val="1"/>
          <w:bCs w:val="1"/>
          <w:color w:val="auto"/>
        </w:rPr>
        <w:t>EXHIBIT 31.1</w:t>
      </w:r>
    </w:p>
    <w:p>
      <w:pPr>
        <w:spacing w:after="0" w:line="123" w:lineRule="exact"/>
        <w:rPr>
          <w:sz w:val="20"/>
          <w:szCs w:val="20"/>
          <w:color w:val="auto"/>
        </w:rPr>
      </w:pPr>
    </w:p>
    <w:p>
      <w:pPr>
        <w:ind w:left="3220"/>
        <w:spacing w:after="0"/>
        <w:rPr>
          <w:sz w:val="20"/>
          <w:szCs w:val="20"/>
          <w:color w:val="auto"/>
        </w:rPr>
      </w:pPr>
      <w:r>
        <w:rPr>
          <w:rFonts w:ascii="Arial" w:cs="Arial" w:eastAsia="Arial" w:hAnsi="Arial"/>
          <w:sz w:val="12"/>
          <w:szCs w:val="12"/>
          <w:b w:val="1"/>
          <w:bCs w:val="1"/>
          <w:color w:val="auto"/>
        </w:rPr>
        <w:t>CERTIFICATION OF CHIEF EXECUTIVE OFFICER PURSUANT TO SECTION 302 OF THE</w:t>
      </w:r>
    </w:p>
    <w:p>
      <w:pPr>
        <w:spacing w:after="0" w:line="19" w:lineRule="exact"/>
        <w:rPr>
          <w:sz w:val="20"/>
          <w:szCs w:val="20"/>
          <w:color w:val="auto"/>
        </w:rPr>
      </w:pPr>
    </w:p>
    <w:p>
      <w:pPr>
        <w:ind w:left="5040"/>
        <w:spacing w:after="0"/>
        <w:rPr>
          <w:sz w:val="20"/>
          <w:szCs w:val="20"/>
          <w:color w:val="auto"/>
        </w:rPr>
      </w:pPr>
      <w:r>
        <w:rPr>
          <w:rFonts w:ascii="Arial" w:cs="Arial" w:eastAsia="Arial" w:hAnsi="Arial"/>
          <w:sz w:val="12"/>
          <w:szCs w:val="12"/>
          <w:b w:val="1"/>
          <w:bCs w:val="1"/>
          <w:color w:val="auto"/>
        </w:rPr>
        <w:t>SARBANES-OXLEY ACT OF 2002</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color w:val="auto"/>
        </w:rPr>
        <w:t>I, David Roberts, certify that:</w:t>
      </w:r>
    </w:p>
    <w:p>
      <w:pPr>
        <w:spacing w:after="0" w:line="123" w:lineRule="exact"/>
        <w:rPr>
          <w:sz w:val="20"/>
          <w:szCs w:val="20"/>
          <w:color w:val="auto"/>
        </w:rPr>
      </w:pPr>
    </w:p>
    <w:p>
      <w:pPr>
        <w:ind w:left="880" w:hanging="447"/>
        <w:spacing w:after="0"/>
        <w:tabs>
          <w:tab w:leader="none" w:pos="880" w:val="left"/>
        </w:tabs>
        <w:numPr>
          <w:ilvl w:val="0"/>
          <w:numId w:val="121"/>
        </w:numPr>
        <w:rPr>
          <w:rFonts w:ascii="Arial" w:cs="Arial" w:eastAsia="Arial" w:hAnsi="Arial"/>
          <w:sz w:val="12"/>
          <w:szCs w:val="12"/>
          <w:color w:val="auto"/>
        </w:rPr>
      </w:pPr>
      <w:r>
        <w:rPr>
          <w:rFonts w:ascii="Arial" w:cs="Arial" w:eastAsia="Arial" w:hAnsi="Arial"/>
          <w:sz w:val="12"/>
          <w:szCs w:val="12"/>
          <w:color w:val="auto"/>
        </w:rPr>
        <w:t>I have reviewed this annual report on Form 10-K of Verra Mobility Corporation;</w:t>
      </w:r>
    </w:p>
    <w:p>
      <w:pPr>
        <w:spacing w:after="0" w:line="123" w:lineRule="exact"/>
        <w:rPr>
          <w:rFonts w:ascii="Arial" w:cs="Arial" w:eastAsia="Arial" w:hAnsi="Arial"/>
          <w:sz w:val="12"/>
          <w:szCs w:val="12"/>
          <w:color w:val="auto"/>
        </w:rPr>
      </w:pPr>
    </w:p>
    <w:p>
      <w:pPr>
        <w:ind w:left="880" w:right="20" w:hanging="447"/>
        <w:spacing w:after="0" w:line="276" w:lineRule="auto"/>
        <w:tabs>
          <w:tab w:leader="none" w:pos="880" w:val="left"/>
        </w:tabs>
        <w:numPr>
          <w:ilvl w:val="0"/>
          <w:numId w:val="121"/>
        </w:numPr>
        <w:rPr>
          <w:rFonts w:ascii="Arial" w:cs="Arial" w:eastAsia="Arial" w:hAnsi="Arial"/>
          <w:sz w:val="12"/>
          <w:szCs w:val="12"/>
          <w:color w:val="auto"/>
        </w:rPr>
      </w:pPr>
      <w:r>
        <w:rPr>
          <w:rFonts w:ascii="Arial" w:cs="Arial" w:eastAsia="Arial" w:hAnsi="Arial"/>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7" w:lineRule="exact"/>
        <w:rPr>
          <w:rFonts w:ascii="Arial" w:cs="Arial" w:eastAsia="Arial" w:hAnsi="Arial"/>
          <w:sz w:val="12"/>
          <w:szCs w:val="12"/>
          <w:color w:val="auto"/>
        </w:rPr>
      </w:pPr>
    </w:p>
    <w:p>
      <w:pPr>
        <w:ind w:left="880" w:right="20" w:hanging="447"/>
        <w:spacing w:after="0" w:line="276" w:lineRule="auto"/>
        <w:tabs>
          <w:tab w:leader="none" w:pos="880" w:val="left"/>
        </w:tabs>
        <w:numPr>
          <w:ilvl w:val="0"/>
          <w:numId w:val="121"/>
        </w:numPr>
        <w:rPr>
          <w:rFonts w:ascii="Arial" w:cs="Arial" w:eastAsia="Arial" w:hAnsi="Arial"/>
          <w:sz w:val="12"/>
          <w:szCs w:val="12"/>
          <w:color w:val="auto"/>
        </w:rPr>
      </w:pPr>
      <w:r>
        <w:rPr>
          <w:rFonts w:ascii="Arial" w:cs="Arial" w:eastAsia="Arial" w:hAnsi="Arial"/>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7" w:lineRule="exact"/>
        <w:rPr>
          <w:rFonts w:ascii="Arial" w:cs="Arial" w:eastAsia="Arial" w:hAnsi="Arial"/>
          <w:sz w:val="12"/>
          <w:szCs w:val="12"/>
          <w:color w:val="auto"/>
        </w:rPr>
      </w:pPr>
    </w:p>
    <w:p>
      <w:pPr>
        <w:ind w:left="880" w:hanging="447"/>
        <w:spacing w:after="0"/>
        <w:tabs>
          <w:tab w:leader="none" w:pos="880" w:val="left"/>
        </w:tabs>
        <w:numPr>
          <w:ilvl w:val="0"/>
          <w:numId w:val="121"/>
        </w:numPr>
        <w:rPr>
          <w:rFonts w:ascii="Arial" w:cs="Arial" w:eastAsia="Arial" w:hAnsi="Arial"/>
          <w:sz w:val="10"/>
          <w:szCs w:val="10"/>
          <w:color w:val="auto"/>
        </w:rPr>
      </w:pPr>
      <w:r>
        <w:rPr>
          <w:rFonts w:ascii="Arial" w:cs="Arial" w:eastAsia="Arial" w:hAnsi="Arial"/>
          <w:sz w:val="10"/>
          <w:szCs w:val="10"/>
          <w:color w:val="auto"/>
        </w:rPr>
        <w:t>The Registrant’s other certifying officer and I are responsible for establishing and maintaining disclosure controls and procedures (as defined in Exchange Act Rules 13a-15(e) and 15d-15(e)) for the Registrant and have:</w:t>
      </w:r>
    </w:p>
    <w:p>
      <w:pPr>
        <w:spacing w:after="0" w:line="146" w:lineRule="exact"/>
        <w:rPr>
          <w:rFonts w:ascii="Arial" w:cs="Arial" w:eastAsia="Arial" w:hAnsi="Arial"/>
          <w:sz w:val="10"/>
          <w:szCs w:val="10"/>
          <w:color w:val="auto"/>
        </w:rPr>
      </w:pPr>
    </w:p>
    <w:p>
      <w:pPr>
        <w:ind w:left="1760" w:hanging="444"/>
        <w:spacing w:after="0" w:line="323" w:lineRule="auto"/>
        <w:tabs>
          <w:tab w:leader="none" w:pos="1760" w:val="left"/>
        </w:tabs>
        <w:numPr>
          <w:ilvl w:val="1"/>
          <w:numId w:val="121"/>
        </w:numPr>
        <w:rPr>
          <w:rFonts w:ascii="Arial" w:cs="Arial" w:eastAsia="Arial" w:hAnsi="Arial"/>
          <w:sz w:val="11"/>
          <w:szCs w:val="11"/>
          <w:color w:val="auto"/>
        </w:rPr>
      </w:pPr>
      <w:r>
        <w:rPr>
          <w:rFonts w:ascii="Arial" w:cs="Arial" w:eastAsia="Arial" w:hAnsi="Arial"/>
          <w:sz w:val="11"/>
          <w:szCs w:val="11"/>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4" w:lineRule="exact"/>
        <w:rPr>
          <w:rFonts w:ascii="Arial" w:cs="Arial" w:eastAsia="Arial" w:hAnsi="Arial"/>
          <w:sz w:val="11"/>
          <w:szCs w:val="11"/>
          <w:color w:val="auto"/>
        </w:rPr>
      </w:pPr>
    </w:p>
    <w:p>
      <w:pPr>
        <w:ind w:left="1760" w:hanging="444"/>
        <w:spacing w:after="0" w:line="276" w:lineRule="auto"/>
        <w:tabs>
          <w:tab w:leader="none" w:pos="1760" w:val="left"/>
        </w:tabs>
        <w:numPr>
          <w:ilvl w:val="1"/>
          <w:numId w:val="121"/>
        </w:numPr>
        <w:rPr>
          <w:rFonts w:ascii="Arial" w:cs="Arial" w:eastAsia="Arial" w:hAnsi="Arial"/>
          <w:sz w:val="12"/>
          <w:szCs w:val="12"/>
          <w:color w:val="auto"/>
        </w:rPr>
      </w:pPr>
      <w:r>
        <w:rPr>
          <w:rFonts w:ascii="Arial" w:cs="Arial" w:eastAsia="Arial" w:hAnsi="Arial"/>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7" w:lineRule="exact"/>
        <w:rPr>
          <w:rFonts w:ascii="Arial" w:cs="Arial" w:eastAsia="Arial" w:hAnsi="Arial"/>
          <w:sz w:val="12"/>
          <w:szCs w:val="12"/>
          <w:color w:val="auto"/>
        </w:rPr>
      </w:pPr>
    </w:p>
    <w:p>
      <w:pPr>
        <w:ind w:left="1760" w:right="20" w:hanging="444"/>
        <w:spacing w:after="0" w:line="276" w:lineRule="auto"/>
        <w:tabs>
          <w:tab w:leader="none" w:pos="1760" w:val="left"/>
        </w:tabs>
        <w:numPr>
          <w:ilvl w:val="1"/>
          <w:numId w:val="121"/>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87" w:lineRule="exact"/>
        <w:rPr>
          <w:rFonts w:ascii="Arial" w:cs="Arial" w:eastAsia="Arial" w:hAnsi="Arial"/>
          <w:sz w:val="12"/>
          <w:szCs w:val="12"/>
          <w:color w:val="auto"/>
        </w:rPr>
      </w:pPr>
    </w:p>
    <w:p>
      <w:pPr>
        <w:ind w:left="880" w:hanging="447"/>
        <w:spacing w:after="0" w:line="276" w:lineRule="auto"/>
        <w:tabs>
          <w:tab w:leader="none" w:pos="880" w:val="left"/>
        </w:tabs>
        <w:numPr>
          <w:ilvl w:val="0"/>
          <w:numId w:val="121"/>
        </w:numPr>
        <w:rPr>
          <w:rFonts w:ascii="Arial" w:cs="Arial" w:eastAsia="Arial" w:hAnsi="Arial"/>
          <w:sz w:val="12"/>
          <w:szCs w:val="12"/>
          <w:color w:val="auto"/>
        </w:rPr>
      </w:pPr>
      <w:r>
        <w:rPr>
          <w:rFonts w:ascii="Arial" w:cs="Arial" w:eastAsia="Arial" w:hAnsi="Arial"/>
          <w:sz w:val="12"/>
          <w:szCs w:val="12"/>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7" w:lineRule="exact"/>
        <w:rPr>
          <w:rFonts w:ascii="Arial" w:cs="Arial" w:eastAsia="Arial" w:hAnsi="Arial"/>
          <w:sz w:val="12"/>
          <w:szCs w:val="12"/>
          <w:color w:val="auto"/>
        </w:rPr>
      </w:pPr>
    </w:p>
    <w:p>
      <w:pPr>
        <w:ind w:left="1760" w:right="20" w:hanging="444"/>
        <w:spacing w:after="0" w:line="276" w:lineRule="auto"/>
        <w:tabs>
          <w:tab w:leader="none" w:pos="1760" w:val="left"/>
        </w:tabs>
        <w:numPr>
          <w:ilvl w:val="1"/>
          <w:numId w:val="121"/>
        </w:numPr>
        <w:rPr>
          <w:rFonts w:ascii="Arial" w:cs="Arial" w:eastAsia="Arial" w:hAnsi="Arial"/>
          <w:sz w:val="12"/>
          <w:szCs w:val="12"/>
          <w:color w:val="auto"/>
        </w:rPr>
      </w:pPr>
      <w:r>
        <w:rPr>
          <w:rFonts w:ascii="Arial" w:cs="Arial" w:eastAsia="Arial" w:hAnsi="Arial"/>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7" w:lineRule="exact"/>
        <w:rPr>
          <w:rFonts w:ascii="Arial" w:cs="Arial" w:eastAsia="Arial" w:hAnsi="Arial"/>
          <w:sz w:val="12"/>
          <w:szCs w:val="12"/>
          <w:color w:val="auto"/>
        </w:rPr>
      </w:pPr>
    </w:p>
    <w:p>
      <w:pPr>
        <w:ind w:left="1760" w:hanging="444"/>
        <w:spacing w:after="0"/>
        <w:tabs>
          <w:tab w:leader="none" w:pos="1760" w:val="left"/>
        </w:tabs>
        <w:numPr>
          <w:ilvl w:val="1"/>
          <w:numId w:val="121"/>
        </w:numPr>
        <w:rPr>
          <w:rFonts w:ascii="Arial" w:cs="Arial" w:eastAsia="Arial" w:hAnsi="Arial"/>
          <w:sz w:val="12"/>
          <w:szCs w:val="12"/>
          <w:color w:val="auto"/>
        </w:rPr>
      </w:pPr>
      <w:r>
        <w:rPr>
          <w:rFonts w:ascii="Arial" w:cs="Arial" w:eastAsia="Arial" w:hAnsi="Arial"/>
          <w:sz w:val="12"/>
          <w:szCs w:val="12"/>
          <w:color w:val="auto"/>
        </w:rPr>
        <w:t>Any fraud, whether or not material, that involves management or other employees who have a significant role in the Registrant’s internal control over financial reporting.</w:t>
      </w:r>
    </w:p>
    <w:p>
      <w:pPr>
        <w:spacing w:after="0" w:line="177" w:lineRule="exact"/>
        <w:rPr>
          <w:sz w:val="20"/>
          <w:szCs w:val="20"/>
          <w:color w:val="auto"/>
        </w:rPr>
      </w:pPr>
    </w:p>
    <w:p>
      <w:pPr>
        <w:spacing w:after="0"/>
        <w:tabs>
          <w:tab w:leader="none" w:pos="7600" w:val="left"/>
          <w:tab w:leader="none" w:pos="7920" w:val="left"/>
        </w:tabs>
        <w:rPr>
          <w:sz w:val="20"/>
          <w:szCs w:val="20"/>
          <w:color w:val="auto"/>
        </w:rPr>
      </w:pPr>
      <w:r>
        <w:rPr>
          <w:rFonts w:ascii="Arial" w:cs="Arial" w:eastAsia="Arial" w:hAnsi="Arial"/>
          <w:sz w:val="12"/>
          <w:szCs w:val="12"/>
          <w:color w:val="auto"/>
        </w:rPr>
        <w:t>Date: March 2, 2020</w:t>
      </w:r>
      <w:r>
        <w:rPr>
          <w:sz w:val="20"/>
          <w:szCs w:val="20"/>
          <w:color w:val="auto"/>
        </w:rPr>
        <w:tab/>
      </w:r>
      <w:r>
        <w:rPr>
          <w:rFonts w:ascii="Arial" w:cs="Arial" w:eastAsia="Arial" w:hAnsi="Arial"/>
          <w:sz w:val="12"/>
          <w:szCs w:val="12"/>
          <w:color w:val="auto"/>
        </w:rPr>
        <w:t>By:</w:t>
      </w:r>
      <w:r>
        <w:rPr>
          <w:sz w:val="20"/>
          <w:szCs w:val="20"/>
          <w:color w:val="auto"/>
        </w:rPr>
        <w:tab/>
      </w:r>
      <w:r>
        <w:rPr>
          <w:rFonts w:ascii="Arial" w:cs="Arial" w:eastAsia="Arial" w:hAnsi="Arial"/>
          <w:sz w:val="10"/>
          <w:szCs w:val="10"/>
          <w:color w:val="auto"/>
        </w:rPr>
        <w:t>/s/ David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5027930</wp:posOffset>
            </wp:positionH>
            <wp:positionV relativeFrom="paragraph">
              <wp:posOffset>20955</wp:posOffset>
            </wp:positionV>
            <wp:extent cx="2259330" cy="571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54">
                      <a:extLst>
                        <a:ext uri="{28A0092B-C50C-407E-A947-70E740481C1C}"/>
                      </a:extLst>
                    </a:blip>
                    <a:srcRect/>
                    <a:stretch>
                      <a:fillRect/>
                    </a:stretch>
                  </pic:blipFill>
                  <pic:spPr bwMode="auto">
                    <a:xfrm>
                      <a:off x="0" y="0"/>
                      <a:ext cx="2259330" cy="5715"/>
                    </a:xfrm>
                    <a:prstGeom prst="rect">
                      <a:avLst/>
                    </a:prstGeom>
                    <a:noFill/>
                  </pic:spPr>
                </pic:pic>
              </a:graphicData>
            </a:graphic>
          </wp:anchor>
        </w:drawing>
      </w:r>
    </w:p>
    <w:p>
      <w:pPr>
        <w:spacing w:after="0" w:line="31" w:lineRule="exact"/>
        <w:rPr>
          <w:sz w:val="20"/>
          <w:szCs w:val="20"/>
          <w:color w:val="auto"/>
        </w:rPr>
      </w:pPr>
    </w:p>
    <w:p>
      <w:pPr>
        <w:ind w:left="7940"/>
        <w:spacing w:after="0"/>
        <w:rPr>
          <w:sz w:val="20"/>
          <w:szCs w:val="20"/>
          <w:color w:val="auto"/>
        </w:rPr>
      </w:pPr>
      <w:r>
        <w:rPr>
          <w:rFonts w:ascii="Arial" w:cs="Arial" w:eastAsia="Arial" w:hAnsi="Arial"/>
          <w:sz w:val="12"/>
          <w:szCs w:val="12"/>
          <w:color w:val="auto"/>
        </w:rPr>
        <w:t>David Roberts</w:t>
      </w:r>
    </w:p>
    <w:p>
      <w:pPr>
        <w:spacing w:after="0" w:line="33" w:lineRule="exact"/>
        <w:rPr>
          <w:sz w:val="20"/>
          <w:szCs w:val="20"/>
          <w:color w:val="auto"/>
        </w:rPr>
      </w:pPr>
    </w:p>
    <w:p>
      <w:pPr>
        <w:ind w:left="7940"/>
        <w:spacing w:after="0"/>
        <w:rPr>
          <w:sz w:val="20"/>
          <w:szCs w:val="20"/>
          <w:color w:val="auto"/>
        </w:rPr>
      </w:pPr>
      <w:r>
        <w:rPr>
          <w:rFonts w:ascii="Arial" w:cs="Arial" w:eastAsia="Arial" w:hAnsi="Arial"/>
          <w:sz w:val="12"/>
          <w:szCs w:val="12"/>
          <w:color w:val="auto"/>
        </w:rPr>
        <w:t>President, Chief Executive Officer, and Director</w:t>
      </w:r>
    </w:p>
    <w:p>
      <w:pPr>
        <w:spacing w:after="0" w:line="15" w:lineRule="exact"/>
        <w:rPr>
          <w:sz w:val="20"/>
          <w:szCs w:val="20"/>
          <w:color w:val="auto"/>
        </w:rPr>
      </w:pPr>
    </w:p>
    <w:p>
      <w:pPr>
        <w:ind w:left="7940"/>
        <w:spacing w:after="0"/>
        <w:rPr>
          <w:sz w:val="20"/>
          <w:szCs w:val="20"/>
          <w:color w:val="auto"/>
        </w:rPr>
      </w:pPr>
      <w:r>
        <w:rPr>
          <w:rFonts w:ascii="Arial" w:cs="Arial" w:eastAsia="Arial" w:hAnsi="Arial"/>
          <w:sz w:val="12"/>
          <w:szCs w:val="12"/>
          <w:i w:val="1"/>
          <w:iCs w:val="1"/>
          <w:color w:val="auto"/>
        </w:rPr>
        <w:t>(Principal Executive Officer)</w:t>
      </w:r>
    </w:p>
    <w:p>
      <w:pPr>
        <w:sectPr>
          <w:pgSz w:w="11900" w:h="16838" w:orient="portrait"/>
          <w:cols w:equalWidth="0" w:num="1">
            <w:col w:w="11480"/>
          </w:cols>
          <w:pgMar w:left="220" w:top="127" w:right="199" w:bottom="1440" w:gutter="0" w:footer="0" w:header="0"/>
        </w:sectPr>
      </w:pPr>
    </w:p>
    <w:bookmarkStart w:id="170" w:name="page171"/>
    <w:bookmarkEnd w:id="170"/>
    <w:p>
      <w:pPr>
        <w:jc w:val="right"/>
        <w:spacing w:after="0"/>
        <w:rPr>
          <w:sz w:val="20"/>
          <w:szCs w:val="20"/>
          <w:color w:val="auto"/>
        </w:rPr>
      </w:pPr>
      <w:r>
        <w:rPr>
          <w:rFonts w:ascii="Arial" w:cs="Arial" w:eastAsia="Arial" w:hAnsi="Arial"/>
          <w:sz w:val="12"/>
          <w:szCs w:val="12"/>
          <w:b w:val="1"/>
          <w:bCs w:val="1"/>
          <w:color w:val="auto"/>
        </w:rPr>
        <w:t>EXHIBIT 31.2</w:t>
      </w:r>
    </w:p>
    <w:p>
      <w:pPr>
        <w:spacing w:after="0" w:line="123" w:lineRule="exact"/>
        <w:rPr>
          <w:sz w:val="20"/>
          <w:szCs w:val="20"/>
          <w:color w:val="auto"/>
        </w:rPr>
      </w:pPr>
    </w:p>
    <w:p>
      <w:pPr>
        <w:ind w:left="3240"/>
        <w:spacing w:after="0"/>
        <w:rPr>
          <w:sz w:val="20"/>
          <w:szCs w:val="20"/>
          <w:color w:val="auto"/>
        </w:rPr>
      </w:pPr>
      <w:r>
        <w:rPr>
          <w:rFonts w:ascii="Arial" w:cs="Arial" w:eastAsia="Arial" w:hAnsi="Arial"/>
          <w:sz w:val="12"/>
          <w:szCs w:val="12"/>
          <w:b w:val="1"/>
          <w:bCs w:val="1"/>
          <w:color w:val="auto"/>
        </w:rPr>
        <w:t>CERTIFICATION OF CHIEF FINANCIAL OFFICER PURSUANT TO SECTION 302 OF THE</w:t>
      </w:r>
    </w:p>
    <w:p>
      <w:pPr>
        <w:spacing w:after="0" w:line="19" w:lineRule="exact"/>
        <w:rPr>
          <w:sz w:val="20"/>
          <w:szCs w:val="20"/>
          <w:color w:val="auto"/>
        </w:rPr>
      </w:pPr>
    </w:p>
    <w:p>
      <w:pPr>
        <w:ind w:left="5040"/>
        <w:spacing w:after="0"/>
        <w:rPr>
          <w:sz w:val="20"/>
          <w:szCs w:val="20"/>
          <w:color w:val="auto"/>
        </w:rPr>
      </w:pPr>
      <w:r>
        <w:rPr>
          <w:rFonts w:ascii="Arial" w:cs="Arial" w:eastAsia="Arial" w:hAnsi="Arial"/>
          <w:sz w:val="12"/>
          <w:szCs w:val="12"/>
          <w:b w:val="1"/>
          <w:bCs w:val="1"/>
          <w:color w:val="auto"/>
        </w:rPr>
        <w:t>SARBANES-OXLEY ACT OF 2002</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color w:val="auto"/>
        </w:rPr>
        <w:t>I, Patricia Chiodo, certify that:</w:t>
      </w:r>
    </w:p>
    <w:p>
      <w:pPr>
        <w:spacing w:after="0" w:line="123" w:lineRule="exact"/>
        <w:rPr>
          <w:sz w:val="20"/>
          <w:szCs w:val="20"/>
          <w:color w:val="auto"/>
        </w:rPr>
      </w:pPr>
    </w:p>
    <w:p>
      <w:pPr>
        <w:ind w:left="880" w:hanging="447"/>
        <w:spacing w:after="0"/>
        <w:tabs>
          <w:tab w:leader="none" w:pos="880" w:val="left"/>
        </w:tabs>
        <w:numPr>
          <w:ilvl w:val="0"/>
          <w:numId w:val="122"/>
        </w:numPr>
        <w:rPr>
          <w:rFonts w:ascii="Arial" w:cs="Arial" w:eastAsia="Arial" w:hAnsi="Arial"/>
          <w:sz w:val="12"/>
          <w:szCs w:val="12"/>
          <w:color w:val="auto"/>
        </w:rPr>
      </w:pPr>
      <w:r>
        <w:rPr>
          <w:rFonts w:ascii="Arial" w:cs="Arial" w:eastAsia="Arial" w:hAnsi="Arial"/>
          <w:sz w:val="12"/>
          <w:szCs w:val="12"/>
          <w:color w:val="auto"/>
        </w:rPr>
        <w:t>I have reviewed this annual report on Form 10-K of Verra Mobility Corporation;</w:t>
      </w:r>
    </w:p>
    <w:p>
      <w:pPr>
        <w:spacing w:after="0" w:line="123" w:lineRule="exact"/>
        <w:rPr>
          <w:rFonts w:ascii="Arial" w:cs="Arial" w:eastAsia="Arial" w:hAnsi="Arial"/>
          <w:sz w:val="12"/>
          <w:szCs w:val="12"/>
          <w:color w:val="auto"/>
        </w:rPr>
      </w:pPr>
    </w:p>
    <w:p>
      <w:pPr>
        <w:ind w:left="880" w:right="20" w:hanging="447"/>
        <w:spacing w:after="0" w:line="276" w:lineRule="auto"/>
        <w:tabs>
          <w:tab w:leader="none" w:pos="880" w:val="left"/>
        </w:tabs>
        <w:numPr>
          <w:ilvl w:val="0"/>
          <w:numId w:val="122"/>
        </w:numPr>
        <w:rPr>
          <w:rFonts w:ascii="Arial" w:cs="Arial" w:eastAsia="Arial" w:hAnsi="Arial"/>
          <w:sz w:val="12"/>
          <w:szCs w:val="12"/>
          <w:color w:val="auto"/>
        </w:rPr>
      </w:pPr>
      <w:r>
        <w:rPr>
          <w:rFonts w:ascii="Arial" w:cs="Arial" w:eastAsia="Arial" w:hAnsi="Arial"/>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7" w:lineRule="exact"/>
        <w:rPr>
          <w:rFonts w:ascii="Arial" w:cs="Arial" w:eastAsia="Arial" w:hAnsi="Arial"/>
          <w:sz w:val="12"/>
          <w:szCs w:val="12"/>
          <w:color w:val="auto"/>
        </w:rPr>
      </w:pPr>
    </w:p>
    <w:p>
      <w:pPr>
        <w:ind w:left="880" w:right="20" w:hanging="447"/>
        <w:spacing w:after="0" w:line="276" w:lineRule="auto"/>
        <w:tabs>
          <w:tab w:leader="none" w:pos="880" w:val="left"/>
        </w:tabs>
        <w:numPr>
          <w:ilvl w:val="0"/>
          <w:numId w:val="122"/>
        </w:numPr>
        <w:rPr>
          <w:rFonts w:ascii="Arial" w:cs="Arial" w:eastAsia="Arial" w:hAnsi="Arial"/>
          <w:sz w:val="12"/>
          <w:szCs w:val="12"/>
          <w:color w:val="auto"/>
        </w:rPr>
      </w:pPr>
      <w:r>
        <w:rPr>
          <w:rFonts w:ascii="Arial" w:cs="Arial" w:eastAsia="Arial" w:hAnsi="Arial"/>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7" w:lineRule="exact"/>
        <w:rPr>
          <w:rFonts w:ascii="Arial" w:cs="Arial" w:eastAsia="Arial" w:hAnsi="Arial"/>
          <w:sz w:val="12"/>
          <w:szCs w:val="12"/>
          <w:color w:val="auto"/>
        </w:rPr>
      </w:pPr>
    </w:p>
    <w:p>
      <w:pPr>
        <w:ind w:left="880" w:hanging="447"/>
        <w:spacing w:after="0"/>
        <w:tabs>
          <w:tab w:leader="none" w:pos="880" w:val="left"/>
        </w:tabs>
        <w:numPr>
          <w:ilvl w:val="0"/>
          <w:numId w:val="122"/>
        </w:numPr>
        <w:rPr>
          <w:rFonts w:ascii="Arial" w:cs="Arial" w:eastAsia="Arial" w:hAnsi="Arial"/>
          <w:sz w:val="10"/>
          <w:szCs w:val="10"/>
          <w:color w:val="auto"/>
        </w:rPr>
      </w:pPr>
      <w:r>
        <w:rPr>
          <w:rFonts w:ascii="Arial" w:cs="Arial" w:eastAsia="Arial" w:hAnsi="Arial"/>
          <w:sz w:val="10"/>
          <w:szCs w:val="10"/>
          <w:color w:val="auto"/>
        </w:rPr>
        <w:t>The Registrant’s other certifying officer and I are responsible for establishing and maintaining disclosure controls and procedures (as defined in Exchange Act Rules 13a-15(e) and 15d-15(e)) for the Registrant and have:</w:t>
      </w:r>
    </w:p>
    <w:p>
      <w:pPr>
        <w:spacing w:after="0" w:line="146" w:lineRule="exact"/>
        <w:rPr>
          <w:rFonts w:ascii="Arial" w:cs="Arial" w:eastAsia="Arial" w:hAnsi="Arial"/>
          <w:sz w:val="10"/>
          <w:szCs w:val="10"/>
          <w:color w:val="auto"/>
        </w:rPr>
      </w:pPr>
    </w:p>
    <w:p>
      <w:pPr>
        <w:ind w:left="1760" w:hanging="444"/>
        <w:spacing w:after="0" w:line="323" w:lineRule="auto"/>
        <w:tabs>
          <w:tab w:leader="none" w:pos="1760" w:val="left"/>
        </w:tabs>
        <w:numPr>
          <w:ilvl w:val="1"/>
          <w:numId w:val="122"/>
        </w:numPr>
        <w:rPr>
          <w:rFonts w:ascii="Arial" w:cs="Arial" w:eastAsia="Arial" w:hAnsi="Arial"/>
          <w:sz w:val="11"/>
          <w:szCs w:val="11"/>
          <w:color w:val="auto"/>
        </w:rPr>
      </w:pPr>
      <w:r>
        <w:rPr>
          <w:rFonts w:ascii="Arial" w:cs="Arial" w:eastAsia="Arial" w:hAnsi="Arial"/>
          <w:sz w:val="11"/>
          <w:szCs w:val="11"/>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4" w:lineRule="exact"/>
        <w:rPr>
          <w:rFonts w:ascii="Arial" w:cs="Arial" w:eastAsia="Arial" w:hAnsi="Arial"/>
          <w:sz w:val="11"/>
          <w:szCs w:val="11"/>
          <w:color w:val="auto"/>
        </w:rPr>
      </w:pPr>
    </w:p>
    <w:p>
      <w:pPr>
        <w:ind w:left="1760" w:hanging="444"/>
        <w:spacing w:after="0" w:line="276" w:lineRule="auto"/>
        <w:tabs>
          <w:tab w:leader="none" w:pos="1760" w:val="left"/>
        </w:tabs>
        <w:numPr>
          <w:ilvl w:val="1"/>
          <w:numId w:val="122"/>
        </w:numPr>
        <w:rPr>
          <w:rFonts w:ascii="Arial" w:cs="Arial" w:eastAsia="Arial" w:hAnsi="Arial"/>
          <w:sz w:val="12"/>
          <w:szCs w:val="12"/>
          <w:color w:val="auto"/>
        </w:rPr>
      </w:pPr>
      <w:r>
        <w:rPr>
          <w:rFonts w:ascii="Arial" w:cs="Arial" w:eastAsia="Arial" w:hAnsi="Arial"/>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7" w:lineRule="exact"/>
        <w:rPr>
          <w:rFonts w:ascii="Arial" w:cs="Arial" w:eastAsia="Arial" w:hAnsi="Arial"/>
          <w:sz w:val="12"/>
          <w:szCs w:val="12"/>
          <w:color w:val="auto"/>
        </w:rPr>
      </w:pPr>
    </w:p>
    <w:p>
      <w:pPr>
        <w:ind w:left="1760" w:right="20" w:hanging="444"/>
        <w:spacing w:after="0" w:line="276" w:lineRule="auto"/>
        <w:tabs>
          <w:tab w:leader="none" w:pos="1760" w:val="left"/>
        </w:tabs>
        <w:numPr>
          <w:ilvl w:val="1"/>
          <w:numId w:val="122"/>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87" w:lineRule="exact"/>
        <w:rPr>
          <w:rFonts w:ascii="Arial" w:cs="Arial" w:eastAsia="Arial" w:hAnsi="Arial"/>
          <w:sz w:val="12"/>
          <w:szCs w:val="12"/>
          <w:color w:val="auto"/>
        </w:rPr>
      </w:pPr>
    </w:p>
    <w:p>
      <w:pPr>
        <w:ind w:left="880" w:hanging="447"/>
        <w:spacing w:after="0" w:line="276" w:lineRule="auto"/>
        <w:tabs>
          <w:tab w:leader="none" w:pos="880" w:val="left"/>
        </w:tabs>
        <w:numPr>
          <w:ilvl w:val="0"/>
          <w:numId w:val="122"/>
        </w:numPr>
        <w:rPr>
          <w:rFonts w:ascii="Arial" w:cs="Arial" w:eastAsia="Arial" w:hAnsi="Arial"/>
          <w:sz w:val="12"/>
          <w:szCs w:val="12"/>
          <w:color w:val="auto"/>
        </w:rPr>
      </w:pPr>
      <w:r>
        <w:rPr>
          <w:rFonts w:ascii="Arial" w:cs="Arial" w:eastAsia="Arial" w:hAnsi="Arial"/>
          <w:sz w:val="12"/>
          <w:szCs w:val="12"/>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7" w:lineRule="exact"/>
        <w:rPr>
          <w:rFonts w:ascii="Arial" w:cs="Arial" w:eastAsia="Arial" w:hAnsi="Arial"/>
          <w:sz w:val="12"/>
          <w:szCs w:val="12"/>
          <w:color w:val="auto"/>
        </w:rPr>
      </w:pPr>
    </w:p>
    <w:p>
      <w:pPr>
        <w:ind w:left="1760" w:right="20" w:hanging="444"/>
        <w:spacing w:after="0" w:line="276" w:lineRule="auto"/>
        <w:tabs>
          <w:tab w:leader="none" w:pos="1760" w:val="left"/>
        </w:tabs>
        <w:numPr>
          <w:ilvl w:val="1"/>
          <w:numId w:val="122"/>
        </w:numPr>
        <w:rPr>
          <w:rFonts w:ascii="Arial" w:cs="Arial" w:eastAsia="Arial" w:hAnsi="Arial"/>
          <w:sz w:val="12"/>
          <w:szCs w:val="12"/>
          <w:color w:val="auto"/>
        </w:rPr>
      </w:pPr>
      <w:r>
        <w:rPr>
          <w:rFonts w:ascii="Arial" w:cs="Arial" w:eastAsia="Arial" w:hAnsi="Arial"/>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7" w:lineRule="exact"/>
        <w:rPr>
          <w:rFonts w:ascii="Arial" w:cs="Arial" w:eastAsia="Arial" w:hAnsi="Arial"/>
          <w:sz w:val="12"/>
          <w:szCs w:val="12"/>
          <w:color w:val="auto"/>
        </w:rPr>
      </w:pPr>
    </w:p>
    <w:p>
      <w:pPr>
        <w:ind w:left="1760" w:hanging="444"/>
        <w:spacing w:after="0"/>
        <w:tabs>
          <w:tab w:leader="none" w:pos="1760" w:val="left"/>
        </w:tabs>
        <w:numPr>
          <w:ilvl w:val="1"/>
          <w:numId w:val="122"/>
        </w:numPr>
        <w:rPr>
          <w:rFonts w:ascii="Arial" w:cs="Arial" w:eastAsia="Arial" w:hAnsi="Arial"/>
          <w:sz w:val="12"/>
          <w:szCs w:val="12"/>
          <w:color w:val="auto"/>
        </w:rPr>
      </w:pPr>
      <w:r>
        <w:rPr>
          <w:rFonts w:ascii="Arial" w:cs="Arial" w:eastAsia="Arial" w:hAnsi="Arial"/>
          <w:sz w:val="12"/>
          <w:szCs w:val="12"/>
          <w:color w:val="auto"/>
        </w:rPr>
        <w:t>Any fraud, whether or not material, that involves management or other employees who have a significant role in the Registrant’s internal control over financial reporting.</w:t>
      </w:r>
    </w:p>
    <w:p>
      <w:pPr>
        <w:spacing w:after="0" w:line="177" w:lineRule="exact"/>
        <w:rPr>
          <w:sz w:val="20"/>
          <w:szCs w:val="20"/>
          <w:color w:val="auto"/>
        </w:rPr>
      </w:pPr>
    </w:p>
    <w:p>
      <w:pPr>
        <w:spacing w:after="0"/>
        <w:tabs>
          <w:tab w:leader="none" w:pos="7620" w:val="left"/>
          <w:tab w:leader="none" w:pos="7920" w:val="left"/>
        </w:tabs>
        <w:rPr>
          <w:sz w:val="20"/>
          <w:szCs w:val="20"/>
          <w:color w:val="auto"/>
        </w:rPr>
      </w:pPr>
      <w:r>
        <w:rPr>
          <w:rFonts w:ascii="Arial" w:cs="Arial" w:eastAsia="Arial" w:hAnsi="Arial"/>
          <w:sz w:val="12"/>
          <w:szCs w:val="12"/>
          <w:color w:val="auto"/>
        </w:rPr>
        <w:t>Date: March 2, 2020</w:t>
      </w:r>
      <w:r>
        <w:rPr>
          <w:sz w:val="20"/>
          <w:szCs w:val="20"/>
          <w:color w:val="auto"/>
        </w:rPr>
        <w:tab/>
      </w:r>
      <w:r>
        <w:rPr>
          <w:rFonts w:ascii="Arial" w:cs="Arial" w:eastAsia="Arial" w:hAnsi="Arial"/>
          <w:sz w:val="12"/>
          <w:szCs w:val="12"/>
          <w:color w:val="auto"/>
        </w:rPr>
        <w:t>By:</w:t>
      </w:r>
      <w:r>
        <w:rPr>
          <w:sz w:val="20"/>
          <w:szCs w:val="20"/>
          <w:color w:val="auto"/>
        </w:rPr>
        <w:tab/>
      </w:r>
      <w:r>
        <w:rPr>
          <w:rFonts w:ascii="Arial" w:cs="Arial" w:eastAsia="Arial" w:hAnsi="Arial"/>
          <w:sz w:val="11"/>
          <w:szCs w:val="11"/>
          <w:color w:val="auto"/>
        </w:rPr>
        <w:t>/s/ Patricia Chiodo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5039360</wp:posOffset>
            </wp:positionH>
            <wp:positionV relativeFrom="paragraph">
              <wp:posOffset>20955</wp:posOffset>
            </wp:positionV>
            <wp:extent cx="2247900" cy="571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55">
                      <a:extLst>
                        <a:ext uri="{28A0092B-C50C-407E-A947-70E740481C1C}"/>
                      </a:extLst>
                    </a:blip>
                    <a:srcRect/>
                    <a:stretch>
                      <a:fillRect/>
                    </a:stretch>
                  </pic:blipFill>
                  <pic:spPr bwMode="auto">
                    <a:xfrm>
                      <a:off x="0" y="0"/>
                      <a:ext cx="2247900" cy="5715"/>
                    </a:xfrm>
                    <a:prstGeom prst="rect">
                      <a:avLst/>
                    </a:prstGeom>
                    <a:noFill/>
                  </pic:spPr>
                </pic:pic>
              </a:graphicData>
            </a:graphic>
          </wp:anchor>
        </w:drawing>
      </w:r>
    </w:p>
    <w:p>
      <w:pPr>
        <w:spacing w:after="0" w:line="40" w:lineRule="exact"/>
        <w:rPr>
          <w:sz w:val="20"/>
          <w:szCs w:val="20"/>
          <w:color w:val="auto"/>
        </w:rPr>
      </w:pPr>
    </w:p>
    <w:p>
      <w:pPr>
        <w:ind w:left="7940"/>
        <w:spacing w:after="0"/>
        <w:rPr>
          <w:sz w:val="20"/>
          <w:szCs w:val="20"/>
          <w:color w:val="auto"/>
        </w:rPr>
      </w:pPr>
      <w:r>
        <w:rPr>
          <w:rFonts w:ascii="Arial" w:cs="Arial" w:eastAsia="Arial" w:hAnsi="Arial"/>
          <w:sz w:val="12"/>
          <w:szCs w:val="12"/>
          <w:color w:val="auto"/>
        </w:rPr>
        <w:t>Patricia Chiodo</w:t>
      </w:r>
    </w:p>
    <w:p>
      <w:pPr>
        <w:spacing w:after="0" w:line="15" w:lineRule="exact"/>
        <w:rPr>
          <w:sz w:val="20"/>
          <w:szCs w:val="20"/>
          <w:color w:val="auto"/>
        </w:rPr>
      </w:pPr>
    </w:p>
    <w:p>
      <w:pPr>
        <w:ind w:left="7940"/>
        <w:spacing w:after="0"/>
        <w:rPr>
          <w:sz w:val="20"/>
          <w:szCs w:val="20"/>
          <w:color w:val="auto"/>
        </w:rPr>
      </w:pPr>
      <w:r>
        <w:rPr>
          <w:rFonts w:ascii="Arial" w:cs="Arial" w:eastAsia="Arial" w:hAnsi="Arial"/>
          <w:sz w:val="12"/>
          <w:szCs w:val="12"/>
          <w:color w:val="auto"/>
        </w:rPr>
        <w:t>Chief Financial Officer</w:t>
      </w:r>
    </w:p>
    <w:p>
      <w:pPr>
        <w:spacing w:after="0" w:line="15" w:lineRule="exact"/>
        <w:rPr>
          <w:sz w:val="20"/>
          <w:szCs w:val="20"/>
          <w:color w:val="auto"/>
        </w:rPr>
      </w:pPr>
    </w:p>
    <w:p>
      <w:pPr>
        <w:ind w:left="7940"/>
        <w:spacing w:after="0"/>
        <w:rPr>
          <w:sz w:val="20"/>
          <w:szCs w:val="20"/>
          <w:color w:val="auto"/>
        </w:rPr>
      </w:pPr>
      <w:r>
        <w:rPr>
          <w:rFonts w:ascii="Arial" w:cs="Arial" w:eastAsia="Arial" w:hAnsi="Arial"/>
          <w:sz w:val="12"/>
          <w:szCs w:val="12"/>
          <w:i w:val="1"/>
          <w:iCs w:val="1"/>
          <w:color w:val="auto"/>
        </w:rPr>
        <w:t>(Principal Financial and Accounting Officer)</w:t>
      </w:r>
    </w:p>
    <w:p>
      <w:pPr>
        <w:sectPr>
          <w:pgSz w:w="11900" w:h="16838" w:orient="portrait"/>
          <w:cols w:equalWidth="0" w:num="1">
            <w:col w:w="11480"/>
          </w:cols>
          <w:pgMar w:left="220" w:top="127" w:right="199" w:bottom="1440" w:gutter="0" w:footer="0" w:header="0"/>
        </w:sectPr>
      </w:pPr>
    </w:p>
    <w:bookmarkStart w:id="171" w:name="page172"/>
    <w:bookmarkEnd w:id="171"/>
    <w:p>
      <w:pPr>
        <w:jc w:val="right"/>
        <w:spacing w:after="0"/>
        <w:rPr>
          <w:sz w:val="20"/>
          <w:szCs w:val="20"/>
          <w:color w:val="auto"/>
        </w:rPr>
      </w:pPr>
      <w:r>
        <w:rPr>
          <w:rFonts w:ascii="Arial" w:cs="Arial" w:eastAsia="Arial" w:hAnsi="Arial"/>
          <w:sz w:val="12"/>
          <w:szCs w:val="12"/>
          <w:b w:val="1"/>
          <w:bCs w:val="1"/>
          <w:color w:val="auto"/>
        </w:rPr>
        <w:t>EXHIBIT 32.1</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CERTIFICATION OF CHIEF EXECUTIVE OFFICER</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PURSUANT TO</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18 U.S.C. SECTION 1350,</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AS ADOPTED PURSUANT TO</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SECTION 906 OF THE SARBANES-OXLEY ACT OF 2002</w:t>
      </w:r>
    </w:p>
    <w:p>
      <w:pPr>
        <w:spacing w:after="0" w:line="141" w:lineRule="exact"/>
        <w:rPr>
          <w:sz w:val="20"/>
          <w:szCs w:val="20"/>
          <w:color w:val="auto"/>
        </w:rPr>
      </w:pPr>
    </w:p>
    <w:p>
      <w:pPr>
        <w:ind w:right="20"/>
        <w:spacing w:after="0" w:line="276" w:lineRule="auto"/>
        <w:rPr>
          <w:sz w:val="20"/>
          <w:szCs w:val="20"/>
          <w:color w:val="auto"/>
        </w:rPr>
      </w:pPr>
      <w:r>
        <w:rPr>
          <w:rFonts w:ascii="Arial" w:cs="Arial" w:eastAsia="Arial" w:hAnsi="Arial"/>
          <w:sz w:val="12"/>
          <w:szCs w:val="12"/>
          <w:color w:val="auto"/>
        </w:rPr>
        <w:t>I, David Roberts, President, Chief Executive Officer and Director of Verra Mobility Corporation, do hereby certify, pursuant to 18 U.S.C. Section 1350, as adopted pursuant to Section 906 of the Sarbanes-Oxley Act of 2002, that to the best of my knowledge:</w:t>
      </w:r>
    </w:p>
    <w:p>
      <w:pPr>
        <w:spacing w:after="0" w:line="43" w:lineRule="exact"/>
        <w:rPr>
          <w:sz w:val="20"/>
          <w:szCs w:val="20"/>
          <w:color w:val="auto"/>
        </w:rPr>
      </w:pPr>
    </w:p>
    <w:p>
      <w:pPr>
        <w:ind w:left="1240" w:right="620" w:hanging="626"/>
        <w:spacing w:after="0" w:line="276" w:lineRule="auto"/>
        <w:tabs>
          <w:tab w:leader="none" w:pos="1240" w:val="left"/>
        </w:tabs>
        <w:numPr>
          <w:ilvl w:val="0"/>
          <w:numId w:val="123"/>
        </w:numPr>
        <w:rPr>
          <w:rFonts w:ascii="Arial" w:cs="Arial" w:eastAsia="Arial" w:hAnsi="Arial"/>
          <w:sz w:val="12"/>
          <w:szCs w:val="12"/>
          <w:color w:val="auto"/>
        </w:rPr>
      </w:pPr>
      <w:r>
        <w:rPr>
          <w:rFonts w:ascii="Arial" w:cs="Arial" w:eastAsia="Arial" w:hAnsi="Arial"/>
          <w:sz w:val="12"/>
          <w:szCs w:val="12"/>
          <w:color w:val="auto"/>
        </w:rPr>
        <w:t>the Annual Report on Form 10-K of Verra Mobility Corporation for the year ended December 31, 2019 (Annual Report), as filed with the Securities and Exchange Commission, fully complies with the requirements of Section 13(a) or 15(d) of the Securities Exchange Act of 1934; and</w:t>
      </w:r>
    </w:p>
    <w:p>
      <w:pPr>
        <w:spacing w:after="0" w:line="42" w:lineRule="exact"/>
        <w:rPr>
          <w:rFonts w:ascii="Arial" w:cs="Arial" w:eastAsia="Arial" w:hAnsi="Arial"/>
          <w:sz w:val="12"/>
          <w:szCs w:val="12"/>
          <w:color w:val="auto"/>
        </w:rPr>
      </w:pPr>
    </w:p>
    <w:p>
      <w:pPr>
        <w:ind w:left="1240" w:hanging="626"/>
        <w:spacing w:after="0"/>
        <w:tabs>
          <w:tab w:leader="none" w:pos="1240" w:val="left"/>
        </w:tabs>
        <w:numPr>
          <w:ilvl w:val="0"/>
          <w:numId w:val="123"/>
        </w:numPr>
        <w:rPr>
          <w:rFonts w:ascii="Arial" w:cs="Arial" w:eastAsia="Arial" w:hAnsi="Arial"/>
          <w:sz w:val="12"/>
          <w:szCs w:val="12"/>
          <w:color w:val="auto"/>
        </w:rPr>
      </w:pPr>
      <w:r>
        <w:rPr>
          <w:rFonts w:ascii="Arial" w:cs="Arial" w:eastAsia="Arial" w:hAnsi="Arial"/>
          <w:sz w:val="12"/>
          <w:szCs w:val="12"/>
          <w:color w:val="auto"/>
        </w:rPr>
        <w:t>the information contained in the Annual Report fairly presents, in all material respects, the financial condition and results of operations of Verra Mobility Corporation.</w:t>
      </w:r>
    </w:p>
    <w:p>
      <w:pPr>
        <w:spacing w:after="0" w:line="159" w:lineRule="exact"/>
        <w:rPr>
          <w:sz w:val="20"/>
          <w:szCs w:val="20"/>
          <w:color w:val="auto"/>
        </w:rPr>
      </w:pPr>
    </w:p>
    <w:p>
      <w:pPr>
        <w:spacing w:after="0"/>
        <w:tabs>
          <w:tab w:leader="none" w:pos="6020" w:val="left"/>
          <w:tab w:leader="none" w:pos="6600" w:val="left"/>
        </w:tabs>
        <w:rPr>
          <w:sz w:val="20"/>
          <w:szCs w:val="20"/>
          <w:color w:val="auto"/>
        </w:rPr>
      </w:pPr>
      <w:r>
        <w:rPr>
          <w:rFonts w:ascii="Arial" w:cs="Arial" w:eastAsia="Arial" w:hAnsi="Arial"/>
          <w:sz w:val="12"/>
          <w:szCs w:val="12"/>
          <w:color w:val="auto"/>
        </w:rPr>
        <w:t>Date: March 2, 2020</w:t>
      </w:r>
      <w:r>
        <w:rPr>
          <w:sz w:val="20"/>
          <w:szCs w:val="20"/>
          <w:color w:val="auto"/>
        </w:rPr>
        <w:tab/>
      </w:r>
      <w:r>
        <w:rPr>
          <w:rFonts w:ascii="Arial" w:cs="Arial" w:eastAsia="Arial" w:hAnsi="Arial"/>
          <w:sz w:val="12"/>
          <w:szCs w:val="12"/>
          <w:color w:val="auto"/>
        </w:rPr>
        <w:t>By:</w:t>
      </w:r>
      <w:r>
        <w:rPr>
          <w:sz w:val="20"/>
          <w:szCs w:val="20"/>
          <w:color w:val="auto"/>
        </w:rPr>
        <w:tab/>
      </w:r>
      <w:r>
        <w:rPr>
          <w:rFonts w:ascii="Arial" w:cs="Arial" w:eastAsia="Arial" w:hAnsi="Arial"/>
          <w:sz w:val="10"/>
          <w:szCs w:val="10"/>
          <w:color w:val="auto"/>
        </w:rPr>
        <w:t>/s/ David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4204335</wp:posOffset>
            </wp:positionH>
            <wp:positionV relativeFrom="paragraph">
              <wp:posOffset>15240</wp:posOffset>
            </wp:positionV>
            <wp:extent cx="3082925" cy="571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56">
                      <a:extLst>
                        <a:ext uri="{28A0092B-C50C-407E-A947-70E740481C1C}"/>
                      </a:extLst>
                    </a:blip>
                    <a:srcRect/>
                    <a:stretch>
                      <a:fillRect/>
                    </a:stretch>
                  </pic:blipFill>
                  <pic:spPr bwMode="auto">
                    <a:xfrm>
                      <a:off x="0" y="0"/>
                      <a:ext cx="3082925" cy="5715"/>
                    </a:xfrm>
                    <a:prstGeom prst="rect">
                      <a:avLst/>
                    </a:prstGeom>
                    <a:noFill/>
                  </pic:spPr>
                </pic:pic>
              </a:graphicData>
            </a:graphic>
          </wp:anchor>
        </w:drawing>
      </w:r>
    </w:p>
    <w:p>
      <w:pPr>
        <w:spacing w:after="0" w:line="4" w:lineRule="exact"/>
        <w:rPr>
          <w:sz w:val="20"/>
          <w:szCs w:val="20"/>
          <w:color w:val="auto"/>
        </w:rPr>
      </w:pPr>
    </w:p>
    <w:p>
      <w:pPr>
        <w:ind w:left="6620"/>
        <w:spacing w:after="0"/>
        <w:rPr>
          <w:sz w:val="20"/>
          <w:szCs w:val="20"/>
          <w:color w:val="auto"/>
        </w:rPr>
      </w:pPr>
      <w:r>
        <w:rPr>
          <w:rFonts w:ascii="Arial" w:cs="Arial" w:eastAsia="Arial" w:hAnsi="Arial"/>
          <w:sz w:val="12"/>
          <w:szCs w:val="12"/>
          <w:color w:val="auto"/>
        </w:rPr>
        <w:t>David Roberts</w:t>
      </w:r>
    </w:p>
    <w:p>
      <w:pPr>
        <w:spacing w:after="0" w:line="24" w:lineRule="exact"/>
        <w:rPr>
          <w:sz w:val="20"/>
          <w:szCs w:val="20"/>
          <w:color w:val="auto"/>
        </w:rPr>
      </w:pPr>
    </w:p>
    <w:p>
      <w:pPr>
        <w:ind w:left="6640"/>
        <w:spacing w:after="0"/>
        <w:rPr>
          <w:sz w:val="20"/>
          <w:szCs w:val="20"/>
          <w:color w:val="auto"/>
        </w:rPr>
      </w:pPr>
      <w:r>
        <w:rPr>
          <w:rFonts w:ascii="Arial" w:cs="Arial" w:eastAsia="Arial" w:hAnsi="Arial"/>
          <w:sz w:val="12"/>
          <w:szCs w:val="12"/>
          <w:color w:val="auto"/>
        </w:rPr>
        <w:t>President, Chief Executive Officer, and Director</w:t>
      </w:r>
    </w:p>
    <w:p>
      <w:pPr>
        <w:spacing w:after="0" w:line="24" w:lineRule="exact"/>
        <w:rPr>
          <w:sz w:val="20"/>
          <w:szCs w:val="20"/>
          <w:color w:val="auto"/>
        </w:rPr>
      </w:pPr>
    </w:p>
    <w:p>
      <w:pPr>
        <w:ind w:left="6620"/>
        <w:spacing w:after="0"/>
        <w:rPr>
          <w:sz w:val="20"/>
          <w:szCs w:val="20"/>
          <w:color w:val="auto"/>
        </w:rPr>
      </w:pPr>
      <w:r>
        <w:rPr>
          <w:rFonts w:ascii="Arial" w:cs="Arial" w:eastAsia="Arial" w:hAnsi="Arial"/>
          <w:sz w:val="12"/>
          <w:szCs w:val="12"/>
          <w:i w:val="1"/>
          <w:iCs w:val="1"/>
          <w:color w:val="auto"/>
        </w:rPr>
        <w:t>(Principal Executive Officer)</w:t>
      </w:r>
    </w:p>
    <w:p>
      <w:pPr>
        <w:sectPr>
          <w:pgSz w:w="11900" w:h="16838" w:orient="portrait"/>
          <w:cols w:equalWidth="0" w:num="1">
            <w:col w:w="11480"/>
          </w:cols>
          <w:pgMar w:left="220" w:top="127" w:right="199" w:bottom="1440" w:gutter="0" w:footer="0" w:header="0"/>
        </w:sectPr>
      </w:pPr>
    </w:p>
    <w:bookmarkStart w:id="172" w:name="page173"/>
    <w:bookmarkEnd w:id="172"/>
    <w:p>
      <w:pPr>
        <w:jc w:val="right"/>
        <w:spacing w:after="0"/>
        <w:rPr>
          <w:sz w:val="20"/>
          <w:szCs w:val="20"/>
          <w:color w:val="auto"/>
        </w:rPr>
      </w:pPr>
      <w:r>
        <w:rPr>
          <w:rFonts w:ascii="Arial" w:cs="Arial" w:eastAsia="Arial" w:hAnsi="Arial"/>
          <w:sz w:val="12"/>
          <w:szCs w:val="12"/>
          <w:b w:val="1"/>
          <w:bCs w:val="1"/>
          <w:color w:val="auto"/>
        </w:rPr>
        <w:t>EXHIBIT 32.2</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CERTIFICATION OF CHIEF FINANCIAL OFFICER</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PURSUANT TO</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18 U.S.C. SECTION 1350,</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AS ADOPTED PURSUANT TO</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SECTION 906 OF THE SARBANES-OXLEY ACT OF 2002</w:t>
      </w:r>
    </w:p>
    <w:p>
      <w:pPr>
        <w:spacing w:after="0" w:line="141" w:lineRule="exact"/>
        <w:rPr>
          <w:sz w:val="20"/>
          <w:szCs w:val="20"/>
          <w:color w:val="auto"/>
        </w:rPr>
      </w:pPr>
    </w:p>
    <w:p>
      <w:pPr>
        <w:spacing w:after="0"/>
        <w:rPr>
          <w:sz w:val="20"/>
          <w:szCs w:val="20"/>
          <w:color w:val="auto"/>
        </w:rPr>
      </w:pPr>
      <w:r>
        <w:rPr>
          <w:rFonts w:ascii="Arial" w:cs="Arial" w:eastAsia="Arial" w:hAnsi="Arial"/>
          <w:sz w:val="11"/>
          <w:szCs w:val="11"/>
          <w:color w:val="auto"/>
        </w:rPr>
        <w:t>I, Patricia Chiodo, Chief Financial Officer of Verra Mobility Corporation, do hereby certify, pursuant to 18 U.S.C. Section 1350, as adopted pursuant to Section 906 of the Sarbanes-Oxley Act of 2002, that to the best of my knowledge:</w:t>
      </w:r>
    </w:p>
    <w:p>
      <w:pPr>
        <w:spacing w:after="0" w:line="90" w:lineRule="exact"/>
        <w:rPr>
          <w:sz w:val="20"/>
          <w:szCs w:val="20"/>
          <w:color w:val="auto"/>
        </w:rPr>
      </w:pPr>
    </w:p>
    <w:p>
      <w:pPr>
        <w:ind w:left="1180" w:right="20" w:hanging="593"/>
        <w:spacing w:after="0" w:line="276" w:lineRule="auto"/>
        <w:tabs>
          <w:tab w:leader="none" w:pos="1180" w:val="left"/>
        </w:tabs>
        <w:numPr>
          <w:ilvl w:val="0"/>
          <w:numId w:val="124"/>
        </w:numPr>
        <w:rPr>
          <w:rFonts w:ascii="Arial" w:cs="Arial" w:eastAsia="Arial" w:hAnsi="Arial"/>
          <w:sz w:val="12"/>
          <w:szCs w:val="12"/>
          <w:color w:val="auto"/>
        </w:rPr>
      </w:pPr>
      <w:r>
        <w:rPr>
          <w:rFonts w:ascii="Arial" w:cs="Arial" w:eastAsia="Arial" w:hAnsi="Arial"/>
          <w:sz w:val="12"/>
          <w:szCs w:val="12"/>
          <w:color w:val="auto"/>
        </w:rPr>
        <w:t>the Annual Report on Form 10-K of Verra Mobility Corporation for the year ended December 31, 2019 (Annual Report), as filed with the Securities and Exchange Commission, fully complies with the requirements of Section 13(a) or 15(d) of the Securities Exchange Act of 1934; and</w:t>
      </w:r>
    </w:p>
    <w:p>
      <w:pPr>
        <w:spacing w:after="0" w:line="42" w:lineRule="exact"/>
        <w:rPr>
          <w:rFonts w:ascii="Arial" w:cs="Arial" w:eastAsia="Arial" w:hAnsi="Arial"/>
          <w:sz w:val="12"/>
          <w:szCs w:val="12"/>
          <w:color w:val="auto"/>
        </w:rPr>
      </w:pPr>
    </w:p>
    <w:p>
      <w:pPr>
        <w:ind w:left="1180" w:hanging="593"/>
        <w:spacing w:after="0"/>
        <w:tabs>
          <w:tab w:leader="none" w:pos="1180" w:val="left"/>
        </w:tabs>
        <w:numPr>
          <w:ilvl w:val="0"/>
          <w:numId w:val="124"/>
        </w:numPr>
        <w:rPr>
          <w:rFonts w:ascii="Arial" w:cs="Arial" w:eastAsia="Arial" w:hAnsi="Arial"/>
          <w:sz w:val="12"/>
          <w:szCs w:val="12"/>
          <w:color w:val="auto"/>
        </w:rPr>
      </w:pPr>
      <w:r>
        <w:rPr>
          <w:rFonts w:ascii="Arial" w:cs="Arial" w:eastAsia="Arial" w:hAnsi="Arial"/>
          <w:sz w:val="12"/>
          <w:szCs w:val="12"/>
          <w:color w:val="auto"/>
        </w:rPr>
        <w:t>the information contained in the Annual Report fairly presents, in all material respects, the financial condition and results of operations of Verra Mobility Corporation.</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3520" w:type="dxa"/>
            <w:vAlign w:val="bottom"/>
          </w:tcPr>
          <w:p>
            <w:pPr>
              <w:spacing w:after="0"/>
              <w:rPr>
                <w:sz w:val="20"/>
                <w:szCs w:val="20"/>
                <w:color w:val="auto"/>
              </w:rPr>
            </w:pPr>
            <w:r>
              <w:rPr>
                <w:rFonts w:ascii="Arial" w:cs="Arial" w:eastAsia="Arial" w:hAnsi="Arial"/>
                <w:sz w:val="12"/>
                <w:szCs w:val="12"/>
                <w:color w:val="auto"/>
              </w:rPr>
              <w:t>Date: March 2, 2020</w:t>
            </w:r>
          </w:p>
        </w:tc>
        <w:tc>
          <w:tcPr>
            <w:tcW w:w="3100" w:type="dxa"/>
            <w:vAlign w:val="bottom"/>
          </w:tcPr>
          <w:p>
            <w:pPr>
              <w:ind w:left="2520"/>
              <w:spacing w:after="0"/>
              <w:rPr>
                <w:sz w:val="20"/>
                <w:szCs w:val="20"/>
                <w:color w:val="auto"/>
              </w:rPr>
            </w:pPr>
            <w:r>
              <w:rPr>
                <w:rFonts w:ascii="Arial" w:cs="Arial" w:eastAsia="Arial" w:hAnsi="Arial"/>
                <w:sz w:val="12"/>
                <w:szCs w:val="12"/>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/s/ Patricia Chiodo</w:t>
            </w:r>
          </w:p>
        </w:tc>
      </w:tr>
      <w:tr>
        <w:trPr>
          <w:trHeight w:val="138"/>
        </w:trPr>
        <w:tc>
          <w:tcPr>
            <w:tcW w:w="3520" w:type="dxa"/>
            <w:vAlign w:val="bottom"/>
          </w:tcPr>
          <w:p>
            <w:pPr>
              <w:spacing w:after="0"/>
              <w:rPr>
                <w:sz w:val="11"/>
                <w:szCs w:val="11"/>
                <w:color w:val="auto"/>
              </w:rPr>
            </w:pPr>
          </w:p>
        </w:tc>
        <w:tc>
          <w:tcPr>
            <w:tcW w:w="3100" w:type="dxa"/>
            <w:vAlign w:val="bottom"/>
          </w:tcPr>
          <w:p>
            <w:pPr>
              <w:spacing w:after="0"/>
              <w:rPr>
                <w:sz w:val="11"/>
                <w:szCs w:val="11"/>
                <w:color w:val="auto"/>
              </w:rPr>
            </w:pPr>
          </w:p>
        </w:tc>
        <w:tc>
          <w:tcPr>
            <w:tcW w:w="4860" w:type="dxa"/>
            <w:vAlign w:val="bottom"/>
          </w:tcPr>
          <w:p>
            <w:pPr>
              <w:spacing w:after="0"/>
              <w:rPr>
                <w:sz w:val="20"/>
                <w:szCs w:val="20"/>
                <w:color w:val="auto"/>
              </w:rPr>
            </w:pPr>
            <w:r>
              <w:rPr>
                <w:rFonts w:ascii="Arial" w:cs="Arial" w:eastAsia="Arial" w:hAnsi="Arial"/>
                <w:sz w:val="12"/>
                <w:szCs w:val="12"/>
                <w:color w:val="auto"/>
              </w:rPr>
              <w:t>Patricia Chiodo</w:t>
            </w:r>
          </w:p>
        </w:tc>
      </w:tr>
      <w:tr>
        <w:trPr>
          <w:trHeight w:val="153"/>
        </w:trPr>
        <w:tc>
          <w:tcPr>
            <w:tcW w:w="352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4860" w:type="dxa"/>
            <w:vAlign w:val="bottom"/>
          </w:tcPr>
          <w:p>
            <w:pPr>
              <w:spacing w:after="0"/>
              <w:rPr>
                <w:sz w:val="20"/>
                <w:szCs w:val="20"/>
                <w:color w:val="auto"/>
              </w:rPr>
            </w:pPr>
            <w:r>
              <w:rPr>
                <w:rFonts w:ascii="Arial" w:cs="Arial" w:eastAsia="Arial" w:hAnsi="Arial"/>
                <w:sz w:val="12"/>
                <w:szCs w:val="12"/>
                <w:color w:val="auto"/>
              </w:rPr>
              <w:t>Chief Financial Officer</w:t>
            </w:r>
          </w:p>
        </w:tc>
      </w:tr>
      <w:tr>
        <w:trPr>
          <w:trHeight w:val="153"/>
        </w:trPr>
        <w:tc>
          <w:tcPr>
            <w:tcW w:w="352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4860" w:type="dxa"/>
            <w:vAlign w:val="bottom"/>
          </w:tcPr>
          <w:p>
            <w:pPr>
              <w:spacing w:after="0"/>
              <w:rPr>
                <w:sz w:val="20"/>
                <w:szCs w:val="20"/>
                <w:color w:val="auto"/>
              </w:rPr>
            </w:pPr>
            <w:r>
              <w:rPr>
                <w:rFonts w:ascii="Arial" w:cs="Arial" w:eastAsia="Arial" w:hAnsi="Arial"/>
                <w:sz w:val="12"/>
                <w:szCs w:val="12"/>
                <w:i w:val="1"/>
                <w:iCs w:val="1"/>
                <w:color w:val="auto"/>
              </w:rPr>
              <w:t>(Principal Financial and Accounting Officer)</w:t>
            </w:r>
          </w:p>
        </w:tc>
      </w:tr>
    </w:tbl>
    <w:p>
      <w:pPr>
        <w:spacing w:after="0" w:line="1" w:lineRule="exact"/>
        <w:rPr>
          <w:sz w:val="20"/>
          <w:szCs w:val="20"/>
          <w:color w:val="auto"/>
        </w:rPr>
      </w:pPr>
    </w:p>
    <w:sectPr>
      <w:pgSz w:w="11900" w:h="16838" w:orient="portrait"/>
      <w:cols w:equalWidth="0" w:num="1">
        <w:col w:w="11480"/>
      </w:cols>
      <w:pgMar w:left="220" w:top="127"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E0C57B1"/>
    <w:multiLevelType w:val="hybridMultilevel"/>
    <w:lvl w:ilvl="0">
      <w:lvlJc w:val="left"/>
      <w:lvlText w:val="☒"/>
      <w:numFmt w:val="bullet"/>
      <w:start w:val="1"/>
    </w:lvl>
  </w:abstractNum>
  <w:abstractNum w:abstractNumId="1">
    <w:nsid w:val="77AE35EB"/>
    <w:multiLevelType w:val="hybridMultilevel"/>
    <w:lvl w:ilvl="0">
      <w:lvlJc w:val="left"/>
      <w:lvlText w:val="☐"/>
      <w:numFmt w:val="bullet"/>
      <w:start w:val="1"/>
    </w:lvl>
  </w:abstractNum>
  <w:abstractNum w:abstractNumId="2">
    <w:nsid w:val="579BE4F1"/>
    <w:multiLevelType w:val="hybridMultilevel"/>
    <w:lvl w:ilvl="0">
      <w:lvlJc w:val="left"/>
      <w:lvlText w:val="•"/>
      <w:numFmt w:val="bullet"/>
      <w:start w:val="1"/>
    </w:lvl>
  </w:abstractNum>
  <w:abstractNum w:abstractNumId="3">
    <w:nsid w:val="310C50B3"/>
    <w:multiLevelType w:val="hybridMultilevel"/>
    <w:lvl w:ilvl="0">
      <w:lvlJc w:val="left"/>
      <w:lvlText w:val="•"/>
      <w:numFmt w:val="bullet"/>
      <w:start w:val="1"/>
    </w:lvl>
  </w:abstractNum>
  <w:abstractNum w:abstractNumId="4">
    <w:nsid w:val="5FF87E05"/>
    <w:multiLevelType w:val="hybridMultilevel"/>
    <w:lvl w:ilvl="0">
      <w:lvlJc w:val="left"/>
      <w:lvlText w:val="•"/>
      <w:numFmt w:val="bullet"/>
      <w:start w:val="1"/>
    </w:lvl>
  </w:abstractNum>
  <w:abstractNum w:abstractNumId="5">
    <w:nsid w:val="2F305DEF"/>
    <w:multiLevelType w:val="hybridMultilevel"/>
    <w:lvl w:ilvl="0">
      <w:lvlJc w:val="left"/>
      <w:lvlText w:val="•"/>
      <w:numFmt w:val="bullet"/>
      <w:start w:val="1"/>
    </w:lvl>
  </w:abstractNum>
  <w:abstractNum w:abstractNumId="6">
    <w:nsid w:val="25A70BF7"/>
    <w:multiLevelType w:val="hybridMultilevel"/>
    <w:lvl w:ilvl="0">
      <w:lvlJc w:val="left"/>
      <w:lvlText w:val="•"/>
      <w:numFmt w:val="bullet"/>
      <w:start w:val="1"/>
    </w:lvl>
  </w:abstractNum>
  <w:abstractNum w:abstractNumId="7">
    <w:nsid w:val="1DBABF00"/>
    <w:multiLevelType w:val="hybridMultilevel"/>
    <w:lvl w:ilvl="0">
      <w:lvlJc w:val="left"/>
      <w:lvlText w:val="•"/>
      <w:numFmt w:val="bullet"/>
      <w:start w:val="1"/>
    </w:lvl>
  </w:abstractNum>
  <w:abstractNum w:abstractNumId="8">
    <w:nsid w:val="4AD084E9"/>
    <w:multiLevelType w:val="hybridMultilevel"/>
    <w:lvl w:ilvl="0">
      <w:lvlJc w:val="left"/>
      <w:lvlText w:val="•"/>
      <w:numFmt w:val="bullet"/>
      <w:start w:val="1"/>
    </w:lvl>
  </w:abstractNum>
  <w:abstractNum w:abstractNumId="9">
    <w:nsid w:val="1F48EAA1"/>
    <w:multiLevelType w:val="hybridMultilevel"/>
    <w:lvl w:ilvl="0">
      <w:lvlJc w:val="left"/>
      <w:lvlText w:val="•"/>
      <w:numFmt w:val="bullet"/>
      <w:start w:val="1"/>
    </w:lvl>
  </w:abstractNum>
  <w:abstractNum w:abstractNumId="10">
    <w:nsid w:val="1381823A"/>
    <w:multiLevelType w:val="hybridMultilevel"/>
    <w:lvl w:ilvl="0">
      <w:lvlJc w:val="left"/>
      <w:lvlText w:val="•"/>
      <w:numFmt w:val="bullet"/>
      <w:start w:val="1"/>
    </w:lvl>
  </w:abstractNum>
  <w:abstractNum w:abstractNumId="11">
    <w:nsid w:val="5DB70AE5"/>
    <w:multiLevelType w:val="hybridMultilevel"/>
    <w:lvl w:ilvl="0">
      <w:lvlJc w:val="left"/>
      <w:lvlText w:val="•"/>
      <w:numFmt w:val="bullet"/>
      <w:start w:val="1"/>
    </w:lvl>
  </w:abstractNum>
  <w:abstractNum w:abstractNumId="12">
    <w:nsid w:val="100F8FCA"/>
    <w:multiLevelType w:val="hybridMultilevel"/>
    <w:lvl w:ilvl="0">
      <w:lvlJc w:val="left"/>
      <w:lvlText w:val="(%1)"/>
      <w:numFmt w:val="decimal"/>
      <w:start w:val="1"/>
    </w:lvl>
  </w:abstractNum>
  <w:abstractNum w:abstractNumId="13">
    <w:nsid w:val="6590700B"/>
    <w:multiLevelType w:val="hybridMultilevel"/>
    <w:lvl w:ilvl="0">
      <w:lvlJc w:val="left"/>
      <w:lvlText w:val="(%1)"/>
      <w:numFmt w:val="decimal"/>
      <w:start w:val="2"/>
    </w:lvl>
  </w:abstractNum>
  <w:abstractNum w:abstractNumId="14">
    <w:nsid w:val="15014ACB"/>
    <w:multiLevelType w:val="hybridMultilevel"/>
    <w:lvl w:ilvl="0">
      <w:lvlJc w:val="left"/>
      <w:lvlText w:val="•"/>
      <w:numFmt w:val="bullet"/>
      <w:start w:val="1"/>
    </w:lvl>
  </w:abstractNum>
  <w:abstractNum w:abstractNumId="15">
    <w:nsid w:val="5F5E7FD0"/>
    <w:multiLevelType w:val="hybridMultilevel"/>
    <w:lvl w:ilvl="0">
      <w:lvlJc w:val="left"/>
      <w:lvlText w:val="(%1)"/>
      <w:numFmt w:val="lowerRoman"/>
      <w:start w:val="1"/>
    </w:lvl>
  </w:abstractNum>
  <w:abstractNum w:abstractNumId="16">
    <w:nsid w:val="98A3148"/>
    <w:multiLevelType w:val="hybridMultilevel"/>
    <w:lvl w:ilvl="0">
      <w:lvlJc w:val="left"/>
      <w:lvlText w:val="(%1)"/>
      <w:numFmt w:val="lowerRoman"/>
      <w:start w:val="4"/>
    </w:lvl>
  </w:abstractNum>
  <w:abstractNum w:abstractNumId="17">
    <w:nsid w:val="799D0247"/>
    <w:multiLevelType w:val="hybridMultilevel"/>
    <w:lvl w:ilvl="0">
      <w:lvlJc w:val="left"/>
      <w:lvlText w:val="•"/>
      <w:numFmt w:val="bullet"/>
      <w:start w:val="1"/>
    </w:lvl>
  </w:abstractNum>
  <w:abstractNum w:abstractNumId="18">
    <w:nsid w:val="6B94764"/>
    <w:multiLevelType w:val="hybridMultilevel"/>
    <w:lvl w:ilvl="0">
      <w:lvlJc w:val="left"/>
      <w:lvlText w:val="•"/>
      <w:numFmt w:val="bullet"/>
      <w:start w:val="1"/>
    </w:lvl>
  </w:abstractNum>
  <w:abstractNum w:abstractNumId="19">
    <w:nsid w:val="42C296BD"/>
    <w:multiLevelType w:val="hybridMultilevel"/>
    <w:lvl w:ilvl="0">
      <w:lvlJc w:val="left"/>
      <w:lvlText w:val="•"/>
      <w:numFmt w:val="bullet"/>
      <w:start w:val="1"/>
    </w:lvl>
  </w:abstractNum>
  <w:abstractNum w:abstractNumId="20">
    <w:nsid w:val="168E121F"/>
    <w:multiLevelType w:val="hybridMultilevel"/>
    <w:lvl w:ilvl="0">
      <w:lvlJc w:val="left"/>
      <w:lvlText w:val="(%1)"/>
      <w:numFmt w:val="decimal"/>
      <w:start w:val="1"/>
    </w:lvl>
  </w:abstractNum>
  <w:abstractNum w:abstractNumId="21">
    <w:nsid w:val="1EBA5D23"/>
    <w:multiLevelType w:val="hybridMultilevel"/>
    <w:lvl w:ilvl="0">
      <w:lvlJc w:val="left"/>
      <w:lvlText w:val="•"/>
      <w:numFmt w:val="bullet"/>
      <w:start w:val="1"/>
    </w:lvl>
  </w:abstractNum>
  <w:abstractNum w:abstractNumId="22">
    <w:nsid w:val="661E3F1E"/>
    <w:multiLevelType w:val="hybridMultilevel"/>
    <w:lvl w:ilvl="0">
      <w:lvlJc w:val="left"/>
      <w:lvlText w:val="(%1)"/>
      <w:numFmt w:val="decimal"/>
      <w:start w:val="1"/>
    </w:lvl>
  </w:abstractNum>
  <w:abstractNum w:abstractNumId="23">
    <w:nsid w:val="5DC79EA8"/>
    <w:multiLevelType w:val="hybridMultilevel"/>
    <w:lvl w:ilvl="0">
      <w:lvlJc w:val="left"/>
      <w:lvlText w:val="%1."/>
      <w:numFmt w:val="decimal"/>
      <w:start w:val="1"/>
    </w:lvl>
  </w:abstractNum>
  <w:abstractNum w:abstractNumId="24">
    <w:nsid w:val="540A471C"/>
    <w:multiLevelType w:val="hybridMultilevel"/>
    <w:lvl w:ilvl="0">
      <w:lvlJc w:val="left"/>
      <w:lvlText w:val="%1."/>
      <w:numFmt w:val="decimal"/>
      <w:start w:val="2"/>
    </w:lvl>
  </w:abstractNum>
  <w:abstractNum w:abstractNumId="25">
    <w:nsid w:val="7BD3EE7B"/>
    <w:multiLevelType w:val="hybridMultilevel"/>
    <w:lvl w:ilvl="0">
      <w:lvlJc w:val="left"/>
      <w:lvlText w:val="%1)"/>
      <w:numFmt w:val="lowerLetter"/>
      <w:start w:val="1"/>
    </w:lvl>
  </w:abstractNum>
  <w:abstractNum w:abstractNumId="26">
    <w:nsid w:val="51D9C564"/>
    <w:multiLevelType w:val="hybridMultilevel"/>
    <w:lvl w:ilvl="0">
      <w:lvlJc w:val="left"/>
      <w:lvlText w:val="•"/>
      <w:numFmt w:val="bullet"/>
      <w:start w:val="1"/>
    </w:lvl>
  </w:abstractNum>
  <w:abstractNum w:abstractNumId="27">
    <w:nsid w:val="613EFDC5"/>
    <w:multiLevelType w:val="hybridMultilevel"/>
    <w:lvl w:ilvl="0">
      <w:lvlJc w:val="left"/>
      <w:lvlText w:val="%1."/>
      <w:numFmt w:val="decimal"/>
      <w:start w:val="3"/>
    </w:lvl>
  </w:abstractNum>
  <w:abstractNum w:abstractNumId="28">
    <w:nsid w:val="BF72B14"/>
    <w:multiLevelType w:val="hybridMultilevel"/>
    <w:lvl w:ilvl="0">
      <w:lvlJc w:val="left"/>
      <w:lvlText w:val="%1."/>
      <w:numFmt w:val="decimal"/>
      <w:start w:val="4"/>
    </w:lvl>
  </w:abstractNum>
  <w:abstractNum w:abstractNumId="29">
    <w:nsid w:val="11447B73"/>
    <w:multiLevelType w:val="hybridMultilevel"/>
    <w:lvl w:ilvl="0">
      <w:lvlJc w:val="left"/>
      <w:lvlText w:val="%1."/>
      <w:numFmt w:val="decimal"/>
      <w:start w:val="5"/>
    </w:lvl>
  </w:abstractNum>
  <w:abstractNum w:abstractNumId="30">
    <w:nsid w:val="42963E5A"/>
    <w:multiLevelType w:val="hybridMultilevel"/>
    <w:lvl w:ilvl="0">
      <w:lvlJc w:val="left"/>
      <w:lvlText w:val="%1."/>
      <w:numFmt w:val="decimal"/>
      <w:start w:val="7"/>
    </w:lvl>
  </w:abstractNum>
  <w:abstractNum w:abstractNumId="31">
    <w:nsid w:val="A0382C5"/>
    <w:multiLevelType w:val="hybridMultilevel"/>
    <w:lvl w:ilvl="0">
      <w:lvlJc w:val="left"/>
      <w:lvlText w:val="%1."/>
      <w:numFmt w:val="decimal"/>
      <w:start w:val="8"/>
    </w:lvl>
  </w:abstractNum>
  <w:abstractNum w:abstractNumId="32">
    <w:nsid w:val="8F2B15E"/>
    <w:multiLevelType w:val="hybridMultilevel"/>
    <w:lvl w:ilvl="0">
      <w:lvlJc w:val="left"/>
      <w:lvlText w:val="%1."/>
      <w:numFmt w:val="decimal"/>
      <w:start w:val="9"/>
    </w:lvl>
  </w:abstractNum>
  <w:abstractNum w:abstractNumId="33">
    <w:nsid w:val="1A32234B"/>
    <w:multiLevelType w:val="hybridMultilevel"/>
    <w:lvl w:ilvl="0">
      <w:lvlJc w:val="left"/>
      <w:lvlText w:val="%1."/>
      <w:numFmt w:val="decimal"/>
      <w:start w:val="11"/>
    </w:lvl>
  </w:abstractNum>
  <w:abstractNum w:abstractNumId="34">
    <w:nsid w:val="3B0FD379"/>
    <w:multiLevelType w:val="hybridMultilevel"/>
    <w:lvl w:ilvl="0">
      <w:lvlJc w:val="left"/>
      <w:lvlText w:val="(%1)"/>
      <w:numFmt w:val="decimal"/>
      <w:start w:val="1"/>
    </w:lvl>
  </w:abstractNum>
  <w:abstractNum w:abstractNumId="35">
    <w:nsid w:val="68EB2F63"/>
    <w:multiLevelType w:val="hybridMultilevel"/>
    <w:lvl w:ilvl="0">
      <w:lvlJc w:val="left"/>
      <w:lvlText w:val="%1."/>
      <w:numFmt w:val="decimal"/>
      <w:start w:val="13"/>
    </w:lvl>
  </w:abstractNum>
  <w:abstractNum w:abstractNumId="36">
    <w:nsid w:val="4962813B"/>
    <w:multiLevelType w:val="hybridMultilevel"/>
    <w:lvl w:ilvl="0">
      <w:lvlJc w:val="left"/>
      <w:lvlText w:val="%1."/>
      <w:numFmt w:val="decimal"/>
      <w:start w:val="15"/>
    </w:lvl>
  </w:abstractNum>
  <w:abstractNum w:abstractNumId="37">
    <w:nsid w:val="60B6DF70"/>
    <w:multiLevelType w:val="hybridMultilevel"/>
    <w:lvl w:ilvl="0">
      <w:lvlJc w:val="left"/>
      <w:lvlText w:val="%1."/>
      <w:numFmt w:val="decimal"/>
      <w:start w:val="16"/>
    </w:lvl>
  </w:abstractNum>
  <w:abstractNum w:abstractNumId="38">
    <w:nsid w:val="6A5EE64"/>
    <w:multiLevelType w:val="hybridMultilevel"/>
    <w:lvl w:ilvl="0">
      <w:lvlJc w:val="left"/>
      <w:lvlText w:val="%1."/>
      <w:numFmt w:val="decimal"/>
      <w:start w:val="17"/>
    </w:lvl>
  </w:abstractNum>
  <w:abstractNum w:abstractNumId="39">
    <w:nsid w:val="14330624"/>
    <w:multiLevelType w:val="hybridMultilevel"/>
    <w:lvl w:ilvl="0">
      <w:lvlJc w:val="left"/>
      <w:lvlText w:val="%1."/>
      <w:numFmt w:val="decimal"/>
      <w:start w:val="18"/>
    </w:lvl>
  </w:abstractNum>
  <w:abstractNum w:abstractNumId="40">
    <w:nsid w:val="7FFFCA11"/>
    <w:multiLevelType w:val="hybridMultilevel"/>
    <w:lvl w:ilvl="0">
      <w:lvlJc w:val="left"/>
      <w:lvlText w:val="%1."/>
      <w:numFmt w:val="decimal"/>
      <w:start w:val="19"/>
    </w:lvl>
  </w:abstractNum>
  <w:abstractNum w:abstractNumId="41">
    <w:nsid w:val="1A27709E"/>
    <w:multiLevelType w:val="hybridMultilevel"/>
    <w:lvl w:ilvl="0">
      <w:lvlJc w:val="left"/>
      <w:lvlText w:val="%1"/>
      <w:numFmt w:val="decimal"/>
      <w:start w:val="1"/>
    </w:lvl>
    <w:lvl w:ilvl="1">
      <w:lvlJc w:val="left"/>
      <w:lvlText w:val="(%2)"/>
      <w:numFmt w:val="lowerLetter"/>
      <w:start w:val="1"/>
    </w:lvl>
  </w:abstractNum>
  <w:abstractNum w:abstractNumId="42">
    <w:nsid w:val="71EA1109"/>
    <w:multiLevelType w:val="hybridMultilevel"/>
    <w:lvl w:ilvl="0">
      <w:lvlJc w:val="left"/>
      <w:lvlText w:val="%1."/>
      <w:numFmt w:val="decimal"/>
      <w:start w:val="20"/>
    </w:lvl>
    <w:lvl w:ilvl="1">
      <w:lvlJc w:val="left"/>
      <w:lvlText w:val="%2"/>
      <w:numFmt w:val="lowerLetter"/>
      <w:start w:val="1"/>
    </w:lvl>
  </w:abstractNum>
  <w:abstractNum w:abstractNumId="43">
    <w:nsid w:val="100F59DC"/>
    <w:multiLevelType w:val="hybridMultilevel"/>
    <w:lvl w:ilvl="0">
      <w:lvlJc w:val="left"/>
      <w:lvlText w:val="%1."/>
      <w:numFmt w:val="decimal"/>
      <w:start w:val="21"/>
    </w:lvl>
  </w:abstractNum>
  <w:abstractNum w:abstractNumId="44">
    <w:nsid w:val="7FB7E0AA"/>
    <w:multiLevelType w:val="hybridMultilevel"/>
    <w:lvl w:ilvl="0">
      <w:lvlJc w:val="left"/>
      <w:lvlText w:val="(%1)"/>
      <w:numFmt w:val="lowerLetter"/>
      <w:start w:val="1"/>
    </w:lvl>
  </w:abstractNum>
  <w:abstractNum w:abstractNumId="45">
    <w:nsid w:val="6EB5BD4"/>
    <w:multiLevelType w:val="hybridMultilevel"/>
    <w:lvl w:ilvl="0">
      <w:lvlJc w:val="left"/>
      <w:lvlText w:val="%1."/>
      <w:numFmt w:val="decimal"/>
      <w:start w:val="1"/>
    </w:lvl>
  </w:abstractNum>
  <w:abstractNum w:abstractNumId="46">
    <w:nsid w:val="6F6DD9AC"/>
    <w:multiLevelType w:val="hybridMultilevel"/>
    <w:lvl w:ilvl="0">
      <w:lvlJc w:val="left"/>
      <w:lvlText w:val="%1."/>
      <w:numFmt w:val="decimal"/>
      <w:start w:val="2"/>
    </w:lvl>
  </w:abstractNum>
  <w:abstractNum w:abstractNumId="47">
    <w:nsid w:val="94211F2"/>
    <w:multiLevelType w:val="hybridMultilevel"/>
    <w:lvl w:ilvl="0">
      <w:lvlJc w:val="left"/>
      <w:lvlText w:val="%1."/>
      <w:numFmt w:val="decimal"/>
      <w:start w:val="3"/>
    </w:lvl>
  </w:abstractNum>
  <w:abstractNum w:abstractNumId="48">
    <w:nsid w:val="885E1B"/>
    <w:multiLevelType w:val="hybridMultilevel"/>
    <w:lvl w:ilvl="0">
      <w:lvlJc w:val="left"/>
      <w:lvlText w:val="#"/>
      <w:numFmt w:val="bullet"/>
      <w:start w:val="1"/>
    </w:lvl>
  </w:abstractNum>
  <w:abstractNum w:abstractNumId="49">
    <w:nsid w:val="76272110"/>
    <w:multiLevelType w:val="hybridMultilevel"/>
    <w:lvl w:ilvl="0">
      <w:lvlJc w:val="left"/>
      <w:lvlText w:val="*"/>
      <w:numFmt w:val="bullet"/>
      <w:start w:val="1"/>
    </w:lvl>
  </w:abstractNum>
  <w:abstractNum w:abstractNumId="50">
    <w:nsid w:val="4C04A8AF"/>
    <w:multiLevelType w:val="hybridMultilevel"/>
    <w:lvl w:ilvl="0">
      <w:lvlJc w:val="left"/>
      <w:lvlText w:val="1"/>
      <w:numFmt w:val="bullet"/>
      <w:start w:val="1"/>
    </w:lvl>
  </w:abstractNum>
  <w:abstractNum w:abstractNumId="51">
    <w:nsid w:val="1716703B"/>
    <w:multiLevelType w:val="hybridMultilevel"/>
    <w:lvl w:ilvl="0">
      <w:lvlJc w:val="left"/>
      <w:lvlText w:val="2"/>
      <w:numFmt w:val="bullet"/>
      <w:start w:val="1"/>
    </w:lvl>
  </w:abstractNum>
  <w:abstractNum w:abstractNumId="52">
    <w:nsid w:val="14E17E33"/>
    <w:multiLevelType w:val="hybridMultilevel"/>
    <w:lvl w:ilvl="0">
      <w:lvlJc w:val="left"/>
      <w:lvlText w:val="3"/>
      <w:numFmt w:val="bullet"/>
      <w:start w:val="1"/>
    </w:lvl>
  </w:abstractNum>
  <w:abstractNum w:abstractNumId="53">
    <w:nsid w:val="3222E7CD"/>
    <w:multiLevelType w:val="hybridMultilevel"/>
    <w:lvl w:ilvl="0">
      <w:lvlJc w:val="left"/>
      <w:lvlText w:val="4"/>
      <w:numFmt w:val="bullet"/>
      <w:start w:val="1"/>
    </w:lvl>
  </w:abstractNum>
  <w:abstractNum w:abstractNumId="54">
    <w:nsid w:val="74DE0EE3"/>
    <w:multiLevelType w:val="hybridMultilevel"/>
    <w:lvl w:ilvl="0">
      <w:lvlJc w:val="left"/>
      <w:lvlText w:val="•"/>
      <w:numFmt w:val="bullet"/>
      <w:start w:val="1"/>
    </w:lvl>
  </w:abstractNum>
  <w:abstractNum w:abstractNumId="55">
    <w:nsid w:val="68EBC550"/>
    <w:multiLevelType w:val="hybridMultilevel"/>
    <w:lvl w:ilvl="0">
      <w:lvlJc w:val="left"/>
      <w:lvlText w:val="•"/>
      <w:numFmt w:val="bullet"/>
      <w:start w:val="1"/>
    </w:lvl>
  </w:abstractNum>
  <w:abstractNum w:abstractNumId="56">
    <w:nsid w:val="2DF6D648"/>
    <w:multiLevelType w:val="hybridMultilevel"/>
    <w:lvl w:ilvl="0">
      <w:lvlJc w:val="left"/>
      <w:lvlText w:val="•"/>
      <w:numFmt w:val="bullet"/>
      <w:start w:val="1"/>
    </w:lvl>
  </w:abstractNum>
  <w:abstractNum w:abstractNumId="57">
    <w:nsid w:val="46B7D447"/>
    <w:multiLevelType w:val="hybridMultilevel"/>
    <w:lvl w:ilvl="0">
      <w:lvlJc w:val="left"/>
      <w:lvlText w:val="•"/>
      <w:numFmt w:val="bullet"/>
      <w:start w:val="1"/>
    </w:lvl>
  </w:abstractNum>
  <w:abstractNum w:abstractNumId="58">
    <w:nsid w:val="4A2AC315"/>
    <w:multiLevelType w:val="hybridMultilevel"/>
    <w:lvl w:ilvl="0">
      <w:lvlJc w:val="left"/>
      <w:lvlText w:val="•"/>
      <w:numFmt w:val="bullet"/>
      <w:start w:val="1"/>
    </w:lvl>
  </w:abstractNum>
  <w:abstractNum w:abstractNumId="59">
    <w:nsid w:val="39EE015C"/>
    <w:multiLevelType w:val="hybridMultilevel"/>
    <w:lvl w:ilvl="0">
      <w:lvlJc w:val="left"/>
      <w:lvlText w:val="•"/>
      <w:numFmt w:val="bullet"/>
      <w:start w:val="1"/>
    </w:lvl>
  </w:abstractNum>
  <w:abstractNum w:abstractNumId="60">
    <w:nsid w:val="57FC4FBB"/>
    <w:multiLevelType w:val="hybridMultilevel"/>
    <w:lvl w:ilvl="0">
      <w:lvlJc w:val="left"/>
      <w:lvlText w:val="•"/>
      <w:numFmt w:val="bullet"/>
      <w:start w:val="1"/>
    </w:lvl>
    <w:lvl w:ilvl="1">
      <w:lvlJc w:val="left"/>
      <w:lvlText w:val="•"/>
      <w:numFmt w:val="bullet"/>
      <w:start w:val="1"/>
    </w:lvl>
  </w:abstractNum>
  <w:abstractNum w:abstractNumId="61">
    <w:nsid w:val="CC1016F"/>
    <w:multiLevelType w:val="hybridMultilevel"/>
    <w:lvl w:ilvl="0">
      <w:lvlJc w:val="left"/>
      <w:lvlText w:val="%1."/>
      <w:numFmt w:val="decimal"/>
      <w:start w:val="1"/>
    </w:lvl>
  </w:abstractNum>
  <w:abstractNum w:abstractNumId="62">
    <w:nsid w:val="43F18422"/>
    <w:multiLevelType w:val="hybridMultilevel"/>
    <w:lvl w:ilvl="0">
      <w:lvlJc w:val="left"/>
      <w:lvlText w:val="%1."/>
      <w:numFmt w:val="decimal"/>
      <w:start w:val="2"/>
    </w:lvl>
  </w:abstractNum>
  <w:abstractNum w:abstractNumId="63">
    <w:nsid w:val="60EF0119"/>
    <w:multiLevelType w:val="hybridMultilevel"/>
    <w:lvl w:ilvl="0">
      <w:lvlJc w:val="left"/>
      <w:lvlText w:val="(%1)"/>
      <w:numFmt w:val="lowerLetter"/>
      <w:start w:val="1"/>
    </w:lvl>
  </w:abstractNum>
  <w:abstractNum w:abstractNumId="64">
    <w:nsid w:val="26F324BA"/>
    <w:multiLevelType w:val="hybridMultilevel"/>
    <w:lvl w:ilvl="0">
      <w:lvlJc w:val="left"/>
      <w:lvlText w:val="(%1)"/>
      <w:numFmt w:val="lowerLetter"/>
      <w:start w:val="2"/>
    </w:lvl>
  </w:abstractNum>
  <w:abstractNum w:abstractNumId="65">
    <w:nsid w:val="7F01579B"/>
    <w:multiLevelType w:val="hybridMultilevel"/>
    <w:lvl w:ilvl="0">
      <w:lvlJc w:val="left"/>
      <w:lvlText w:val="%1."/>
      <w:numFmt w:val="decimal"/>
      <w:start w:val="3"/>
    </w:lvl>
  </w:abstractNum>
  <w:abstractNum w:abstractNumId="66">
    <w:nsid w:val="49DA307D"/>
    <w:multiLevelType w:val="hybridMultilevel"/>
    <w:lvl w:ilvl="0">
      <w:lvlJc w:val="left"/>
      <w:lvlText w:val="%1."/>
      <w:numFmt w:val="decimal"/>
      <w:start w:val="4"/>
    </w:lvl>
  </w:abstractNum>
  <w:abstractNum w:abstractNumId="67">
    <w:nsid w:val="7055A5F5"/>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68">
    <w:nsid w:val="5FB8370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3"/>
    </w:lvl>
  </w:abstractNum>
  <w:abstractNum w:abstractNumId="69">
    <w:nsid w:val="50801EE1"/>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70">
    <w:nsid w:val="488AC1A"/>
    <w:multiLevelType w:val="hybridMultilevel"/>
    <w:lvl w:ilvl="0">
      <w:lvlJc w:val="left"/>
      <w:lvlText w:val="(%1)"/>
      <w:numFmt w:val="lowerLetter"/>
      <w:start w:val="1"/>
    </w:lvl>
  </w:abstractNum>
  <w:abstractNum w:abstractNumId="71">
    <w:nsid w:val="5FB8011C"/>
    <w:multiLevelType w:val="hybridMultilevel"/>
    <w:lvl w:ilvl="0">
      <w:lvlJc w:val="left"/>
      <w:lvlText w:val="%1."/>
      <w:numFmt w:val="decimal"/>
      <w:start w:val="5"/>
    </w:lvl>
  </w:abstractNum>
  <w:abstractNum w:abstractNumId="72">
    <w:nsid w:val="6AA78F7F"/>
    <w:multiLevelType w:val="hybridMultilevel"/>
    <w:lvl w:ilvl="0">
      <w:lvlJc w:val="left"/>
      <w:lvlText w:val="%1."/>
      <w:numFmt w:val="decimal"/>
      <w:start w:val="6"/>
    </w:lvl>
  </w:abstractNum>
  <w:abstractNum w:abstractNumId="73">
    <w:nsid w:val="7672BD23"/>
    <w:multiLevelType w:val="hybridMultilevel"/>
    <w:lvl w:ilvl="0">
      <w:lvlJc w:val="left"/>
      <w:lvlText w:val="%1."/>
      <w:numFmt w:val="decimal"/>
      <w:start w:val="7"/>
    </w:lvl>
  </w:abstractNum>
  <w:abstractNum w:abstractNumId="74">
    <w:nsid w:val="6FC75AF8"/>
    <w:multiLevelType w:val="hybridMultilevel"/>
    <w:lvl w:ilvl="0">
      <w:lvlJc w:val="left"/>
      <w:lvlText w:val="(%1)"/>
      <w:numFmt w:val="lowerLetter"/>
      <w:start w:val="1"/>
    </w:lvl>
  </w:abstractNum>
  <w:abstractNum w:abstractNumId="75">
    <w:nsid w:val="6A5F7029"/>
    <w:multiLevelType w:val="hybridMultilevel"/>
    <w:lvl w:ilvl="0">
      <w:lvlJc w:val="left"/>
      <w:lvlText w:val="%1."/>
      <w:numFmt w:val="decimal"/>
      <w:start w:val="8"/>
    </w:lvl>
  </w:abstractNum>
  <w:abstractNum w:abstractNumId="76">
    <w:nsid w:val="7D5E18F8"/>
    <w:multiLevelType w:val="hybridMultilevel"/>
    <w:lvl w:ilvl="0">
      <w:lvlJc w:val="left"/>
      <w:lvlText w:val="%1."/>
      <w:numFmt w:val="decimal"/>
      <w:start w:val="9"/>
    </w:lvl>
  </w:abstractNum>
  <w:abstractNum w:abstractNumId="77">
    <w:nsid w:val="5F3534A4"/>
    <w:multiLevelType w:val="hybridMultilevel"/>
    <w:lvl w:ilvl="0">
      <w:lvlJc w:val="left"/>
      <w:lvlText w:val="%1."/>
      <w:numFmt w:val="decimal"/>
      <w:start w:val="10"/>
    </w:lvl>
  </w:abstractNum>
  <w:abstractNum w:abstractNumId="78">
    <w:nsid w:val="73A1821B"/>
    <w:multiLevelType w:val="hybridMultilevel"/>
    <w:lvl w:ilvl="0">
      <w:lvlJc w:val="left"/>
      <w:lvlText w:val="%1."/>
      <w:numFmt w:val="decimal"/>
      <w:start w:val="11"/>
    </w:lvl>
  </w:abstractNum>
  <w:abstractNum w:abstractNumId="79">
    <w:nsid w:val="7DE67713"/>
    <w:multiLevelType w:val="hybridMultilevel"/>
    <w:lvl w:ilvl="0">
      <w:lvlJc w:val="left"/>
      <w:lvlText w:val="%1."/>
      <w:numFmt w:val="decimal"/>
      <w:start w:val="12"/>
    </w:lvl>
  </w:abstractNum>
  <w:abstractNum w:abstractNumId="80">
    <w:nsid w:val="555C55B5"/>
    <w:multiLevelType w:val="hybridMultilevel"/>
    <w:lvl w:ilvl="0">
      <w:lvlJc w:val="left"/>
      <w:lvlText w:val="%1."/>
      <w:numFmt w:val="decimal"/>
      <w:start w:val="13"/>
    </w:lvl>
  </w:abstractNum>
  <w:abstractNum w:abstractNumId="81">
    <w:nsid w:val="3FA62ACA"/>
    <w:multiLevelType w:val="hybridMultilevel"/>
    <w:lvl w:ilvl="0">
      <w:lvlJc w:val="left"/>
      <w:lvlText w:val="(%1)"/>
      <w:numFmt w:val="lowerLetter"/>
      <w:start w:val="1"/>
    </w:lvl>
  </w:abstractNum>
  <w:abstractNum w:abstractNumId="82">
    <w:nsid w:val="14FCE74E"/>
    <w:multiLevelType w:val="hybridMultilevel"/>
    <w:lvl w:ilvl="0">
      <w:lvlJc w:val="left"/>
      <w:lvlText w:val="(%1)"/>
      <w:numFmt w:val="lowerLetter"/>
      <w:start w:val="2"/>
    </w:lvl>
  </w:abstractNum>
  <w:abstractNum w:abstractNumId="83">
    <w:nsid w:val="6A3DD3E8"/>
    <w:multiLevelType w:val="hybridMultilevel"/>
    <w:lvl w:ilvl="0">
      <w:lvlJc w:val="left"/>
      <w:lvlText w:val="%1."/>
      <w:numFmt w:val="decimal"/>
      <w:start w:val="1"/>
    </w:lvl>
  </w:abstractNum>
  <w:abstractNum w:abstractNumId="84">
    <w:nsid w:val="71C91298"/>
    <w:multiLevelType w:val="hybridMultilevel"/>
    <w:lvl w:ilvl="0">
      <w:lvlJc w:val="left"/>
      <w:lvlText w:val="%1."/>
      <w:numFmt w:val="decimal"/>
      <w:start w:val="2"/>
    </w:lvl>
  </w:abstractNum>
  <w:abstractNum w:abstractNumId="85">
    <w:nsid w:val="9DAF632"/>
    <w:multiLevelType w:val="hybridMultilevel"/>
    <w:lvl w:ilvl="0">
      <w:lvlJc w:val="left"/>
      <w:lvlText w:val="%1."/>
      <w:numFmt w:val="decimal"/>
      <w:start w:val="3"/>
    </w:lvl>
  </w:abstractNum>
  <w:abstractNum w:abstractNumId="86">
    <w:nsid w:val="53299938"/>
    <w:multiLevelType w:val="hybridMultilevel"/>
    <w:lvl w:ilvl="0">
      <w:lvlJc w:val="left"/>
      <w:lvlText w:val="%1."/>
      <w:numFmt w:val="decimal"/>
      <w:start w:val="4"/>
    </w:lvl>
  </w:abstractNum>
  <w:abstractNum w:abstractNumId="87">
    <w:nsid w:val="1FBFE8E0"/>
    <w:multiLevelType w:val="hybridMultilevel"/>
    <w:lvl w:ilvl="0">
      <w:lvlJc w:val="left"/>
      <w:lvlText w:val="(%1)"/>
      <w:numFmt w:val="lowerLetter"/>
      <w:start w:val="1"/>
    </w:lvl>
    <w:lvl w:ilvl="1">
      <w:lvlJc w:val="left"/>
      <w:lvlText w:val="(%2)"/>
      <w:numFmt w:val="lowerLetter"/>
      <w:start w:val="9"/>
    </w:lvl>
  </w:abstractNum>
  <w:abstractNum w:abstractNumId="88">
    <w:nsid w:val="5092CA79"/>
    <w:multiLevelType w:val="hybridMultilevel"/>
    <w:lvl w:ilvl="0">
      <w:lvlJc w:val="left"/>
      <w:lvlText w:val="%1"/>
      <w:numFmt w:val="decimal"/>
      <w:start w:val="1"/>
    </w:lvl>
    <w:lvl w:ilvl="1">
      <w:lvlJc w:val="left"/>
      <w:lvlText w:val="(%2)"/>
      <w:numFmt w:val="lowerRoman"/>
      <w:start w:val="2"/>
    </w:lvl>
  </w:abstractNum>
  <w:abstractNum w:abstractNumId="89">
    <w:nsid w:val="1D545C4D"/>
    <w:multiLevelType w:val="hybridMultilevel"/>
    <w:lvl w:ilvl="0">
      <w:lvlJc w:val="left"/>
      <w:lvlText w:val="(%1)"/>
      <w:numFmt w:val="decimal"/>
      <w:start w:val="1"/>
    </w:lvl>
    <w:lvl w:ilvl="1">
      <w:lvlJc w:val="left"/>
      <w:lvlText w:val="(%2)"/>
      <w:numFmt w:val="lowerRoman"/>
      <w:start w:val="3"/>
    </w:lvl>
  </w:abstractNum>
  <w:abstractNum w:abstractNumId="90">
    <w:nsid w:val="59ADEA3D"/>
    <w:multiLevelType w:val="hybridMultilevel"/>
    <w:lvl w:ilvl="0">
      <w:lvlJc w:val="left"/>
      <w:lvlText w:val="(%1)"/>
      <w:numFmt w:val="decimal"/>
      <w:start w:val="1"/>
    </w:lvl>
    <w:lvl w:ilvl="1">
      <w:lvlJc w:val="left"/>
      <w:lvlText w:val="%2"/>
      <w:numFmt w:val="lowerRoman"/>
      <w:start w:val="1"/>
    </w:lvl>
  </w:abstractNum>
  <w:abstractNum w:abstractNumId="91">
    <w:nsid w:val="288F1A34"/>
    <w:multiLevelType w:val="hybridMultilevel"/>
    <w:lvl w:ilvl="0">
      <w:lvlJc w:val="left"/>
      <w:lvlText w:val="(%1)"/>
      <w:numFmt w:val="lowerLetter"/>
      <w:start w:val="1"/>
    </w:lvl>
  </w:abstractNum>
  <w:abstractNum w:abstractNumId="92">
    <w:nsid w:val="2A155DBC"/>
    <w:multiLevelType w:val="hybridMultilevel"/>
    <w:lvl w:ilvl="0">
      <w:lvlJc w:val="left"/>
      <w:lvlText w:val="%1."/>
      <w:numFmt w:val="decimal"/>
      <w:start w:val="5"/>
    </w:lvl>
  </w:abstractNum>
  <w:abstractNum w:abstractNumId="93">
    <w:nsid w:val="1D9F6E5F"/>
    <w:multiLevelType w:val="hybridMultilevel"/>
    <w:lvl w:ilvl="0">
      <w:lvlJc w:val="left"/>
      <w:lvlText w:val="%1."/>
      <w:numFmt w:val="decimal"/>
      <w:start w:val="6"/>
    </w:lvl>
  </w:abstractNum>
  <w:abstractNum w:abstractNumId="94">
    <w:nsid w:val="97E1B4E"/>
    <w:multiLevelType w:val="hybridMultilevel"/>
    <w:lvl w:ilvl="0">
      <w:lvlJc w:val="left"/>
      <w:lvlText w:val="%1."/>
      <w:numFmt w:val="decimal"/>
      <w:start w:val="7"/>
    </w:lvl>
  </w:abstractNum>
  <w:abstractNum w:abstractNumId="95">
    <w:nsid w:val="51088277"/>
    <w:multiLevelType w:val="hybridMultilevel"/>
    <w:lvl w:ilvl="0">
      <w:lvlJc w:val="left"/>
      <w:lvlText w:val="(%1)"/>
      <w:numFmt w:val="lowerLetter"/>
      <w:start w:val="1"/>
    </w:lvl>
  </w:abstractNum>
  <w:abstractNum w:abstractNumId="96">
    <w:nsid w:val="1CA0C5FA"/>
    <w:multiLevelType w:val="hybridMultilevel"/>
    <w:lvl w:ilvl="0">
      <w:lvlJc w:val="left"/>
      <w:lvlText w:val="%1."/>
      <w:numFmt w:val="decimal"/>
      <w:start w:val="8"/>
    </w:lvl>
  </w:abstractNum>
  <w:abstractNum w:abstractNumId="97">
    <w:nsid w:val="53584BCB"/>
    <w:multiLevelType w:val="hybridMultilevel"/>
    <w:lvl w:ilvl="0">
      <w:lvlJc w:val="left"/>
      <w:lvlText w:val="%1."/>
      <w:numFmt w:val="decimal"/>
      <w:start w:val="9"/>
    </w:lvl>
  </w:abstractNum>
  <w:abstractNum w:abstractNumId="98">
    <w:nsid w:val="415E286C"/>
    <w:multiLevelType w:val="hybridMultilevel"/>
    <w:lvl w:ilvl="0">
      <w:lvlJc w:val="left"/>
      <w:lvlText w:val="%1."/>
      <w:numFmt w:val="decimal"/>
      <w:start w:val="10"/>
    </w:lvl>
  </w:abstractNum>
  <w:abstractNum w:abstractNumId="99">
    <w:nsid w:val="7C58FD05"/>
    <w:multiLevelType w:val="hybridMultilevel"/>
    <w:lvl w:ilvl="0">
      <w:lvlJc w:val="left"/>
      <w:lvlText w:val="%1."/>
      <w:numFmt w:val="decimal"/>
      <w:start w:val="11"/>
    </w:lvl>
  </w:abstractNum>
  <w:abstractNum w:abstractNumId="100">
    <w:nsid w:val="23D86AAC"/>
    <w:multiLevelType w:val="hybridMultilevel"/>
    <w:lvl w:ilvl="0">
      <w:lvlJc w:val="left"/>
      <w:lvlText w:val="(%1)"/>
      <w:numFmt w:val="lowerLetter"/>
      <w:start w:val="1"/>
    </w:lvl>
  </w:abstractNum>
  <w:abstractNum w:abstractNumId="101">
    <w:nsid w:val="45E6D486"/>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0"/>
    </w:lvl>
  </w:abstractNum>
  <w:abstractNum w:abstractNumId="102">
    <w:nsid w:val="5C10FE21"/>
    <w:multiLevelType w:val="hybridMultilevel"/>
    <w:lvl w:ilvl="0">
      <w:lvlJc w:val="left"/>
      <w:lvlText w:val="%1."/>
      <w:numFmt w:val="decimal"/>
      <w:start w:val="12"/>
    </w:lvl>
    <w:lvl w:ilvl="1">
      <w:lvlJc w:val="left"/>
      <w:lvlText w:val="(%2)"/>
      <w:numFmt w:val="lowerLetter"/>
      <w:start w:val="1"/>
    </w:lvl>
    <w:lvl w:ilvl="2">
      <w:lvlJc w:val="left"/>
      <w:lvlText w:val="%3"/>
      <w:numFmt w:val="lowerLetter"/>
      <w:start w:val="1"/>
    </w:lvl>
  </w:abstractNum>
  <w:abstractNum w:abstractNumId="103">
    <w:nsid w:val="E7FFA2B"/>
    <w:multiLevelType w:val="hybridMultilevel"/>
    <w:lvl w:ilvl="0">
      <w:lvlJc w:val="left"/>
      <w:lvlText w:val="%1."/>
      <w:numFmt w:val="decimal"/>
      <w:start w:val="13"/>
    </w:lvl>
  </w:abstractNum>
  <w:abstractNum w:abstractNumId="104">
    <w:nsid w:val="3C5991AA"/>
    <w:multiLevelType w:val="hybridMultilevel"/>
    <w:lvl w:ilvl="0">
      <w:lvlJc w:val="left"/>
      <w:lvlText w:val="%1."/>
      <w:numFmt w:val="decimal"/>
      <w:start w:val="14"/>
    </w:lvl>
  </w:abstractNum>
  <w:abstractNum w:abstractNumId="105">
    <w:nsid w:val="4BD8591A"/>
    <w:multiLevelType w:val="hybridMultilevel"/>
    <w:lvl w:ilvl="0">
      <w:lvlJc w:val="left"/>
      <w:lvlText w:val="%1."/>
      <w:numFmt w:val="decimal"/>
      <w:start w:val="15"/>
    </w:lvl>
  </w:abstractNum>
  <w:abstractNum w:abstractNumId="106">
    <w:nsid w:val="78DF6A55"/>
    <w:multiLevelType w:val="hybridMultilevel"/>
    <w:lvl w:ilvl="0">
      <w:lvlJc w:val="left"/>
      <w:lvlText w:val="%1."/>
      <w:numFmt w:val="decimal"/>
      <w:start w:val="16"/>
    </w:lvl>
  </w:abstractNum>
  <w:abstractNum w:abstractNumId="107">
    <w:nsid w:val="39B7AAA2"/>
    <w:multiLevelType w:val="hybridMultilevel"/>
    <w:lvl w:ilvl="0">
      <w:lvlJc w:val="left"/>
      <w:lvlText w:val="%1."/>
      <w:numFmt w:val="decimal"/>
      <w:start w:val="17"/>
    </w:lvl>
  </w:abstractNum>
  <w:abstractNum w:abstractNumId="108">
    <w:nsid w:val="2B0D8DBE"/>
    <w:multiLevelType w:val="hybridMultilevel"/>
    <w:lvl w:ilvl="0">
      <w:lvlJc w:val="left"/>
      <w:lvlText w:val="%1."/>
      <w:numFmt w:val="decimal"/>
      <w:start w:val="18"/>
    </w:lvl>
  </w:abstractNum>
  <w:abstractNum w:abstractNumId="109">
    <w:nsid w:val="6C80EC70"/>
    <w:multiLevelType w:val="hybridMultilevel"/>
    <w:lvl w:ilvl="0">
      <w:lvlJc w:val="left"/>
      <w:lvlText w:val="(%1)"/>
      <w:numFmt w:val="lowerLetter"/>
      <w:start w:val="1"/>
    </w:lvl>
  </w:abstractNum>
  <w:abstractNum w:abstractNumId="110">
    <w:nsid w:val="379E21B5"/>
    <w:multiLevelType w:val="hybridMultilevel"/>
    <w:lvl w:ilvl="0">
      <w:lvlJc w:val="left"/>
      <w:lvlText w:val="•"/>
      <w:numFmt w:val="bullet"/>
      <w:start w:val="1"/>
    </w:lvl>
  </w:abstractNum>
  <w:abstractNum w:abstractNumId="111">
    <w:nsid w:val="69E373"/>
    <w:multiLevelType w:val="hybridMultilevel"/>
    <w:lvl w:ilvl="0">
      <w:lvlJc w:val="left"/>
      <w:lvlText w:val="•"/>
      <w:numFmt w:val="bullet"/>
      <w:start w:val="1"/>
    </w:lvl>
  </w:abstractNum>
  <w:abstractNum w:abstractNumId="112">
    <w:nsid w:val="2C27173B"/>
    <w:multiLevelType w:val="hybridMultilevel"/>
    <w:lvl w:ilvl="0">
      <w:lvlJc w:val="left"/>
      <w:lvlText w:val="%1."/>
      <w:numFmt w:val="decimal"/>
      <w:start w:val="1"/>
    </w:lvl>
  </w:abstractNum>
  <w:abstractNum w:abstractNumId="113">
    <w:nsid w:val="4C9B0904"/>
    <w:multiLevelType w:val="hybridMultilevel"/>
    <w:lvl w:ilvl="0">
      <w:lvlJc w:val="left"/>
      <w:lvlText w:val="%1."/>
      <w:numFmt w:val="decimal"/>
      <w:start w:val="2"/>
    </w:lvl>
  </w:abstractNum>
  <w:abstractNum w:abstractNumId="114">
    <w:nsid w:val="6AA7B75C"/>
    <w:multiLevelType w:val="hybridMultilevel"/>
    <w:lvl w:ilvl="0">
      <w:lvlJc w:val="left"/>
      <w:lvlText w:val="%1."/>
      <w:numFmt w:val="decimal"/>
      <w:start w:val="3"/>
    </w:lvl>
  </w:abstractNum>
  <w:abstractNum w:abstractNumId="115">
    <w:nsid w:val="1DF029D3"/>
    <w:multiLevelType w:val="hybridMultilevel"/>
    <w:lvl w:ilvl="0">
      <w:lvlJc w:val="left"/>
      <w:lvlText w:val="%1."/>
      <w:numFmt w:val="decimal"/>
      <w:start w:val="4"/>
    </w:lvl>
  </w:abstractNum>
  <w:abstractNum w:abstractNumId="116">
    <w:nsid w:val="5675FF36"/>
    <w:multiLevelType w:val="hybridMultilevel"/>
    <w:lvl w:ilvl="0">
      <w:lvlJc w:val="left"/>
      <w:lvlText w:val="(%1)"/>
      <w:numFmt w:val="lowerLetter"/>
      <w:start w:val="4"/>
    </w:lvl>
  </w:abstractNum>
  <w:abstractNum w:abstractNumId="117">
    <w:nsid w:val="3DD15094"/>
    <w:multiLevelType w:val="hybridMultilevel"/>
    <w:lvl w:ilvl="0">
      <w:lvlJc w:val="left"/>
      <w:lvlText w:val="%1."/>
      <w:numFmt w:val="decimal"/>
      <w:start w:val="10"/>
    </w:lvl>
  </w:abstractNum>
  <w:abstractNum w:abstractNumId="118">
    <w:nsid w:val="3DB012B3"/>
    <w:multiLevelType w:val="hybridMultilevel"/>
    <w:lvl w:ilvl="0">
      <w:lvlJc w:val="left"/>
      <w:lvlText w:val="%1."/>
      <w:numFmt w:val="decimal"/>
      <w:start w:val="12"/>
    </w:lvl>
  </w:abstractNum>
  <w:abstractNum w:abstractNumId="119">
    <w:nsid w:val="2708C9AF"/>
    <w:multiLevelType w:val="hybridMultilevel"/>
    <w:lvl w:ilvl="0">
      <w:lvlJc w:val="left"/>
      <w:lvlText w:val="(%1)"/>
      <w:numFmt w:val="decimal"/>
      <w:start w:val="1"/>
    </w:lvl>
  </w:abstractNum>
  <w:abstractNum w:abstractNumId="120">
    <w:nsid w:val="5B25ACE2"/>
    <w:multiLevelType w:val="hybridMultilevel"/>
    <w:lvl w:ilvl="0">
      <w:lvlJc w:val="left"/>
      <w:lvlText w:val="%1."/>
      <w:numFmt w:val="decimal"/>
      <w:start w:val="1"/>
    </w:lvl>
    <w:lvl w:ilvl="1">
      <w:lvlJc w:val="left"/>
      <w:lvlText w:val="%2)"/>
      <w:numFmt w:val="lowerLetter"/>
      <w:start w:val="1"/>
    </w:lvl>
  </w:abstractNum>
  <w:abstractNum w:abstractNumId="121">
    <w:nsid w:val="175DFCF0"/>
    <w:multiLevelType w:val="hybridMultilevel"/>
    <w:lvl w:ilvl="0">
      <w:lvlJc w:val="left"/>
      <w:lvlText w:val="%1."/>
      <w:numFmt w:val="decimal"/>
      <w:start w:val="1"/>
    </w:lvl>
    <w:lvl w:ilvl="1">
      <w:lvlJc w:val="left"/>
      <w:lvlText w:val="%2)"/>
      <w:numFmt w:val="lowerLetter"/>
      <w:start w:val="1"/>
    </w:lvl>
  </w:abstractNum>
  <w:abstractNum w:abstractNumId="122">
    <w:nsid w:val="4F97E3E4"/>
    <w:multiLevelType w:val="hybridMultilevel"/>
    <w:lvl w:ilvl="0">
      <w:lvlJc w:val="left"/>
      <w:lvlText w:val="(%1)"/>
      <w:numFmt w:val="decimal"/>
      <w:start w:val="1"/>
    </w:lvl>
  </w:abstractNum>
  <w:abstractNum w:abstractNumId="123">
    <w:nsid w:val="53B0A9E"/>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54" Type="http://schemas.openxmlformats.org/officeDocument/2006/relationships/image" Target="media/image138.png"/><Relationship Id="rId155" Type="http://schemas.openxmlformats.org/officeDocument/2006/relationships/image" Target="media/image139.png"/><Relationship Id="rId156" Type="http://schemas.openxmlformats.org/officeDocument/2006/relationships/image" Target="media/image140.png"/><Relationship Id="rId157" Type="http://schemas.openxmlformats.org/officeDocument/2006/relationships/image" Target="media/image141.png"/><Relationship Id="rId164" Type="http://schemas.openxmlformats.org/officeDocument/2006/relationships/image" Target="media/image142.png"/><Relationship Id="rId165" Type="http://schemas.openxmlformats.org/officeDocument/2006/relationships/image" Target="media/image143.png"/><Relationship Id="rId166" Type="http://schemas.openxmlformats.org/officeDocument/2006/relationships/image" Target="media/image144.png"/><Relationship Id="rId167" Type="http://schemas.openxmlformats.org/officeDocument/2006/relationships/image" Target="media/image145.png"/><Relationship Id="rId170" Type="http://schemas.openxmlformats.org/officeDocument/2006/relationships/image" Target="media/image146.png"/><Relationship Id="rId171" Type="http://schemas.openxmlformats.org/officeDocument/2006/relationships/image" Target="media/image147.png"/><Relationship Id="rId172" Type="http://schemas.openxmlformats.org/officeDocument/2006/relationships/image" Target="media/image148.png"/><Relationship Id="rId180" Type="http://schemas.openxmlformats.org/officeDocument/2006/relationships/image" Target="media/image149.png"/><Relationship Id="rId181" Type="http://schemas.openxmlformats.org/officeDocument/2006/relationships/image" Target="media/image150.png"/><Relationship Id="rId182" Type="http://schemas.openxmlformats.org/officeDocument/2006/relationships/image" Target="media/image151.png"/><Relationship Id="rId184" Type="http://schemas.openxmlformats.org/officeDocument/2006/relationships/image" Target="media/image152.png"/><Relationship Id="rId185" Type="http://schemas.openxmlformats.org/officeDocument/2006/relationships/image" Target="media/image153.png"/><Relationship Id="rId186" Type="http://schemas.openxmlformats.org/officeDocument/2006/relationships/image" Target="media/image154.png"/><Relationship Id="rId189" Type="http://schemas.openxmlformats.org/officeDocument/2006/relationships/image" Target="media/image155.png"/><Relationship Id="rId190" Type="http://schemas.openxmlformats.org/officeDocument/2006/relationships/image" Target="media/image156.png"/><Relationship Id="rId191" Type="http://schemas.openxmlformats.org/officeDocument/2006/relationships/image" Target="media/image157.png"/><Relationship Id="rId192" Type="http://schemas.openxmlformats.org/officeDocument/2006/relationships/image" Target="media/image158.png"/><Relationship Id="rId193" Type="http://schemas.openxmlformats.org/officeDocument/2006/relationships/image" Target="media/image159.png"/><Relationship Id="rId194" Type="http://schemas.openxmlformats.org/officeDocument/2006/relationships/image" Target="media/image160.png"/><Relationship Id="rId195" Type="http://schemas.openxmlformats.org/officeDocument/2006/relationships/image" Target="media/image161.png"/><Relationship Id="rId196" Type="http://schemas.openxmlformats.org/officeDocument/2006/relationships/image" Target="media/image162.png"/><Relationship Id="rId197" Type="http://schemas.openxmlformats.org/officeDocument/2006/relationships/image" Target="media/image163.png"/><Relationship Id="rId198" Type="http://schemas.openxmlformats.org/officeDocument/2006/relationships/image" Target="media/image164.png"/><Relationship Id="rId199" Type="http://schemas.openxmlformats.org/officeDocument/2006/relationships/image" Target="media/image165.png"/><Relationship Id="rId200" Type="http://schemas.openxmlformats.org/officeDocument/2006/relationships/image" Target="media/image166.png"/><Relationship Id="rId201" Type="http://schemas.openxmlformats.org/officeDocument/2006/relationships/image" Target="media/image167.png"/><Relationship Id="rId202" Type="http://schemas.openxmlformats.org/officeDocument/2006/relationships/image" Target="media/image168.png"/><Relationship Id="rId203" Type="http://schemas.openxmlformats.org/officeDocument/2006/relationships/image" Target="media/image169.png"/><Relationship Id="rId204" Type="http://schemas.openxmlformats.org/officeDocument/2006/relationships/image" Target="media/image170.png"/><Relationship Id="rId205" Type="http://schemas.openxmlformats.org/officeDocument/2006/relationships/image" Target="media/image171.png"/><Relationship Id="rId206" Type="http://schemas.openxmlformats.org/officeDocument/2006/relationships/image" Target="media/image172.jpeg"/><Relationship Id="rId207" Type="http://schemas.openxmlformats.org/officeDocument/2006/relationships/image" Target="media/image173.png"/><Relationship Id="rId208" Type="http://schemas.openxmlformats.org/officeDocument/2006/relationships/image" Target="media/image174.jpeg"/><Relationship Id="rId209" Type="http://schemas.openxmlformats.org/officeDocument/2006/relationships/image" Target="media/image175.png"/><Relationship Id="rId210" Type="http://schemas.openxmlformats.org/officeDocument/2006/relationships/image" Target="media/image176.jpeg"/><Relationship Id="rId211" Type="http://schemas.openxmlformats.org/officeDocument/2006/relationships/image" Target="media/image177.png"/><Relationship Id="rId212" Type="http://schemas.openxmlformats.org/officeDocument/2006/relationships/image" Target="media/image178.png"/><Relationship Id="rId213" Type="http://schemas.openxmlformats.org/officeDocument/2006/relationships/image" Target="media/image179.png"/><Relationship Id="rId214" Type="http://schemas.openxmlformats.org/officeDocument/2006/relationships/image" Target="media/image180.png"/><Relationship Id="rId215" Type="http://schemas.openxmlformats.org/officeDocument/2006/relationships/image" Target="media/image181.png"/><Relationship Id="rId216" Type="http://schemas.openxmlformats.org/officeDocument/2006/relationships/image" Target="media/image182.png"/><Relationship Id="rId217" Type="http://schemas.openxmlformats.org/officeDocument/2006/relationships/image" Target="media/image183.png"/><Relationship Id="rId218" Type="http://schemas.openxmlformats.org/officeDocument/2006/relationships/image" Target="media/image184.png"/><Relationship Id="rId219" Type="http://schemas.openxmlformats.org/officeDocument/2006/relationships/image" Target="media/image185.png"/><Relationship Id="rId220" Type="http://schemas.openxmlformats.org/officeDocument/2006/relationships/image" Target="media/image186.png"/><Relationship Id="rId221" Type="http://schemas.openxmlformats.org/officeDocument/2006/relationships/image" Target="media/image187.png"/><Relationship Id="rId222" Type="http://schemas.openxmlformats.org/officeDocument/2006/relationships/image" Target="media/image188.png"/><Relationship Id="rId223" Type="http://schemas.openxmlformats.org/officeDocument/2006/relationships/image" Target="media/image189.png"/><Relationship Id="rId224" Type="http://schemas.openxmlformats.org/officeDocument/2006/relationships/image" Target="media/image190.png"/><Relationship Id="rId225" Type="http://schemas.openxmlformats.org/officeDocument/2006/relationships/image" Target="media/image191.png"/><Relationship Id="rId226" Type="http://schemas.openxmlformats.org/officeDocument/2006/relationships/image" Target="media/image192.png"/><Relationship Id="rId227" Type="http://schemas.openxmlformats.org/officeDocument/2006/relationships/image" Target="media/image193.png"/><Relationship Id="rId228" Type="http://schemas.openxmlformats.org/officeDocument/2006/relationships/image" Target="media/image194.png"/><Relationship Id="rId229" Type="http://schemas.openxmlformats.org/officeDocument/2006/relationships/image" Target="media/image195.png"/><Relationship Id="rId230" Type="http://schemas.openxmlformats.org/officeDocument/2006/relationships/image" Target="media/image196.png"/><Relationship Id="rId231" Type="http://schemas.openxmlformats.org/officeDocument/2006/relationships/image" Target="media/image197.png"/><Relationship Id="rId232" Type="http://schemas.openxmlformats.org/officeDocument/2006/relationships/image" Target="media/image198.png"/><Relationship Id="rId233" Type="http://schemas.openxmlformats.org/officeDocument/2006/relationships/image" Target="media/image199.png"/><Relationship Id="rId234" Type="http://schemas.openxmlformats.org/officeDocument/2006/relationships/image" Target="media/image200.png"/><Relationship Id="rId235" Type="http://schemas.openxmlformats.org/officeDocument/2006/relationships/image" Target="media/image201.png"/><Relationship Id="rId236" Type="http://schemas.openxmlformats.org/officeDocument/2006/relationships/image" Target="media/image202.png"/><Relationship Id="rId237" Type="http://schemas.openxmlformats.org/officeDocument/2006/relationships/image" Target="media/image203.png"/><Relationship Id="rId238" Type="http://schemas.openxmlformats.org/officeDocument/2006/relationships/image" Target="media/image204.png"/><Relationship Id="rId239" Type="http://schemas.openxmlformats.org/officeDocument/2006/relationships/image" Target="media/image205.jpeg"/><Relationship Id="rId240" Type="http://schemas.openxmlformats.org/officeDocument/2006/relationships/image" Target="media/image206.png"/><Relationship Id="rId241" Type="http://schemas.openxmlformats.org/officeDocument/2006/relationships/image" Target="media/image207.png"/><Relationship Id="rId242" Type="http://schemas.openxmlformats.org/officeDocument/2006/relationships/image" Target="media/image208.png"/><Relationship Id="rId243" Type="http://schemas.openxmlformats.org/officeDocument/2006/relationships/image" Target="media/image209.jpeg"/><Relationship Id="rId244" Type="http://schemas.openxmlformats.org/officeDocument/2006/relationships/image" Target="media/image210.jpeg"/><Relationship Id="rId245" Type="http://schemas.openxmlformats.org/officeDocument/2006/relationships/image" Target="media/image211.png"/><Relationship Id="rId246" Type="http://schemas.openxmlformats.org/officeDocument/2006/relationships/image" Target="media/image212.png"/><Relationship Id="rId247" Type="http://schemas.openxmlformats.org/officeDocument/2006/relationships/image" Target="media/image213.png"/><Relationship Id="rId248" Type="http://schemas.openxmlformats.org/officeDocument/2006/relationships/image" Target="media/image214.png"/><Relationship Id="rId249" Type="http://schemas.openxmlformats.org/officeDocument/2006/relationships/image" Target="media/image215.png"/><Relationship Id="rId250" Type="http://schemas.openxmlformats.org/officeDocument/2006/relationships/image" Target="media/image216.png"/><Relationship Id="rId251" Type="http://schemas.openxmlformats.org/officeDocument/2006/relationships/image" Target="media/image217.png"/><Relationship Id="rId252" Type="http://schemas.openxmlformats.org/officeDocument/2006/relationships/image" Target="media/image218.png"/><Relationship Id="rId253" Type="http://schemas.openxmlformats.org/officeDocument/2006/relationships/image" Target="media/image219.png"/><Relationship Id="rId254" Type="http://schemas.openxmlformats.org/officeDocument/2006/relationships/image" Target="media/image220.png"/><Relationship Id="rId255" Type="http://schemas.openxmlformats.org/officeDocument/2006/relationships/image" Target="media/image221.png"/><Relationship Id="rId256" Type="http://schemas.openxmlformats.org/officeDocument/2006/relationships/image" Target="media/image222.png"/><Relationship Id="rId145" Type="http://schemas.openxmlformats.org/officeDocument/2006/relationships/hyperlink" Target="http://www.sec.gov/Archives/edgar/data/0001682745/000110465918041476/a18-15692_1ex2d1.htm" TargetMode="External"/><Relationship Id="rId146" Type="http://schemas.openxmlformats.org/officeDocument/2006/relationships/hyperlink" Target="http://www.sec.gov/Archives/edgar/data/0001682745/000104746918005773/a2236552zex-2_2.htm" TargetMode="External"/><Relationship Id="rId147" Type="http://schemas.openxmlformats.org/officeDocument/2006/relationships/hyperlink" Target="http://www.sec.gov/Archives/edgar/data/0001682745/000156459018024644/vrrm-ex31_941.htm" TargetMode="External"/><Relationship Id="rId148" Type="http://schemas.openxmlformats.org/officeDocument/2006/relationships/hyperlink" Target="http://www.sec.gov/Archives/edgar/data/0001682745/000156459018024644/vrrm-ex32_939.htm" TargetMode="External"/><Relationship Id="rId149" Type="http://schemas.openxmlformats.org/officeDocument/2006/relationships/hyperlink" Target="http://www.sec.gov/Archives/edgar/data/0001682745/000104746916017126/a2230401zex-4_2.htm" TargetMode="External"/><Relationship Id="rId150" Type="http://schemas.openxmlformats.org/officeDocument/2006/relationships/hyperlink" Target="http://www.sec.gov/Archives/edgar/data/0001682745/000104746916017126/a2230401zex-4_3.htm" TargetMode="External"/><Relationship Id="rId151" Type="http://schemas.openxmlformats.org/officeDocument/2006/relationships/hyperlink" Target="http://www.sec.gov/Archives/edgar/data/0001682745/000110465917003086/a17-2559_1ex4d1.htm" TargetMode="External"/><Relationship Id="rId152" Type="http://schemas.openxmlformats.org/officeDocument/2006/relationships/hyperlink" Target="http://www.sec.gov/Archives/edgar/data/0001682745/000104746916017126/a2230401zex-10_7.htm" TargetMode="External"/><Relationship Id="rId153" Type="http://schemas.openxmlformats.org/officeDocument/2006/relationships/hyperlink" Target="http://www.sec.gov/Archives/edgar/data/0001682745/000156459018024644/vrrm-ex102_940.htm" TargetMode="External"/><Relationship Id="rId158" Type="http://schemas.openxmlformats.org/officeDocument/2006/relationships/hyperlink" Target="http://www.sec.gov/Archives/edgar/data/0001682745/000156459018024644/vrrm-ex103_938.htm" TargetMode="External"/><Relationship Id="rId159" Type="http://schemas.openxmlformats.org/officeDocument/2006/relationships/hyperlink" Target="http://www.sec.gov/Archives/edgar/data/0001682745/000156459018024644/vrrm-ex104_937.htm" TargetMode="External"/><Relationship Id="rId160" Type="http://schemas.openxmlformats.org/officeDocument/2006/relationships/hyperlink" Target="http://www.sec.gov/Archives/edgar/data/0001682745/000156459018024644/vrrm-ex105_340.htm" TargetMode="External"/><Relationship Id="rId161" Type="http://schemas.openxmlformats.org/officeDocument/2006/relationships/hyperlink" Target="http://www.sec.gov/Archives/edgar/data/0001682745/000156459018024644/vrrm-ex106_341.htm" TargetMode="External"/><Relationship Id="rId162" Type="http://schemas.openxmlformats.org/officeDocument/2006/relationships/hyperlink" Target="http://www.sec.gov/Archives/edgar/data/0001682745/000156459018024644/vrrm-ex107_680.htm" TargetMode="External"/><Relationship Id="rId163" Type="http://schemas.openxmlformats.org/officeDocument/2006/relationships/hyperlink" Target="http://www.sec.gov/Archives/edgar/data/0001682745/000156459018024644/vrrm-ex108_681.htm" TargetMode="External"/><Relationship Id="rId168" Type="http://schemas.openxmlformats.org/officeDocument/2006/relationships/hyperlink" Target="http://www.sec.gov/Archives/edgar/data/0001682745/000156459018024644/vrrm-ex109_21.htm" TargetMode="External"/><Relationship Id="rId169" Type="http://schemas.openxmlformats.org/officeDocument/2006/relationships/hyperlink" Target="http://www.sec.gov/Archives/edgar/data/0001682745/000156459018024644/vrrm-ex1010_20.htm" TargetMode="External"/><Relationship Id="rId173" Type="http://schemas.openxmlformats.org/officeDocument/2006/relationships/hyperlink" Target="http://www.sec.gov/Archives/edgar/data/0001682745/000156459018024644/vrrm-ex1011_16.htm" TargetMode="External"/><Relationship Id="rId174" Type="http://schemas.openxmlformats.org/officeDocument/2006/relationships/hyperlink" Target="http://www.sec.gov/Archives/edgar/data/0001682745/000156459018024644/vrrm-ex1012_17.htm" TargetMode="External"/><Relationship Id="rId175" Type="http://schemas.openxmlformats.org/officeDocument/2006/relationships/hyperlink" Target="http://www.sec.gov/Archives/edgar/data/0001682745/000156459018024644/vrrm-ex1013_14.htm" TargetMode="External"/><Relationship Id="rId176" Type="http://schemas.openxmlformats.org/officeDocument/2006/relationships/hyperlink" Target="http://www.sec.gov/Archives/edgar/data/0001682745/000156459018024644/vrrm-ex1014_15.htm" TargetMode="External"/><Relationship Id="rId177" Type="http://schemas.openxmlformats.org/officeDocument/2006/relationships/hyperlink" Target="http://www.sec.gov/Archives/edgar/data/0001682745/000156459019029382/vrrm-ex101_51.htm" TargetMode="External"/><Relationship Id="rId178" Type="http://schemas.openxmlformats.org/officeDocument/2006/relationships/hyperlink" Target="http://www.sec.gov/Archives/edgar/data/0001682745/000156459018024644/vrrm-ex1017_7.htm" TargetMode="External"/><Relationship Id="rId179" Type="http://schemas.openxmlformats.org/officeDocument/2006/relationships/hyperlink" Target="http://www.sec.gov/Archives/edgar/data/0001682745/000156459018024644/vrrm-ex1018_19.htm" TargetMode="External"/><Relationship Id="rId183" Type="http://schemas.openxmlformats.org/officeDocument/2006/relationships/hyperlink" Target="http://www.sec.gov/Archives/edgar/data/0001682745/000156459018024644/vrrm-ex1019_682.htm" TargetMode="External"/><Relationship Id="rId187" Type="http://schemas.openxmlformats.org/officeDocument/2006/relationships/hyperlink" Target="http://www.sec.gov/Archives/edgar/data/0001682745/000156459018024644/vrrm-ex1020_18.htm" TargetMode="External"/><Relationship Id="rId188" Type="http://schemas.openxmlformats.org/officeDocument/2006/relationships/hyperlink" Target="http://www.sec.gov/Archives/edgar/data/0001682745/000156459019006107/vrrm-ex101_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2020-03-02T15:21:37Z</dcterms:created>
  <dcterms:modified xsi:type="dcterms:W3CDTF">2020-03-02T15:21:37Z</dcterms:modified>
</cp:coreProperties>
</file>