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rrm-20230930.htm"/>
      <w:bookmarkStart w:id="1" w:name="ksvrrm20230930"/>
      <w:bookmarkEnd w:id="0"/>
      <w:bookmarkEnd w:id="1"/>
      <w:r>
        <w:rPr/>
        <w:t> </w:t>
      </w:r>
    </w:p>
    <w:p>
      <w:pPr>
        <w:pStyle w:val="TextBody"/>
        <w:pBdr>
          <w:bottom w:val="double" w:sz="6"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30"/>
        </w:rPr>
      </w:pPr>
      <w:r>
        <w:rPr>
          <w:rFonts w:ascii="Times New Roman" w:hAnsi="Times New Roman"/>
          <w:b/>
          <w:color w:val="000000"/>
          <w:sz w:val="30"/>
        </w:rPr>
        <w:t>UNITED STATES</w:t>
      </w:r>
    </w:p>
    <w:p>
      <w:pPr>
        <w:pStyle w:val="TextBody"/>
        <w:bidi w:val="0"/>
        <w:jc w:val="center"/>
        <w:rPr>
          <w:rFonts w:ascii="Times New Roman" w:hAnsi="Times New Roman"/>
          <w:b/>
          <w:color w:val="000000"/>
          <w:sz w:val="30"/>
        </w:rPr>
      </w:pPr>
      <w:r>
        <w:rPr>
          <w:rFonts w:ascii="Times New Roman" w:hAnsi="Times New Roman"/>
          <w:b/>
          <w:color w:val="000000"/>
          <w:sz w:val="30"/>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(Mark One)</w:t>
      </w:r>
    </w:p>
    <w:p>
      <w:pPr>
        <w:pStyle w:val="TextBody"/>
        <w:bidi w:val="0"/>
        <w:jc w:val="both"/>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jc w:val="center"/>
        <w:rPr>
          <w:rFonts w:ascii="Times New Roman" w:hAnsi="Times New Roman"/>
          <w:sz w:val="20"/>
        </w:rPr>
      </w:pPr>
      <w:r>
        <w:rPr>
          <w:rFonts w:ascii="Times New Roman" w:hAnsi="Times New Roman"/>
          <w:b/>
          <w:color w:val="000000"/>
          <w:sz w:val="20"/>
        </w:rPr>
        <w:t>For the quarterly period ended September 30, 2023</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80" w:after="283"/>
        <w:jc w:val="both"/>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transition period from ___________ to ___________.</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001-37979</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VERRA MOBILITY CORPORATION</w:t>
      </w:r>
    </w:p>
    <w:p>
      <w:pPr>
        <w:pStyle w:val="TextBody"/>
        <w:bidi w:val="0"/>
        <w:jc w:val="center"/>
        <w:rPr>
          <w:rFonts w:ascii="Times New Roman" w:hAnsi="Times New Roman"/>
          <w:sz w:val="20"/>
        </w:rPr>
      </w:pPr>
      <w:r>
        <w:rPr>
          <w:rFonts w:ascii="Times New Roman" w:hAnsi="Times New Roman"/>
          <w:b w:val="false"/>
          <w:color w:val="000000"/>
          <w:sz w:val="19"/>
        </w:rPr>
        <w:t>(</w:t>
      </w:r>
      <w:r>
        <w:rPr>
          <w:rFonts w:ascii="Times New Roman" w:hAnsi="Times New Roman"/>
          <w:b w:val="false"/>
          <w:i/>
          <w:color w:val="000000"/>
          <w:sz w:val="19"/>
        </w:rPr>
        <w:t>Exact name of registrant as specified in its charter</w:t>
      </w:r>
      <w:r>
        <w:rPr>
          <w:rFonts w:ascii="Times New Roman" w:hAnsi="Times New Roman"/>
          <w:b w:val="false"/>
          <w:color w:val="000000"/>
          <w:sz w:val="19"/>
        </w:rPr>
        <w:t>)</w:t>
      </w:r>
    </w:p>
    <w:p>
      <w:pPr>
        <w:pStyle w:val="TextBody"/>
        <w:pBdr>
          <w:bottom w:val="single" w:sz="4" w:space="1" w:color="000000"/>
        </w:pBdr>
        <w:bidi w:val="0"/>
        <w:jc w:val="center"/>
        <w:rPr/>
      </w:pPr>
      <w:r>
        <w:rPr/>
        <w:t> </w:t>
      </w:r>
    </w:p>
    <w:tbl>
      <w:tblPr>
        <w:tblW w:w="5188" w:type="dxa"/>
        <w:jc w:val="left"/>
        <w:tblInd w:w="0" w:type="dxa"/>
        <w:tblLayout w:type="fixed"/>
        <w:tblCellMar>
          <w:top w:w="28" w:type="dxa"/>
          <w:left w:w="28" w:type="dxa"/>
          <w:bottom w:w="28" w:type="dxa"/>
          <w:right w:w="28" w:type="dxa"/>
        </w:tblCellMar>
      </w:tblPr>
      <w:tblGrid>
        <w:gridCol w:w="3376"/>
        <w:gridCol w:w="146"/>
        <w:gridCol w:w="166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3376" w:type="dxa"/>
            <w:tcBorders/>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Delaware</w:t>
            </w:r>
          </w:p>
        </w:tc>
        <w:tc>
          <w:tcPr>
            <w:tcW w:w="146" w:type="dxa"/>
            <w:tcBorders/>
            <w:vAlign w:val="center"/>
          </w:tcPr>
          <w:p>
            <w:pPr>
              <w:pStyle w:val="TableContents"/>
              <w:bidi w:val="0"/>
              <w:spacing w:before="0" w:after="283"/>
              <w:jc w:val="center"/>
              <w:rPr/>
            </w:pPr>
            <w:r>
              <w:rPr/>
              <w:t> </w:t>
            </w:r>
          </w:p>
        </w:tc>
        <w:tc>
          <w:tcPr>
            <w:tcW w:w="1666" w:type="dxa"/>
            <w:tcBorders/>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81-3563824</w:t>
            </w:r>
          </w:p>
        </w:tc>
      </w:tr>
      <w:tr>
        <w:trPr/>
        <w:tc>
          <w:tcPr>
            <w:tcW w:w="3376" w:type="dxa"/>
            <w:tcBorders/>
            <w:vAlign w:val="center"/>
          </w:tcPr>
          <w:p>
            <w:pPr>
              <w:pStyle w:val="TableContents"/>
              <w:bidi w:val="0"/>
              <w:spacing w:before="0" w:after="283"/>
              <w:jc w:val="center"/>
              <w:rPr>
                <w:rFonts w:ascii="Times New Roman" w:hAnsi="Times New Roman"/>
                <w:sz w:val="19"/>
              </w:rPr>
            </w:pPr>
            <w:r>
              <w:rPr>
                <w:rFonts w:ascii="Times New Roman" w:hAnsi="Times New Roman"/>
                <w:b w:val="false"/>
                <w:color w:val="000000"/>
                <w:sz w:val="19"/>
              </w:rPr>
              <w:t>(</w:t>
            </w:r>
            <w:r>
              <w:rPr>
                <w:rFonts w:ascii="Times New Roman" w:hAnsi="Times New Roman"/>
                <w:b w:val="false"/>
                <w:i/>
                <w:color w:val="000000"/>
                <w:sz w:val="19"/>
              </w:rPr>
              <w:t>State of</w:t>
            </w:r>
            <w:r>
              <w:rPr>
                <w:rFonts w:ascii="Times New Roman" w:hAnsi="Times New Roman"/>
                <w:color w:val="000000"/>
                <w:sz w:val="19"/>
              </w:rPr>
              <w:t xml:space="preserve"> </w:t>
            </w:r>
          </w:p>
        </w:tc>
        <w:tc>
          <w:tcPr>
            <w:tcW w:w="146" w:type="dxa"/>
            <w:tcBorders/>
            <w:vAlign w:val="center"/>
          </w:tcPr>
          <w:p>
            <w:pPr>
              <w:pStyle w:val="TableContents"/>
              <w:bidi w:val="0"/>
              <w:spacing w:before="0" w:after="283"/>
              <w:jc w:val="center"/>
              <w:rPr/>
            </w:pPr>
            <w:r>
              <w:rPr/>
              <w:t> </w:t>
            </w:r>
          </w:p>
        </w:tc>
        <w:tc>
          <w:tcPr>
            <w:tcW w:w="1666" w:type="dxa"/>
            <w:tcBorders/>
            <w:vAlign w:val="center"/>
          </w:tcPr>
          <w:p>
            <w:pPr>
              <w:pStyle w:val="TableContents"/>
              <w:bidi w:val="0"/>
              <w:spacing w:before="0" w:after="283"/>
              <w:jc w:val="center"/>
              <w:rPr>
                <w:rFonts w:ascii="Times New Roman" w:hAnsi="Times New Roman"/>
                <w:sz w:val="19"/>
              </w:rPr>
            </w:pPr>
            <w:r>
              <w:rPr>
                <w:rFonts w:ascii="Times New Roman" w:hAnsi="Times New Roman"/>
                <w:b w:val="false"/>
                <w:color w:val="000000"/>
                <w:sz w:val="19"/>
              </w:rPr>
              <w:t>(</w:t>
            </w:r>
            <w:r>
              <w:rPr>
                <w:rFonts w:ascii="Times New Roman" w:hAnsi="Times New Roman"/>
                <w:b w:val="false"/>
                <w:i/>
                <w:color w:val="000000"/>
                <w:sz w:val="19"/>
              </w:rPr>
              <w:t>I.R.S. Employer</w:t>
            </w:r>
          </w:p>
        </w:tc>
      </w:tr>
      <w:tr>
        <w:trPr/>
        <w:tc>
          <w:tcPr>
            <w:tcW w:w="3376" w:type="dxa"/>
            <w:tcBorders/>
            <w:vAlign w:val="center"/>
          </w:tcPr>
          <w:p>
            <w:pPr>
              <w:pStyle w:val="TableContents"/>
              <w:bidi w:val="0"/>
              <w:spacing w:before="0" w:after="283"/>
              <w:jc w:val="center"/>
              <w:rPr>
                <w:rFonts w:ascii="Times New Roman" w:hAnsi="Times New Roman"/>
                <w:sz w:val="19"/>
              </w:rPr>
            </w:pPr>
            <w:r>
              <w:rPr>
                <w:rFonts w:ascii="Times New Roman" w:hAnsi="Times New Roman"/>
                <w:b w:val="false"/>
                <w:i/>
                <w:color w:val="000000"/>
                <w:sz w:val="19"/>
              </w:rPr>
              <w:t>Incorporation</w:t>
            </w:r>
            <w:r>
              <w:rPr>
                <w:rFonts w:ascii="Times New Roman" w:hAnsi="Times New Roman"/>
                <w:b w:val="false"/>
                <w:color w:val="000000"/>
                <w:sz w:val="19"/>
              </w:rPr>
              <w:t>)</w:t>
            </w:r>
          </w:p>
        </w:tc>
        <w:tc>
          <w:tcPr>
            <w:tcW w:w="146" w:type="dxa"/>
            <w:tcBorders/>
            <w:vAlign w:val="center"/>
          </w:tcPr>
          <w:p>
            <w:pPr>
              <w:pStyle w:val="TableContents"/>
              <w:bidi w:val="0"/>
              <w:spacing w:before="0" w:after="283"/>
              <w:jc w:val="center"/>
              <w:rPr/>
            </w:pPr>
            <w:r>
              <w:rPr/>
              <w:t> </w:t>
            </w:r>
          </w:p>
        </w:tc>
        <w:tc>
          <w:tcPr>
            <w:tcW w:w="1666" w:type="dxa"/>
            <w:tcBorders/>
            <w:vAlign w:val="center"/>
          </w:tcPr>
          <w:p>
            <w:pPr>
              <w:pStyle w:val="TableContents"/>
              <w:bidi w:val="0"/>
              <w:spacing w:before="0" w:after="283"/>
              <w:jc w:val="center"/>
              <w:rPr>
                <w:rFonts w:ascii="Times New Roman" w:hAnsi="Times New Roman"/>
                <w:sz w:val="19"/>
              </w:rPr>
            </w:pPr>
            <w:r>
              <w:rPr>
                <w:rFonts w:ascii="Times New Roman" w:hAnsi="Times New Roman"/>
                <w:b w:val="false"/>
                <w:i/>
                <w:color w:val="000000"/>
                <w:sz w:val="19"/>
              </w:rPr>
              <w:t>Identification No.</w:t>
            </w:r>
            <w:r>
              <w:rPr>
                <w:rFonts w:ascii="Times New Roman" w:hAnsi="Times New Roman"/>
                <w:b w:val="false"/>
                <w:color w:val="000000"/>
                <w:sz w:val="19"/>
              </w:rPr>
              <w:t>)</w:t>
            </w:r>
          </w:p>
        </w:tc>
      </w:tr>
      <w:tr>
        <w:trPr/>
        <w:tc>
          <w:tcPr>
            <w:tcW w:w="33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666" w:type="dxa"/>
            <w:tcBorders/>
            <w:vAlign w:val="center"/>
          </w:tcPr>
          <w:p>
            <w:pPr>
              <w:pStyle w:val="TableContents"/>
              <w:bidi w:val="0"/>
              <w:spacing w:before="0" w:after="283"/>
              <w:jc w:val="center"/>
              <w:rPr/>
            </w:pPr>
            <w:r>
              <w:rPr/>
              <w:t> </w:t>
            </w:r>
          </w:p>
        </w:tc>
      </w:tr>
      <w:tr>
        <w:trPr/>
        <w:tc>
          <w:tcPr>
            <w:tcW w:w="3376" w:type="dxa"/>
            <w:tcBorders/>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1150 North Alma School Road</w:t>
            </w:r>
          </w:p>
        </w:tc>
        <w:tc>
          <w:tcPr>
            <w:tcW w:w="146" w:type="dxa"/>
            <w:tcBorders/>
            <w:vAlign w:val="center"/>
          </w:tcPr>
          <w:p>
            <w:pPr>
              <w:pStyle w:val="TableContents"/>
              <w:bidi w:val="0"/>
              <w:spacing w:before="0" w:after="283"/>
              <w:jc w:val="center"/>
              <w:rPr/>
            </w:pPr>
            <w:r>
              <w:rPr/>
              <w:t> </w:t>
            </w:r>
          </w:p>
        </w:tc>
        <w:tc>
          <w:tcPr>
            <w:tcW w:w="1666" w:type="dxa"/>
            <w:tcBorders/>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85201</w:t>
            </w:r>
          </w:p>
        </w:tc>
      </w:tr>
      <w:tr>
        <w:trPr/>
        <w:tc>
          <w:tcPr>
            <w:tcW w:w="3376" w:type="dxa"/>
            <w:tcBorders/>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Mesa, Arizona</w:t>
            </w:r>
          </w:p>
        </w:tc>
        <w:tc>
          <w:tcPr>
            <w:tcW w:w="146" w:type="dxa"/>
            <w:tcBorders/>
            <w:vAlign w:val="center"/>
          </w:tcPr>
          <w:p>
            <w:pPr>
              <w:pStyle w:val="TableContents"/>
              <w:bidi w:val="0"/>
              <w:spacing w:before="0" w:after="283"/>
              <w:jc w:val="center"/>
              <w:rPr/>
            </w:pPr>
            <w:r>
              <w:rPr/>
              <w:t> </w:t>
            </w:r>
          </w:p>
        </w:tc>
        <w:tc>
          <w:tcPr>
            <w:tcW w:w="1666" w:type="dxa"/>
            <w:tcBorders/>
            <w:vAlign w:val="center"/>
          </w:tcPr>
          <w:p>
            <w:pPr>
              <w:pStyle w:val="TableContents"/>
              <w:bidi w:val="0"/>
              <w:spacing w:before="0" w:after="283"/>
              <w:jc w:val="center"/>
              <w:rPr>
                <w:rFonts w:ascii="Times New Roman" w:hAnsi="Times New Roman"/>
                <w:sz w:val="19"/>
              </w:rPr>
            </w:pPr>
            <w:r>
              <w:rPr>
                <w:rFonts w:ascii="Times New Roman" w:hAnsi="Times New Roman"/>
                <w:b w:val="false"/>
                <w:color w:val="000000"/>
                <w:sz w:val="19"/>
              </w:rPr>
              <w:t>(</w:t>
            </w:r>
            <w:r>
              <w:rPr>
                <w:rFonts w:ascii="Times New Roman" w:hAnsi="Times New Roman"/>
                <w:b w:val="false"/>
                <w:i/>
                <w:color w:val="000000"/>
                <w:sz w:val="19"/>
              </w:rPr>
              <w:t>Zip Code</w:t>
            </w:r>
            <w:r>
              <w:rPr>
                <w:rFonts w:ascii="Times New Roman" w:hAnsi="Times New Roman"/>
                <w:b w:val="false"/>
                <w:color w:val="000000"/>
                <w:sz w:val="19"/>
              </w:rPr>
              <w:t>)</w:t>
            </w:r>
          </w:p>
        </w:tc>
      </w:tr>
      <w:tr>
        <w:trPr/>
        <w:tc>
          <w:tcPr>
            <w:tcW w:w="3376" w:type="dxa"/>
            <w:tcBorders/>
            <w:vAlign w:val="center"/>
          </w:tcPr>
          <w:p>
            <w:pPr>
              <w:pStyle w:val="TableContents"/>
              <w:bidi w:val="0"/>
              <w:spacing w:before="0" w:after="283"/>
              <w:jc w:val="center"/>
              <w:rPr>
                <w:rFonts w:ascii="Times New Roman" w:hAnsi="Times New Roman"/>
                <w:sz w:val="19"/>
              </w:rPr>
            </w:pPr>
            <w:r>
              <w:rPr>
                <w:rFonts w:ascii="Times New Roman" w:hAnsi="Times New Roman"/>
                <w:b w:val="false"/>
                <w:color w:val="000000"/>
                <w:sz w:val="19"/>
              </w:rPr>
              <w:t>(</w:t>
            </w:r>
            <w:r>
              <w:rPr>
                <w:rFonts w:ascii="Times New Roman" w:hAnsi="Times New Roman"/>
                <w:b w:val="false"/>
                <w:i/>
                <w:color w:val="000000"/>
                <w:sz w:val="19"/>
              </w:rPr>
              <w:t>Address of Principal Executive Offices</w:t>
            </w:r>
            <w:r>
              <w:rPr>
                <w:rFonts w:ascii="Times New Roman" w:hAnsi="Times New Roman"/>
                <w:b w:val="false"/>
                <w:color w:val="000000"/>
                <w:sz w:val="19"/>
              </w:rPr>
              <w:t>)</w:t>
            </w:r>
          </w:p>
        </w:tc>
        <w:tc>
          <w:tcPr>
            <w:tcW w:w="146" w:type="dxa"/>
            <w:tcBorders/>
            <w:vAlign w:val="center"/>
          </w:tcPr>
          <w:p>
            <w:pPr>
              <w:pStyle w:val="TableContents"/>
              <w:bidi w:val="0"/>
              <w:spacing w:before="0" w:after="283"/>
              <w:jc w:val="center"/>
              <w:rPr/>
            </w:pPr>
            <w:r>
              <w:rPr/>
              <w:t> </w:t>
            </w:r>
          </w:p>
        </w:tc>
        <w:tc>
          <w:tcPr>
            <w:tcW w:w="1666" w:type="dxa"/>
            <w:tcBorders/>
            <w:vAlign w:val="center"/>
          </w:tcPr>
          <w:p>
            <w:pPr>
              <w:pStyle w:val="TableContents"/>
              <w:bidi w:val="0"/>
              <w:spacing w:before="0" w:after="283"/>
              <w:jc w:val="center"/>
              <w:rPr/>
            </w:pPr>
            <w:r>
              <w:rPr/>
              <w:t> </w:t>
            </w:r>
          </w:p>
        </w:tc>
      </w:tr>
    </w:tbl>
    <w:p>
      <w:pPr>
        <w:pStyle w:val="TextBody"/>
        <w:bidi w:val="0"/>
        <w:spacing w:before="80" w:after="283"/>
        <w:jc w:val="center"/>
        <w:rPr>
          <w:rFonts w:ascii="Times New Roman" w:hAnsi="Times New Roman"/>
          <w:b/>
          <w:color w:val="000000"/>
          <w:sz w:val="19"/>
        </w:rPr>
      </w:pPr>
      <w:r>
        <w:rPr>
          <w:rFonts w:ascii="Times New Roman" w:hAnsi="Times New Roman"/>
          <w:b/>
          <w:color w:val="000000"/>
          <w:sz w:val="19"/>
        </w:rPr>
        <w:t>(480) 443-7000</w:t>
      </w:r>
    </w:p>
    <w:p>
      <w:pPr>
        <w:pStyle w:val="TextBody"/>
        <w:bidi w:val="0"/>
        <w:jc w:val="center"/>
        <w:rPr>
          <w:rFonts w:ascii="Times New Roman" w:hAnsi="Times New Roman"/>
          <w:sz w:val="20"/>
        </w:rPr>
      </w:pPr>
      <w:r>
        <w:rPr>
          <w:rFonts w:ascii="Times New Roman" w:hAnsi="Times New Roman"/>
          <w:b w:val="false"/>
          <w:color w:val="000000"/>
          <w:sz w:val="19"/>
        </w:rPr>
        <w:t>(</w:t>
      </w:r>
      <w:r>
        <w:rPr>
          <w:rFonts w:ascii="Times New Roman" w:hAnsi="Times New Roman"/>
          <w:b w:val="false"/>
          <w:i/>
          <w:color w:val="000000"/>
          <w:sz w:val="19"/>
        </w:rPr>
        <w:t>Registrant’s telephone number, including area code</w:t>
      </w:r>
      <w:r>
        <w:rPr>
          <w:rFonts w:ascii="Times New Roman" w:hAnsi="Times New Roman"/>
          <w:b w:val="false"/>
          <w:color w:val="000000"/>
          <w:sz w:val="19"/>
        </w:rPr>
        <w:t>)</w:t>
      </w:r>
    </w:p>
    <w:p>
      <w:pPr>
        <w:pStyle w:val="TextBody"/>
        <w:bidi w:val="0"/>
        <w:jc w:val="center"/>
        <w:rPr/>
      </w:pPr>
      <w:r>
        <w:rPr/>
        <w:t> </w:t>
      </w:r>
    </w:p>
    <w:p>
      <w:pPr>
        <w:pStyle w:val="TextBody"/>
        <w:bidi w:val="0"/>
        <w:spacing w:before="80" w:after="283"/>
        <w:jc w:val="center"/>
        <w:rPr>
          <w:rFonts w:ascii="Times New Roman" w:hAnsi="Times New Roman"/>
          <w:b w:val="false"/>
          <w:color w:val="000000"/>
          <w:sz w:val="19"/>
        </w:rPr>
      </w:pPr>
      <w:r>
        <w:rPr>
          <w:rFonts w:ascii="Times New Roman" w:hAnsi="Times New Roman"/>
          <w:b w:val="false"/>
          <w:color w:val="000000"/>
          <w:sz w:val="19"/>
        </w:rPr>
        <w:t>Securities registered pursuant to Section 12(b) of the Act: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461"/>
        <w:gridCol w:w="146"/>
        <w:gridCol w:w="1514"/>
        <w:gridCol w:w="146"/>
        <w:gridCol w:w="3938"/>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8" w:type="dxa"/>
            <w:tcBorders/>
            <w:vAlign w:val="center"/>
          </w:tcPr>
          <w:p>
            <w:pPr>
              <w:pStyle w:val="TableContents"/>
              <w:bidi w:val="0"/>
              <w:spacing w:before="0" w:after="283"/>
              <w:jc w:val="left"/>
              <w:rPr>
                <w:sz w:val="4"/>
                <w:szCs w:val="4"/>
              </w:rPr>
            </w:pPr>
            <w:r>
              <w:rPr>
                <w:sz w:val="4"/>
                <w:szCs w:val="4"/>
              </w:rPr>
            </w:r>
          </w:p>
        </w:tc>
      </w:tr>
      <w:tr>
        <w:trPr/>
        <w:tc>
          <w:tcPr>
            <w:tcW w:w="4461" w:type="dxa"/>
            <w:tcBorders/>
            <w:vAlign w:val="center"/>
          </w:tcPr>
          <w:p>
            <w:pPr>
              <w:pStyle w:val="TableContents"/>
              <w:bidi w:val="0"/>
              <w:spacing w:before="0" w:after="44"/>
              <w:jc w:val="center"/>
              <w:rPr>
                <w:rFonts w:ascii="Times New Roman" w:hAnsi="Times New Roman"/>
                <w:b w:val="false"/>
                <w:i/>
                <w:color w:val="000000"/>
                <w:sz w:val="19"/>
              </w:rPr>
            </w:pPr>
            <w:r>
              <w:rPr>
                <w:rFonts w:ascii="Times New Roman" w:hAnsi="Times New Roman"/>
                <w:b w:val="false"/>
                <w:i/>
                <w:color w:val="000000"/>
                <w:sz w:val="19"/>
              </w:rPr>
              <w:t>(Title of Each Class)</w:t>
            </w:r>
          </w:p>
        </w:tc>
        <w:tc>
          <w:tcPr>
            <w:tcW w:w="146" w:type="dxa"/>
            <w:tcBorders/>
            <w:vAlign w:val="center"/>
          </w:tcPr>
          <w:p>
            <w:pPr>
              <w:pStyle w:val="TableContents"/>
              <w:bidi w:val="0"/>
              <w:spacing w:before="0" w:after="44"/>
              <w:jc w:val="center"/>
              <w:rPr/>
            </w:pPr>
            <w:r>
              <w:rPr/>
              <w:t> </w:t>
            </w:r>
          </w:p>
        </w:tc>
        <w:tc>
          <w:tcPr>
            <w:tcW w:w="1514" w:type="dxa"/>
            <w:tcBorders/>
            <w:vAlign w:val="center"/>
          </w:tcPr>
          <w:p>
            <w:pPr>
              <w:pStyle w:val="TableContents"/>
              <w:bidi w:val="0"/>
              <w:spacing w:before="0" w:after="44"/>
              <w:jc w:val="center"/>
              <w:rPr>
                <w:rFonts w:ascii="Times New Roman" w:hAnsi="Times New Roman"/>
                <w:b w:val="false"/>
                <w:i/>
                <w:color w:val="000000"/>
                <w:sz w:val="19"/>
              </w:rPr>
            </w:pPr>
            <w:r>
              <w:rPr>
                <w:rFonts w:ascii="Times New Roman" w:hAnsi="Times New Roman"/>
                <w:b w:val="false"/>
                <w:i/>
                <w:color w:val="000000"/>
                <w:sz w:val="19"/>
              </w:rPr>
              <w:t>(Trading Symbol)</w:t>
            </w:r>
          </w:p>
        </w:tc>
        <w:tc>
          <w:tcPr>
            <w:tcW w:w="146" w:type="dxa"/>
            <w:tcBorders/>
            <w:vAlign w:val="center"/>
          </w:tcPr>
          <w:p>
            <w:pPr>
              <w:pStyle w:val="TableContents"/>
              <w:bidi w:val="0"/>
              <w:spacing w:before="0" w:after="44"/>
              <w:jc w:val="center"/>
              <w:rPr/>
            </w:pPr>
            <w:r>
              <w:rPr/>
              <w:t> </w:t>
            </w:r>
          </w:p>
        </w:tc>
        <w:tc>
          <w:tcPr>
            <w:tcW w:w="3938" w:type="dxa"/>
            <w:tcBorders/>
            <w:vAlign w:val="center"/>
          </w:tcPr>
          <w:p>
            <w:pPr>
              <w:pStyle w:val="TableContents"/>
              <w:bidi w:val="0"/>
              <w:spacing w:before="0" w:after="44"/>
              <w:jc w:val="center"/>
              <w:rPr>
                <w:rFonts w:ascii="Times New Roman" w:hAnsi="Times New Roman"/>
                <w:b w:val="false"/>
                <w:i/>
                <w:color w:val="000000"/>
                <w:sz w:val="19"/>
              </w:rPr>
            </w:pPr>
            <w:r>
              <w:rPr>
                <w:rFonts w:ascii="Times New Roman" w:hAnsi="Times New Roman"/>
                <w:b w:val="false"/>
                <w:i/>
                <w:color w:val="000000"/>
                <w:sz w:val="19"/>
              </w:rPr>
              <w:t>(Name of Each Exchange on Which Registered)</w:t>
            </w:r>
          </w:p>
        </w:tc>
      </w:tr>
      <w:tr>
        <w:trPr/>
        <w:tc>
          <w:tcPr>
            <w:tcW w:w="4461" w:type="dxa"/>
            <w:tcBorders/>
            <w:vAlign w:val="center"/>
          </w:tcPr>
          <w:p>
            <w:pPr>
              <w:pStyle w:val="TableContents"/>
              <w:bidi w:val="0"/>
              <w:spacing w:before="0" w:after="44"/>
              <w:jc w:val="center"/>
              <w:rPr>
                <w:rFonts w:ascii="Times New Roman" w:hAnsi="Times New Roman"/>
                <w:b/>
                <w:color w:val="000000"/>
                <w:sz w:val="19"/>
              </w:rPr>
            </w:pPr>
            <w:r>
              <w:rPr>
                <w:rFonts w:ascii="Times New Roman" w:hAnsi="Times New Roman"/>
                <w:b/>
                <w:color w:val="000000"/>
                <w:sz w:val="19"/>
              </w:rPr>
              <w:t>Class A Common Stock, par value $0.0001 per share</w:t>
            </w:r>
          </w:p>
        </w:tc>
        <w:tc>
          <w:tcPr>
            <w:tcW w:w="146" w:type="dxa"/>
            <w:tcBorders/>
            <w:vAlign w:val="center"/>
          </w:tcPr>
          <w:p>
            <w:pPr>
              <w:pStyle w:val="TableContents"/>
              <w:bidi w:val="0"/>
              <w:spacing w:before="0" w:after="44"/>
              <w:jc w:val="center"/>
              <w:rPr/>
            </w:pPr>
            <w:r>
              <w:rPr/>
              <w:t> </w:t>
            </w:r>
          </w:p>
        </w:tc>
        <w:tc>
          <w:tcPr>
            <w:tcW w:w="1514" w:type="dxa"/>
            <w:tcBorders/>
            <w:vAlign w:val="center"/>
          </w:tcPr>
          <w:p>
            <w:pPr>
              <w:pStyle w:val="TableContents"/>
              <w:bidi w:val="0"/>
              <w:spacing w:before="0" w:after="44"/>
              <w:jc w:val="center"/>
              <w:rPr>
                <w:rFonts w:ascii="Times New Roman" w:hAnsi="Times New Roman"/>
                <w:b/>
                <w:caps/>
                <w:color w:val="000000"/>
                <w:sz w:val="19"/>
              </w:rPr>
            </w:pPr>
            <w:r>
              <w:rPr>
                <w:rFonts w:ascii="Times New Roman" w:hAnsi="Times New Roman"/>
                <w:b/>
                <w:caps/>
                <w:color w:val="000000"/>
                <w:sz w:val="19"/>
              </w:rPr>
              <w:t>VRRM</w:t>
            </w:r>
          </w:p>
        </w:tc>
        <w:tc>
          <w:tcPr>
            <w:tcW w:w="146" w:type="dxa"/>
            <w:tcBorders/>
            <w:vAlign w:val="center"/>
          </w:tcPr>
          <w:p>
            <w:pPr>
              <w:pStyle w:val="TableContents"/>
              <w:bidi w:val="0"/>
              <w:spacing w:before="0" w:after="44"/>
              <w:jc w:val="center"/>
              <w:rPr/>
            </w:pPr>
            <w:r>
              <w:rPr/>
              <w:t> </w:t>
            </w:r>
          </w:p>
        </w:tc>
        <w:tc>
          <w:tcPr>
            <w:tcW w:w="3938" w:type="dxa"/>
            <w:tcBorders/>
            <w:vAlign w:val="center"/>
          </w:tcPr>
          <w:p>
            <w:pPr>
              <w:pStyle w:val="TableContents"/>
              <w:bidi w:val="0"/>
              <w:spacing w:before="0" w:after="44"/>
              <w:jc w:val="center"/>
              <w:rPr>
                <w:rFonts w:ascii="Times New Roman" w:hAnsi="Times New Roman"/>
                <w:b/>
                <w:color w:val="000000"/>
                <w:sz w:val="19"/>
              </w:rPr>
            </w:pPr>
            <w:r>
              <w:rPr>
                <w:rFonts w:ascii="Times New Roman" w:hAnsi="Times New Roman"/>
                <w:b/>
                <w:color w:val="000000"/>
                <w:sz w:val="19"/>
              </w:rPr>
              <w:t>Nasdaq Capital Market</w:t>
            </w:r>
          </w:p>
        </w:tc>
      </w:tr>
    </w:tbl>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19"/>
        </w:rPr>
        <w:t>NO ☐</w:t>
      </w:r>
    </w:p>
    <w:p>
      <w:pPr>
        <w:pStyle w:val="TextBody"/>
        <w:bidi w:val="0"/>
        <w:spacing w:before="80" w:after="283"/>
        <w:jc w:val="both"/>
        <w:rPr>
          <w:rFonts w:ascii="Times New Roman" w:hAnsi="Times New Roman"/>
          <w:sz w:val="20"/>
        </w:rPr>
      </w:pPr>
      <w:r>
        <w:rPr>
          <w:rFonts w:ascii="Times New Roman" w:hAnsi="Times New Roman"/>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19"/>
        </w:rPr>
        <w:t>NO ☐</w:t>
      </w:r>
    </w:p>
    <w:p>
      <w:pPr>
        <w:pStyle w:val="TextBody"/>
        <w:bidi w:val="0"/>
        <w:spacing w:before="80" w:after="283"/>
        <w:jc w:val="both"/>
        <w:rPr>
          <w:rFonts w:ascii="Times New Roman" w:hAnsi="Times New Roman"/>
          <w:b w:val="false"/>
          <w:color w:val="000000"/>
          <w:sz w:val="19"/>
        </w:rPr>
      </w:pPr>
      <w:r>
        <w:rPr>
          <w:rFonts w:ascii="Times New Roman" w:hAnsi="Times New Roman"/>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noBreakHyphen/>
        <w:t>2 of the Exchange Act:</w:t>
      </w:r>
    </w:p>
    <w:p>
      <w:pPr>
        <w:pStyle w:val="TextBody"/>
        <w:bidi w:val="0"/>
        <w:jc w:val="both"/>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92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921"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b w:val="false"/>
          <w:color w:val="000000"/>
          <w:sz w:val="19"/>
        </w:rPr>
      </w:pPr>
      <w:r>
        <w:rPr>
          <w:rFonts w:ascii="Times New Roman" w:hAnsi="Times New Roman"/>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both"/>
        <w:rPr>
          <w:rFonts w:ascii="Times New Roman" w:hAnsi="Times New Roman"/>
          <w:sz w:val="20"/>
        </w:rPr>
      </w:pPr>
      <w:r>
        <w:rPr>
          <w:rFonts w:ascii="Times New Roman" w:hAnsi="Times New Roman"/>
          <w:b w:val="false"/>
          <w:color w:val="000000"/>
          <w:sz w:val="19"/>
        </w:rPr>
        <w:t>Indicate by check mark whether the registrant is a shell company (as defined in Rule 12b</w:t>
        <w:noBreakHyphen/>
        <w:t xml:space="preserve">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b w:val="false"/>
          <w:color w:val="000000"/>
          <w:sz w:val="19"/>
        </w:rPr>
        <w:t>As of November 6, 2023, there were 166,313,632</w:t>
      </w:r>
      <w:r>
        <w:rPr>
          <w:rFonts w:ascii="Times New Roman" w:hAnsi="Times New Roman"/>
          <w:color w:val="000000"/>
          <w:sz w:val="20"/>
        </w:rPr>
        <w:t xml:space="preserve"> </w:t>
      </w:r>
      <w:r>
        <w:rPr>
          <w:rFonts w:ascii="Times New Roman" w:hAnsi="Times New Roman"/>
          <w:b w:val="false"/>
          <w:color w:val="000000"/>
          <w:sz w:val="19"/>
        </w:rPr>
        <w:t>shares of the Company’s Class A Common Stock, par value $0.0001 per share, issued and outstanding.</w:t>
      </w:r>
    </w:p>
    <w:p>
      <w:pPr>
        <w:pStyle w:val="TextBody"/>
        <w:pBdr>
          <w:bottom w:val="double" w:sz="6" w:space="1" w:color="000000"/>
        </w:pBdr>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FORM 10-Q</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FOR THE QUARTER ENDED SEPTEMBER 30, 2023</w:t>
      </w:r>
    </w:p>
    <w:p>
      <w:pPr>
        <w:pStyle w:val="TextBody"/>
        <w:bidi w:val="0"/>
        <w:spacing w:before="200" w:after="283"/>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03"/>
        <w:gridCol w:w="146"/>
        <w:gridCol w:w="1256"/>
      </w:tblGrid>
      <w:tr>
        <w:trPr/>
        <w:tc>
          <w:tcPr>
            <w:tcW w:w="8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8803" w:type="dxa"/>
            <w:tcBorders/>
            <w:vAlign w:val="center"/>
          </w:tcPr>
          <w:p>
            <w:pPr>
              <w:pStyle w:val="TableContents"/>
              <w:bidi w:val="0"/>
              <w:spacing w:before="0" w:after="283"/>
              <w:jc w:val="left"/>
              <w:rPr/>
            </w:pPr>
            <w:hyperlink w:anchor="part_ifinancial_information">
              <w:r>
                <w:rPr>
                  <w:rStyle w:val="InternetLink"/>
                  <w:rFonts w:ascii="Times New Roman" w:hAnsi="Times New Roman"/>
                  <w:b/>
                  <w:color w:val="0000FF"/>
                  <w:sz w:val="20"/>
                  <w:u w:val="single"/>
                </w:rPr>
                <w:t>PART I—FINANCIAL INFORMATION</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360"/>
              <w:jc w:val="right"/>
              <w:rPr>
                <w:rFonts w:ascii="Times New Roman" w:hAnsi="Times New Roman"/>
                <w:b/>
                <w:color w:val="000000"/>
                <w:sz w:val="20"/>
              </w:rPr>
            </w:pPr>
            <w:r>
              <w:rPr>
                <w:rFonts w:ascii="Times New Roman" w:hAnsi="Times New Roman"/>
                <w:b/>
                <w:color w:val="000000"/>
                <w:sz w:val="20"/>
              </w:rPr>
              <w:t>4</w:t>
            </w:r>
          </w:p>
        </w:tc>
      </w:tr>
      <w:tr>
        <w:trPr/>
        <w:tc>
          <w:tcPr>
            <w:tcW w:w="8803" w:type="dxa"/>
            <w:tcBorders/>
            <w:vAlign w:val="center"/>
          </w:tcPr>
          <w:p>
            <w:pPr>
              <w:pStyle w:val="TableContents"/>
              <w:bidi w:val="0"/>
              <w:spacing w:before="0" w:after="283"/>
              <w:ind w:left="360" w:right="0" w:firstLine="360"/>
              <w:jc w:val="left"/>
              <w:rPr/>
            </w:pPr>
            <w:hyperlink w:anchor="item_1_financial_statements">
              <w:r>
                <w:rPr>
                  <w:rStyle w:val="InternetLink"/>
                  <w:rFonts w:ascii="Times New Roman" w:hAnsi="Times New Roman"/>
                  <w:b w:val="false"/>
                  <w:color w:val="0000FF"/>
                  <w:sz w:val="20"/>
                  <w:u w:val="single"/>
                </w:rPr>
                <w:t>Item 1. Financial Statements</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1000"/>
              <w:jc w:val="right"/>
              <w:rPr>
                <w:rFonts w:ascii="Times New Roman" w:hAnsi="Times New Roman"/>
                <w:b/>
                <w:color w:val="000000"/>
                <w:sz w:val="20"/>
              </w:rPr>
            </w:pPr>
            <w:r>
              <w:rPr>
                <w:rFonts w:ascii="Times New Roman" w:hAnsi="Times New Roman"/>
                <w:b/>
                <w:color w:val="000000"/>
                <w:sz w:val="20"/>
              </w:rPr>
              <w:t>4</w:t>
            </w:r>
          </w:p>
        </w:tc>
      </w:tr>
      <w:tr>
        <w:trPr/>
        <w:tc>
          <w:tcPr>
            <w:tcW w:w="8803" w:type="dxa"/>
            <w:tcBorders/>
            <w:vAlign w:val="center"/>
          </w:tcPr>
          <w:p>
            <w:pPr>
              <w:pStyle w:val="TableContents"/>
              <w:bidi w:val="0"/>
              <w:spacing w:before="0" w:after="283"/>
              <w:ind w:left="1000" w:right="0" w:firstLine="1000"/>
              <w:jc w:val="left"/>
              <w:rPr/>
            </w:pPr>
            <w:hyperlink w:anchor="condensed_consolidated_balance_sheets">
              <w:r>
                <w:rPr>
                  <w:rStyle w:val="InternetLink"/>
                  <w:rFonts w:ascii="Times New Roman" w:hAnsi="Times New Roman"/>
                  <w:b w:val="false"/>
                  <w:color w:val="0000FF"/>
                  <w:sz w:val="20"/>
                  <w:u w:val="single"/>
                </w:rPr>
                <w:t>Condensed Consolidated Balance Sheets</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1000"/>
              <w:jc w:val="right"/>
              <w:rPr>
                <w:rFonts w:ascii="Times New Roman" w:hAnsi="Times New Roman"/>
                <w:b/>
                <w:color w:val="000000"/>
                <w:sz w:val="20"/>
              </w:rPr>
            </w:pPr>
            <w:r>
              <w:rPr>
                <w:rFonts w:ascii="Times New Roman" w:hAnsi="Times New Roman"/>
                <w:b/>
                <w:color w:val="000000"/>
                <w:sz w:val="20"/>
              </w:rPr>
              <w:t>4</w:t>
            </w:r>
          </w:p>
        </w:tc>
      </w:tr>
      <w:tr>
        <w:trPr/>
        <w:tc>
          <w:tcPr>
            <w:tcW w:w="8803" w:type="dxa"/>
            <w:tcBorders/>
            <w:vAlign w:val="center"/>
          </w:tcPr>
          <w:p>
            <w:pPr>
              <w:pStyle w:val="TableContents"/>
              <w:bidi w:val="0"/>
              <w:spacing w:before="0" w:after="283"/>
              <w:ind w:left="1000" w:right="0" w:firstLine="1000"/>
              <w:jc w:val="left"/>
              <w:rPr/>
            </w:pPr>
            <w:hyperlink w:anchor="condensed_consolidated_statements_operat">
              <w:r>
                <w:rPr>
                  <w:rStyle w:val="InternetLink"/>
                  <w:rFonts w:ascii="Times New Roman" w:hAnsi="Times New Roman"/>
                  <w:b w:val="false"/>
                  <w:color w:val="0000FF"/>
                  <w:sz w:val="20"/>
                  <w:u w:val="single"/>
                </w:rPr>
                <w:t>Condensed Consolidated Statements of Operations and Comprehensive Income</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1000"/>
              <w:jc w:val="right"/>
              <w:rPr>
                <w:rFonts w:ascii="Times New Roman" w:hAnsi="Times New Roman"/>
                <w:b/>
                <w:color w:val="000000"/>
                <w:sz w:val="20"/>
              </w:rPr>
            </w:pPr>
            <w:r>
              <w:rPr>
                <w:rFonts w:ascii="Times New Roman" w:hAnsi="Times New Roman"/>
                <w:b/>
                <w:color w:val="000000"/>
                <w:sz w:val="20"/>
              </w:rPr>
              <w:t>5</w:t>
            </w:r>
          </w:p>
        </w:tc>
      </w:tr>
      <w:tr>
        <w:trPr/>
        <w:tc>
          <w:tcPr>
            <w:tcW w:w="8803" w:type="dxa"/>
            <w:tcBorders/>
            <w:vAlign w:val="center"/>
          </w:tcPr>
          <w:p>
            <w:pPr>
              <w:pStyle w:val="TableContents"/>
              <w:bidi w:val="0"/>
              <w:spacing w:before="0" w:after="283"/>
              <w:ind w:left="1000" w:right="0" w:firstLine="1000"/>
              <w:jc w:val="left"/>
              <w:rPr/>
            </w:pPr>
            <w:hyperlink w:anchor="condensed_consolidated_statements_stockh">
              <w:r>
                <w:rPr>
                  <w:rStyle w:val="InternetLink"/>
                  <w:rFonts w:ascii="Times New Roman" w:hAnsi="Times New Roman"/>
                  <w:b w:val="false"/>
                  <w:color w:val="0000FF"/>
                  <w:sz w:val="20"/>
                  <w:u w:val="single"/>
                </w:rPr>
                <w:t>Condensed Consolidated Statements of Stockholders’ Equity</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1000"/>
              <w:jc w:val="right"/>
              <w:rPr>
                <w:rFonts w:ascii="Times New Roman" w:hAnsi="Times New Roman"/>
                <w:b/>
                <w:color w:val="000000"/>
                <w:sz w:val="20"/>
              </w:rPr>
            </w:pPr>
            <w:r>
              <w:rPr>
                <w:rFonts w:ascii="Times New Roman" w:hAnsi="Times New Roman"/>
                <w:b/>
                <w:color w:val="000000"/>
                <w:sz w:val="20"/>
              </w:rPr>
              <w:t>6</w:t>
            </w:r>
          </w:p>
        </w:tc>
      </w:tr>
      <w:tr>
        <w:trPr/>
        <w:tc>
          <w:tcPr>
            <w:tcW w:w="8803" w:type="dxa"/>
            <w:tcBorders/>
            <w:vAlign w:val="center"/>
          </w:tcPr>
          <w:p>
            <w:pPr>
              <w:pStyle w:val="TableContents"/>
              <w:bidi w:val="0"/>
              <w:spacing w:before="0" w:after="283"/>
              <w:ind w:left="1000" w:right="0" w:firstLine="1000"/>
              <w:jc w:val="left"/>
              <w:rPr/>
            </w:pPr>
            <w:hyperlink w:anchor="condensed_consolidated_statements_cash_f">
              <w:r>
                <w:rPr>
                  <w:rStyle w:val="InternetLink"/>
                  <w:rFonts w:ascii="Times New Roman" w:hAnsi="Times New Roman"/>
                  <w:b w:val="false"/>
                  <w:color w:val="0000FF"/>
                  <w:sz w:val="20"/>
                  <w:u w:val="single"/>
                </w:rPr>
                <w:t>Condensed Consolidated Statements of Cash Flows</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1000"/>
              <w:jc w:val="right"/>
              <w:rPr>
                <w:rFonts w:ascii="Times New Roman" w:hAnsi="Times New Roman"/>
                <w:b/>
                <w:color w:val="000000"/>
                <w:sz w:val="20"/>
              </w:rPr>
            </w:pPr>
            <w:r>
              <w:rPr>
                <w:rFonts w:ascii="Times New Roman" w:hAnsi="Times New Roman"/>
                <w:b/>
                <w:color w:val="000000"/>
                <w:sz w:val="20"/>
              </w:rPr>
              <w:t>8</w:t>
            </w:r>
          </w:p>
        </w:tc>
      </w:tr>
      <w:tr>
        <w:trPr/>
        <w:tc>
          <w:tcPr>
            <w:tcW w:w="8803" w:type="dxa"/>
            <w:tcBorders/>
            <w:vAlign w:val="center"/>
          </w:tcPr>
          <w:p>
            <w:pPr>
              <w:pStyle w:val="TableContents"/>
              <w:bidi w:val="0"/>
              <w:spacing w:before="0" w:after="283"/>
              <w:ind w:left="1000" w:right="0" w:firstLine="1000"/>
              <w:jc w:val="left"/>
              <w:rPr/>
            </w:pPr>
            <w:hyperlink w:anchor="notes_to_condensed_consolidated_financia">
              <w:r>
                <w:rPr>
                  <w:rStyle w:val="InternetLink"/>
                  <w:rFonts w:ascii="Times New Roman" w:hAnsi="Times New Roman"/>
                  <w:b w:val="false"/>
                  <w:color w:val="0000FF"/>
                  <w:sz w:val="20"/>
                  <w:u w:val="single"/>
                </w:rPr>
                <w:t>Notes to the Condensed Consolidated Financial Statements</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360"/>
              <w:jc w:val="right"/>
              <w:rPr>
                <w:rFonts w:ascii="Times New Roman" w:hAnsi="Times New Roman"/>
                <w:b/>
                <w:color w:val="000000"/>
                <w:sz w:val="20"/>
              </w:rPr>
            </w:pPr>
            <w:r>
              <w:rPr>
                <w:rFonts w:ascii="Times New Roman" w:hAnsi="Times New Roman"/>
                <w:b/>
                <w:color w:val="000000"/>
                <w:sz w:val="20"/>
              </w:rPr>
              <w:t>10</w:t>
            </w:r>
          </w:p>
        </w:tc>
      </w:tr>
      <w:tr>
        <w:trPr/>
        <w:tc>
          <w:tcPr>
            <w:tcW w:w="8803" w:type="dxa"/>
            <w:tcBorders/>
            <w:vAlign w:val="center"/>
          </w:tcPr>
          <w:p>
            <w:pPr>
              <w:pStyle w:val="TableContents"/>
              <w:bidi w:val="0"/>
              <w:spacing w:before="0" w:after="283"/>
              <w:ind w:left="360" w:right="0" w:firstLine="360"/>
              <w:jc w:val="left"/>
              <w:rPr/>
            </w:pPr>
            <w:hyperlink w:anchor="item_2_managements_discussion_analysis_f">
              <w:r>
                <w:rPr>
                  <w:rStyle w:val="InternetLink"/>
                  <w:rFonts w:ascii="Times New Roman" w:hAnsi="Times New Roman"/>
                  <w:b w:val="false"/>
                  <w:color w:val="0000FF"/>
                  <w:sz w:val="20"/>
                  <w:u w:val="single"/>
                </w:rPr>
                <w:t>Item 2. Management’s Discussion and Analysis of Financial Condition and Results of Operations</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360"/>
              <w:jc w:val="right"/>
              <w:rPr>
                <w:rFonts w:ascii="Times New Roman" w:hAnsi="Times New Roman"/>
                <w:b/>
                <w:color w:val="000000"/>
                <w:sz w:val="20"/>
              </w:rPr>
            </w:pPr>
            <w:r>
              <w:rPr>
                <w:rFonts w:ascii="Times New Roman" w:hAnsi="Times New Roman"/>
                <w:b/>
                <w:color w:val="000000"/>
                <w:sz w:val="20"/>
              </w:rPr>
              <w:t>28</w:t>
            </w:r>
          </w:p>
        </w:tc>
      </w:tr>
      <w:tr>
        <w:trPr/>
        <w:tc>
          <w:tcPr>
            <w:tcW w:w="8803" w:type="dxa"/>
            <w:tcBorders/>
            <w:vAlign w:val="center"/>
          </w:tcPr>
          <w:p>
            <w:pPr>
              <w:pStyle w:val="TableContents"/>
              <w:bidi w:val="0"/>
              <w:spacing w:before="0" w:after="283"/>
              <w:ind w:left="360" w:right="0" w:firstLine="360"/>
              <w:jc w:val="left"/>
              <w:rPr/>
            </w:pPr>
            <w:hyperlink w:anchor="item_3_quantitative_qualitative_disclosu">
              <w:r>
                <w:rPr>
                  <w:rStyle w:val="InternetLink"/>
                  <w:rFonts w:ascii="Times New Roman" w:hAnsi="Times New Roman"/>
                  <w:b w:val="false"/>
                  <w:color w:val="0000FF"/>
                  <w:sz w:val="20"/>
                  <w:u w:val="single"/>
                </w:rPr>
                <w:t>Item 3. Quantitative and Qualitative Disclosures About Market Risk</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360"/>
              <w:jc w:val="right"/>
              <w:rPr>
                <w:rFonts w:ascii="Times New Roman" w:hAnsi="Times New Roman"/>
                <w:b/>
                <w:color w:val="000000"/>
                <w:sz w:val="20"/>
              </w:rPr>
            </w:pPr>
            <w:r>
              <w:rPr>
                <w:rFonts w:ascii="Times New Roman" w:hAnsi="Times New Roman"/>
                <w:b/>
                <w:color w:val="000000"/>
                <w:sz w:val="20"/>
              </w:rPr>
              <w:t>39</w:t>
            </w:r>
          </w:p>
        </w:tc>
      </w:tr>
      <w:tr>
        <w:trPr/>
        <w:tc>
          <w:tcPr>
            <w:tcW w:w="8803" w:type="dxa"/>
            <w:tcBorders/>
            <w:vAlign w:val="center"/>
          </w:tcPr>
          <w:p>
            <w:pPr>
              <w:pStyle w:val="TableContents"/>
              <w:bidi w:val="0"/>
              <w:spacing w:before="0" w:after="283"/>
              <w:ind w:left="360" w:right="0" w:firstLine="360"/>
              <w:jc w:val="left"/>
              <w:rPr/>
            </w:pPr>
            <w:hyperlink w:anchor="item_4_controls_procedures">
              <w:r>
                <w:rPr>
                  <w:rStyle w:val="InternetLink"/>
                  <w:rFonts w:ascii="Times New Roman" w:hAnsi="Times New Roman"/>
                  <w:b w:val="false"/>
                  <w:color w:val="0000FF"/>
                  <w:sz w:val="20"/>
                  <w:u w:val="single"/>
                </w:rPr>
                <w:t>Item 4. Controls and Procedures</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w:t>
            </w:r>
          </w:p>
        </w:tc>
      </w:tr>
      <w:tr>
        <w:trPr/>
        <w:tc>
          <w:tcPr>
            <w:tcW w:w="8803" w:type="dxa"/>
            <w:tcBorders/>
            <w:vAlign w:val="center"/>
          </w:tcPr>
          <w:p>
            <w:pPr>
              <w:pStyle w:val="TableContents"/>
              <w:bidi w:val="0"/>
              <w:spacing w:before="0" w:after="283"/>
              <w:jc w:val="left"/>
              <w:rPr/>
            </w:pPr>
            <w:hyperlink w:anchor="part_iior_information">
              <w:r>
                <w:rPr>
                  <w:rStyle w:val="InternetLink"/>
                  <w:rFonts w:ascii="Times New Roman" w:hAnsi="Times New Roman"/>
                  <w:b/>
                  <w:color w:val="0000FF"/>
                  <w:sz w:val="20"/>
                  <w:u w:val="single"/>
                </w:rPr>
                <w:t>PART II—OTHER INFORMATION</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360"/>
              <w:jc w:val="right"/>
              <w:rPr>
                <w:rFonts w:ascii="Times New Roman" w:hAnsi="Times New Roman"/>
                <w:b/>
                <w:color w:val="000000"/>
                <w:sz w:val="20"/>
              </w:rPr>
            </w:pPr>
            <w:r>
              <w:rPr>
                <w:rFonts w:ascii="Times New Roman" w:hAnsi="Times New Roman"/>
                <w:b/>
                <w:color w:val="000000"/>
                <w:sz w:val="20"/>
              </w:rPr>
              <w:t>41</w:t>
            </w:r>
          </w:p>
        </w:tc>
      </w:tr>
      <w:tr>
        <w:trPr/>
        <w:tc>
          <w:tcPr>
            <w:tcW w:w="8803" w:type="dxa"/>
            <w:tcBorders/>
            <w:vAlign w:val="center"/>
          </w:tcPr>
          <w:p>
            <w:pPr>
              <w:pStyle w:val="TableContents"/>
              <w:bidi w:val="0"/>
              <w:spacing w:before="0" w:after="283"/>
              <w:ind w:left="360" w:right="0" w:firstLine="360"/>
              <w:jc w:val="left"/>
              <w:rPr/>
            </w:pPr>
            <w:hyperlink w:anchor="item_1_legal_proceedings">
              <w:r>
                <w:rPr>
                  <w:rStyle w:val="InternetLink"/>
                  <w:rFonts w:ascii="Times New Roman" w:hAnsi="Times New Roman"/>
                  <w:b w:val="false"/>
                  <w:color w:val="0000FF"/>
                  <w:sz w:val="20"/>
                  <w:u w:val="single"/>
                </w:rPr>
                <w:t>Item 1. Legal Proceedings</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360"/>
              <w:jc w:val="right"/>
              <w:rPr>
                <w:rFonts w:ascii="Times New Roman" w:hAnsi="Times New Roman"/>
                <w:b/>
                <w:color w:val="000000"/>
                <w:sz w:val="20"/>
              </w:rPr>
            </w:pPr>
            <w:r>
              <w:rPr>
                <w:rFonts w:ascii="Times New Roman" w:hAnsi="Times New Roman"/>
                <w:b/>
                <w:color w:val="000000"/>
                <w:sz w:val="20"/>
              </w:rPr>
              <w:t>41</w:t>
            </w:r>
          </w:p>
        </w:tc>
      </w:tr>
      <w:tr>
        <w:trPr/>
        <w:tc>
          <w:tcPr>
            <w:tcW w:w="8803" w:type="dxa"/>
            <w:tcBorders/>
            <w:vAlign w:val="center"/>
          </w:tcPr>
          <w:p>
            <w:pPr>
              <w:pStyle w:val="TableContents"/>
              <w:bidi w:val="0"/>
              <w:spacing w:before="0" w:after="283"/>
              <w:ind w:left="360" w:right="0" w:firstLine="360"/>
              <w:jc w:val="left"/>
              <w:rPr/>
            </w:pPr>
            <w:hyperlink w:anchor="item_1a_risk_factors">
              <w:r>
                <w:rPr>
                  <w:rStyle w:val="InternetLink"/>
                  <w:rFonts w:ascii="Times New Roman" w:hAnsi="Times New Roman"/>
                  <w:b w:val="false"/>
                  <w:color w:val="0000FF"/>
                  <w:sz w:val="20"/>
                  <w:u w:val="single"/>
                </w:rPr>
                <w:t>Item 1A. Risk Factors</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360"/>
              <w:jc w:val="right"/>
              <w:rPr>
                <w:rFonts w:ascii="Times New Roman" w:hAnsi="Times New Roman"/>
                <w:b/>
                <w:color w:val="000000"/>
                <w:sz w:val="20"/>
              </w:rPr>
            </w:pPr>
            <w:r>
              <w:rPr>
                <w:rFonts w:ascii="Times New Roman" w:hAnsi="Times New Roman"/>
                <w:b/>
                <w:color w:val="000000"/>
                <w:sz w:val="20"/>
              </w:rPr>
              <w:t>41</w:t>
            </w:r>
          </w:p>
        </w:tc>
      </w:tr>
      <w:tr>
        <w:trPr/>
        <w:tc>
          <w:tcPr>
            <w:tcW w:w="8803" w:type="dxa"/>
            <w:tcBorders/>
            <w:vAlign w:val="center"/>
          </w:tcPr>
          <w:p>
            <w:pPr>
              <w:pStyle w:val="TableContents"/>
              <w:bidi w:val="0"/>
              <w:spacing w:before="0" w:after="283"/>
              <w:ind w:left="360" w:right="0" w:firstLine="360"/>
              <w:jc w:val="left"/>
              <w:rPr/>
            </w:pPr>
            <w:hyperlink w:anchor="item_2_sales_of_equity_securities">
              <w:r>
                <w:rPr>
                  <w:rStyle w:val="InternetLink"/>
                  <w:rFonts w:ascii="Times New Roman" w:hAnsi="Times New Roman"/>
                  <w:b w:val="false"/>
                  <w:color w:val="0000FF"/>
                  <w:sz w:val="20"/>
                  <w:u w:val="single"/>
                </w:rPr>
                <w:t>Item 2. Unregistered Sales of Equity Securities, Use of Proceeds, and Issuer Purchases of Equity Securities</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360"/>
              <w:jc w:val="right"/>
              <w:rPr>
                <w:rFonts w:ascii="Times New Roman" w:hAnsi="Times New Roman"/>
                <w:b/>
                <w:color w:val="000000"/>
                <w:sz w:val="20"/>
              </w:rPr>
            </w:pPr>
            <w:r>
              <w:rPr>
                <w:rFonts w:ascii="Times New Roman" w:hAnsi="Times New Roman"/>
                <w:b/>
                <w:color w:val="000000"/>
                <w:sz w:val="20"/>
              </w:rPr>
              <w:t>41</w:t>
            </w:r>
          </w:p>
        </w:tc>
      </w:tr>
      <w:tr>
        <w:trPr/>
        <w:tc>
          <w:tcPr>
            <w:tcW w:w="8803" w:type="dxa"/>
            <w:tcBorders/>
            <w:vAlign w:val="center"/>
          </w:tcPr>
          <w:p>
            <w:pPr>
              <w:pStyle w:val="TableContents"/>
              <w:bidi w:val="0"/>
              <w:spacing w:before="0" w:after="283"/>
              <w:ind w:left="360" w:right="0" w:firstLine="360"/>
              <w:jc w:val="left"/>
              <w:rPr/>
            </w:pPr>
            <w:hyperlink w:anchor="item_3_defaults_upon_senior_securities">
              <w:r>
                <w:rPr>
                  <w:rStyle w:val="InternetLink"/>
                  <w:rFonts w:ascii="Times New Roman" w:hAnsi="Times New Roman"/>
                  <w:b w:val="false"/>
                  <w:color w:val="0000FF"/>
                  <w:sz w:val="20"/>
                  <w:u w:val="single"/>
                </w:rPr>
                <w:t>Item 3. Defaults Upon Senior Securities</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360"/>
              <w:jc w:val="right"/>
              <w:rPr>
                <w:rFonts w:ascii="Times New Roman" w:hAnsi="Times New Roman"/>
                <w:b/>
                <w:color w:val="000000"/>
                <w:sz w:val="20"/>
              </w:rPr>
            </w:pPr>
            <w:r>
              <w:rPr>
                <w:rFonts w:ascii="Times New Roman" w:hAnsi="Times New Roman"/>
                <w:b/>
                <w:color w:val="000000"/>
                <w:sz w:val="20"/>
              </w:rPr>
              <w:t>42</w:t>
            </w:r>
          </w:p>
        </w:tc>
      </w:tr>
      <w:tr>
        <w:trPr/>
        <w:tc>
          <w:tcPr>
            <w:tcW w:w="8803" w:type="dxa"/>
            <w:tcBorders/>
            <w:vAlign w:val="center"/>
          </w:tcPr>
          <w:p>
            <w:pPr>
              <w:pStyle w:val="TableContents"/>
              <w:bidi w:val="0"/>
              <w:spacing w:before="0" w:after="283"/>
              <w:ind w:left="360" w:right="0" w:firstLine="360"/>
              <w:jc w:val="left"/>
              <w:rPr/>
            </w:pPr>
            <w:hyperlink w:anchor="item_4_mine_safety_disclosures">
              <w:r>
                <w:rPr>
                  <w:rStyle w:val="InternetLink"/>
                  <w:rFonts w:ascii="Times New Roman" w:hAnsi="Times New Roman"/>
                  <w:b w:val="false"/>
                  <w:color w:val="0000FF"/>
                  <w:sz w:val="20"/>
                  <w:u w:val="single"/>
                </w:rPr>
                <w:t>Item 4. Mine Safety Disclosures</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360"/>
              <w:jc w:val="right"/>
              <w:rPr>
                <w:rFonts w:ascii="Times New Roman" w:hAnsi="Times New Roman"/>
                <w:b/>
                <w:color w:val="000000"/>
                <w:sz w:val="20"/>
              </w:rPr>
            </w:pPr>
            <w:r>
              <w:rPr>
                <w:rFonts w:ascii="Times New Roman" w:hAnsi="Times New Roman"/>
                <w:b/>
                <w:color w:val="000000"/>
                <w:sz w:val="20"/>
              </w:rPr>
              <w:t>42</w:t>
            </w:r>
          </w:p>
        </w:tc>
      </w:tr>
      <w:tr>
        <w:trPr/>
        <w:tc>
          <w:tcPr>
            <w:tcW w:w="8803" w:type="dxa"/>
            <w:tcBorders/>
            <w:vAlign w:val="center"/>
          </w:tcPr>
          <w:p>
            <w:pPr>
              <w:pStyle w:val="TableContents"/>
              <w:bidi w:val="0"/>
              <w:spacing w:before="0" w:after="283"/>
              <w:ind w:left="360" w:right="0" w:firstLine="360"/>
              <w:jc w:val="left"/>
              <w:rPr/>
            </w:pPr>
            <w:hyperlink w:anchor="item_5_or_information">
              <w:r>
                <w:rPr>
                  <w:rStyle w:val="InternetLink"/>
                  <w:rFonts w:ascii="Times New Roman" w:hAnsi="Times New Roman"/>
                  <w:b w:val="false"/>
                  <w:color w:val="0000FF"/>
                  <w:sz w:val="20"/>
                  <w:u w:val="single"/>
                </w:rPr>
                <w:t>Item 5. Other Information</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360"/>
              <w:jc w:val="right"/>
              <w:rPr>
                <w:rFonts w:ascii="Times New Roman" w:hAnsi="Times New Roman"/>
                <w:b/>
                <w:color w:val="000000"/>
                <w:sz w:val="20"/>
              </w:rPr>
            </w:pPr>
            <w:r>
              <w:rPr>
                <w:rFonts w:ascii="Times New Roman" w:hAnsi="Times New Roman"/>
                <w:b/>
                <w:color w:val="000000"/>
                <w:sz w:val="20"/>
              </w:rPr>
              <w:t>42</w:t>
            </w:r>
          </w:p>
        </w:tc>
      </w:tr>
      <w:tr>
        <w:trPr/>
        <w:tc>
          <w:tcPr>
            <w:tcW w:w="8803" w:type="dxa"/>
            <w:tcBorders/>
            <w:vAlign w:val="center"/>
          </w:tcPr>
          <w:p>
            <w:pPr>
              <w:pStyle w:val="TableContents"/>
              <w:bidi w:val="0"/>
              <w:spacing w:before="0" w:after="283"/>
              <w:ind w:left="360" w:right="0" w:firstLine="360"/>
              <w:jc w:val="left"/>
              <w:rPr/>
            </w:pPr>
            <w:hyperlink w:anchor="item_6_exhibits">
              <w:r>
                <w:rPr>
                  <w:rStyle w:val="InternetLink"/>
                  <w:rFonts w:ascii="Times New Roman" w:hAnsi="Times New Roman"/>
                  <w:b w:val="false"/>
                  <w:color w:val="0000FF"/>
                  <w:sz w:val="20"/>
                  <w:u w:val="single"/>
                </w:rPr>
                <w:t>Item 6. Exhibits</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w:t>
            </w:r>
          </w:p>
        </w:tc>
      </w:tr>
      <w:tr>
        <w:trPr/>
        <w:tc>
          <w:tcPr>
            <w:tcW w:w="8803" w:type="dxa"/>
            <w:tcBorders/>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This Quarterly Report on Form 10-Q contains forward-looking statements within the meaning of federal securities laws. All statements contained in this Quarterly Report on Form 10-Q other than statements of historical fact, including statements regarding our future operating results and financial position, our business strategy and plans, products, services, and technology offerings, market conditions, growth and trends, expansion plans and opportunities, and our objectives for future operations, are forward-looking statements. The words “believe,” “may,” “will,” “estimate,” “continue,” “anticipate,” “intend,” “expect,” “could,” “would,” “project,” “plan,” “potentially,” “preliminary,” “likely” and similar expressions, and the negative of these expressions, are intended to identify forward-looking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future events and trends discussed in this Quarterly Report on Form 10-Q may not occur and actual results could differ materially and adversely from those anticipated or implied in the forward-looking statements. Factors that could cause actual results to differ include the risks and uncertainties described in Part I, Item 1A. “Risk Factors” of our Annual Report on Form 10-K for the year ended December 31, 2022, which highlight, among other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customer concentration in our Commercial Services and Government Solutions segments;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manage our substantial level of indebtedness;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risks and uncertainties related to our government contracts, including legislative changes, termination rights, delays in payments, audits and investigations;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decreases in the prevalence of automated and other similar methods of photo enforcement, parking solutions or the use of tolling;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keep up with technological developments and changing customer preferences;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successfully implement our acquisition strategy or integrate acquisitions;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failure in or breaches of our networks or systems, including as a result of cyber-attacks;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manage the risks, uncertainties and exposures related to our international operations.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You should not rely on forward-looking statements as predictions of future events. We operate in a very competitive and rapidly changing environment and new risks emerge from time to time. We undertake no obligation to update any of these forward-looking statements for any reason after the date of this Quarterly Report on Form 10-Q or to conform these statements to actual results or revised expectations.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Our Annual Report on Form 10-K, Quarterly Reports on Form 10-Q, Current Reports on Form 8-K, and any amendments to those reports, are available free of charge on our website, verramobility.com, under the heading “Investors” immediately after they are filed with, or furnished to, the SEC. We use our Investor Relations website, ir.verramobility.com,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Information contained on or accessible through, including any reports available on, our website is not a part of, and is not incorporated by reference into, this Quarterly Report on Form 10-Q or any other report or document we file with the SEC. Any reference to our website in this Form 10-Q is intended to be an inactive textual reference only.</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Unless the context indicates otherwise, the terms “Verra Mobility,” the “Company,” “we,” “us,” and “our” as used in this Quarterly Report on Form 10-Q refer to Verra Mobility Corporation, a Delaware corporation, and its subsidiaries taken as a whole.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aps/>
          <w:color w:val="000000"/>
          <w:sz w:val="20"/>
        </w:rPr>
      </w:pPr>
      <w:bookmarkStart w:id="2" w:name="part_ifinancial_information"/>
      <w:bookmarkEnd w:id="2"/>
      <w:r>
        <w:rPr>
          <w:rFonts w:ascii="Times New Roman" w:hAnsi="Times New Roman"/>
          <w:b/>
          <w:caps/>
          <w:color w:val="000000"/>
          <w:sz w:val="20"/>
        </w:rPr>
        <w:t>Part I—Financial Information</w:t>
      </w:r>
    </w:p>
    <w:p>
      <w:pPr>
        <w:pStyle w:val="TextBody"/>
        <w:bidi w:val="0"/>
        <w:spacing w:before="20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72"/>
        <w:gridCol w:w="146"/>
        <w:gridCol w:w="211"/>
        <w:gridCol w:w="931"/>
        <w:gridCol w:w="166"/>
        <w:gridCol w:w="146"/>
        <w:gridCol w:w="211"/>
        <w:gridCol w:w="931"/>
        <w:gridCol w:w="391"/>
      </w:tblGrid>
      <w:tr>
        <w:trPr/>
        <w:tc>
          <w:tcPr>
            <w:tcW w:w="7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72"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except per share data)</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7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ind w:left="0" w:right="0" w:firstLine="100"/>
              <w:jc w:val="center"/>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114,379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105,204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7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Accounts receivable (net of allowance for credit losses of $17.6</w:t>
            </w:r>
            <w:r>
              <w:rPr>
                <w:rFonts w:ascii="Times New Roman" w:hAnsi="Times New Roman"/>
                <w:color w:val="000000"/>
                <w:sz w:val="20"/>
              </w:rPr>
              <w:t> </w:t>
            </w:r>
            <w:r>
              <w:rPr>
                <w:rFonts w:ascii="Times New Roman" w:hAnsi="Times New Roman"/>
                <w:b w:val="false"/>
                <w:color w:val="000000"/>
                <w:sz w:val="20"/>
              </w:rPr>
              <w:t>million and</w:t>
              <w:br/>
              <w:t>$15.9</w:t>
            </w:r>
            <w:r>
              <w:rPr>
                <w:rFonts w:ascii="Times New Roman" w:hAnsi="Times New Roman"/>
                <w:color w:val="000000"/>
                <w:sz w:val="20"/>
              </w:rPr>
              <w:t> </w:t>
            </w:r>
            <w:r>
              <w:rPr>
                <w:rFonts w:ascii="Times New Roman" w:hAnsi="Times New Roman"/>
                <w:b w:val="false"/>
                <w:color w:val="000000"/>
                <w:sz w:val="20"/>
              </w:rPr>
              <w:t>million at September 30,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191,753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163,786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7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Unbilled receivables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30,782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Inventory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19,307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7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39,604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411,292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362,594</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Installation and service parts,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26,127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22,923</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117,827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109,775</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Operating lease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37,593</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Intangible assets,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315,754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377,420</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832,817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833,480</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Other non-current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12,484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1,756,075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1,756,269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89,760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79,869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7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34,322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31,164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59,459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48,847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7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Tax receivable agreement liability,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4,994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Current portion of long-term debt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21,935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197,567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186,809</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Long-term debt,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1,030,351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1,190,045</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Operating lease liabilities, net of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30,552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33,362</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Tax receivable agreement liability,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50,900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50,900</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Private placement warrant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24,066</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Asset retirement obligations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12,993</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Deferred tax liabilities,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21,149</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Other long-term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1,352,019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1,525,199</w:t>
            </w:r>
          </w:p>
        </w:tc>
        <w:tc>
          <w:tcPr>
            <w:tcW w:w="391" w:type="dxa"/>
            <w:tcBorders/>
            <w:shd w:fill="FFFFFF" w:val="clear"/>
            <w:vAlign w:val="center"/>
          </w:tcPr>
          <w:p>
            <w:pPr>
              <w:pStyle w:val="TableContents"/>
              <w:bidi w:val="0"/>
              <w:spacing w:before="0" w:after="283"/>
              <w:jc w:val="left"/>
              <w:rPr/>
            </w:pPr>
            <w:r>
              <w:rPr/>
              <w:t> </w:t>
            </w:r>
          </w:p>
        </w:tc>
      </w:tr>
      <w:tr>
        <w:trPr/>
        <w:tc>
          <w:tcPr>
            <w:tcW w:w="70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Commitments and contingencies (Note 13)</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70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100"/>
              <w:jc w:val="righ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20"/>
              </w:rPr>
              <w:t>Preferred stock, $0.0001</w:t>
            </w:r>
            <w:r>
              <w:rPr>
                <w:rFonts w:ascii="Times New Roman" w:hAnsi="Times New Roman"/>
                <w:color w:val="000000"/>
                <w:sz w:val="20"/>
              </w:rPr>
              <w:t> </w:t>
            </w:r>
            <w:r>
              <w:rPr>
                <w:rFonts w:ascii="Times New Roman" w:hAnsi="Times New Roman"/>
                <w:b w:val="false"/>
                <w:color w:val="000000"/>
                <w:sz w:val="20"/>
              </w:rPr>
              <w:t>par value, 1,000</w:t>
            </w:r>
            <w:r>
              <w:rPr>
                <w:rFonts w:ascii="Times New Roman" w:hAnsi="Times New Roman"/>
                <w:color w:val="000000"/>
                <w:sz w:val="20"/>
              </w:rPr>
              <w:t> </w:t>
            </w:r>
            <w:r>
              <w:rPr>
                <w:rFonts w:ascii="Times New Roman" w:hAnsi="Times New Roman"/>
                <w:b w:val="false"/>
                <w:color w:val="000000"/>
                <w:sz w:val="20"/>
              </w:rPr>
              <w:t>shares authorized with no</w:t>
            </w:r>
            <w:r>
              <w:rPr>
                <w:rFonts w:ascii="Times New Roman" w:hAnsi="Times New Roman"/>
                <w:color w:val="000000"/>
                <w:sz w:val="20"/>
              </w:rPr>
              <w:t> </w:t>
            </w:r>
            <w:r>
              <w:rPr>
                <w:rFonts w:ascii="Times New Roman" w:hAnsi="Times New Roman"/>
                <w:b w:val="false"/>
                <w:color w:val="000000"/>
                <w:sz w:val="20"/>
              </w:rPr>
              <w:t>shares issued and outstanding at September 30, 2023 and December 31, 2022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20"/>
              </w:rPr>
              <w:t>Common stock, $0.0001</w:t>
            </w:r>
            <w:r>
              <w:rPr>
                <w:rFonts w:ascii="Times New Roman" w:hAnsi="Times New Roman"/>
                <w:color w:val="000000"/>
                <w:sz w:val="20"/>
              </w:rPr>
              <w:t> </w:t>
            </w:r>
            <w:r>
              <w:rPr>
                <w:rFonts w:ascii="Times New Roman" w:hAnsi="Times New Roman"/>
                <w:b w:val="false"/>
                <w:color w:val="000000"/>
                <w:sz w:val="20"/>
              </w:rPr>
              <w:t>par value, 260,000</w:t>
            </w:r>
            <w:r>
              <w:rPr>
                <w:rFonts w:ascii="Times New Roman" w:hAnsi="Times New Roman"/>
                <w:color w:val="000000"/>
                <w:sz w:val="20"/>
              </w:rPr>
              <w:t> </w:t>
            </w:r>
            <w:r>
              <w:rPr>
                <w:rFonts w:ascii="Times New Roman" w:hAnsi="Times New Roman"/>
                <w:b w:val="false"/>
                <w:color w:val="000000"/>
                <w:sz w:val="20"/>
              </w:rPr>
              <w:t>shares authorized with 166,310</w:t>
              <w:br/>
              <w:t>and 148,962</w:t>
            </w:r>
            <w:r>
              <w:rPr>
                <w:rFonts w:ascii="Times New Roman" w:hAnsi="Times New Roman"/>
                <w:color w:val="000000"/>
                <w:sz w:val="20"/>
              </w:rPr>
              <w:t> </w:t>
            </w:r>
            <w:r>
              <w:rPr>
                <w:rFonts w:ascii="Times New Roman" w:hAnsi="Times New Roman"/>
                <w:b w:val="false"/>
                <w:color w:val="000000"/>
                <w:sz w:val="20"/>
              </w:rPr>
              <w:t>shares issued and outstanding at September 30, 2023 and December 31, 2022,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Common stock contingent consideration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36,575</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549,374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305,423</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(128,909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(98,078</w:t>
            </w:r>
          </w:p>
        </w:tc>
        <w:tc>
          <w:tcPr>
            <w:tcW w:w="39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0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404,056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231,070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1,756,075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1,756,269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val="false"/>
          <w:color w:val="000000"/>
          <w:sz w:val="20"/>
        </w:rPr>
        <w:t>See accompanying Notes to the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AND COMPREHENSIVE INCOME</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362"/>
        <w:gridCol w:w="146"/>
        <w:gridCol w:w="235"/>
        <w:gridCol w:w="873"/>
        <w:gridCol w:w="185"/>
        <w:gridCol w:w="162"/>
        <w:gridCol w:w="235"/>
        <w:gridCol w:w="873"/>
        <w:gridCol w:w="166"/>
        <w:gridCol w:w="146"/>
        <w:gridCol w:w="230"/>
        <w:gridCol w:w="852"/>
        <w:gridCol w:w="180"/>
        <w:gridCol w:w="159"/>
        <w:gridCol w:w="230"/>
        <w:gridCol w:w="852"/>
        <w:gridCol w:w="319"/>
      </w:tblGrid>
      <w:tr>
        <w:trPr/>
        <w:tc>
          <w:tcPr>
            <w:tcW w:w="4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43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2"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except per share data)</w:t>
            </w:r>
          </w:p>
        </w:tc>
        <w:tc>
          <w:tcPr>
            <w:tcW w:w="146" w:type="dxa"/>
            <w:tcBorders/>
            <w:shd w:fill="FFFFFF" w:val="clear"/>
            <w:vAlign w:val="center"/>
          </w:tcPr>
          <w:p>
            <w:pPr>
              <w:pStyle w:val="TableContents"/>
              <w:bidi w:val="0"/>
              <w:spacing w:before="0" w:after="283"/>
              <w:jc w:val="center"/>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2"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Service revenue</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73"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201,029</w:t>
            </w:r>
          </w:p>
        </w:tc>
        <w:tc>
          <w:tcPr>
            <w:tcW w:w="185"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73"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180,617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581,777</w:t>
            </w:r>
          </w:p>
        </w:tc>
        <w:tc>
          <w:tcPr>
            <w:tcW w:w="180"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516,253</w:t>
            </w:r>
          </w:p>
        </w:tc>
        <w:tc>
          <w:tcPr>
            <w:tcW w:w="319" w:type="dxa"/>
            <w:tcBorders/>
            <w:shd w:fill="CFF0FC" w:val="clear"/>
            <w:vAlign w:val="center"/>
          </w:tcPr>
          <w:p>
            <w:pPr>
              <w:pStyle w:val="TableContents"/>
              <w:bidi w:val="0"/>
              <w:spacing w:before="0" w:after="283"/>
              <w:jc w:val="left"/>
              <w:rPr/>
            </w:pPr>
            <w:r>
              <w:rPr/>
              <w:t> </w:t>
            </w:r>
          </w:p>
        </w:tc>
      </w:tr>
      <w:tr>
        <w:trPr/>
        <w:tc>
          <w:tcPr>
            <w:tcW w:w="4362"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Product sales</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8,904</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17,039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24,520</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39,275</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62" w:type="dxa"/>
            <w:tcBorders/>
            <w:shd w:fill="CFF0FC" w:val="clear"/>
            <w:vAlign w:val="center"/>
          </w:tcPr>
          <w:p>
            <w:pPr>
              <w:pStyle w:val="TableContents"/>
              <w:bidi w:val="0"/>
              <w:spacing w:before="0" w:after="283"/>
              <w:ind w:left="100" w:right="0" w:firstLine="100"/>
              <w:jc w:val="left"/>
              <w:rPr>
                <w:rFonts w:ascii="Times New Roman" w:hAnsi="Times New Roman"/>
                <w:b/>
                <w:color w:val="000000"/>
                <w:sz w:val="19"/>
              </w:rPr>
            </w:pPr>
            <w:r>
              <w:rPr>
                <w:rFonts w:ascii="Times New Roman" w:hAnsi="Times New Roman"/>
                <w:b/>
                <w:color w:val="000000"/>
                <w:sz w:val="19"/>
              </w:rPr>
              <w:t>Total revenue</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209,933</w:t>
            </w:r>
          </w:p>
        </w:tc>
        <w:tc>
          <w:tcPr>
            <w:tcW w:w="185"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197,656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606,297</w:t>
            </w:r>
          </w:p>
        </w:tc>
        <w:tc>
          <w:tcPr>
            <w:tcW w:w="180"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555,528</w:t>
            </w:r>
          </w:p>
        </w:tc>
        <w:tc>
          <w:tcPr>
            <w:tcW w:w="319" w:type="dxa"/>
            <w:tcBorders/>
            <w:shd w:fill="CFF0FC" w:val="clear"/>
            <w:vAlign w:val="center"/>
          </w:tcPr>
          <w:p>
            <w:pPr>
              <w:pStyle w:val="TableContents"/>
              <w:bidi w:val="0"/>
              <w:spacing w:before="0" w:after="283"/>
              <w:jc w:val="left"/>
              <w:rPr/>
            </w:pPr>
            <w:r>
              <w:rPr/>
              <w:t> </w:t>
            </w:r>
          </w:p>
        </w:tc>
      </w:tr>
      <w:tr>
        <w:trPr/>
        <w:tc>
          <w:tcPr>
            <w:tcW w:w="4362"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Cost of service revenue</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5,150</w:t>
            </w:r>
          </w:p>
        </w:tc>
        <w:tc>
          <w:tcPr>
            <w:tcW w:w="185"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4,144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13,718</w:t>
            </w:r>
          </w:p>
        </w:tc>
        <w:tc>
          <w:tcPr>
            <w:tcW w:w="18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11,636</w:t>
            </w:r>
          </w:p>
        </w:tc>
        <w:tc>
          <w:tcPr>
            <w:tcW w:w="319" w:type="dxa"/>
            <w:tcBorders/>
            <w:shd w:fill="FFFFFF" w:val="clear"/>
            <w:vAlign w:val="center"/>
          </w:tcPr>
          <w:p>
            <w:pPr>
              <w:pStyle w:val="TableContents"/>
              <w:bidi w:val="0"/>
              <w:spacing w:before="0" w:after="283"/>
              <w:jc w:val="left"/>
              <w:rPr/>
            </w:pPr>
            <w:r>
              <w:rPr/>
              <w:t> </w:t>
            </w:r>
          </w:p>
        </w:tc>
      </w:tr>
      <w:tr>
        <w:trPr/>
        <w:tc>
          <w:tcPr>
            <w:tcW w:w="4362"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Cost of product sales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6,864</w:t>
            </w:r>
          </w:p>
        </w:tc>
        <w:tc>
          <w:tcPr>
            <w:tcW w:w="185"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11,317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18,209</w:t>
            </w:r>
          </w:p>
        </w:tc>
        <w:tc>
          <w:tcPr>
            <w:tcW w:w="180"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25,638</w:t>
            </w:r>
          </w:p>
        </w:tc>
        <w:tc>
          <w:tcPr>
            <w:tcW w:w="319" w:type="dxa"/>
            <w:tcBorders/>
            <w:shd w:fill="CFF0FC" w:val="clear"/>
            <w:vAlign w:val="center"/>
          </w:tcPr>
          <w:p>
            <w:pPr>
              <w:pStyle w:val="TableContents"/>
              <w:bidi w:val="0"/>
              <w:spacing w:before="0" w:after="283"/>
              <w:jc w:val="left"/>
              <w:rPr/>
            </w:pPr>
            <w:r>
              <w:rPr/>
              <w:t> </w:t>
            </w:r>
          </w:p>
        </w:tc>
      </w:tr>
      <w:tr>
        <w:trPr/>
        <w:tc>
          <w:tcPr>
            <w:tcW w:w="4362"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Operating expenses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68,873</w:t>
            </w:r>
          </w:p>
        </w:tc>
        <w:tc>
          <w:tcPr>
            <w:tcW w:w="185"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60,536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196,373</w:t>
            </w:r>
          </w:p>
        </w:tc>
        <w:tc>
          <w:tcPr>
            <w:tcW w:w="18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166,795</w:t>
            </w:r>
          </w:p>
        </w:tc>
        <w:tc>
          <w:tcPr>
            <w:tcW w:w="319" w:type="dxa"/>
            <w:tcBorders/>
            <w:shd w:fill="FFFFFF" w:val="clear"/>
            <w:vAlign w:val="center"/>
          </w:tcPr>
          <w:p>
            <w:pPr>
              <w:pStyle w:val="TableContents"/>
              <w:bidi w:val="0"/>
              <w:spacing w:before="0" w:after="283"/>
              <w:jc w:val="left"/>
              <w:rPr/>
            </w:pPr>
            <w:r>
              <w:rPr/>
              <w:t> </w:t>
            </w:r>
          </w:p>
        </w:tc>
      </w:tr>
      <w:tr>
        <w:trPr/>
        <w:tc>
          <w:tcPr>
            <w:tcW w:w="4362"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42,276</w:t>
            </w:r>
          </w:p>
        </w:tc>
        <w:tc>
          <w:tcPr>
            <w:tcW w:w="185"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41,126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125,494</w:t>
            </w:r>
          </w:p>
        </w:tc>
        <w:tc>
          <w:tcPr>
            <w:tcW w:w="180"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122,913</w:t>
            </w:r>
          </w:p>
        </w:tc>
        <w:tc>
          <w:tcPr>
            <w:tcW w:w="319" w:type="dxa"/>
            <w:tcBorders/>
            <w:shd w:fill="CFF0FC" w:val="clear"/>
            <w:vAlign w:val="center"/>
          </w:tcPr>
          <w:p>
            <w:pPr>
              <w:pStyle w:val="TableContents"/>
              <w:bidi w:val="0"/>
              <w:spacing w:before="0" w:after="283"/>
              <w:jc w:val="left"/>
              <w:rPr/>
            </w:pPr>
            <w:r>
              <w:rPr/>
              <w:t> </w:t>
            </w:r>
          </w:p>
        </w:tc>
      </w:tr>
      <w:tr>
        <w:trPr/>
        <w:tc>
          <w:tcPr>
            <w:tcW w:w="4362"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Depreciation, amortization and (gain) loss on disposal of assets, net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27,597</w:t>
            </w:r>
          </w:p>
        </w:tc>
        <w:tc>
          <w:tcPr>
            <w:tcW w:w="185"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35,035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87,018</w:t>
            </w:r>
          </w:p>
        </w:tc>
        <w:tc>
          <w:tcPr>
            <w:tcW w:w="18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105,881</w:t>
            </w:r>
          </w:p>
        </w:tc>
        <w:tc>
          <w:tcPr>
            <w:tcW w:w="319" w:type="dxa"/>
            <w:tcBorders/>
            <w:shd w:fill="FFFFFF" w:val="clear"/>
            <w:vAlign w:val="center"/>
          </w:tcPr>
          <w:p>
            <w:pPr>
              <w:pStyle w:val="TableContents"/>
              <w:bidi w:val="0"/>
              <w:spacing w:before="0" w:after="283"/>
              <w:ind w:left="0" w:right="0" w:firstLine="100"/>
              <w:jc w:val="left"/>
              <w:rPr/>
            </w:pPr>
            <w:r>
              <w:rPr/>
              <w:t> </w:t>
            </w:r>
          </w:p>
        </w:tc>
      </w:tr>
      <w:tr>
        <w:trPr/>
        <w:tc>
          <w:tcPr>
            <w:tcW w:w="4362"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9"/>
              </w:rPr>
            </w:pPr>
            <w:r>
              <w:rPr>
                <w:rFonts w:ascii="Times New Roman" w:hAnsi="Times New Roman"/>
                <w:b w:val="false"/>
                <w:color w:val="000000"/>
                <w:sz w:val="19"/>
              </w:rPr>
              <w:t>Total costs and expenses</w:t>
            </w:r>
          </w:p>
        </w:tc>
        <w:tc>
          <w:tcPr>
            <w:tcW w:w="146" w:type="dxa"/>
            <w:tcBorders/>
            <w:shd w:fill="CFF0FC" w:val="clear"/>
            <w:vAlign w:val="center"/>
          </w:tcPr>
          <w:p>
            <w:pPr>
              <w:pStyle w:val="TableContents"/>
              <w:bidi w:val="0"/>
              <w:spacing w:before="0" w:after="283"/>
              <w:jc w:val="left"/>
              <w:rPr/>
            </w:pPr>
            <w:r>
              <w:rPr/>
              <w:t> </w:t>
            </w:r>
          </w:p>
        </w:tc>
        <w:tc>
          <w:tcPr>
            <w:tcW w:w="23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7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150,760</w:t>
            </w:r>
          </w:p>
        </w:tc>
        <w:tc>
          <w:tcPr>
            <w:tcW w:w="18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7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152,158</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5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440,812</w:t>
            </w:r>
          </w:p>
        </w:tc>
        <w:tc>
          <w:tcPr>
            <w:tcW w:w="180"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5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432,863</w:t>
            </w:r>
          </w:p>
        </w:tc>
        <w:tc>
          <w:tcPr>
            <w:tcW w:w="319" w:type="dxa"/>
            <w:tcBorders>
              <w:top w:val="single" w:sz="4" w:space="0" w:color="000000"/>
            </w:tcBorders>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62"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19"/>
              </w:rPr>
            </w:pPr>
            <w:r>
              <w:rPr>
                <w:rFonts w:ascii="Times New Roman" w:hAnsi="Times New Roman"/>
                <w:b/>
                <w:color w:val="000000"/>
                <w:sz w:val="19"/>
              </w:rPr>
              <w:t>Income from operations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59,173</w:t>
            </w:r>
          </w:p>
        </w:tc>
        <w:tc>
          <w:tcPr>
            <w:tcW w:w="185"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45,498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165,485</w:t>
            </w:r>
          </w:p>
        </w:tc>
        <w:tc>
          <w:tcPr>
            <w:tcW w:w="18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122,665</w:t>
            </w:r>
          </w:p>
        </w:tc>
        <w:tc>
          <w:tcPr>
            <w:tcW w:w="319" w:type="dxa"/>
            <w:tcBorders/>
            <w:shd w:fill="FFFFFF" w:val="clear"/>
            <w:vAlign w:val="center"/>
          </w:tcPr>
          <w:p>
            <w:pPr>
              <w:pStyle w:val="TableContents"/>
              <w:bidi w:val="0"/>
              <w:spacing w:before="0" w:after="283"/>
              <w:jc w:val="left"/>
              <w:rPr/>
            </w:pPr>
            <w:r>
              <w:rPr/>
              <w:t> </w:t>
            </w:r>
          </w:p>
        </w:tc>
      </w:tr>
      <w:tr>
        <w:trPr/>
        <w:tc>
          <w:tcPr>
            <w:tcW w:w="4362"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Interest expense, net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20,384</w:t>
            </w:r>
          </w:p>
        </w:tc>
        <w:tc>
          <w:tcPr>
            <w:tcW w:w="185"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20,260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65,842</w:t>
            </w:r>
          </w:p>
        </w:tc>
        <w:tc>
          <w:tcPr>
            <w:tcW w:w="180"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49,024</w:t>
            </w:r>
          </w:p>
        </w:tc>
        <w:tc>
          <w:tcPr>
            <w:tcW w:w="319" w:type="dxa"/>
            <w:tcBorders/>
            <w:shd w:fill="CFF0FC" w:val="clear"/>
            <w:vAlign w:val="center"/>
          </w:tcPr>
          <w:p>
            <w:pPr>
              <w:pStyle w:val="TableContents"/>
              <w:bidi w:val="0"/>
              <w:spacing w:before="0" w:after="283"/>
              <w:jc w:val="left"/>
              <w:rPr/>
            </w:pPr>
            <w:r>
              <w:rPr/>
              <w:t> </w:t>
            </w:r>
          </w:p>
        </w:tc>
      </w:tr>
      <w:tr>
        <w:trPr/>
        <w:tc>
          <w:tcPr>
            <w:tcW w:w="4362"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Change in fair value of private placement warrants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(553</w:t>
            </w:r>
          </w:p>
        </w:tc>
        <w:tc>
          <w:tcPr>
            <w:tcW w:w="185"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(2,267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24,966</w:t>
            </w:r>
          </w:p>
        </w:tc>
        <w:tc>
          <w:tcPr>
            <w:tcW w:w="18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(5,133</w:t>
            </w:r>
          </w:p>
        </w:tc>
        <w:tc>
          <w:tcPr>
            <w:tcW w:w="319"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4362"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Tax receivable agreement liability adjustment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color w:val="000000"/>
              </w:rPr>
            </w:pPr>
            <w:r>
              <w:rPr>
                <w:color w:val="000000"/>
              </w:rPr>
              <w:t>—</w:t>
            </w:r>
          </w:p>
        </w:tc>
        <w:tc>
          <w:tcPr>
            <w:tcW w:w="185"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color w:val="000000"/>
              </w:rPr>
            </w:pPr>
            <w:r>
              <w:rPr>
                <w:color w:val="000000"/>
              </w:rPr>
              <w:t>—</w:t>
            </w:r>
          </w:p>
        </w:tc>
        <w:tc>
          <w:tcPr>
            <w:tcW w:w="180"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(965</w:t>
            </w:r>
          </w:p>
        </w:tc>
        <w:tc>
          <w:tcPr>
            <w:tcW w:w="319"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4362"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Loss (gain) on interest rate swap</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60</w:t>
            </w:r>
          </w:p>
        </w:tc>
        <w:tc>
          <w:tcPr>
            <w:tcW w:w="185"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(1,947</w:t>
            </w:r>
          </w:p>
        </w:tc>
        <w:tc>
          <w:tcPr>
            <w:tcW w:w="180"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color w:val="000000"/>
              </w:rPr>
            </w:pPr>
            <w:r>
              <w:rPr>
                <w:color w:val="000000"/>
              </w:rPr>
              <w:t>—</w:t>
            </w:r>
          </w:p>
        </w:tc>
        <w:tc>
          <w:tcPr>
            <w:tcW w:w="319" w:type="dxa"/>
            <w:tcBorders/>
            <w:shd w:fill="FFFFFF" w:val="clear"/>
            <w:vAlign w:val="center"/>
          </w:tcPr>
          <w:p>
            <w:pPr>
              <w:pStyle w:val="TableContents"/>
              <w:bidi w:val="0"/>
              <w:spacing w:before="0" w:after="283"/>
              <w:jc w:val="left"/>
              <w:rPr/>
            </w:pPr>
            <w:r>
              <w:rPr/>
              <w:t> </w:t>
            </w:r>
          </w:p>
        </w:tc>
      </w:tr>
      <w:tr>
        <w:trPr/>
        <w:tc>
          <w:tcPr>
            <w:tcW w:w="4362"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Loss (gain) on extinguishment of debt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1,975</w:t>
            </w:r>
          </w:p>
        </w:tc>
        <w:tc>
          <w:tcPr>
            <w:tcW w:w="185"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(3,005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3,533</w:t>
            </w:r>
          </w:p>
        </w:tc>
        <w:tc>
          <w:tcPr>
            <w:tcW w:w="180"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(3,005</w:t>
            </w:r>
          </w:p>
        </w:tc>
        <w:tc>
          <w:tcPr>
            <w:tcW w:w="319"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4362"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Other income, net</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(4,498</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62"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(2,462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(12,766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59"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(9,367</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19"/>
              </w:rPr>
            </w:pPr>
            <w:r>
              <w:rPr>
                <w:rFonts w:ascii="Times New Roman" w:hAnsi="Times New Roman"/>
                <w:b w:val="false"/>
                <w:color w:val="000000"/>
                <w:sz w:val="19"/>
              </w:rPr>
              <w:t>)</w:t>
            </w:r>
          </w:p>
        </w:tc>
      </w:tr>
      <w:tr>
        <w:trPr/>
        <w:tc>
          <w:tcPr>
            <w:tcW w:w="4362"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9"/>
              </w:rPr>
            </w:pPr>
            <w:r>
              <w:rPr>
                <w:rFonts w:ascii="Times New Roman" w:hAnsi="Times New Roman"/>
                <w:b w:val="false"/>
                <w:color w:val="000000"/>
                <w:sz w:val="19"/>
              </w:rPr>
              <w:t>Total other expenses</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17,368</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12,526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79,628</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30,554</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2"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Income before income taxes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41,805</w:t>
            </w:r>
          </w:p>
        </w:tc>
        <w:tc>
          <w:tcPr>
            <w:tcW w:w="185"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32,972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85,857</w:t>
            </w:r>
          </w:p>
        </w:tc>
        <w:tc>
          <w:tcPr>
            <w:tcW w:w="18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92,111</w:t>
            </w:r>
          </w:p>
        </w:tc>
        <w:tc>
          <w:tcPr>
            <w:tcW w:w="319" w:type="dxa"/>
            <w:tcBorders/>
            <w:shd w:fill="FFFFFF" w:val="clear"/>
            <w:vAlign w:val="center"/>
          </w:tcPr>
          <w:p>
            <w:pPr>
              <w:pStyle w:val="TableContents"/>
              <w:bidi w:val="0"/>
              <w:spacing w:before="0" w:after="283"/>
              <w:jc w:val="left"/>
              <w:rPr/>
            </w:pPr>
            <w:r>
              <w:rPr/>
              <w:t> </w:t>
            </w:r>
          </w:p>
        </w:tc>
      </w:tr>
      <w:tr>
        <w:trPr/>
        <w:tc>
          <w:tcPr>
            <w:tcW w:w="4362"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Income tax provision</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11,497</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8,396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31,864</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27,854</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62"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19"/>
              </w:rPr>
            </w:pPr>
            <w:r>
              <w:rPr>
                <w:rFonts w:ascii="Times New Roman" w:hAnsi="Times New Roman"/>
                <w:b/>
                <w:color w:val="000000"/>
                <w:sz w:val="19"/>
              </w:rPr>
              <w:t>Net income</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30,308</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24,576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53,993</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64,257</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2"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Other comprehensive loss:</w:t>
            </w:r>
          </w:p>
        </w:tc>
        <w:tc>
          <w:tcPr>
            <w:tcW w:w="146" w:type="dxa"/>
            <w:tcBorders/>
            <w:shd w:fill="CFF0FC" w:val="clear"/>
            <w:vAlign w:val="center"/>
          </w:tcPr>
          <w:p>
            <w:pPr>
              <w:pStyle w:val="TableContents"/>
              <w:bidi w:val="0"/>
              <w:spacing w:before="0" w:after="283"/>
              <w:jc w:val="left"/>
              <w:rPr/>
            </w:pPr>
            <w:r>
              <w:rPr/>
              <w:t> </w:t>
            </w:r>
          </w:p>
        </w:tc>
        <w:tc>
          <w:tcPr>
            <w:tcW w:w="1108" w:type="dxa"/>
            <w:gridSpan w:val="2"/>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110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right"/>
              <w:rPr/>
            </w:pPr>
            <w:r>
              <w:rPr/>
              <w:t> </w:t>
            </w:r>
          </w:p>
        </w:tc>
      </w:tr>
      <w:tr>
        <w:trPr/>
        <w:tc>
          <w:tcPr>
            <w:tcW w:w="4362"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Change in 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(4,189</w:t>
            </w:r>
          </w:p>
        </w:tc>
        <w:tc>
          <w:tcPr>
            <w:tcW w:w="185"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(8,167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(3,561</w:t>
            </w:r>
          </w:p>
        </w:tc>
        <w:tc>
          <w:tcPr>
            <w:tcW w:w="180"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(15,840</w:t>
            </w:r>
          </w:p>
        </w:tc>
        <w:tc>
          <w:tcPr>
            <w:tcW w:w="319"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9"/>
              </w:rPr>
            </w:pPr>
            <w:r>
              <w:rPr>
                <w:rFonts w:ascii="Times New Roman" w:hAnsi="Times New Roman"/>
                <w:b w:val="false"/>
                <w:color w:val="000000"/>
                <w:sz w:val="19"/>
              </w:rPr>
              <w:t>)</w:t>
            </w:r>
          </w:p>
        </w:tc>
      </w:tr>
      <w:tr>
        <w:trPr/>
        <w:tc>
          <w:tcPr>
            <w:tcW w:w="4362" w:type="dxa"/>
            <w:tcBorders/>
            <w:shd w:fill="CFF0FC" w:val="clear"/>
            <w:vAlign w:val="center"/>
          </w:tcPr>
          <w:p>
            <w:pPr>
              <w:pStyle w:val="TableContents"/>
              <w:bidi w:val="0"/>
              <w:spacing w:before="0" w:after="283"/>
              <w:ind w:left="100" w:right="0" w:firstLine="100"/>
              <w:jc w:val="left"/>
              <w:rPr>
                <w:rFonts w:ascii="Times New Roman" w:hAnsi="Times New Roman"/>
                <w:b/>
                <w:color w:val="000000"/>
                <w:sz w:val="19"/>
              </w:rPr>
            </w:pPr>
            <w:r>
              <w:rPr>
                <w:rFonts w:ascii="Times New Roman" w:hAnsi="Times New Roman"/>
                <w:b/>
                <w:color w:val="000000"/>
                <w:sz w:val="19"/>
              </w:rPr>
              <w:t>Total comprehensive income</w:t>
            </w:r>
          </w:p>
        </w:tc>
        <w:tc>
          <w:tcPr>
            <w:tcW w:w="146" w:type="dxa"/>
            <w:tcBorders/>
            <w:shd w:fill="CFF0FC" w:val="clear"/>
            <w:vAlign w:val="center"/>
          </w:tcPr>
          <w:p>
            <w:pPr>
              <w:pStyle w:val="TableContents"/>
              <w:bidi w:val="0"/>
              <w:spacing w:before="0" w:after="283"/>
              <w:jc w:val="left"/>
              <w:rPr/>
            </w:pPr>
            <w:r>
              <w:rPr/>
              <w:t> </w:t>
            </w:r>
          </w:p>
        </w:tc>
        <w:tc>
          <w:tcPr>
            <w:tcW w:w="2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7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26,119</w:t>
            </w:r>
          </w:p>
        </w:tc>
        <w:tc>
          <w:tcPr>
            <w:tcW w:w="18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7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16,409</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5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50,432</w:t>
            </w:r>
          </w:p>
        </w:tc>
        <w:tc>
          <w:tcPr>
            <w:tcW w:w="180"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5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48,417</w:t>
            </w:r>
          </w:p>
        </w:tc>
        <w:tc>
          <w:tcPr>
            <w:tcW w:w="319"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362"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Net income per share:</w:t>
            </w:r>
          </w:p>
        </w:tc>
        <w:tc>
          <w:tcPr>
            <w:tcW w:w="146" w:type="dxa"/>
            <w:tcBorders/>
            <w:shd w:fill="FFFFFF" w:val="clear"/>
            <w:vAlign w:val="center"/>
          </w:tcPr>
          <w:p>
            <w:pPr>
              <w:pStyle w:val="TableContents"/>
              <w:bidi w:val="0"/>
              <w:spacing w:before="0" w:after="283"/>
              <w:jc w:val="left"/>
              <w:rPr/>
            </w:pPr>
            <w:r>
              <w:rPr/>
              <w:t> </w:t>
            </w:r>
          </w:p>
        </w:tc>
        <w:tc>
          <w:tcPr>
            <w:tcW w:w="1108" w:type="dxa"/>
            <w:gridSpan w:val="2"/>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110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right"/>
              <w:rPr/>
            </w:pPr>
            <w:r>
              <w:rPr/>
              <w:t> </w:t>
            </w:r>
          </w:p>
        </w:tc>
      </w:tr>
      <w:tr>
        <w:trPr/>
        <w:tc>
          <w:tcPr>
            <w:tcW w:w="4362"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Basic</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73"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0.18</w:t>
            </w:r>
          </w:p>
        </w:tc>
        <w:tc>
          <w:tcPr>
            <w:tcW w:w="185"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73"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0.16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0.35</w:t>
            </w:r>
          </w:p>
        </w:tc>
        <w:tc>
          <w:tcPr>
            <w:tcW w:w="180"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0.42</w:t>
            </w:r>
          </w:p>
        </w:tc>
        <w:tc>
          <w:tcPr>
            <w:tcW w:w="319" w:type="dxa"/>
            <w:tcBorders/>
            <w:shd w:fill="CFF0FC" w:val="clear"/>
            <w:vAlign w:val="center"/>
          </w:tcPr>
          <w:p>
            <w:pPr>
              <w:pStyle w:val="TableContents"/>
              <w:bidi w:val="0"/>
              <w:spacing w:before="0" w:after="283"/>
              <w:jc w:val="left"/>
              <w:rPr/>
            </w:pPr>
            <w:r>
              <w:rPr/>
              <w:t> </w:t>
            </w:r>
          </w:p>
        </w:tc>
      </w:tr>
      <w:tr>
        <w:trPr/>
        <w:tc>
          <w:tcPr>
            <w:tcW w:w="4362"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Diluted</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0.18</w:t>
            </w:r>
          </w:p>
        </w:tc>
        <w:tc>
          <w:tcPr>
            <w:tcW w:w="185"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0.15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0.34</w:t>
            </w:r>
          </w:p>
        </w:tc>
        <w:tc>
          <w:tcPr>
            <w:tcW w:w="18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0.38</w:t>
            </w:r>
          </w:p>
        </w:tc>
        <w:tc>
          <w:tcPr>
            <w:tcW w:w="319" w:type="dxa"/>
            <w:tcBorders/>
            <w:shd w:fill="FFFFFF" w:val="clear"/>
            <w:vAlign w:val="center"/>
          </w:tcPr>
          <w:p>
            <w:pPr>
              <w:pStyle w:val="TableContents"/>
              <w:bidi w:val="0"/>
              <w:spacing w:before="0" w:after="283"/>
              <w:jc w:val="left"/>
              <w:rPr/>
            </w:pPr>
            <w:r>
              <w:rPr/>
              <w:t> </w:t>
            </w:r>
          </w:p>
        </w:tc>
      </w:tr>
      <w:tr>
        <w:trPr/>
        <w:tc>
          <w:tcPr>
            <w:tcW w:w="4362"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Weighted average shares outstanding:</w:t>
            </w:r>
          </w:p>
        </w:tc>
        <w:tc>
          <w:tcPr>
            <w:tcW w:w="146" w:type="dxa"/>
            <w:tcBorders/>
            <w:shd w:fill="CFF0FC" w:val="clear"/>
            <w:vAlign w:val="center"/>
          </w:tcPr>
          <w:p>
            <w:pPr>
              <w:pStyle w:val="TableContents"/>
              <w:bidi w:val="0"/>
              <w:spacing w:before="0" w:after="283"/>
              <w:jc w:val="left"/>
              <w:rPr/>
            </w:pPr>
            <w:r>
              <w:rPr/>
              <w:t> </w:t>
            </w:r>
          </w:p>
        </w:tc>
        <w:tc>
          <w:tcPr>
            <w:tcW w:w="1108" w:type="dxa"/>
            <w:gridSpan w:val="2"/>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110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right"/>
              <w:rPr/>
            </w:pPr>
            <w:r>
              <w:rPr/>
              <w:t> </w:t>
            </w:r>
          </w:p>
        </w:tc>
      </w:tr>
      <w:tr>
        <w:trPr/>
        <w:tc>
          <w:tcPr>
            <w:tcW w:w="4362"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Basic</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168,089</w:t>
            </w:r>
          </w:p>
        </w:tc>
        <w:tc>
          <w:tcPr>
            <w:tcW w:w="185"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151,429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156,196</w:t>
            </w:r>
          </w:p>
        </w:tc>
        <w:tc>
          <w:tcPr>
            <w:tcW w:w="18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154,067</w:t>
            </w:r>
          </w:p>
        </w:tc>
        <w:tc>
          <w:tcPr>
            <w:tcW w:w="319" w:type="dxa"/>
            <w:tcBorders/>
            <w:shd w:fill="FFFFFF" w:val="clear"/>
            <w:vAlign w:val="center"/>
          </w:tcPr>
          <w:p>
            <w:pPr>
              <w:pStyle w:val="TableContents"/>
              <w:bidi w:val="0"/>
              <w:spacing w:before="0" w:after="283"/>
              <w:jc w:val="left"/>
              <w:rPr/>
            </w:pPr>
            <w:r>
              <w:rPr/>
              <w:t> </w:t>
            </w:r>
          </w:p>
        </w:tc>
      </w:tr>
      <w:tr>
        <w:trPr/>
        <w:tc>
          <w:tcPr>
            <w:tcW w:w="4362"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Diluted</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169,497</w:t>
            </w:r>
          </w:p>
        </w:tc>
        <w:tc>
          <w:tcPr>
            <w:tcW w:w="185"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158,304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157,133</w:t>
            </w:r>
          </w:p>
        </w:tc>
        <w:tc>
          <w:tcPr>
            <w:tcW w:w="180"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160,433</w:t>
            </w:r>
          </w:p>
        </w:tc>
        <w:tc>
          <w:tcPr>
            <w:tcW w:w="319"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val="false"/>
          <w:color w:val="000000"/>
          <w:sz w:val="20"/>
        </w:rPr>
        <w:t>See accompanying Notes to the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bookmarkStart w:id="6" w:name="condensed_consolidated_statements_stockh"/>
      <w:bookmarkEnd w:id="6"/>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jc w:val="center"/>
        <w:rPr/>
      </w:pPr>
      <w:r>
        <w:rPr/>
        <w:t> </w:t>
      </w:r>
    </w:p>
    <w:tbl>
      <w:tblPr>
        <w:tblW w:w="10224" w:type="dxa"/>
        <w:jc w:val="left"/>
        <w:tblInd w:w="0" w:type="dxa"/>
        <w:tblLayout w:type="fixed"/>
        <w:tblCellMar>
          <w:top w:w="28" w:type="dxa"/>
          <w:left w:w="28" w:type="dxa"/>
          <w:bottom w:w="28" w:type="dxa"/>
          <w:right w:w="28" w:type="dxa"/>
        </w:tblCellMar>
      </w:tblPr>
      <w:tblGrid>
        <w:gridCol w:w="1171"/>
        <w:gridCol w:w="146"/>
        <w:gridCol w:w="146"/>
        <w:gridCol w:w="691"/>
        <w:gridCol w:w="166"/>
        <w:gridCol w:w="146"/>
        <w:gridCol w:w="249"/>
        <w:gridCol w:w="442"/>
        <w:gridCol w:w="146"/>
        <w:gridCol w:w="146"/>
        <w:gridCol w:w="256"/>
        <w:gridCol w:w="870"/>
        <w:gridCol w:w="166"/>
        <w:gridCol w:w="146"/>
        <w:gridCol w:w="196"/>
        <w:gridCol w:w="691"/>
        <w:gridCol w:w="166"/>
        <w:gridCol w:w="146"/>
        <w:gridCol w:w="217"/>
        <w:gridCol w:w="834"/>
        <w:gridCol w:w="166"/>
        <w:gridCol w:w="146"/>
        <w:gridCol w:w="278"/>
        <w:gridCol w:w="938"/>
        <w:gridCol w:w="166"/>
        <w:gridCol w:w="146"/>
        <w:gridCol w:w="214"/>
        <w:gridCol w:w="822"/>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013" w:type="dxa"/>
            <w:gridSpan w:val="28"/>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 the Three and Nine Months Ended September 30, 2023</w:t>
            </w:r>
          </w:p>
        </w:tc>
        <w:tc>
          <w:tcPr>
            <w:tcW w:w="211" w:type="dxa"/>
            <w:tcBorders/>
            <w:shd w:fill="FFFFFF"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w:t>
              <w:br/>
              <w:t>Stock</w:t>
              <w:br/>
              <w:t>Contingent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br/>
              <w:t>Stockholders'</w:t>
            </w:r>
          </w:p>
        </w:tc>
        <w:tc>
          <w:tcPr>
            <w:tcW w:w="211" w:type="dxa"/>
            <w:tcBorders/>
            <w:shd w:fill="FFFFFF" w:val="clear"/>
            <w:vAlign w:val="center"/>
          </w:tcPr>
          <w:p>
            <w:pPr>
              <w:pStyle w:val="TableContents"/>
              <w:bidi w:val="0"/>
              <w:spacing w:before="0" w:after="283"/>
              <w:jc w:val="center"/>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Consideration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148,962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44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70"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36,575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305,423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(98,078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93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(12,865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2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231,070</w:t>
            </w:r>
          </w:p>
        </w:tc>
        <w:tc>
          <w:tcPr>
            <w:tcW w:w="211"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4,577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4,577</w:t>
            </w:r>
          </w:p>
        </w:tc>
        <w:tc>
          <w:tcPr>
            <w:tcW w:w="211"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sz w:val="17"/>
              </w:rPr>
            </w:pPr>
            <w:r>
              <w:rPr>
                <w:rFonts w:ascii="Times New Roman" w:hAnsi="Times New Roman"/>
                <w:b w:val="false"/>
                <w:color w:val="000000"/>
                <w:sz w:val="17"/>
              </w:rPr>
              <w:t>Vesting of restricted stock units ("</w:t>
            </w:r>
            <w:r>
              <w:rPr>
                <w:rFonts w:ascii="Times New Roman" w:hAnsi="Times New Roman"/>
                <w:b/>
                <w:i/>
                <w:color w:val="000000"/>
                <w:sz w:val="17"/>
              </w:rPr>
              <w:t>RSU</w:t>
            </w:r>
            <w:r>
              <w:rPr>
                <w:rFonts w:ascii="Times New Roman" w:hAnsi="Times New Roman"/>
                <w:b w:val="false"/>
                <w:color w:val="000000"/>
                <w:sz w:val="17"/>
              </w:rPr>
              <w:t>s") and performance share units ("</w:t>
            </w:r>
            <w:r>
              <w:rPr>
                <w:rFonts w:ascii="Times New Roman" w:hAnsi="Times New Roman"/>
                <w:b/>
                <w:i/>
                <w:color w:val="000000"/>
                <w:sz w:val="17"/>
              </w:rPr>
              <w:t>PSU</w:t>
            </w:r>
            <w:r>
              <w:rPr>
                <w:rFonts w:ascii="Times New Roman" w:hAnsi="Times New Roman"/>
                <w:b w:val="false"/>
                <w:color w:val="000000"/>
                <w:sz w:val="17"/>
              </w:rPr>
              <w: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699</w:t>
            </w:r>
          </w:p>
        </w:tc>
        <w:tc>
          <w:tcPr>
            <w:tcW w:w="211"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Payment of employee tax withholding related to RSUs and PSUs vesting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(2,526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(2,526</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17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Exercise of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3,378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3,378</w:t>
            </w:r>
          </w:p>
        </w:tc>
        <w:tc>
          <w:tcPr>
            <w:tcW w:w="211"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Other comprehensive loss, net of tax</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171"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as of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149,961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36,575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306,974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(93,501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(12,955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237,108</w:t>
            </w:r>
          </w:p>
        </w:tc>
        <w:tc>
          <w:tcPr>
            <w:tcW w:w="211"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19,108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19,108</w:t>
            </w:r>
          </w:p>
        </w:tc>
        <w:tc>
          <w:tcPr>
            <w:tcW w:w="211"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Earn-out shares issued to Platinum Stockholder</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2,500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(18,288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18,288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Vesting of RSUs and PSUs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1,689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1,689</w:t>
            </w:r>
          </w:p>
        </w:tc>
        <w:tc>
          <w:tcPr>
            <w:tcW w:w="211"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Payment of employee tax withholding related to RSUs and PSUs vesting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(502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(502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17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Exercise of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14,208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202,652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202,654</w:t>
            </w:r>
          </w:p>
        </w:tc>
        <w:tc>
          <w:tcPr>
            <w:tcW w:w="211"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4,525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4,525</w:t>
            </w:r>
          </w:p>
        </w:tc>
        <w:tc>
          <w:tcPr>
            <w:tcW w:w="211"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Other comprehensive income, net of tax</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as of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166,917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18,287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533,626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(74,393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(12,237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465,300</w:t>
            </w:r>
          </w:p>
        </w:tc>
        <w:tc>
          <w:tcPr>
            <w:tcW w:w="211"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Net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30,308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30,308</w:t>
            </w:r>
          </w:p>
        </w:tc>
        <w:tc>
          <w:tcPr>
            <w:tcW w:w="211"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Earn-out shares issued to Platinum Stockholder</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2,500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(18,287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18,287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Share repurchases and retirement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(4,581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(15,176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(84,824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(100,000</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17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Vesting of RSUs and PSUs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457</w:t>
            </w:r>
          </w:p>
        </w:tc>
        <w:tc>
          <w:tcPr>
            <w:tcW w:w="211"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Payment of employee tax withholding related to RSUs and PSUs vesting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(49</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17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Exercise of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7,786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7,786</w:t>
            </w:r>
          </w:p>
        </w:tc>
        <w:tc>
          <w:tcPr>
            <w:tcW w:w="211"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4,443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4,443</w:t>
            </w:r>
          </w:p>
        </w:tc>
        <w:tc>
          <w:tcPr>
            <w:tcW w:w="211"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Other comprehensive loss, net of tax</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(4,189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(4,189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171" w:type="dxa"/>
            <w:tcBorders/>
            <w:shd w:fill="FFFFFF"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as of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166,310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549,374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(128,909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9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(16,426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404,056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See accompanying Notes to the Condensed Consolidated Financial Statements.</w:t>
      </w:r>
    </w:p>
    <w:p>
      <w:pPr>
        <w:pStyle w:val="TextBody"/>
        <w:bidi w:val="0"/>
        <w:jc w:val="center"/>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 (Continued)</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jc w:val="center"/>
        <w:rPr/>
      </w:pPr>
      <w:r>
        <w:rPr/>
        <w:t> </w:t>
      </w:r>
    </w:p>
    <w:tbl>
      <w:tblPr>
        <w:tblW w:w="10224" w:type="dxa"/>
        <w:jc w:val="left"/>
        <w:tblInd w:w="0" w:type="dxa"/>
        <w:tblLayout w:type="fixed"/>
        <w:tblCellMar>
          <w:top w:w="28" w:type="dxa"/>
          <w:left w:w="28" w:type="dxa"/>
          <w:bottom w:w="28" w:type="dxa"/>
          <w:right w:w="28" w:type="dxa"/>
        </w:tblCellMar>
      </w:tblPr>
      <w:tblGrid>
        <w:gridCol w:w="1171"/>
        <w:gridCol w:w="146"/>
        <w:gridCol w:w="146"/>
        <w:gridCol w:w="691"/>
        <w:gridCol w:w="166"/>
        <w:gridCol w:w="146"/>
        <w:gridCol w:w="249"/>
        <w:gridCol w:w="442"/>
        <w:gridCol w:w="166"/>
        <w:gridCol w:w="146"/>
        <w:gridCol w:w="276"/>
        <w:gridCol w:w="850"/>
        <w:gridCol w:w="146"/>
        <w:gridCol w:w="146"/>
        <w:gridCol w:w="196"/>
        <w:gridCol w:w="691"/>
        <w:gridCol w:w="166"/>
        <w:gridCol w:w="146"/>
        <w:gridCol w:w="217"/>
        <w:gridCol w:w="834"/>
        <w:gridCol w:w="166"/>
        <w:gridCol w:w="146"/>
        <w:gridCol w:w="278"/>
        <w:gridCol w:w="938"/>
        <w:gridCol w:w="166"/>
        <w:gridCol w:w="146"/>
        <w:gridCol w:w="228"/>
        <w:gridCol w:w="808"/>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013" w:type="dxa"/>
            <w:gridSpan w:val="28"/>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 the Three and Nine Months Ended September 30, 2022</w:t>
            </w:r>
          </w:p>
        </w:tc>
        <w:tc>
          <w:tcPr>
            <w:tcW w:w="211" w:type="dxa"/>
            <w:tcBorders/>
            <w:shd w:fill="FFFFFF"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w:t>
              <w:br/>
              <w:t>Stock</w:t>
              <w:br/>
              <w:t>Contingent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br/>
              <w:t>Stockholders'</w:t>
            </w:r>
          </w:p>
        </w:tc>
        <w:tc>
          <w:tcPr>
            <w:tcW w:w="211" w:type="dxa"/>
            <w:tcBorders/>
            <w:shd w:fill="FFFFFF" w:val="clear"/>
            <w:vAlign w:val="center"/>
          </w:tcPr>
          <w:p>
            <w:pPr>
              <w:pStyle w:val="TableContents"/>
              <w:bidi w:val="0"/>
              <w:spacing w:before="0" w:after="283"/>
              <w:jc w:val="center"/>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Consideration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as of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156,079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44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50"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36,575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309,883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(81,416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93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(5,094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0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259,964</w:t>
            </w:r>
          </w:p>
        </w:tc>
        <w:tc>
          <w:tcPr>
            <w:tcW w:w="211"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10,040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10,040</w:t>
            </w:r>
          </w:p>
        </w:tc>
        <w:tc>
          <w:tcPr>
            <w:tcW w:w="211"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Vesting of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93</w:t>
            </w:r>
          </w:p>
        </w:tc>
        <w:tc>
          <w:tcPr>
            <w:tcW w:w="211"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Payment of employee tax withholding related to RSUs vesting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(1,436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(1,436</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17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4,446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4,446</w:t>
            </w:r>
          </w:p>
        </w:tc>
        <w:tc>
          <w:tcPr>
            <w:tcW w:w="211"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Other comprehensive income, net of tax</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2,708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as of March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156,240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36,575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312,986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(71,376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(2,386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275,815</w:t>
            </w:r>
          </w:p>
        </w:tc>
        <w:tc>
          <w:tcPr>
            <w:tcW w:w="211"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Net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29,641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29,641</w:t>
            </w:r>
          </w:p>
        </w:tc>
        <w:tc>
          <w:tcPr>
            <w:tcW w:w="211"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Share repurchases and retirement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(3,076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(6,163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(49,117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(55,281</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17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Vesting of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66</w:t>
            </w:r>
          </w:p>
        </w:tc>
        <w:tc>
          <w:tcPr>
            <w:tcW w:w="211"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Payment of employee tax withholding related to RSUs vesting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(203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(203</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17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4,566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4,566</w:t>
            </w:r>
          </w:p>
        </w:tc>
        <w:tc>
          <w:tcPr>
            <w:tcW w:w="211"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Other comprehensive loss, net of tax</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(10,381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(10,381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171" w:type="dxa"/>
            <w:tcBorders/>
            <w:shd w:fill="FFFFFF"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as of June 30,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153,220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36,575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311,252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(90,852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(12,767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244,223</w:t>
            </w:r>
          </w:p>
        </w:tc>
        <w:tc>
          <w:tcPr>
            <w:tcW w:w="211"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Net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24,576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24,576</w:t>
            </w:r>
          </w:p>
        </w:tc>
        <w:tc>
          <w:tcPr>
            <w:tcW w:w="211"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Share repurchases and retirement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(3,855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(7,830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(61,960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(69,790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17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Vesting of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838</w:t>
            </w:r>
          </w:p>
        </w:tc>
        <w:tc>
          <w:tcPr>
            <w:tcW w:w="211"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Payment of employee tax withholding related to RSUs vesting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(1,433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(1,433</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17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4,644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4,644</w:t>
            </w:r>
          </w:p>
        </w:tc>
        <w:tc>
          <w:tcPr>
            <w:tcW w:w="211"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Other comprehensive loss, net of tax</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(8,167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171" w:type="dxa"/>
            <w:tcBorders/>
            <w:shd w:fill="FFFFFF"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as of September 30,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149,551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36,575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307,471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(128,236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9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(20,934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194,891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See accompanying Notes to the Condensed Consolidated Financial Statements.</w:t>
      </w:r>
    </w:p>
    <w:p>
      <w:pPr>
        <w:pStyle w:val="TextBody"/>
        <w:bidi w:val="0"/>
        <w:jc w:val="center"/>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aps/>
          <w:color w:val="000000"/>
          <w:sz w:val="20"/>
        </w:rPr>
      </w:pPr>
      <w:bookmarkStart w:id="7" w:name="condensed_consolidated_statements_cash_f"/>
      <w:bookmarkEnd w:id="7"/>
      <w:r>
        <w:rPr>
          <w:rFonts w:ascii="Times New Roman" w:hAnsi="Times New Roman"/>
          <w:b/>
          <w:caps/>
          <w:color w:val="000000"/>
          <w:sz w:val="20"/>
        </w:rPr>
        <w:t>condensed consolidated Statements of Cash Flows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jc w:val="left"/>
        <w:rPr/>
      </w:pPr>
      <w:r>
        <w:rPr/>
        <w:t> </w:t>
      </w:r>
    </w:p>
    <w:tbl>
      <w:tblPr>
        <w:tblW w:w="9870" w:type="dxa"/>
        <w:jc w:val="left"/>
        <w:tblInd w:w="0" w:type="dxa"/>
        <w:tblLayout w:type="fixed"/>
        <w:tblCellMar>
          <w:top w:w="28" w:type="dxa"/>
          <w:left w:w="28" w:type="dxa"/>
          <w:bottom w:w="28" w:type="dxa"/>
          <w:right w:w="28" w:type="dxa"/>
        </w:tblCellMar>
      </w:tblPr>
      <w:tblGrid>
        <w:gridCol w:w="6721"/>
        <w:gridCol w:w="146"/>
        <w:gridCol w:w="226"/>
        <w:gridCol w:w="903"/>
        <w:gridCol w:w="178"/>
        <w:gridCol w:w="156"/>
        <w:gridCol w:w="226"/>
        <w:gridCol w:w="903"/>
        <w:gridCol w:w="41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53,993</w:t>
            </w:r>
          </w:p>
        </w:tc>
        <w:tc>
          <w:tcPr>
            <w:tcW w:w="1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64,257</w:t>
            </w:r>
          </w:p>
        </w:tc>
        <w:tc>
          <w:tcPr>
            <w:tcW w:w="411" w:type="dxa"/>
            <w:tcBorders/>
            <w:shd w:fill="FFFFFF" w:val="cle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Adjustments to reconcile net income to 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86,835</w:t>
            </w:r>
          </w:p>
        </w:tc>
        <w:tc>
          <w:tcPr>
            <w:tcW w:w="1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105,294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Amortization of deferred financing costs and discounts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3,600</w:t>
            </w:r>
          </w:p>
        </w:tc>
        <w:tc>
          <w:tcPr>
            <w:tcW w:w="178"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4,122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 in fair value of private placement warrants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24,966</w:t>
            </w:r>
          </w:p>
        </w:tc>
        <w:tc>
          <w:tcPr>
            <w:tcW w:w="1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(5,133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Tax receivable agreement liability adjustment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color w:val="000000"/>
              </w:rPr>
            </w:pPr>
            <w:r>
              <w:rPr>
                <w:color w:val="000000"/>
              </w:rPr>
              <w:t>—</w:t>
            </w:r>
          </w:p>
        </w:tc>
        <w:tc>
          <w:tcPr>
            <w:tcW w:w="178"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(965</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Gain on interest rate swap</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(3,361</w:t>
            </w:r>
          </w:p>
        </w:tc>
        <w:tc>
          <w:tcPr>
            <w:tcW w:w="1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Loss (gain) on extinguishment of debt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3,533</w:t>
            </w:r>
          </w:p>
        </w:tc>
        <w:tc>
          <w:tcPr>
            <w:tcW w:w="178"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(3,005</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Credit loss expense</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7,553</w:t>
            </w:r>
          </w:p>
        </w:tc>
        <w:tc>
          <w:tcPr>
            <w:tcW w:w="1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10,892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income taxes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(7,236</w:t>
            </w:r>
          </w:p>
        </w:tc>
        <w:tc>
          <w:tcPr>
            <w:tcW w:w="1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(17,310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12,346</w:t>
            </w:r>
          </w:p>
        </w:tc>
        <w:tc>
          <w:tcPr>
            <w:tcW w:w="1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13,656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w:t>
            </w:r>
          </w:p>
        </w:tc>
        <w:tc>
          <w:tcPr>
            <w:tcW w:w="178"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624</w:t>
            </w:r>
          </w:p>
        </w:tc>
        <w:tc>
          <w:tcPr>
            <w:tcW w:w="411" w:type="dxa"/>
            <w:tcBorders/>
            <w:shd w:fill="CFF0FC" w:val="cle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129" w:type="dxa"/>
            <w:gridSpan w:val="2"/>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1129"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(35,854</w:t>
            </w:r>
          </w:p>
        </w:tc>
        <w:tc>
          <w:tcPr>
            <w:tcW w:w="1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(25,846</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Unbilled receivables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(9,529</w:t>
            </w:r>
          </w:p>
        </w:tc>
        <w:tc>
          <w:tcPr>
            <w:tcW w:w="1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(4,205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Inventory</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(1,061</w:t>
            </w:r>
          </w:p>
        </w:tc>
        <w:tc>
          <w:tcPr>
            <w:tcW w:w="1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(9,056</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expenses and other assets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2,948</w:t>
            </w:r>
          </w:p>
        </w:tc>
        <w:tc>
          <w:tcPr>
            <w:tcW w:w="1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8,405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3,475</w:t>
            </w:r>
          </w:p>
        </w:tc>
        <w:tc>
          <w:tcPr>
            <w:tcW w:w="178"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6,291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 and other current liabilities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27,059</w:t>
            </w:r>
          </w:p>
        </w:tc>
        <w:tc>
          <w:tcPr>
            <w:tcW w:w="1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(1,978</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liabilities</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798</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operating activities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170,371</w:t>
            </w:r>
          </w:p>
        </w:tc>
        <w:tc>
          <w:tcPr>
            <w:tcW w:w="1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148,776</w:t>
            </w:r>
          </w:p>
        </w:tc>
        <w:tc>
          <w:tcPr>
            <w:tcW w:w="411" w:type="dxa"/>
            <w:tcBorders/>
            <w:shd w:fill="FFFFFF" w:val="cle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Payment of contingent consideration</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color w:val="000000"/>
              </w:rPr>
            </w:pPr>
            <w:r>
              <w:rPr>
                <w:color w:val="000000"/>
              </w:rPr>
              <w:t>—</w:t>
            </w:r>
          </w:p>
        </w:tc>
        <w:tc>
          <w:tcPr>
            <w:tcW w:w="1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(647</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Payments for interest rate swap</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(1,414</w:t>
            </w:r>
          </w:p>
        </w:tc>
        <w:tc>
          <w:tcPr>
            <w:tcW w:w="1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Purchases of installation and service parts and property and equipment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(40,501</w:t>
            </w:r>
          </w:p>
        </w:tc>
        <w:tc>
          <w:tcPr>
            <w:tcW w:w="1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(35,927</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proceeds from the sale of assets</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(41,693</w:t>
            </w:r>
          </w:p>
        </w:tc>
        <w:tc>
          <w:tcPr>
            <w:tcW w:w="1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(36,434</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Repayment on the revolver</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color w:val="000000"/>
              </w:rPr>
            </w:pPr>
            <w:r>
              <w:rPr>
                <w:color w:val="000000"/>
              </w:rPr>
              <w:t>—</w:t>
            </w:r>
          </w:p>
        </w:tc>
        <w:tc>
          <w:tcPr>
            <w:tcW w:w="1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(25,000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Repayment of long-term debt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(179,264</w:t>
            </w:r>
          </w:p>
        </w:tc>
        <w:tc>
          <w:tcPr>
            <w:tcW w:w="1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(6,764</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Payment of debt issuance costs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(362</w:t>
            </w:r>
          </w:p>
        </w:tc>
        <w:tc>
          <w:tcPr>
            <w:tcW w:w="1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the exercise of warrants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161,408</w:t>
            </w:r>
          </w:p>
        </w:tc>
        <w:tc>
          <w:tcPr>
            <w:tcW w:w="178"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Share repurchases and retirement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(100,000</w:t>
            </w:r>
          </w:p>
        </w:tc>
        <w:tc>
          <w:tcPr>
            <w:tcW w:w="1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(125,071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the exercise of stock options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2,845</w:t>
            </w:r>
          </w:p>
        </w:tc>
        <w:tc>
          <w:tcPr>
            <w:tcW w:w="178"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Payment of employee tax withholding related to RSUs and PSUs vesting</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(3,077</w:t>
            </w:r>
          </w:p>
        </w:tc>
        <w:tc>
          <w:tcPr>
            <w:tcW w:w="1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Settlement of contingent consideration</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financing activities</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(118,450</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(159,525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Effect of exchange rate changes on cash and cash equivalents</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(1,013</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increase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9,215</w:t>
            </w:r>
          </w:p>
        </w:tc>
        <w:tc>
          <w:tcPr>
            <w:tcW w:w="1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(48,803</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 beginning of period</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109,115</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104,432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 end of period</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118,330</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55,629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9" w:type="dxa"/>
            <w:gridSpan w:val="2"/>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29"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See accompanying Notes to the Condensed Consolidated Financial Statements.</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 (Continued)</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66"/>
        <w:gridCol w:w="146"/>
        <w:gridCol w:w="245"/>
        <w:gridCol w:w="786"/>
        <w:gridCol w:w="169"/>
        <w:gridCol w:w="169"/>
        <w:gridCol w:w="245"/>
        <w:gridCol w:w="786"/>
        <w:gridCol w:w="393"/>
      </w:tblGrid>
      <w:tr>
        <w:trPr/>
        <w:tc>
          <w:tcPr>
            <w:tcW w:w="7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vAlign w:val="center"/>
          </w:tcPr>
          <w:p>
            <w:pPr>
              <w:pStyle w:val="TableContents"/>
              <w:bidi w:val="0"/>
              <w:spacing w:before="0" w:after="283"/>
              <w:jc w:val="left"/>
              <w:rPr/>
            </w:pPr>
            <w:r>
              <w:rPr/>
              <w:t> </w:t>
            </w:r>
          </w:p>
        </w:tc>
        <w:tc>
          <w:tcPr>
            <w:tcW w:w="10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Supplemental cash flow information:</w:t>
            </w:r>
          </w:p>
        </w:tc>
        <w:tc>
          <w:tcPr>
            <w:tcW w:w="146" w:type="dxa"/>
            <w:tcBorders/>
            <w:shd w:fill="CFF0FC" w:val="clear"/>
            <w:vAlign w:val="center"/>
          </w:tcPr>
          <w:p>
            <w:pPr>
              <w:pStyle w:val="TableContents"/>
              <w:bidi w:val="0"/>
              <w:spacing w:before="0" w:after="283"/>
              <w:jc w:val="left"/>
              <w:rPr/>
            </w:pPr>
            <w:r>
              <w:rPr/>
              <w:t> </w:t>
            </w:r>
          </w:p>
        </w:tc>
        <w:tc>
          <w:tcPr>
            <w:tcW w:w="1031" w:type="dxa"/>
            <w:gridSpan w:val="2"/>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left"/>
              <w:rPr/>
            </w:pPr>
            <w:r>
              <w:rPr/>
              <w:t> </w:t>
            </w:r>
          </w:p>
        </w:tc>
        <w:tc>
          <w:tcPr>
            <w:tcW w:w="1031"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72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paid</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60,370</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40,068</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72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Income taxes paid, net of refunds</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37,627</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43,455</w:t>
            </w:r>
          </w:p>
        </w:tc>
        <w:tc>
          <w:tcPr>
            <w:tcW w:w="393" w:type="dxa"/>
            <w:tcBorders/>
            <w:shd w:fill="CFF0FC" w:val="clear"/>
            <w:vAlign w:val="center"/>
          </w:tcPr>
          <w:p>
            <w:pPr>
              <w:pStyle w:val="TableContents"/>
              <w:bidi w:val="0"/>
              <w:spacing w:before="0" w:after="283"/>
              <w:jc w:val="left"/>
              <w:rPr/>
            </w:pPr>
            <w:r>
              <w:rPr/>
              <w:t> </w:t>
            </w:r>
          </w:p>
        </w:tc>
      </w:tr>
      <w:tr>
        <w:trPr/>
        <w:tc>
          <w:tcPr>
            <w:tcW w:w="7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Supplemental 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1031" w:type="dxa"/>
            <w:gridSpan w:val="2"/>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1031"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72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Earn-out shares issued to Platinum Stockholder</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36,575</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786" w:type="dxa"/>
            <w:tcBorders/>
            <w:shd w:fill="CFF0FC" w:val="clear"/>
            <w:vAlign w:val="center"/>
          </w:tcPr>
          <w:p>
            <w:pPr>
              <w:pStyle w:val="TableContents"/>
              <w:bidi w:val="0"/>
              <w:spacing w:before="0" w:after="283"/>
              <w:jc w:val="right"/>
              <w:rPr>
                <w:color w:val="000000"/>
              </w:rPr>
            </w:pPr>
            <w:r>
              <w:rPr>
                <w:color w:val="000000"/>
              </w:rPr>
              <w:t>—</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72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Purchases of installation and service parts and property and equipment in accounts payable and accrued liabilities at period-end</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6,927</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6,420</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72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Increase in additional paid-in capital due to exercise of private placement warrants</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49,032</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786" w:type="dxa"/>
            <w:tcBorders/>
            <w:shd w:fill="CFF0FC" w:val="clear"/>
            <w:vAlign w:val="center"/>
          </w:tcPr>
          <w:p>
            <w:pPr>
              <w:pStyle w:val="TableContents"/>
              <w:bidi w:val="0"/>
              <w:spacing w:before="0" w:after="283"/>
              <w:jc w:val="right"/>
              <w:rPr>
                <w:color w:val="000000"/>
              </w:rPr>
            </w:pPr>
            <w:r>
              <w:rPr>
                <w:color w:val="000000"/>
              </w:rPr>
              <w:t>—</w:t>
            </w:r>
          </w:p>
        </w:tc>
        <w:tc>
          <w:tcPr>
            <w:tcW w:w="393"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See accompanying Notes to the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VERRA MOBILITY CORPORATION</w:t>
      </w:r>
    </w:p>
    <w:p>
      <w:pPr>
        <w:pStyle w:val="TextBody"/>
        <w:bidi w:val="0"/>
        <w:jc w:val="center"/>
        <w:rPr>
          <w:rFonts w:ascii="Times New Roman" w:hAnsi="Times New Roman"/>
          <w:b/>
          <w:caps/>
          <w:color w:val="000000"/>
          <w:sz w:val="20"/>
        </w:rPr>
      </w:pPr>
      <w:bookmarkStart w:id="8" w:name="notes_to_condensed_consolidated_financia"/>
      <w:bookmarkEnd w:id="8"/>
      <w:r>
        <w:rPr>
          <w:rFonts w:ascii="Times New Roman" w:hAnsi="Times New Roman"/>
          <w:b/>
          <w:caps/>
          <w:color w:val="000000"/>
          <w:sz w:val="20"/>
        </w:rPr>
        <w:t>Notes to the CONDENSED CONSOLIDATED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jc w:val="center"/>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 Description of Business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Verra Mobility Corporation (collectively with its subsidiaries, the “</w:t>
      </w:r>
      <w:r>
        <w:rPr>
          <w:rFonts w:ascii="Times New Roman" w:hAnsi="Times New Roman"/>
          <w:b/>
          <w:i/>
          <w:color w:val="000000"/>
          <w:sz w:val="20"/>
        </w:rPr>
        <w:t>Company</w:t>
      </w:r>
      <w:r>
        <w:rPr>
          <w:rFonts w:ascii="Times New Roman" w:hAnsi="Times New Roman"/>
          <w:color w:val="000000"/>
          <w:sz w:val="20"/>
        </w:rPr>
        <w:t xml:space="preserve">” </w:t>
      </w:r>
      <w:r>
        <w:rPr>
          <w:rFonts w:ascii="Times New Roman" w:hAnsi="Times New Roman"/>
          <w:b w:val="false"/>
          <w:color w:val="000000"/>
          <w:sz w:val="20"/>
        </w:rPr>
        <w:t>or “</w:t>
      </w:r>
      <w:r>
        <w:rPr>
          <w:rFonts w:ascii="Times New Roman" w:hAnsi="Times New Roman"/>
          <w:b/>
          <w:i/>
          <w:color w:val="000000"/>
          <w:sz w:val="20"/>
        </w:rPr>
        <w:t>Verra Mobility</w:t>
      </w:r>
      <w:r>
        <w:rPr>
          <w:rFonts w:ascii="Times New Roman" w:hAnsi="Times New Roman"/>
          <w:color w:val="000000"/>
          <w:sz w:val="20"/>
        </w:rPr>
        <w:t>”</w:t>
      </w:r>
      <w:r>
        <w:rPr>
          <w:rFonts w:ascii="Times New Roman" w:hAnsi="Times New Roman"/>
          <w:b w:val="false"/>
          <w:color w:val="000000"/>
          <w:sz w:val="20"/>
        </w:rPr>
        <w:t>) offers integrated technology solutions and services to its customers who are located throughout the world, primarily within the United States, Australia, Canada and Europe. The Company is organized into three</w:t>
      </w:r>
      <w:r>
        <w:rPr>
          <w:rFonts w:ascii="Times New Roman" w:hAnsi="Times New Roman"/>
          <w:color w:val="000000"/>
          <w:sz w:val="20"/>
        </w:rPr>
        <w:t xml:space="preserve"> </w:t>
      </w:r>
      <w:r>
        <w:rPr>
          <w:rFonts w:ascii="Times New Roman" w:hAnsi="Times New Roman"/>
          <w:b w:val="false"/>
          <w:color w:val="000000"/>
          <w:sz w:val="20"/>
        </w:rPr>
        <w:t>operating segments: Commercial Services, Government Solutions and Parking Solutions (see</w:t>
      </w:r>
      <w:r>
        <w:rPr>
          <w:rFonts w:ascii="Times New Roman" w:hAnsi="Times New Roman"/>
          <w:color w:val="000000"/>
          <w:sz w:val="20"/>
        </w:rPr>
        <w:t xml:space="preserve"> </w:t>
      </w:r>
      <w:r>
        <w:rPr>
          <w:rFonts w:ascii="Times New Roman" w:hAnsi="Times New Roman"/>
          <w:b w:val="false"/>
          <w:color w:val="000000"/>
          <w:sz w:val="20"/>
        </w:rPr>
        <w:t xml:space="preserve">Note 14, </w:t>
      </w:r>
      <w:r>
        <w:rPr>
          <w:rFonts w:ascii="Times New Roman" w:hAnsi="Times New Roman"/>
          <w:b w:val="false"/>
          <w:i/>
          <w:color w:val="000000"/>
          <w:sz w:val="20"/>
        </w:rPr>
        <w:t>Segment Reporting</w:t>
      </w:r>
      <w:r>
        <w:rPr>
          <w:rFonts w:ascii="Times New Roman" w:hAnsi="Times New Roman"/>
          <w:b w:val="false"/>
          <w:color w:val="000000"/>
          <w:sz w:val="2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Company’s Commercial Services segment offers toll and violation management solutions for the commercial fleet and rental car industries by partnering with the leading fleet management and rental car companies in North America. Electronic toll payment services enable fleet drivers and rental car customers to use high-speed cashless toll lanes or all-electronic cashless toll roads. The service helps commercial fleets reduce toll management costs, while it provides rental car companies with a revenue-generating, value-added service for their customers. Electronic violation processing services reduce the cost and risk associated with vehicle-issued violations, such as toll, parking or camera-enforced tickets. Title and registration services offer title and registration processing for individuals, rental car companies and fleet management companies. In Europe, the Company provides violations processing through Euro Parking Collection plc and consumer tolling services through Pagatelia S.L.</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Company’s Government Solutions segment offers photo enforcement solutions and services to its customers. The Government Solutions segment provides complete, end-to-end speed, red-light, school bus stop arm and bus lane enforcement solutions within the United States and Canada. These programs are designed to reduce traffic violations and resulting collisions, injuries and fatalities. The Company implements and administers traffic safety programs for municipalities, counties, school districts and law enforcement agencies of all sizes. The international operations for this segment primarily involve the sale of traffic enforcement products and related maintenance services.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Company’s Parking Solutions segment offers an integrated suite of parking software and hardware solutions to its customers, which include universities, municipalities, healthcare facilities and commercial parking operators. This segment develops specialized hardware and parking management software that provides a platform for the issuance of parking permits, enforcement, gateless vehicle counting, event parking and citation services. It also produces and markets its proprietary software as a service to its customers throughout the United States and Canada.</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Company was originally incorporated in Delaware on August 15, 2016, under the name “Gores Holdings II, Inc.” (“</w:t>
      </w:r>
      <w:r>
        <w:rPr>
          <w:rFonts w:ascii="Times New Roman" w:hAnsi="Times New Roman"/>
          <w:b/>
          <w:i/>
          <w:color w:val="000000"/>
          <w:sz w:val="20"/>
        </w:rPr>
        <w:t>Gores</w:t>
      </w:r>
      <w:r>
        <w:rPr>
          <w:rFonts w:ascii="Times New Roman" w:hAnsi="Times New Roman"/>
          <w:color w:val="000000"/>
          <w:sz w:val="20"/>
        </w:rPr>
        <w:t>”</w:t>
      </w:r>
      <w:r>
        <w:rPr>
          <w:rFonts w:ascii="Times New Roman" w:hAnsi="Times New Roman"/>
          <w:b w:val="false"/>
          <w:color w:val="000000"/>
          <w:sz w:val="20"/>
        </w:rPr>
        <w:t>) as a special purpose acquisition company. On January 19, 2017, Gores consummated its initial public offering (the “</w:t>
      </w:r>
      <w:r>
        <w:rPr>
          <w:rFonts w:ascii="Times New Roman" w:hAnsi="Times New Roman"/>
          <w:b/>
          <w:i/>
          <w:color w:val="000000"/>
          <w:sz w:val="20"/>
        </w:rPr>
        <w:t>IPO</w:t>
      </w:r>
      <w:r>
        <w:rPr>
          <w:rFonts w:ascii="Times New Roman" w:hAnsi="Times New Roman"/>
          <w:color w:val="000000"/>
          <w:sz w:val="20"/>
        </w:rPr>
        <w:t>”</w:t>
      </w:r>
      <w:r>
        <w:rPr>
          <w:rFonts w:ascii="Times New Roman" w:hAnsi="Times New Roman"/>
          <w:b w:val="false"/>
          <w:color w:val="000000"/>
          <w:sz w:val="20"/>
        </w:rPr>
        <w:t>), following which its shares began trading on Nasdaq. On June 21, 2018, Gores entered into an Agreement and Plan of Merger (as amended, the “</w:t>
      </w:r>
      <w:r>
        <w:rPr>
          <w:rFonts w:ascii="Times New Roman" w:hAnsi="Times New Roman"/>
          <w:b/>
          <w:i/>
          <w:color w:val="000000"/>
          <w:sz w:val="20"/>
        </w:rPr>
        <w:t>Merger Agreement</w:t>
      </w:r>
      <w:r>
        <w:rPr>
          <w:rFonts w:ascii="Times New Roman" w:hAnsi="Times New Roman"/>
          <w:color w:val="000000"/>
          <w:sz w:val="20"/>
        </w:rPr>
        <w:t>”</w:t>
      </w:r>
      <w:r>
        <w:rPr>
          <w:rFonts w:ascii="Times New Roman" w:hAnsi="Times New Roman"/>
          <w:b w:val="false"/>
          <w:color w:val="000000"/>
          <w:sz w:val="20"/>
        </w:rPr>
        <w:t>) with Greenlight Holding II Corporation, PE Greenlight Holdings, LLC (the “</w:t>
      </w:r>
      <w:r>
        <w:rPr>
          <w:rFonts w:ascii="Times New Roman" w:hAnsi="Times New Roman"/>
          <w:b/>
          <w:i/>
          <w:color w:val="000000"/>
          <w:sz w:val="20"/>
        </w:rPr>
        <w:t>Platinum Stockholder</w:t>
      </w:r>
      <w:r>
        <w:rPr>
          <w:rFonts w:ascii="Times New Roman" w:hAnsi="Times New Roman"/>
          <w:color w:val="000000"/>
          <w:sz w:val="20"/>
        </w:rPr>
        <w:t>”</w:t>
      </w:r>
      <w:r>
        <w:rPr>
          <w:rFonts w:ascii="Times New Roman" w:hAnsi="Times New Roman"/>
          <w:b w:val="false"/>
          <w:color w:val="000000"/>
          <w:sz w:val="20"/>
        </w:rPr>
        <w:t>), AM Merger Sub I, Inc., a direct, wholly owned subsidiary of Gores, and AM Merger Sub II, LLC, a direct, wholly owned subsidiary of Gores. On October 17, 2018, the Company consummated the transactions contemplated by the Merger Agreement (the “</w:t>
      </w:r>
      <w:r>
        <w:rPr>
          <w:rFonts w:ascii="Times New Roman" w:hAnsi="Times New Roman"/>
          <w:b/>
          <w:i/>
          <w:color w:val="000000"/>
          <w:sz w:val="20"/>
        </w:rPr>
        <w:t>Business Combination</w:t>
      </w:r>
      <w:r>
        <w:rPr>
          <w:rFonts w:ascii="Times New Roman" w:hAnsi="Times New Roman"/>
          <w:color w:val="000000"/>
          <w:sz w:val="20"/>
        </w:rPr>
        <w:t>”</w:t>
      </w:r>
      <w:r>
        <w:rPr>
          <w:rFonts w:ascii="Times New Roman" w:hAnsi="Times New Roman"/>
          <w:b w:val="false"/>
          <w:color w:val="000000"/>
          <w:sz w:val="20"/>
        </w:rPr>
        <w:t>) and changed its name to “Verra Mobility Corporation.” As a result of the Business Combination, Verra Mobility Corporation became the owner, directly or indirectly, of all of the equity interests of Verra Mobility Holdings, LLC and its subsidiaries.</w:t>
      </w:r>
    </w:p>
    <w:p>
      <w:pPr>
        <w:pStyle w:val="TextBody"/>
        <w:bidi w:val="0"/>
        <w:spacing w:before="360" w:after="283"/>
        <w:jc w:val="both"/>
        <w:rPr>
          <w:rFonts w:ascii="Times New Roman" w:hAnsi="Times New Roman"/>
          <w:sz w:val="20"/>
        </w:rPr>
      </w:pPr>
      <w:r>
        <w:rPr>
          <w:rFonts w:ascii="Times New Roman" w:hAnsi="Times New Roman"/>
          <w:b/>
          <w:color w:val="000000"/>
          <w:sz w:val="20"/>
        </w:rPr>
        <w:t>2. 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accompanying unaudited condensed consolidated financial statements include the accounts of the Company prepared in accordance with generally accepted accounting principles in the United States of America (“</w:t>
      </w:r>
      <w:r>
        <w:rPr>
          <w:rFonts w:ascii="Times New Roman" w:hAnsi="Times New Roman"/>
          <w:b/>
          <w:i/>
          <w:color w:val="000000"/>
          <w:sz w:val="20"/>
        </w:rPr>
        <w:t>GAAP</w:t>
      </w:r>
      <w:r>
        <w:rPr>
          <w:rFonts w:ascii="Times New Roman" w:hAnsi="Times New Roman"/>
          <w:color w:val="000000"/>
          <w:sz w:val="20"/>
        </w:rPr>
        <w:t>”</w:t>
      </w:r>
      <w:r>
        <w:rPr>
          <w:rFonts w:ascii="Times New Roman" w:hAnsi="Times New Roman"/>
          <w:b w:val="false"/>
          <w:color w:val="000000"/>
          <w:sz w:val="20"/>
        </w:rPr>
        <w:t>). All intercompany balances and transactions have been eliminated in consolidation. In the opinion of the Company’s management, the unaudited condensed consolidated financial statements reflect all adjustments, which are normal and recurring in nature, necessary for fair financial statement presentation.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preparation of these financial statements in conformity with GAAP requires management to make estimates and assumptions that affect the amounts reported in the unaudited condensed consolidated financial statements and accompanying notes. Significant estimates and assumptions include those related to allocating the transaction price for revenue recognition, inventory valuation, allowance for credit losses, fair value of the private placement warrant liabilities, fair value of the interest rate swap, self-insurance liability, valuation allowance on deferred tax assets, uncertain tax positions, apportionment for state income taxes, the tax receivable agreement liability, fair value of privately-held securities, impairment assessments of goodwill, intangible assets and other long-lived assets, asset retirement obligations, contingent consideration and the recognition and measurement of loss contingencies.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Management believes that its estimates and assumptions are reasonable in the circumstances; however, actual results could differ materially from those estimates.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Significant customers are those which represent more than 10% of the Company’s total revenue or accounts receivable, net. Revenue from the single Government Solutions customer exceeding 10% of total revenue is presented below:</w:t>
      </w:r>
    </w:p>
    <w:p>
      <w:pPr>
        <w:pStyle w:val="TextBody"/>
        <w:bidi w:val="0"/>
        <w:spacing w:before="120" w:after="283"/>
        <w:jc w:val="both"/>
        <w:rPr/>
      </w:pPr>
      <w:r>
        <w:rPr/>
        <w:t> </w:t>
      </w:r>
    </w:p>
    <w:tbl>
      <w:tblPr>
        <w:tblW w:w="10143" w:type="dxa"/>
        <w:jc w:val="left"/>
        <w:tblInd w:w="0" w:type="dxa"/>
        <w:tblLayout w:type="fixed"/>
        <w:tblCellMar>
          <w:top w:w="28" w:type="dxa"/>
          <w:left w:w="28" w:type="dxa"/>
          <w:bottom w:w="28" w:type="dxa"/>
          <w:right w:w="28" w:type="dxa"/>
        </w:tblCellMar>
      </w:tblPr>
      <w:tblGrid>
        <w:gridCol w:w="3991"/>
        <w:gridCol w:w="146"/>
        <w:gridCol w:w="238"/>
        <w:gridCol w:w="762"/>
        <w:gridCol w:w="443"/>
        <w:gridCol w:w="238"/>
        <w:gridCol w:w="238"/>
        <w:gridCol w:w="762"/>
        <w:gridCol w:w="271"/>
        <w:gridCol w:w="146"/>
        <w:gridCol w:w="230"/>
        <w:gridCol w:w="737"/>
        <w:gridCol w:w="428"/>
        <w:gridCol w:w="230"/>
        <w:gridCol w:w="230"/>
        <w:gridCol w:w="737"/>
        <w:gridCol w:w="316"/>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 w:type="dxa"/>
            <w:tcBorders/>
            <w:shd w:fill="FFFFFF" w:val="clear"/>
            <w:vAlign w:val="center"/>
          </w:tcPr>
          <w:p>
            <w:pPr>
              <w:pStyle w:val="TableContents"/>
              <w:bidi w:val="0"/>
              <w:spacing w:before="0" w:after="283"/>
              <w:jc w:val="center"/>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0" w:type="dxa"/>
            <w:tcBorders/>
            <w:shd w:fill="FFFFFF" w:val="clear"/>
            <w:vAlign w:val="center"/>
          </w:tcPr>
          <w:p>
            <w:pPr>
              <w:pStyle w:val="TableContents"/>
              <w:bidi w:val="0"/>
              <w:spacing w:before="0" w:after="283"/>
              <w:jc w:val="center"/>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City of New York Department of Transportation</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w:t>
            </w:r>
          </w:p>
        </w:tc>
        <w:tc>
          <w:tcPr>
            <w:tcW w:w="44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8"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w:t>
            </w:r>
          </w:p>
        </w:tc>
        <w:tc>
          <w:tcPr>
            <w:tcW w:w="4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0"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b w:val="false"/>
          <w:color w:val="000000"/>
          <w:sz w:val="20"/>
        </w:rPr>
        <w:t>The City of New York Department of Transportation (“</w:t>
      </w:r>
      <w:r>
        <w:rPr>
          <w:rFonts w:ascii="Times New Roman" w:hAnsi="Times New Roman"/>
          <w:b/>
          <w:i/>
          <w:color w:val="000000"/>
          <w:sz w:val="20"/>
        </w:rPr>
        <w:t>NYCDOT</w:t>
      </w:r>
      <w:r>
        <w:rPr>
          <w:rFonts w:ascii="Times New Roman" w:hAnsi="Times New Roman"/>
          <w:color w:val="000000"/>
          <w:sz w:val="20"/>
        </w:rPr>
        <w:t>”</w:t>
      </w:r>
      <w:r>
        <w:rPr>
          <w:rFonts w:ascii="Times New Roman" w:hAnsi="Times New Roman"/>
          <w:b w:val="false"/>
          <w:color w:val="000000"/>
          <w:sz w:val="20"/>
        </w:rPr>
        <w:t>) represented 13% and</w:t>
      </w:r>
      <w:r>
        <w:rPr>
          <w:rFonts w:ascii="Times New Roman" w:hAnsi="Times New Roman"/>
          <w:color w:val="000000"/>
          <w:sz w:val="20"/>
        </w:rPr>
        <w:t xml:space="preserve"> </w:t>
      </w:r>
      <w:r>
        <w:rPr>
          <w:rFonts w:ascii="Times New Roman" w:hAnsi="Times New Roman"/>
          <w:b w:val="false"/>
          <w:color w:val="000000"/>
          <w:sz w:val="20"/>
        </w:rPr>
        <w:t>22% of total accounts receivable, net as of September 30, 2023 and December 31, 2022, respectively. There is no material reserve related to NYCDOT open receivables as amounts are deemed collectible based on current conditions and expectations. No other Government Solutions customer exceeded 10% of total accounts receivable, net as of any period presented.</w:t>
      </w:r>
    </w:p>
    <w:p>
      <w:pPr>
        <w:pStyle w:val="TextBody"/>
        <w:bidi w:val="0"/>
        <w:spacing w:before="240" w:after="240"/>
        <w:jc w:val="both"/>
        <w:rPr>
          <w:rFonts w:ascii="Times New Roman" w:hAnsi="Times New Roman"/>
          <w:sz w:val="20"/>
        </w:rPr>
      </w:pPr>
      <w:r>
        <w:rPr>
          <w:rFonts w:ascii="Times New Roman" w:hAnsi="Times New Roman"/>
          <w:b w:val="false"/>
          <w:color w:val="000000"/>
          <w:sz w:val="20"/>
        </w:rPr>
        <w:t>Significant customer revenues generated through the Company’s Commercial Services partners as a percent of total revenue are presented</w:t>
      </w:r>
      <w:r>
        <w:rPr>
          <w:rFonts w:ascii="Times New Roman" w:hAnsi="Times New Roman"/>
          <w:color w:val="000000"/>
          <w:sz w:val="20"/>
        </w:rPr>
        <w:t xml:space="preserve"> </w:t>
      </w:r>
      <w:r>
        <w:rPr>
          <w:rFonts w:ascii="Times New Roman" w:hAnsi="Times New Roman"/>
          <w:b w:val="false"/>
          <w:color w:val="000000"/>
          <w:sz w:val="20"/>
        </w:rPr>
        <w:t>below:</w:t>
      </w:r>
    </w:p>
    <w:tbl>
      <w:tblPr>
        <w:tblW w:w="8283" w:type="dxa"/>
        <w:jc w:val="left"/>
        <w:tblInd w:w="0" w:type="dxa"/>
        <w:tblLayout w:type="fixed"/>
        <w:tblCellMar>
          <w:top w:w="28" w:type="dxa"/>
          <w:left w:w="28" w:type="dxa"/>
          <w:bottom w:w="28" w:type="dxa"/>
          <w:right w:w="28" w:type="dxa"/>
        </w:tblCellMar>
      </w:tblPr>
      <w:tblGrid>
        <w:gridCol w:w="2131"/>
        <w:gridCol w:w="146"/>
        <w:gridCol w:w="238"/>
        <w:gridCol w:w="762"/>
        <w:gridCol w:w="443"/>
        <w:gridCol w:w="238"/>
        <w:gridCol w:w="238"/>
        <w:gridCol w:w="762"/>
        <w:gridCol w:w="271"/>
        <w:gridCol w:w="146"/>
        <w:gridCol w:w="230"/>
        <w:gridCol w:w="737"/>
        <w:gridCol w:w="428"/>
        <w:gridCol w:w="230"/>
        <w:gridCol w:w="230"/>
        <w:gridCol w:w="737"/>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 w:type="dxa"/>
            <w:tcBorders/>
            <w:shd w:fill="FFFFFF" w:val="clear"/>
            <w:vAlign w:val="center"/>
          </w:tcPr>
          <w:p>
            <w:pPr>
              <w:pStyle w:val="TableContents"/>
              <w:bidi w:val="0"/>
              <w:spacing w:before="0" w:after="283"/>
              <w:jc w:val="center"/>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0" w:type="dxa"/>
            <w:tcBorders/>
            <w:shd w:fill="FFFFFF" w:val="clear"/>
            <w:vAlign w:val="center"/>
          </w:tcPr>
          <w:p>
            <w:pPr>
              <w:pStyle w:val="TableContents"/>
              <w:bidi w:val="0"/>
              <w:spacing w:before="0" w:after="283"/>
              <w:jc w:val="center"/>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Hertz Corporation</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w:t>
            </w:r>
          </w:p>
        </w:tc>
        <w:tc>
          <w:tcPr>
            <w:tcW w:w="44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8"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30"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w:t>
            </w:r>
          </w:p>
        </w:tc>
        <w:tc>
          <w:tcPr>
            <w:tcW w:w="4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0" w:type="dxa"/>
            <w:tcBorders/>
            <w:shd w:fill="CFF0FC" w:val="clear"/>
            <w:vAlign w:val="center"/>
          </w:tcPr>
          <w:p>
            <w:pPr>
              <w:pStyle w:val="TableContents"/>
              <w:bidi w:val="0"/>
              <w:spacing w:before="0" w:after="283"/>
              <w:jc w:val="right"/>
              <w:rPr/>
            </w:pPr>
            <w:r>
              <w:rPr/>
              <w:t> </w:t>
            </w:r>
          </w:p>
        </w:tc>
        <w:tc>
          <w:tcPr>
            <w:tcW w:w="230"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Avis Budget Group, Inc.</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w:t>
            </w:r>
          </w:p>
        </w:tc>
        <w:tc>
          <w:tcPr>
            <w:tcW w:w="44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8"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w:t>
            </w:r>
          </w:p>
        </w:tc>
        <w:tc>
          <w:tcPr>
            <w:tcW w:w="42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Enterprise Holdings, Inc.</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w:t>
            </w:r>
          </w:p>
        </w:tc>
        <w:tc>
          <w:tcPr>
            <w:tcW w:w="44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8"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w:t>
            </w:r>
          </w:p>
        </w:tc>
        <w:tc>
          <w:tcPr>
            <w:tcW w:w="4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0" w:type="dxa"/>
            <w:tcBorders/>
            <w:shd w:fill="CFF0FC" w:val="clear"/>
            <w:vAlign w:val="center"/>
          </w:tcPr>
          <w:p>
            <w:pPr>
              <w:pStyle w:val="TableContents"/>
              <w:bidi w:val="0"/>
              <w:spacing w:before="0" w:after="283"/>
              <w:jc w:val="right"/>
              <w:rPr/>
            </w:pPr>
            <w:r>
              <w:rPr/>
              <w:t> </w:t>
            </w:r>
          </w:p>
        </w:tc>
        <w:tc>
          <w:tcPr>
            <w:tcW w:w="230"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jc w:val="both"/>
        <w:rPr>
          <w:rFonts w:ascii="Times New Roman" w:hAnsi="Times New Roman"/>
          <w:sz w:val="20"/>
        </w:rPr>
      </w:pPr>
      <w:r>
        <w:rPr>
          <w:rFonts w:ascii="Times New Roman" w:hAnsi="Times New Roman"/>
          <w:b w:val="false"/>
          <w:color w:val="000000"/>
          <w:sz w:val="20"/>
        </w:rPr>
        <w:t>No</w:t>
      </w:r>
      <w:r>
        <w:rPr>
          <w:rFonts w:ascii="Times New Roman" w:hAnsi="Times New Roman"/>
          <w:color w:val="000000"/>
          <w:sz w:val="20"/>
        </w:rPr>
        <w:t xml:space="preserve"> </w:t>
      </w:r>
      <w:r>
        <w:rPr>
          <w:rFonts w:ascii="Times New Roman" w:hAnsi="Times New Roman"/>
          <w:b w:val="false"/>
          <w:color w:val="000000"/>
          <w:sz w:val="20"/>
        </w:rPr>
        <w:t>Commercial Services customer exceeded 10% of total accounts receivable, net as of any period presented.</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There were no</w:t>
      </w:r>
      <w:r>
        <w:rPr>
          <w:rFonts w:ascii="Times New Roman" w:hAnsi="Times New Roman"/>
          <w:color w:val="000000"/>
          <w:sz w:val="20"/>
        </w:rPr>
        <w:t xml:space="preserve"> </w:t>
      </w:r>
      <w:r>
        <w:rPr>
          <w:rFonts w:ascii="Times New Roman" w:hAnsi="Times New Roman"/>
          <w:b w:val="false"/>
          <w:color w:val="000000"/>
          <w:sz w:val="20"/>
        </w:rPr>
        <w:t>significant customer concentrations that exceeded 10% of total revenue or accounts receivable, net for the Parking Solutions segment as of or for any period presented.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Allowance for Credit Losses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Company reviews historical credit losses and customer payment trends on receivables and develops loss rate estimates as of the balance sheet date, which includes adjustments for current and future expectations using probability-weighted assumptions about potential outcomes. Receivables are written off against the allowance for credit losses when it is probable that amounts will not be collected based on the terms of the customer contracts, and subsequent recoveries reverse the previous write-off and apply to the receivable in the period recovered. No interest or late fees are charged on delinquent accounts. The Company evaluates the adequacy of its allowance for expected credit losses by comparing its actual write-offs to its previously recorded estimates and adjusts appropriately.</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Company identified portfolio segments based on the type of business, industry in which the customer operates and historical credit loss patterns. The following presents the activity in the allowance for credit losses for the nine months ended September 30, 2023 and 2022, respectively: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89"/>
        <w:gridCol w:w="146"/>
        <w:gridCol w:w="352"/>
        <w:gridCol w:w="1133"/>
        <w:gridCol w:w="166"/>
        <w:gridCol w:w="146"/>
        <w:gridCol w:w="255"/>
        <w:gridCol w:w="766"/>
        <w:gridCol w:w="166"/>
        <w:gridCol w:w="146"/>
        <w:gridCol w:w="380"/>
        <w:gridCol w:w="1141"/>
        <w:gridCol w:w="166"/>
        <w:gridCol w:w="146"/>
        <w:gridCol w:w="368"/>
        <w:gridCol w:w="844"/>
        <w:gridCol w:w="166"/>
        <w:gridCol w:w="146"/>
        <w:gridCol w:w="211"/>
        <w:gridCol w:w="676"/>
        <w:gridCol w:w="396"/>
      </w:tblGrid>
      <w:tr>
        <w:trPr/>
        <w:tc>
          <w:tcPr>
            <w:tcW w:w="2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289"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Commercial Services</w:t>
              <w:br/>
              <w:t xml:space="preserve">(Driver-billed)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Commercial </w:t>
              <w:br/>
              <w:t xml:space="preserve">Services </w:t>
              <w:br/>
              <w:t>(All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 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 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289"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Balance at January 1, 2023</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15,907</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28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Credit loss expense</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7,553</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28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Write-offs, net of recoveries</w:t>
            </w:r>
          </w:p>
        </w:tc>
        <w:tc>
          <w:tcPr>
            <w:tcW w:w="146" w:type="dxa"/>
            <w:tcBorders/>
            <w:shd w:fill="CFF0FC" w:val="cle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(5,882</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2289"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Balance at September 30, 2023</w:t>
            </w:r>
          </w:p>
        </w:tc>
        <w:tc>
          <w:tcPr>
            <w:tcW w:w="146" w:type="dxa"/>
            <w:tcBorders/>
            <w:shd w:fill="FFFFFF" w:val="cle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17,578</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5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 </w:t>
            </w:r>
          </w:p>
        </w:tc>
      </w:tr>
      <w:tr>
        <w:trPr/>
        <w:tc>
          <w:tcPr>
            <w:tcW w:w="2289"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Commercial Services</w:t>
              <w:br/>
              <w:t xml:space="preserve">(Driver-billed)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Commercial </w:t>
              <w:br/>
              <w:t xml:space="preserve">Services </w:t>
              <w:br/>
              <w:t>(All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 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 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289"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Balance at January 1, 2022</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12,138</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28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Credit loss expense</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8"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10,892</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28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Write-offs, net of recoveries</w:t>
            </w:r>
          </w:p>
        </w:tc>
        <w:tc>
          <w:tcPr>
            <w:tcW w:w="146" w:type="dxa"/>
            <w:tcBorders/>
            <w:shd w:fill="CFF0FC" w:val="cle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(5,355</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2289"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Balance at September 30, 2022</w:t>
            </w:r>
          </w:p>
        </w:tc>
        <w:tc>
          <w:tcPr>
            <w:tcW w:w="146" w:type="dxa"/>
            <w:tcBorders/>
            <w:shd w:fill="FFFFFF" w:val="cle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17,675</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Driver-billed consists of receivables from drivers of rental cars and fleet management companies for which the Company bills on behalf of its customers. Receivables not collected from drivers within a defined number of days are transferred to customers subject to applicable bad debt sharing agreements.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Deferred Revenue</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Deferred revenue represents amounts that have been invoiced in advance and are expected to be recognized as revenue in future periods, and it primarily relates to Government Solutions and Parking Solutions customers. The Company had approximately $12.9</w:t>
      </w:r>
      <w:r>
        <w:rPr>
          <w:rFonts w:ascii="Times New Roman" w:hAnsi="Times New Roman"/>
          <w:color w:val="000000"/>
          <w:sz w:val="20"/>
        </w:rPr>
        <w:t xml:space="preserve"> </w:t>
      </w:r>
      <w:r>
        <w:rPr>
          <w:rFonts w:ascii="Times New Roman" w:hAnsi="Times New Roman"/>
          <w:b w:val="false"/>
          <w:color w:val="000000"/>
          <w:sz w:val="20"/>
        </w:rPr>
        <w:t>million and $12.2</w:t>
      </w:r>
      <w:r>
        <w:rPr>
          <w:rFonts w:ascii="Times New Roman" w:hAnsi="Times New Roman"/>
          <w:color w:val="000000"/>
          <w:sz w:val="20"/>
        </w:rPr>
        <w:t xml:space="preserve"> </w:t>
      </w:r>
      <w:r>
        <w:rPr>
          <w:rFonts w:ascii="Times New Roman" w:hAnsi="Times New Roman"/>
          <w:b w:val="false"/>
          <w:color w:val="000000"/>
          <w:sz w:val="20"/>
        </w:rPr>
        <w:t>million of deferred revenue in the Government Solutions segment as of September 30, 2023 and December 31, 2022, respectively. The majority of the remaining performance obligations as of September 30, 2023 are expected to be completed and recognized as revenue in the next 12 months</w:t>
      </w:r>
      <w:r>
        <w:rPr>
          <w:rFonts w:ascii="Times New Roman" w:hAnsi="Times New Roman"/>
          <w:color w:val="000000"/>
          <w:sz w:val="20"/>
        </w:rPr>
        <w:t xml:space="preserve"> </w:t>
      </w:r>
      <w:r>
        <w:rPr>
          <w:rFonts w:ascii="Times New Roman" w:hAnsi="Times New Roman"/>
          <w:b w:val="false"/>
          <w:color w:val="000000"/>
          <w:sz w:val="20"/>
        </w:rPr>
        <w:t>and $4.1</w:t>
      </w:r>
      <w:r>
        <w:rPr>
          <w:rFonts w:ascii="Times New Roman" w:hAnsi="Times New Roman"/>
          <w:color w:val="000000"/>
          <w:sz w:val="20"/>
        </w:rPr>
        <w:t xml:space="preserve"> </w:t>
      </w:r>
      <w:r>
        <w:rPr>
          <w:rFonts w:ascii="Times New Roman" w:hAnsi="Times New Roman"/>
          <w:b w:val="false"/>
          <w:color w:val="000000"/>
          <w:sz w:val="20"/>
        </w:rPr>
        <w:t>million is expected to be recognized from 2024 through 2027. The Company had approximately $25.6</w:t>
      </w:r>
      <w:r>
        <w:rPr>
          <w:rFonts w:ascii="Times New Roman" w:hAnsi="Times New Roman"/>
          <w:color w:val="000000"/>
          <w:sz w:val="20"/>
        </w:rPr>
        <w:t xml:space="preserve"> </w:t>
      </w:r>
      <w:r>
        <w:rPr>
          <w:rFonts w:ascii="Times New Roman" w:hAnsi="Times New Roman"/>
          <w:b w:val="false"/>
          <w:color w:val="000000"/>
          <w:sz w:val="20"/>
        </w:rPr>
        <w:t>million and $21.2</w:t>
      </w:r>
      <w:r>
        <w:rPr>
          <w:rFonts w:ascii="Times New Roman" w:hAnsi="Times New Roman"/>
          <w:color w:val="000000"/>
          <w:sz w:val="20"/>
        </w:rPr>
        <w:t xml:space="preserve"> </w:t>
      </w:r>
      <w:r>
        <w:rPr>
          <w:rFonts w:ascii="Times New Roman" w:hAnsi="Times New Roman"/>
          <w:b w:val="false"/>
          <w:color w:val="000000"/>
          <w:sz w:val="20"/>
        </w:rPr>
        <w:t>million of deferred revenue in the Parking Solutions segment as of September 30, 2023 and December 31, 2022, respectively. The majority of the remaining performance obligations as of September 30, 2023 are expected to be completed and recognized as revenue in the next 12 months</w:t>
      </w:r>
      <w:r>
        <w:rPr>
          <w:rFonts w:ascii="Times New Roman" w:hAnsi="Times New Roman"/>
          <w:color w:val="000000"/>
          <w:sz w:val="20"/>
        </w:rPr>
        <w:t xml:space="preserve"> </w:t>
      </w:r>
      <w:r>
        <w:rPr>
          <w:rFonts w:ascii="Times New Roman" w:hAnsi="Times New Roman"/>
          <w:b w:val="false"/>
          <w:color w:val="000000"/>
          <w:sz w:val="20"/>
        </w:rPr>
        <w:t>and $0.5</w:t>
      </w:r>
      <w:r>
        <w:rPr>
          <w:rFonts w:ascii="Times New Roman" w:hAnsi="Times New Roman"/>
          <w:color w:val="000000"/>
          <w:sz w:val="20"/>
        </w:rPr>
        <w:t xml:space="preserve"> </w:t>
      </w:r>
      <w:r>
        <w:rPr>
          <w:rFonts w:ascii="Times New Roman" w:hAnsi="Times New Roman"/>
          <w:b w:val="false"/>
          <w:color w:val="000000"/>
          <w:sz w:val="20"/>
        </w:rPr>
        <w:t>million is</w:t>
      </w:r>
      <w:r>
        <w:rPr>
          <w:rFonts w:ascii="Times New Roman" w:hAnsi="Times New Roman"/>
          <w:color w:val="000000"/>
          <w:sz w:val="20"/>
        </w:rPr>
        <w:t xml:space="preserve"> </w:t>
      </w:r>
      <w:r>
        <w:rPr>
          <w:rFonts w:ascii="Times New Roman" w:hAnsi="Times New Roman"/>
          <w:b w:val="false"/>
          <w:color w:val="000000"/>
          <w:sz w:val="20"/>
        </w:rPr>
        <w:t>expected to be recognized after September</w:t>
      </w:r>
      <w:r>
        <w:rPr>
          <w:rFonts w:ascii="Times New Roman" w:hAnsi="Times New Roman"/>
          <w:color w:val="000000"/>
          <w:sz w:val="20"/>
        </w:rPr>
        <w:t xml:space="preserve"> </w:t>
      </w:r>
      <w:r>
        <w:rPr>
          <w:rFonts w:ascii="Times New Roman" w:hAnsi="Times New Roman"/>
          <w:b w:val="false"/>
          <w:color w:val="000000"/>
          <w:sz w:val="20"/>
        </w:rPr>
        <w:t>30, 2024.</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Interest Rate Swap</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December 2022, the Company entered into a cancellable interest rate swap agreement to hedge its exposure to interest rate fluctuations associated with the LIBOR (now transitioned to Term Secured Overnight Financing Rate “</w:t>
      </w:r>
      <w:r>
        <w:rPr>
          <w:rFonts w:ascii="Times New Roman" w:hAnsi="Times New Roman"/>
          <w:b/>
          <w:i/>
          <w:color w:val="000000"/>
          <w:sz w:val="20"/>
        </w:rPr>
        <w:t>SOFR</w:t>
      </w:r>
      <w:r>
        <w:rPr>
          <w:rFonts w:ascii="Times New Roman" w:hAnsi="Times New Roman"/>
          <w:b w:val="false"/>
          <w:color w:val="000000"/>
          <w:sz w:val="20"/>
        </w:rPr>
        <w:t>,”</w:t>
      </w:r>
      <w:r>
        <w:rPr>
          <w:rFonts w:ascii="Times New Roman" w:hAnsi="Times New Roman"/>
          <w:color w:val="000000"/>
          <w:sz w:val="20"/>
        </w:rPr>
        <w:t xml:space="preserve"> </w:t>
      </w:r>
      <w:r>
        <w:rPr>
          <w:rFonts w:ascii="Times New Roman" w:hAnsi="Times New Roman"/>
          <w:b w:val="false"/>
          <w:color w:val="000000"/>
          <w:sz w:val="20"/>
        </w:rPr>
        <w:t>as discussed below) portion of the variable interest rate on its 2021 Term Loan. Under the interest rate swap agreement, the Company pays a fixed rate of 5.17% and the counterparty pays a variable interest rate. The Company entered into an International Swaps and Derivatives Association, Inc. Master Agreement with the counterparty which provides for the net settlement of all, or a specified group, of derivative transactions through a single payment. The notional amount on the interest rate swap is $675.0</w:t>
      </w:r>
      <w:r>
        <w:rPr>
          <w:rFonts w:ascii="Times New Roman" w:hAnsi="Times New Roman"/>
          <w:color w:val="000000"/>
          <w:sz w:val="20"/>
        </w:rPr>
        <w:t xml:space="preserve"> </w:t>
      </w:r>
      <w:r>
        <w:rPr>
          <w:rFonts w:ascii="Times New Roman" w:hAnsi="Times New Roman"/>
          <w:b w:val="false"/>
          <w:color w:val="000000"/>
          <w:sz w:val="20"/>
        </w:rPr>
        <w:t>million. The Company has the option to effectively terminate the interest rate swap agreement starting in December 2023, and monthly thereafter until December 2025. The Company is treating the interest rate swap as an economic hedge for accounting purposes and any changes in the fair value of the derivative instrument (including accrued interest) and related cash payments are recorded in the condensed consolidated statements of operations within the loss (gain) on interest rate swap line item.</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recorded a $0.1</w:t>
      </w:r>
      <w:r>
        <w:rPr>
          <w:rFonts w:ascii="Times New Roman" w:hAnsi="Times New Roman"/>
          <w:color w:val="000000"/>
          <w:sz w:val="20"/>
        </w:rPr>
        <w:t xml:space="preserve"> </w:t>
      </w:r>
      <w:r>
        <w:rPr>
          <w:rFonts w:ascii="Times New Roman" w:hAnsi="Times New Roman"/>
          <w:b w:val="false"/>
          <w:color w:val="000000"/>
          <w:sz w:val="20"/>
        </w:rPr>
        <w:t>million loss during the three months ended September</w:t>
      </w:r>
      <w:r>
        <w:rPr>
          <w:rFonts w:ascii="Times New Roman" w:hAnsi="Times New Roman"/>
          <w:color w:val="000000"/>
          <w:sz w:val="20"/>
        </w:rPr>
        <w:t xml:space="preserve"> </w:t>
      </w:r>
      <w:r>
        <w:rPr>
          <w:rFonts w:ascii="Times New Roman" w:hAnsi="Times New Roman"/>
          <w:b w:val="false"/>
          <w:color w:val="000000"/>
          <w:sz w:val="20"/>
        </w:rPr>
        <w:t>30, 2023, of which $0.2</w:t>
      </w:r>
      <w:r>
        <w:rPr>
          <w:rFonts w:ascii="Times New Roman" w:hAnsi="Times New Roman"/>
          <w:color w:val="000000"/>
          <w:sz w:val="20"/>
        </w:rPr>
        <w:t xml:space="preserve"> </w:t>
      </w:r>
      <w:r>
        <w:rPr>
          <w:rFonts w:ascii="Times New Roman" w:hAnsi="Times New Roman"/>
          <w:b w:val="false"/>
          <w:color w:val="000000"/>
          <w:sz w:val="20"/>
        </w:rPr>
        <w:t>million is associated with the derivative instrument re-measured to fair value at the end of the reporting period, netted by $0.1</w:t>
      </w:r>
      <w:r>
        <w:rPr>
          <w:rFonts w:ascii="Times New Roman" w:hAnsi="Times New Roman"/>
          <w:color w:val="000000"/>
          <w:sz w:val="20"/>
        </w:rPr>
        <w:t xml:space="preserve"> </w:t>
      </w:r>
      <w:r>
        <w:rPr>
          <w:rFonts w:ascii="Times New Roman" w:hAnsi="Times New Roman"/>
          <w:b w:val="false"/>
          <w:color w:val="000000"/>
          <w:sz w:val="20"/>
        </w:rPr>
        <w:t>million related to the monthly cash payments. The Company recorded a $1.9</w:t>
      </w:r>
      <w:r>
        <w:rPr>
          <w:rFonts w:ascii="Times New Roman" w:hAnsi="Times New Roman"/>
          <w:color w:val="000000"/>
          <w:sz w:val="20"/>
        </w:rPr>
        <w:t xml:space="preserve"> </w:t>
      </w:r>
      <w:r>
        <w:rPr>
          <w:rFonts w:ascii="Times New Roman" w:hAnsi="Times New Roman"/>
          <w:b w:val="false"/>
          <w:color w:val="000000"/>
          <w:sz w:val="20"/>
        </w:rPr>
        <w:t>million gain during the nine months ended September</w:t>
      </w:r>
      <w:r>
        <w:rPr>
          <w:rFonts w:ascii="Times New Roman" w:hAnsi="Times New Roman"/>
          <w:color w:val="000000"/>
          <w:sz w:val="20"/>
        </w:rPr>
        <w:t xml:space="preserve"> </w:t>
      </w:r>
      <w:r>
        <w:rPr>
          <w:rFonts w:ascii="Times New Roman" w:hAnsi="Times New Roman"/>
          <w:b w:val="false"/>
          <w:color w:val="000000"/>
          <w:sz w:val="20"/>
        </w:rPr>
        <w:t>30, 2023, of which $3.3</w:t>
      </w:r>
      <w:r>
        <w:rPr>
          <w:rFonts w:ascii="Times New Roman" w:hAnsi="Times New Roman"/>
          <w:color w:val="000000"/>
          <w:sz w:val="20"/>
        </w:rPr>
        <w:t xml:space="preserve"> </w:t>
      </w:r>
      <w:r>
        <w:rPr>
          <w:rFonts w:ascii="Times New Roman" w:hAnsi="Times New Roman"/>
          <w:b w:val="false"/>
          <w:color w:val="000000"/>
          <w:sz w:val="20"/>
        </w:rPr>
        <w:t>million is associated with the derivative instrument re-measured to fair value at the end of the reporting period, netted by $1.4</w:t>
      </w:r>
      <w:r>
        <w:rPr>
          <w:rFonts w:ascii="Times New Roman" w:hAnsi="Times New Roman"/>
          <w:color w:val="000000"/>
          <w:sz w:val="20"/>
        </w:rPr>
        <w:t xml:space="preserve"> </w:t>
      </w:r>
      <w:r>
        <w:rPr>
          <w:rFonts w:ascii="Times New Roman" w:hAnsi="Times New Roman"/>
          <w:b w:val="false"/>
          <w:color w:val="000000"/>
          <w:sz w:val="20"/>
        </w:rPr>
        <w:t xml:space="preserve">million related to the monthly cash payments. The effect of remeasurement to fair value is recorded within the operating activities section and the monthly cash payments are recorded within the investing activities section in the condensed consolidated statements of cash flows. See below for further discussion on the fair value measurement of the interest rate swap, and Note 6, </w:t>
      </w:r>
      <w:r>
        <w:rPr>
          <w:rFonts w:ascii="Times New Roman" w:hAnsi="Times New Roman"/>
          <w:b w:val="false"/>
          <w:i/>
          <w:color w:val="000000"/>
          <w:sz w:val="20"/>
        </w:rPr>
        <w:t>Long-term Debt</w:t>
      </w:r>
      <w:r>
        <w:rPr>
          <w:rFonts w:ascii="Times New Roman" w:hAnsi="Times New Roman"/>
          <w:b w:val="false"/>
          <w:color w:val="000000"/>
          <w:sz w:val="20"/>
        </w:rPr>
        <w:t>, for additional information on the Company's mix of fixed and variable debt.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Recent Accounting Pronouncements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val="false"/>
          <w:i/>
          <w:color w:val="000000"/>
          <w:sz w:val="20"/>
          <w:u w:val="single"/>
        </w:rPr>
      </w:pPr>
      <w:r>
        <w:rPr>
          <w:rFonts w:ascii="Times New Roman" w:hAnsi="Times New Roman"/>
          <w:b w:val="false"/>
          <w:i/>
          <w:color w:val="000000"/>
          <w:sz w:val="20"/>
          <w:u w:val="single"/>
        </w:rPr>
        <w:t>Accounting Standards Adopted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In March 2020, the Financial Accounting Standards Board (“</w:t>
      </w:r>
      <w:r>
        <w:rPr>
          <w:rFonts w:ascii="Times New Roman" w:hAnsi="Times New Roman"/>
          <w:b/>
          <w:i/>
          <w:color w:val="000000"/>
          <w:sz w:val="20"/>
        </w:rPr>
        <w:t>FASB</w:t>
      </w:r>
      <w:r>
        <w:rPr>
          <w:rFonts w:ascii="Times New Roman" w:hAnsi="Times New Roman"/>
          <w:color w:val="000000"/>
          <w:sz w:val="20"/>
        </w:rPr>
        <w:t>”</w:t>
      </w:r>
      <w:r>
        <w:rPr>
          <w:rFonts w:ascii="Times New Roman" w:hAnsi="Times New Roman"/>
          <w:b w:val="false"/>
          <w:color w:val="000000"/>
          <w:sz w:val="20"/>
        </w:rPr>
        <w:t>) issued Accounting Standards Update (“</w:t>
      </w:r>
      <w:r>
        <w:rPr>
          <w:rFonts w:ascii="Times New Roman" w:hAnsi="Times New Roman"/>
          <w:b/>
          <w:i/>
          <w:color w:val="000000"/>
          <w:sz w:val="20"/>
        </w:rPr>
        <w:t>ASU</w:t>
      </w:r>
      <w:r>
        <w:rPr>
          <w:rFonts w:ascii="Times New Roman" w:hAnsi="Times New Roman"/>
          <w:color w:val="000000"/>
          <w:sz w:val="20"/>
        </w:rPr>
        <w:t>”</w:t>
      </w:r>
      <w:r>
        <w:rPr>
          <w:rFonts w:ascii="Times New Roman" w:hAnsi="Times New Roman"/>
          <w:b w:val="false"/>
          <w:color w:val="000000"/>
          <w:sz w:val="20"/>
        </w:rPr>
        <w:t xml:space="preserve">) 2020-04, </w:t>
      </w:r>
      <w:r>
        <w:rPr>
          <w:rFonts w:ascii="Times New Roman" w:hAnsi="Times New Roman"/>
          <w:b w:val="false"/>
          <w:i/>
          <w:color w:val="000000"/>
          <w:sz w:val="20"/>
        </w:rPr>
        <w:t>Reference Rate Reform (Topic 848): Facilitation of the Effects of Reference Rate Reform on Financial Reporting</w:t>
      </w:r>
      <w:r>
        <w:rPr>
          <w:rFonts w:ascii="Times New Roman" w:hAnsi="Times New Roman"/>
          <w:b w:val="false"/>
          <w:color w:val="000000"/>
          <w:sz w:val="20"/>
        </w:rPr>
        <w:t xml:space="preserve">. The ASU provides temporary optional guidance to ease the potential burden in accounting for reference rate reform. It provides optional expedients and exceptions for applying GAAP to contract modifications, subject to meeting certain criteria, that reference LIBOR or another reference rate that is discontinued. In January 2021, the FASB issued ASU 2021-01, </w:t>
      </w:r>
      <w:r>
        <w:rPr>
          <w:rFonts w:ascii="Times New Roman" w:hAnsi="Times New Roman"/>
          <w:b w:val="false"/>
          <w:i/>
          <w:color w:val="000000"/>
          <w:sz w:val="20"/>
        </w:rPr>
        <w:t>Reference Rate Reform (Topic 848): Scope</w:t>
      </w:r>
      <w:r>
        <w:rPr>
          <w:rFonts w:ascii="Times New Roman" w:hAnsi="Times New Roman"/>
          <w:b w:val="false"/>
          <w:color w:val="000000"/>
          <w:sz w:val="20"/>
        </w:rPr>
        <w:t>, which clarifies that certain optional expedients and exceptions in Topic 848 for contract modifications and hedge accounting apply to derivatives that are affected by the discounting transition.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In March 2023, the Company amended its 2021 Term Loan agreement to transition away from LIBOR to Term SOFR with the cessation of LIBOR in June 2023. As a result, the Company adopted the standard and elected to apply the optional expedients which enabled it to consider the change in the benchmark interest rate as a continuation of the existing loan agreement and account for it prospectively. The adoption of this standard did not have a material impact to the condensed consolidated financial statements.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val="false"/>
          <w:i/>
          <w:color w:val="000000"/>
          <w:sz w:val="20"/>
          <w:u w:val="single"/>
        </w:rPr>
      </w:pPr>
      <w:r>
        <w:rPr>
          <w:rFonts w:ascii="Times New Roman" w:hAnsi="Times New Roman"/>
          <w:b w:val="false"/>
          <w:i/>
          <w:color w:val="000000"/>
          <w:sz w:val="20"/>
          <w:u w:val="single"/>
        </w:rPr>
        <w:t>Accounting Standards Not Yet Adopted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 xml:space="preserve">On June 30, 2022, the FASB issued ASU 2022-03, </w:t>
      </w:r>
      <w:r>
        <w:rPr>
          <w:rFonts w:ascii="Times New Roman" w:hAnsi="Times New Roman"/>
          <w:b w:val="false"/>
          <w:i/>
          <w:color w:val="000000"/>
          <w:sz w:val="20"/>
        </w:rPr>
        <w:t>Fair Value Measurement (Topic 820): Fair Value Measurement of Equity Securities Subject to Contractual Sale Restrictions</w:t>
      </w:r>
      <w:r>
        <w:rPr>
          <w:rFonts w:ascii="Times New Roman" w:hAnsi="Times New Roman"/>
          <w:b w:val="false"/>
          <w:color w:val="000000"/>
          <w:sz w:val="20"/>
        </w:rPr>
        <w:t>. The ASU clarifies that a contractual restriction on the sale of an equity security is not considered part of the unit of account of the equity security and, therefore, is not considered in measuring fair value. It also requires entities with investments in equity securities subject to contractual sale restrictions to disclose certain qualitative and quantitative information about such securities. The guidance is effective for fiscal years, including interim periods beginning after December 15, 2023. Early adoption is permitted. The Company is currently evaluating the impact of this standard on its financial statements.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 Prepaid Expenses and Other Current Assets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Prepaid expenses and other current assets consist of the following at:</w:t>
      </w:r>
    </w:p>
    <w:p>
      <w:pPr>
        <w:pStyle w:val="TextBody"/>
        <w:bidi w:val="0"/>
        <w:jc w:val="left"/>
        <w:rPr/>
      </w:pPr>
      <w:r>
        <w:rPr/>
        <w:t> </w:t>
      </w:r>
    </w:p>
    <w:tbl>
      <w:tblPr>
        <w:tblW w:w="6995" w:type="dxa"/>
        <w:jc w:val="left"/>
        <w:tblInd w:w="0" w:type="dxa"/>
        <w:tblLayout w:type="fixed"/>
        <w:tblCellMar>
          <w:top w:w="28" w:type="dxa"/>
          <w:left w:w="28" w:type="dxa"/>
          <w:bottom w:w="28" w:type="dxa"/>
          <w:right w:w="28" w:type="dxa"/>
        </w:tblCellMar>
      </w:tblPr>
      <w:tblGrid>
        <w:gridCol w:w="4031"/>
        <w:gridCol w:w="146"/>
        <w:gridCol w:w="271"/>
        <w:gridCol w:w="869"/>
        <w:gridCol w:w="146"/>
        <w:gridCol w:w="146"/>
        <w:gridCol w:w="260"/>
        <w:gridCol w:w="835"/>
        <w:gridCol w:w="291"/>
      </w:tblGrid>
      <w:tr>
        <w:trPr/>
        <w:tc>
          <w:tcPr>
            <w:tcW w:w="4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services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9,171</w:t>
            </w:r>
          </w:p>
        </w:tc>
        <w:tc>
          <w:tcPr>
            <w:tcW w:w="291" w:type="dxa"/>
            <w:tcBorders/>
            <w:shd w:fill="CFF0FC" w:val="clear"/>
            <w:vAlign w:val="center"/>
          </w:tcPr>
          <w:p>
            <w:pPr>
              <w:pStyle w:val="TableContents"/>
              <w:bidi w:val="0"/>
              <w:spacing w:before="0" w:after="283"/>
              <w:jc w:val="left"/>
              <w:rPr/>
            </w:pPr>
            <w:r>
              <w:rPr/>
              <w:t> </w:t>
            </w:r>
          </w:p>
        </w:tc>
      </w:tr>
      <w:tr>
        <w:trPr/>
        <w:tc>
          <w:tcPr>
            <w:tcW w:w="40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tolls</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9,978</w:t>
            </w:r>
          </w:p>
        </w:tc>
        <w:tc>
          <w:tcPr>
            <w:tcW w:w="291" w:type="dxa"/>
            <w:tcBorders/>
            <w:shd w:fill="FFFFFF" w:val="clear"/>
            <w:vAlign w:val="center"/>
          </w:tcPr>
          <w:p>
            <w:pPr>
              <w:pStyle w:val="TableContents"/>
              <w:bidi w:val="0"/>
              <w:spacing w:before="0" w:after="283"/>
              <w:jc w:val="left"/>
              <w:rPr/>
            </w:pPr>
            <w:r>
              <w:rPr/>
              <w:t> </w:t>
            </w:r>
          </w:p>
        </w:tc>
      </w:tr>
      <w:tr>
        <w:trPr/>
        <w:tc>
          <w:tcPr>
            <w:tcW w:w="40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Costs to fulfill a customer contract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3,193</w:t>
            </w:r>
          </w:p>
        </w:tc>
        <w:tc>
          <w:tcPr>
            <w:tcW w:w="291" w:type="dxa"/>
            <w:tcBorders/>
            <w:shd w:fill="CFF0FC" w:val="clear"/>
            <w:vAlign w:val="center"/>
          </w:tcPr>
          <w:p>
            <w:pPr>
              <w:pStyle w:val="TableContents"/>
              <w:bidi w:val="0"/>
              <w:spacing w:before="0" w:after="283"/>
              <w:jc w:val="left"/>
              <w:rPr/>
            </w:pPr>
            <w:r>
              <w:rPr/>
              <w:t> </w:t>
            </w:r>
          </w:p>
        </w:tc>
      </w:tr>
      <w:tr>
        <w:trPr/>
        <w:tc>
          <w:tcPr>
            <w:tcW w:w="40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computer maintenance</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5,492</w:t>
            </w:r>
          </w:p>
        </w:tc>
        <w:tc>
          <w:tcPr>
            <w:tcW w:w="291" w:type="dxa"/>
            <w:tcBorders/>
            <w:shd w:fill="FFFFFF" w:val="clear"/>
            <w:vAlign w:val="center"/>
          </w:tcPr>
          <w:p>
            <w:pPr>
              <w:pStyle w:val="TableContents"/>
              <w:bidi w:val="0"/>
              <w:spacing w:before="0" w:after="283"/>
              <w:jc w:val="left"/>
              <w:rPr/>
            </w:pPr>
            <w:r>
              <w:rPr/>
              <w:t> </w:t>
            </w:r>
          </w:p>
        </w:tc>
      </w:tr>
      <w:tr>
        <w:trPr/>
        <w:tc>
          <w:tcPr>
            <w:tcW w:w="40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income taxes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4,629</w:t>
            </w:r>
          </w:p>
        </w:tc>
        <w:tc>
          <w:tcPr>
            <w:tcW w:w="291" w:type="dxa"/>
            <w:tcBorders/>
            <w:shd w:fill="CFF0FC" w:val="clear"/>
            <w:vAlign w:val="center"/>
          </w:tcPr>
          <w:p>
            <w:pPr>
              <w:pStyle w:val="TableContents"/>
              <w:bidi w:val="0"/>
              <w:spacing w:before="0" w:after="283"/>
              <w:jc w:val="left"/>
              <w:rPr/>
            </w:pPr>
            <w:r>
              <w:rPr/>
              <w:t> </w:t>
            </w:r>
          </w:p>
        </w:tc>
      </w:tr>
      <w:tr>
        <w:trPr/>
        <w:tc>
          <w:tcPr>
            <w:tcW w:w="40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rate swap asset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40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Deposits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2,057</w:t>
            </w:r>
          </w:p>
        </w:tc>
        <w:tc>
          <w:tcPr>
            <w:tcW w:w="291" w:type="dxa"/>
            <w:tcBorders/>
            <w:shd w:fill="CFF0FC" w:val="clear"/>
            <w:vAlign w:val="center"/>
          </w:tcPr>
          <w:p>
            <w:pPr>
              <w:pStyle w:val="TableContents"/>
              <w:bidi w:val="0"/>
              <w:spacing w:before="0" w:after="283"/>
              <w:jc w:val="left"/>
              <w:rPr/>
            </w:pPr>
            <w:r>
              <w:rPr/>
              <w:t> </w:t>
            </w:r>
          </w:p>
        </w:tc>
      </w:tr>
      <w:tr>
        <w:trPr/>
        <w:tc>
          <w:tcPr>
            <w:tcW w:w="40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5,084</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03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41,197</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39,604</w:t>
            </w:r>
          </w:p>
        </w:tc>
        <w:tc>
          <w:tcPr>
            <w:tcW w:w="2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4. Goodwill and Intangible Assets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following table presents the changes in the carrying amount of goodwill by reportable segment:</w:t>
      </w:r>
    </w:p>
    <w:p>
      <w:pPr>
        <w:pStyle w:val="TextBody"/>
        <w:bidi w:val="0"/>
        <w:jc w:val="both"/>
        <w:rPr/>
      </w:pPr>
      <w:r>
        <w:rPr/>
        <w:t> </w:t>
      </w:r>
    </w:p>
    <w:tbl>
      <w:tblPr>
        <w:tblW w:w="8611" w:type="dxa"/>
        <w:jc w:val="left"/>
        <w:tblInd w:w="0" w:type="dxa"/>
        <w:tblLayout w:type="fixed"/>
        <w:tblCellMar>
          <w:top w:w="28" w:type="dxa"/>
          <w:left w:w="28" w:type="dxa"/>
          <w:bottom w:w="28" w:type="dxa"/>
          <w:right w:w="28" w:type="dxa"/>
        </w:tblCellMar>
      </w:tblPr>
      <w:tblGrid>
        <w:gridCol w:w="3361"/>
        <w:gridCol w:w="146"/>
        <w:gridCol w:w="211"/>
        <w:gridCol w:w="781"/>
        <w:gridCol w:w="146"/>
        <w:gridCol w:w="146"/>
        <w:gridCol w:w="217"/>
        <w:gridCol w:w="804"/>
        <w:gridCol w:w="166"/>
        <w:gridCol w:w="146"/>
        <w:gridCol w:w="211"/>
        <w:gridCol w:w="781"/>
        <w:gridCol w:w="146"/>
        <w:gridCol w:w="146"/>
        <w:gridCol w:w="211"/>
        <w:gridCol w:w="781"/>
        <w:gridCol w:w="21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419,720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214,618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199,142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833,480</w:t>
            </w:r>
          </w:p>
        </w:tc>
        <w:tc>
          <w:tcPr>
            <w:tcW w:w="211" w:type="dxa"/>
            <w:tcBorders/>
            <w:shd w:fill="CFF0FC"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3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September 30, 2023</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419,808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213,867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199,142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832,817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Intangible assets consist of the following as of the respective period-ends: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22"/>
        <w:gridCol w:w="146"/>
        <w:gridCol w:w="886"/>
        <w:gridCol w:w="146"/>
        <w:gridCol w:w="211"/>
        <w:gridCol w:w="841"/>
        <w:gridCol w:w="166"/>
        <w:gridCol w:w="146"/>
        <w:gridCol w:w="229"/>
        <w:gridCol w:w="852"/>
        <w:gridCol w:w="146"/>
        <w:gridCol w:w="146"/>
        <w:gridCol w:w="886"/>
        <w:gridCol w:w="146"/>
        <w:gridCol w:w="211"/>
        <w:gridCol w:w="841"/>
        <w:gridCol w:w="166"/>
        <w:gridCol w:w="146"/>
        <w:gridCol w:w="229"/>
        <w:gridCol w:w="852"/>
        <w:gridCol w:w="291"/>
      </w:tblGrid>
      <w:tr>
        <w:trPr/>
        <w:tc>
          <w:tcPr>
            <w:tcW w:w="2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77"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77"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center"/>
              <w:rPr/>
            </w:pPr>
            <w:r>
              <w:rPr/>
              <w:t> </w:t>
            </w:r>
          </w:p>
        </w:tc>
      </w:tr>
      <w:tr>
        <w:trPr/>
        <w:tc>
          <w:tcPr>
            <w:tcW w:w="25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center"/>
              <w:rPr/>
            </w:pPr>
            <w:r>
              <w:rPr/>
              <w:t> </w:t>
            </w:r>
          </w:p>
        </w:tc>
      </w:tr>
      <w:tr>
        <w:trPr/>
        <w:tc>
          <w:tcPr>
            <w:tcW w:w="25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291" w:type="dxa"/>
            <w:tcBorders/>
            <w:shd w:fill="FFFFFF" w:val="clear"/>
            <w:vAlign w:val="center"/>
          </w:tcPr>
          <w:p>
            <w:pPr>
              <w:pStyle w:val="TableContents"/>
              <w:bidi w:val="0"/>
              <w:spacing w:before="0" w:after="283"/>
              <w:jc w:val="center"/>
              <w:rPr/>
            </w:pPr>
            <w:r>
              <w:rPr/>
              <w:t> </w:t>
            </w:r>
          </w:p>
        </w:tc>
      </w:tr>
      <w:tr>
        <w:trPr/>
        <w:tc>
          <w:tcPr>
            <w:tcW w:w="2522"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Trademarks</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0.4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32,718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86"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0.4</w:t>
            </w:r>
            <w:r>
              <w:rPr>
                <w:rFonts w:ascii="Times New Roman" w:hAnsi="Times New Roman"/>
                <w:color w:val="000000"/>
                <w:sz w:val="20"/>
              </w:rPr>
              <w:t> </w:t>
            </w:r>
            <w:r>
              <w:rPr>
                <w:rFonts w:ascii="Times New Roman" w:hAnsi="Times New Roman"/>
                <w:b w:val="false"/>
                <w:color w:val="000000"/>
                <w:sz w:val="20"/>
              </w:rPr>
              <w:t>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32,233</w:t>
            </w:r>
          </w:p>
        </w:tc>
        <w:tc>
          <w:tcPr>
            <w:tcW w:w="291" w:type="dxa"/>
            <w:tcBorders/>
            <w:shd w:fill="CFF0FC" w:val="clear"/>
            <w:vAlign w:val="center"/>
          </w:tcPr>
          <w:p>
            <w:pPr>
              <w:pStyle w:val="TableContents"/>
              <w:bidi w:val="0"/>
              <w:spacing w:before="0" w:after="283"/>
              <w:jc w:val="left"/>
              <w:rPr/>
            </w:pPr>
            <w:r>
              <w:rPr/>
              <w:t> </w:t>
            </w:r>
          </w:p>
        </w:tc>
      </w:tr>
      <w:tr>
        <w:trPr/>
        <w:tc>
          <w:tcPr>
            <w:tcW w:w="252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Non-compete agreements</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zero</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62,541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62,541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8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0.1</w:t>
            </w:r>
            <w:r>
              <w:rPr>
                <w:rFonts w:ascii="Times New Roman" w:hAnsi="Times New Roman"/>
                <w:color w:val="000000"/>
                <w:sz w:val="20"/>
              </w:rPr>
              <w:t> </w:t>
            </w:r>
            <w:r>
              <w:rPr>
                <w:rFonts w:ascii="Times New Roman" w:hAnsi="Times New Roman"/>
                <w:b w:val="false"/>
                <w:color w:val="000000"/>
                <w:sz w:val="20"/>
              </w:rPr>
              <w:t>years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62,529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60,926</w:t>
            </w:r>
          </w:p>
        </w:tc>
        <w:tc>
          <w:tcPr>
            <w:tcW w:w="291" w:type="dxa"/>
            <w:tcBorders/>
            <w:shd w:fill="FFFFFF" w:val="clear"/>
            <w:vAlign w:val="center"/>
          </w:tcPr>
          <w:p>
            <w:pPr>
              <w:pStyle w:val="TableContents"/>
              <w:bidi w:val="0"/>
              <w:spacing w:before="0" w:after="283"/>
              <w:jc w:val="left"/>
              <w:rPr/>
            </w:pPr>
            <w:r>
              <w:rPr/>
              <w:t> </w:t>
            </w:r>
          </w:p>
        </w:tc>
      </w:tr>
      <w:tr>
        <w:trPr/>
        <w:tc>
          <w:tcPr>
            <w:tcW w:w="252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4.7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557,223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273,108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86"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5.5</w:t>
            </w:r>
            <w:r>
              <w:rPr>
                <w:rFonts w:ascii="Times New Roman" w:hAnsi="Times New Roman"/>
                <w:color w:val="000000"/>
                <w:sz w:val="20"/>
              </w:rPr>
              <w:t> </w:t>
            </w:r>
            <w:r>
              <w:rPr>
                <w:rFonts w:ascii="Times New Roman" w:hAnsi="Times New Roman"/>
                <w:b w:val="false"/>
                <w:color w:val="000000"/>
                <w:sz w:val="20"/>
              </w:rPr>
              <w:t>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557,570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227,102</w:t>
            </w:r>
          </w:p>
        </w:tc>
        <w:tc>
          <w:tcPr>
            <w:tcW w:w="291" w:type="dxa"/>
            <w:tcBorders/>
            <w:shd w:fill="CFF0FC" w:val="clear"/>
            <w:vAlign w:val="center"/>
          </w:tcPr>
          <w:p>
            <w:pPr>
              <w:pStyle w:val="TableContents"/>
              <w:bidi w:val="0"/>
              <w:spacing w:before="0" w:after="283"/>
              <w:jc w:val="left"/>
              <w:rPr/>
            </w:pPr>
            <w:r>
              <w:rPr/>
              <w:t> </w:t>
            </w:r>
          </w:p>
        </w:tc>
      </w:tr>
      <w:tr>
        <w:trPr/>
        <w:tc>
          <w:tcPr>
            <w:tcW w:w="252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Developed technology</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0.9 years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172,309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8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1.2</w:t>
            </w:r>
            <w:r>
              <w:rPr>
                <w:rFonts w:ascii="Times New Roman" w:hAnsi="Times New Roman"/>
                <w:color w:val="000000"/>
                <w:sz w:val="20"/>
              </w:rPr>
              <w:t> </w:t>
            </w:r>
            <w:r>
              <w:rPr>
                <w:rFonts w:ascii="Times New Roman" w:hAnsi="Times New Roman"/>
                <w:b w:val="false"/>
                <w:color w:val="000000"/>
                <w:sz w:val="20"/>
              </w:rPr>
              <w:t>years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201,548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160,117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carrying value of intangible assets</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856,430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540,676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857,798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480,378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accumulated amortization</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(540,676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08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(480,378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081"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2522"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Intangible assets, net</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315,754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08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377,420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081"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Amortization expense was $18.9</w:t>
      </w:r>
      <w:r>
        <w:rPr>
          <w:rFonts w:ascii="Times New Roman" w:hAnsi="Times New Roman"/>
          <w:color w:val="000000"/>
          <w:sz w:val="20"/>
        </w:rPr>
        <w:t xml:space="preserve"> </w:t>
      </w:r>
      <w:r>
        <w:rPr>
          <w:rFonts w:ascii="Times New Roman" w:hAnsi="Times New Roman"/>
          <w:b w:val="false"/>
          <w:color w:val="000000"/>
          <w:sz w:val="20"/>
        </w:rPr>
        <w:t>million and $26.6</w:t>
      </w:r>
      <w:r>
        <w:rPr>
          <w:rFonts w:ascii="Times New Roman" w:hAnsi="Times New Roman"/>
          <w:color w:val="000000"/>
          <w:sz w:val="20"/>
        </w:rPr>
        <w:t xml:space="preserve"> </w:t>
      </w:r>
      <w:r>
        <w:rPr>
          <w:rFonts w:ascii="Times New Roman" w:hAnsi="Times New Roman"/>
          <w:b w:val="false"/>
          <w:color w:val="000000"/>
          <w:sz w:val="20"/>
        </w:rPr>
        <w:t>million for the three months ended September 30, 2023 and 2022, respectively, and</w:t>
      </w:r>
      <w:r>
        <w:rPr>
          <w:rFonts w:ascii="Times New Roman" w:hAnsi="Times New Roman"/>
          <w:color w:val="000000"/>
          <w:sz w:val="20"/>
        </w:rPr>
        <w:t xml:space="preserve"> </w:t>
      </w:r>
      <w:r>
        <w:rPr>
          <w:rFonts w:ascii="Times New Roman" w:hAnsi="Times New Roman"/>
          <w:b w:val="false"/>
          <w:color w:val="000000"/>
          <w:sz w:val="20"/>
        </w:rPr>
        <w:t>was $60.9</w:t>
      </w:r>
      <w:r>
        <w:rPr>
          <w:rFonts w:ascii="Times New Roman" w:hAnsi="Times New Roman"/>
          <w:color w:val="000000"/>
          <w:sz w:val="20"/>
        </w:rPr>
        <w:t xml:space="preserve"> </w:t>
      </w:r>
      <w:r>
        <w:rPr>
          <w:rFonts w:ascii="Times New Roman" w:hAnsi="Times New Roman"/>
          <w:b w:val="false"/>
          <w:color w:val="000000"/>
          <w:sz w:val="20"/>
        </w:rPr>
        <w:t>million and $81.0</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2023 and 2022, respectively.</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Estimated amortization expense in future years is expected to be:</w:t>
      </w:r>
    </w:p>
    <w:p>
      <w:pPr>
        <w:pStyle w:val="TextBody"/>
        <w:bidi w:val="0"/>
        <w:jc w:val="both"/>
        <w:rPr/>
      </w:pPr>
      <w:r>
        <w:rPr/>
        <w:t> </w:t>
      </w:r>
    </w:p>
    <w:tbl>
      <w:tblPr>
        <w:tblW w:w="3110" w:type="dxa"/>
        <w:jc w:val="left"/>
        <w:tblInd w:w="0" w:type="dxa"/>
        <w:tblLayout w:type="fixed"/>
        <w:tblCellMar>
          <w:top w:w="28" w:type="dxa"/>
          <w:left w:w="28" w:type="dxa"/>
          <w:bottom w:w="28" w:type="dxa"/>
          <w:right w:w="28" w:type="dxa"/>
        </w:tblCellMar>
      </w:tblPr>
      <w:tblGrid>
        <w:gridCol w:w="1681"/>
        <w:gridCol w:w="146"/>
        <w:gridCol w:w="211"/>
        <w:gridCol w:w="781"/>
        <w:gridCol w:w="2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Remainder of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16,721</w:t>
            </w:r>
          </w:p>
        </w:tc>
        <w:tc>
          <w:tcPr>
            <w:tcW w:w="2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66,881</w:t>
            </w:r>
          </w:p>
        </w:tc>
        <w:tc>
          <w:tcPr>
            <w:tcW w:w="2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64,183</w:t>
            </w:r>
          </w:p>
        </w:tc>
        <w:tc>
          <w:tcPr>
            <w:tcW w:w="2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57,229</w:t>
            </w:r>
          </w:p>
        </w:tc>
        <w:tc>
          <w:tcPr>
            <w:tcW w:w="2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28,125</w:t>
            </w:r>
          </w:p>
        </w:tc>
        <w:tc>
          <w:tcPr>
            <w:tcW w:w="2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82,615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68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315,754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5. Accrued Liabilities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Accrued liabilities consist of the following at:</w:t>
      </w:r>
    </w:p>
    <w:p>
      <w:pPr>
        <w:pStyle w:val="TextBody"/>
        <w:bidi w:val="0"/>
        <w:jc w:val="both"/>
        <w:rPr/>
      </w:pPr>
      <w:r>
        <w:rPr/>
        <w:t> </w:t>
      </w:r>
    </w:p>
    <w:tbl>
      <w:tblPr>
        <w:tblW w:w="6655" w:type="dxa"/>
        <w:jc w:val="left"/>
        <w:tblInd w:w="0" w:type="dxa"/>
        <w:tblLayout w:type="fixed"/>
        <w:tblCellMar>
          <w:top w:w="28" w:type="dxa"/>
          <w:left w:w="28" w:type="dxa"/>
          <w:bottom w:w="28" w:type="dxa"/>
          <w:right w:w="28" w:type="dxa"/>
        </w:tblCellMar>
      </w:tblPr>
      <w:tblGrid>
        <w:gridCol w:w="3691"/>
        <w:gridCol w:w="146"/>
        <w:gridCol w:w="271"/>
        <w:gridCol w:w="869"/>
        <w:gridCol w:w="146"/>
        <w:gridCol w:w="146"/>
        <w:gridCol w:w="260"/>
        <w:gridCol w:w="835"/>
        <w:gridCol w:w="2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salaries and wages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19,109</w:t>
            </w:r>
          </w:p>
        </w:tc>
        <w:tc>
          <w:tcPr>
            <w:tcW w:w="291" w:type="dxa"/>
            <w:tcBorders/>
            <w:shd w:fill="CFF0FC" w:val="clear"/>
            <w:vAlign w:val="center"/>
          </w:tcPr>
          <w:p>
            <w:pPr>
              <w:pStyle w:val="TableContents"/>
              <w:bidi w:val="0"/>
              <w:spacing w:before="0" w:after="283"/>
              <w:jc w:val="left"/>
              <w:rPr/>
            </w:pPr>
            <w:r>
              <w:rPr/>
              <w:t> </w:t>
            </w:r>
          </w:p>
        </w:tc>
      </w:tr>
      <w:tr>
        <w:trPr/>
        <w:tc>
          <w:tcPr>
            <w:tcW w:w="36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interest payable</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4,459</w:t>
            </w:r>
          </w:p>
        </w:tc>
        <w:tc>
          <w:tcPr>
            <w:tcW w:w="291" w:type="dxa"/>
            <w:tcBorders/>
            <w:shd w:fill="FFFFFF" w:val="clear"/>
            <w:vAlign w:val="center"/>
          </w:tcPr>
          <w:p>
            <w:pPr>
              <w:pStyle w:val="TableContents"/>
              <w:bidi w:val="0"/>
              <w:spacing w:before="0" w:after="283"/>
              <w:jc w:val="left"/>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deferred tax liabilities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7,559</w:t>
            </w:r>
          </w:p>
        </w:tc>
        <w:tc>
          <w:tcPr>
            <w:tcW w:w="291" w:type="dxa"/>
            <w:tcBorders/>
            <w:shd w:fill="CFF0FC" w:val="clear"/>
            <w:vAlign w:val="center"/>
          </w:tcPr>
          <w:p>
            <w:pPr>
              <w:pStyle w:val="TableContents"/>
              <w:bidi w:val="0"/>
              <w:spacing w:before="0" w:after="283"/>
              <w:jc w:val="left"/>
              <w:rPr/>
            </w:pPr>
            <w:r>
              <w:rPr/>
              <w:t> </w:t>
            </w:r>
          </w:p>
        </w:tc>
      </w:tr>
      <w:tr>
        <w:trPr/>
        <w:tc>
          <w:tcPr>
            <w:tcW w:w="36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portion of operating lease liabilities</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6,355</w:t>
            </w:r>
          </w:p>
        </w:tc>
        <w:tc>
          <w:tcPr>
            <w:tcW w:w="291" w:type="dxa"/>
            <w:tcBorders/>
            <w:shd w:fill="FFFFFF" w:val="clear"/>
            <w:vAlign w:val="center"/>
          </w:tcPr>
          <w:p>
            <w:pPr>
              <w:pStyle w:val="TableContents"/>
              <w:bidi w:val="0"/>
              <w:spacing w:before="0" w:after="283"/>
              <w:jc w:val="left"/>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cash due to customers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3,541</w:t>
            </w:r>
          </w:p>
        </w:tc>
        <w:tc>
          <w:tcPr>
            <w:tcW w:w="291" w:type="dxa"/>
            <w:tcBorders/>
            <w:shd w:fill="CFF0FC" w:val="clear"/>
            <w:vAlign w:val="center"/>
          </w:tcPr>
          <w:p>
            <w:pPr>
              <w:pStyle w:val="TableContents"/>
              <w:bidi w:val="0"/>
              <w:spacing w:before="0" w:after="283"/>
              <w:jc w:val="left"/>
              <w:rPr/>
            </w:pPr>
            <w:r>
              <w:rPr/>
              <w:t> </w:t>
            </w:r>
          </w:p>
        </w:tc>
      </w:tr>
      <w:tr>
        <w:trPr/>
        <w:tc>
          <w:tcPr>
            <w:tcW w:w="36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Payroll liabilities</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2,136</w:t>
            </w:r>
          </w:p>
        </w:tc>
        <w:tc>
          <w:tcPr>
            <w:tcW w:w="291" w:type="dxa"/>
            <w:tcBorders/>
            <w:shd w:fill="FFFFFF" w:val="clear"/>
            <w:vAlign w:val="center"/>
          </w:tcPr>
          <w:p>
            <w:pPr>
              <w:pStyle w:val="TableContents"/>
              <w:bidi w:val="0"/>
              <w:spacing w:before="0" w:after="283"/>
              <w:jc w:val="left"/>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Advance deposits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1,029</w:t>
            </w:r>
          </w:p>
        </w:tc>
        <w:tc>
          <w:tcPr>
            <w:tcW w:w="291" w:type="dxa"/>
            <w:tcBorders/>
            <w:shd w:fill="CFF0FC" w:val="clear"/>
            <w:vAlign w:val="center"/>
          </w:tcPr>
          <w:p>
            <w:pPr>
              <w:pStyle w:val="TableContents"/>
              <w:bidi w:val="0"/>
              <w:spacing w:before="0" w:after="283"/>
              <w:jc w:val="left"/>
              <w:rPr/>
            </w:pPr>
            <w:r>
              <w:rPr/>
              <w:t> </w:t>
            </w:r>
          </w:p>
        </w:tc>
      </w:tr>
      <w:tr>
        <w:trPr/>
        <w:tc>
          <w:tcPr>
            <w:tcW w:w="36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commissions</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857</w:t>
            </w:r>
          </w:p>
        </w:tc>
        <w:tc>
          <w:tcPr>
            <w:tcW w:w="291" w:type="dxa"/>
            <w:tcBorders/>
            <w:shd w:fill="FFFFFF" w:val="clear"/>
            <w:vAlign w:val="center"/>
          </w:tcPr>
          <w:p>
            <w:pPr>
              <w:pStyle w:val="TableContents"/>
              <w:bidi w:val="0"/>
              <w:spacing w:before="0" w:after="283"/>
              <w:jc w:val="left"/>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tax payable</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w:t>
            </w:r>
          </w:p>
        </w:tc>
        <w:tc>
          <w:tcPr>
            <w:tcW w:w="291" w:type="dxa"/>
            <w:tcBorders/>
            <w:shd w:fill="CFF0FC" w:val="clear"/>
            <w:vAlign w:val="center"/>
          </w:tcPr>
          <w:p>
            <w:pPr>
              <w:pStyle w:val="TableContents"/>
              <w:bidi w:val="0"/>
              <w:spacing w:before="0" w:after="283"/>
              <w:jc w:val="left"/>
              <w:rPr/>
            </w:pPr>
            <w:r>
              <w:rPr/>
              <w:t> </w:t>
            </w:r>
          </w:p>
        </w:tc>
      </w:tr>
      <w:tr>
        <w:trPr/>
        <w:tc>
          <w:tcPr>
            <w:tcW w:w="36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3,533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9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accrued liabilities</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59,459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48,847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 Long-term Debt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following table provides a summary of the Company’s long-term debt at:</w:t>
      </w:r>
    </w:p>
    <w:p>
      <w:pPr>
        <w:pStyle w:val="TextBody"/>
        <w:bidi w:val="0"/>
        <w:jc w:val="left"/>
        <w:rPr/>
      </w:pPr>
      <w:r>
        <w:rPr/>
        <w:t> </w:t>
      </w:r>
    </w:p>
    <w:tbl>
      <w:tblPr>
        <w:tblW w:w="6969" w:type="dxa"/>
        <w:jc w:val="left"/>
        <w:tblInd w:w="0" w:type="dxa"/>
        <w:tblLayout w:type="fixed"/>
        <w:tblCellMar>
          <w:top w:w="28" w:type="dxa"/>
          <w:left w:w="28" w:type="dxa"/>
          <w:bottom w:w="28" w:type="dxa"/>
          <w:right w:w="28" w:type="dxa"/>
        </w:tblCellMar>
      </w:tblPr>
      <w:tblGrid>
        <w:gridCol w:w="3816"/>
        <w:gridCol w:w="146"/>
        <w:gridCol w:w="211"/>
        <w:gridCol w:w="931"/>
        <w:gridCol w:w="166"/>
        <w:gridCol w:w="146"/>
        <w:gridCol w:w="211"/>
        <w:gridCol w:w="931"/>
        <w:gridCol w:w="411"/>
      </w:tblGrid>
      <w:tr>
        <w:trPr/>
        <w:tc>
          <w:tcPr>
            <w:tcW w:w="3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1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2021 Term Loan, due 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706,842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886,106</w:t>
            </w:r>
          </w:p>
        </w:tc>
        <w:tc>
          <w:tcPr>
            <w:tcW w:w="411" w:type="dxa"/>
            <w:tcBorders/>
            <w:shd w:fill="CFF0FC" w:val="clear"/>
            <w:vAlign w:val="center"/>
          </w:tcPr>
          <w:p>
            <w:pPr>
              <w:pStyle w:val="TableContents"/>
              <w:bidi w:val="0"/>
              <w:spacing w:before="0" w:after="283"/>
              <w:jc w:val="left"/>
              <w:rPr/>
            </w:pPr>
            <w:r>
              <w:rPr/>
              <w:t> </w:t>
            </w:r>
          </w:p>
        </w:tc>
      </w:tr>
      <w:tr>
        <w:trPr/>
        <w:tc>
          <w:tcPr>
            <w:tcW w:w="38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Senior Notes, due 2029</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350,000</w:t>
            </w:r>
          </w:p>
        </w:tc>
        <w:tc>
          <w:tcPr>
            <w:tcW w:w="411" w:type="dxa"/>
            <w:tcBorders/>
            <w:shd w:fill="FFFFFF" w:val="clear"/>
            <w:vAlign w:val="center"/>
          </w:tcPr>
          <w:p>
            <w:pPr>
              <w:pStyle w:val="TableContents"/>
              <w:bidi w:val="0"/>
              <w:spacing w:before="0" w:after="283"/>
              <w:jc w:val="left"/>
              <w:rPr/>
            </w:pPr>
            <w:r>
              <w:rPr/>
              <w:t> </w:t>
            </w:r>
          </w:p>
        </w:tc>
      </w:tr>
      <w:tr>
        <w:trPr/>
        <w:tc>
          <w:tcPr>
            <w:tcW w:w="38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original issue discounts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(3,869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(5,637</w:t>
            </w:r>
          </w:p>
        </w:tc>
        <w:tc>
          <w:tcPr>
            <w:tcW w:w="4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8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unamortized deferred financing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8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long-term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1,039,370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1,211,980</w:t>
            </w:r>
          </w:p>
        </w:tc>
        <w:tc>
          <w:tcPr>
            <w:tcW w:w="411" w:type="dxa"/>
            <w:tcBorders/>
            <w:shd w:fill="CFF0FC" w:val="clear"/>
            <w:vAlign w:val="center"/>
          </w:tcPr>
          <w:p>
            <w:pPr>
              <w:pStyle w:val="TableContents"/>
              <w:bidi w:val="0"/>
              <w:spacing w:before="0" w:after="283"/>
              <w:jc w:val="left"/>
              <w:rPr/>
            </w:pPr>
            <w:r>
              <w:rPr/>
              <w:t> </w:t>
            </w:r>
          </w:p>
        </w:tc>
      </w:tr>
      <w:tr>
        <w:trPr/>
        <w:tc>
          <w:tcPr>
            <w:tcW w:w="38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current portion of long-term debt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(21,935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8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long-term debt,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1,030,351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1,190,045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b w:val="false"/>
          <w:i/>
          <w:color w:val="000000"/>
          <w:sz w:val="20"/>
        </w:rPr>
      </w:pPr>
      <w:r>
        <w:rPr>
          <w:rFonts w:ascii="Times New Roman" w:hAnsi="Times New Roman"/>
          <w:b w:val="false"/>
          <w:i/>
          <w:color w:val="000000"/>
          <w:sz w:val="20"/>
        </w:rPr>
        <w:t xml:space="preserve">2021 Term Loan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March 2021, VM Consolidated, Inc. (“</w:t>
      </w:r>
      <w:r>
        <w:rPr>
          <w:rFonts w:ascii="Times New Roman" w:hAnsi="Times New Roman"/>
          <w:b/>
          <w:i/>
          <w:color w:val="000000"/>
          <w:sz w:val="20"/>
        </w:rPr>
        <w:t>VM Consolidated</w:t>
      </w:r>
      <w:r>
        <w:rPr>
          <w:rFonts w:ascii="Times New Roman" w:hAnsi="Times New Roman"/>
          <w:color w:val="000000"/>
          <w:sz w:val="20"/>
        </w:rPr>
        <w:t>”</w:t>
      </w:r>
      <w:r>
        <w:rPr>
          <w:rFonts w:ascii="Times New Roman" w:hAnsi="Times New Roman"/>
          <w:b w:val="false"/>
          <w:color w:val="000000"/>
          <w:sz w:val="20"/>
        </w:rPr>
        <w:t>), the Company’s wholly owned subsidiary, entered into an Amendment and Restatement Agreement No.1 to the First Lien Term Loan Credit Agreement (the “</w:t>
      </w:r>
      <w:r>
        <w:rPr>
          <w:rFonts w:ascii="Times New Roman" w:hAnsi="Times New Roman"/>
          <w:b/>
          <w:i/>
          <w:color w:val="000000"/>
          <w:sz w:val="20"/>
        </w:rPr>
        <w:t>2021</w:t>
      </w:r>
      <w:r>
        <w:rPr>
          <w:rFonts w:ascii="Times New Roman" w:hAnsi="Times New Roman"/>
          <w:color w:val="000000"/>
          <w:sz w:val="20"/>
        </w:rPr>
        <w:t xml:space="preserve"> </w:t>
      </w:r>
      <w:r>
        <w:rPr>
          <w:rFonts w:ascii="Times New Roman" w:hAnsi="Times New Roman"/>
          <w:b/>
          <w:i/>
          <w:color w:val="000000"/>
          <w:sz w:val="20"/>
        </w:rPr>
        <w:t>Term Loan</w:t>
      </w:r>
      <w:r>
        <w:rPr>
          <w:rFonts w:ascii="Times New Roman" w:hAnsi="Times New Roman"/>
          <w:color w:val="000000"/>
          <w:sz w:val="20"/>
        </w:rPr>
        <w:t>”</w:t>
      </w:r>
      <w:r>
        <w:rPr>
          <w:rFonts w:ascii="Times New Roman" w:hAnsi="Times New Roman"/>
          <w:b w:val="false"/>
          <w:color w:val="000000"/>
          <w:sz w:val="20"/>
        </w:rPr>
        <w:t>) with a syndicate of lenders. The 2021 Term Loan has an aggregate borrowing of $900.0</w:t>
      </w:r>
      <w:r>
        <w:rPr>
          <w:rFonts w:ascii="Times New Roman" w:hAnsi="Times New Roman"/>
          <w:color w:val="000000"/>
          <w:sz w:val="20"/>
        </w:rPr>
        <w:t xml:space="preserve"> </w:t>
      </w:r>
      <w:r>
        <w:rPr>
          <w:rFonts w:ascii="Times New Roman" w:hAnsi="Times New Roman"/>
          <w:b w:val="false"/>
          <w:color w:val="000000"/>
          <w:sz w:val="20"/>
        </w:rPr>
        <w:t>million, maturing on March 26, 2028, which includes the incremental borrowing of $250.0</w:t>
      </w:r>
      <w:r>
        <w:rPr>
          <w:rFonts w:ascii="Times New Roman" w:hAnsi="Times New Roman"/>
          <w:color w:val="000000"/>
          <w:sz w:val="20"/>
        </w:rPr>
        <w:t xml:space="preserve"> </w:t>
      </w:r>
      <w:r>
        <w:rPr>
          <w:rFonts w:ascii="Times New Roman" w:hAnsi="Times New Roman"/>
          <w:b w:val="false"/>
          <w:color w:val="000000"/>
          <w:sz w:val="20"/>
        </w:rPr>
        <w:t>million in December 2021 as a result of exercising the accordion feature available under the agreement. In connection with the 2021 Term Loan borrowings, the Company had $4.6</w:t>
      </w:r>
      <w:r>
        <w:rPr>
          <w:rFonts w:ascii="Times New Roman" w:hAnsi="Times New Roman"/>
          <w:color w:val="000000"/>
          <w:sz w:val="20"/>
        </w:rPr>
        <w:t xml:space="preserve"> </w:t>
      </w:r>
      <w:r>
        <w:rPr>
          <w:rFonts w:ascii="Times New Roman" w:hAnsi="Times New Roman"/>
          <w:b w:val="false"/>
          <w:color w:val="000000"/>
          <w:sz w:val="20"/>
        </w:rPr>
        <w:t>million of offering discount costs and $4.5</w:t>
      </w:r>
      <w:r>
        <w:rPr>
          <w:rFonts w:ascii="Times New Roman" w:hAnsi="Times New Roman"/>
          <w:color w:val="000000"/>
          <w:sz w:val="20"/>
        </w:rPr>
        <w:t xml:space="preserve"> </w:t>
      </w:r>
      <w:r>
        <w:rPr>
          <w:rFonts w:ascii="Times New Roman" w:hAnsi="Times New Roman"/>
          <w:b w:val="false"/>
          <w:color w:val="000000"/>
          <w:sz w:val="20"/>
        </w:rPr>
        <w:t>million in deferred financing costs, both of which were capitalized and are being amortized over the remaining life of the 2021 Term Loan.</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During the nine months ended September 30, 2023, the Company made early repayments of $172.5</w:t>
      </w:r>
      <w:r>
        <w:rPr>
          <w:rFonts w:ascii="Times New Roman" w:hAnsi="Times New Roman"/>
          <w:color w:val="000000"/>
          <w:sz w:val="20"/>
        </w:rPr>
        <w:t xml:space="preserve"> </w:t>
      </w:r>
      <w:r>
        <w:rPr>
          <w:rFonts w:ascii="Times New Roman" w:hAnsi="Times New Roman"/>
          <w:b w:val="false"/>
          <w:color w:val="000000"/>
          <w:sz w:val="20"/>
        </w:rPr>
        <w:t>million on the 2021 Term Loan and as a result, the total principal outstanding was $706.8</w:t>
      </w:r>
      <w:r>
        <w:rPr>
          <w:rFonts w:ascii="Times New Roman" w:hAnsi="Times New Roman"/>
          <w:color w:val="000000"/>
          <w:sz w:val="20"/>
        </w:rPr>
        <w:t xml:space="preserve"> </w:t>
      </w:r>
      <w:r>
        <w:rPr>
          <w:rFonts w:ascii="Times New Roman" w:hAnsi="Times New Roman"/>
          <w:b w:val="false"/>
          <w:color w:val="000000"/>
          <w:sz w:val="20"/>
        </w:rPr>
        <w:t>million as of September 30, 2023. The Company recognized a loss on extinguishment of debt of $2.0</w:t>
      </w:r>
      <w:r>
        <w:rPr>
          <w:rFonts w:ascii="Times New Roman" w:hAnsi="Times New Roman"/>
          <w:color w:val="000000"/>
          <w:sz w:val="20"/>
        </w:rPr>
        <w:t xml:space="preserve"> </w:t>
      </w:r>
      <w:r>
        <w:rPr>
          <w:rFonts w:ascii="Times New Roman" w:hAnsi="Times New Roman"/>
          <w:b w:val="false"/>
          <w:color w:val="000000"/>
          <w:sz w:val="20"/>
        </w:rPr>
        <w:t>million and $3.5</w:t>
      </w:r>
      <w:r>
        <w:rPr>
          <w:rFonts w:ascii="Times New Roman" w:hAnsi="Times New Roman"/>
          <w:color w:val="000000"/>
          <w:sz w:val="20"/>
        </w:rPr>
        <w:t xml:space="preserve"> </w:t>
      </w:r>
      <w:r>
        <w:rPr>
          <w:rFonts w:ascii="Times New Roman" w:hAnsi="Times New Roman"/>
          <w:b w:val="false"/>
          <w:color w:val="000000"/>
          <w:sz w:val="20"/>
        </w:rPr>
        <w:t>million for the three and nine months ended September 30, 2023, respectively, related to the write-off of pre-existing deferred financing costs and discounts.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 xml:space="preserve">The 2021 Term Loan is repayable at 1.0% per annum of the amount initially borrowed, paid in quarterly installments. It bears interest based, at the Company’s option, on either (1) LIBOR plus an applicable margin of 3.25% per annum, or (2) an alternate base rate plus an applicable margin of 2.25% per annum. In March 2023, the Company amended its 2021 Term Loan agreement to transition away from LIBOR to Term SOFR with the cessation of LIBOR in June 2023. To compensate for the differences in reference rates utilized, the amended agreement also includes a credit spread adjustment of 0.11448% for an interest period of one-month duration, 0.26161% for a three-month duration, 0.42826% for a six-month duration, and 0.71513% for twelve-months duration in addition to Term SOFR and the applicable margin. The Company has applied the optional expedients in ASC 848, </w:t>
      </w:r>
      <w:r>
        <w:rPr>
          <w:rFonts w:ascii="Times New Roman" w:hAnsi="Times New Roman"/>
          <w:b w:val="false"/>
          <w:i/>
          <w:color w:val="000000"/>
          <w:sz w:val="20"/>
        </w:rPr>
        <w:t>Reference Rate Reform</w:t>
      </w:r>
      <w:r>
        <w:rPr>
          <w:rFonts w:ascii="Times New Roman" w:hAnsi="Times New Roman"/>
          <w:b w:val="false"/>
          <w:color w:val="000000"/>
          <w:sz w:val="20"/>
        </w:rPr>
        <w:t>, and elected to treat the change in the benchmark interest rate to Term SOFR as a continuation of the existing loan agreement and account for it prospectively. As of September 30, 2023, the new all-in interest rate on the 2021 Term Loan was 8.7%.</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In addition, the 2021 Term Loan requires mandatory prepayments equal to the product of the excess cash flows of the Company (as defined in the 2021 Term Loan agreement) and the applicable prepayment percentages (calculated as of the last day of the fiscal year), as set forth in the following table:</w:t>
      </w:r>
    </w:p>
    <w:p>
      <w:pPr>
        <w:pStyle w:val="TextBody"/>
        <w:bidi w:val="0"/>
        <w:jc w:val="left"/>
        <w:rPr/>
      </w:pPr>
      <w:r>
        <w:rPr/>
        <w:t> </w:t>
      </w:r>
    </w:p>
    <w:tbl>
      <w:tblPr>
        <w:tblW w:w="8008" w:type="dxa"/>
        <w:jc w:val="left"/>
        <w:tblInd w:w="0" w:type="dxa"/>
        <w:tblLayout w:type="fixed"/>
        <w:tblCellMar>
          <w:top w:w="28" w:type="dxa"/>
          <w:left w:w="28" w:type="dxa"/>
          <w:bottom w:w="28" w:type="dxa"/>
          <w:right w:w="28" w:type="dxa"/>
        </w:tblCellMar>
      </w:tblPr>
      <w:tblGrid>
        <w:gridCol w:w="6826"/>
        <w:gridCol w:w="146"/>
        <w:gridCol w:w="1036"/>
      </w:tblGrid>
      <w:tr>
        <w:trPr/>
        <w:tc>
          <w:tcPr>
            <w:tcW w:w="6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6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 First Lien Net Leverage Ratio (As Defined by the 2021 Term Loan Agreement)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Applicable</w:t>
              <w:br/>
              <w:t>Prepayment</w:t>
              <w:br/>
              <w:t>Percentage</w:t>
            </w:r>
          </w:p>
        </w:tc>
      </w:tr>
      <w:tr>
        <w:trPr/>
        <w:tc>
          <w:tcPr>
            <w:tcW w:w="682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&gt; 3.70:1.00</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50%</w:t>
            </w:r>
          </w:p>
        </w:tc>
      </w:tr>
      <w:tr>
        <w:trPr/>
        <w:tc>
          <w:tcPr>
            <w:tcW w:w="682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u w:val="single"/>
              </w:rPr>
              <w:t>&lt;</w:t>
            </w:r>
            <w:r>
              <w:rPr>
                <w:rFonts w:ascii="Times New Roman" w:hAnsi="Times New Roman"/>
                <w:color w:val="000000"/>
                <w:sz w:val="20"/>
              </w:rPr>
              <w:t> </w:t>
            </w:r>
            <w:r>
              <w:rPr>
                <w:rFonts w:ascii="Times New Roman" w:hAnsi="Times New Roman"/>
                <w:b w:val="false"/>
                <w:color w:val="000000"/>
                <w:sz w:val="20"/>
              </w:rPr>
              <w:t>3.70:1.00 and &gt; 3.20:1.00</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25%</w:t>
            </w:r>
          </w:p>
        </w:tc>
      </w:tr>
      <w:tr>
        <w:trPr/>
        <w:tc>
          <w:tcPr>
            <w:tcW w:w="6826"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u w:val="single"/>
              </w:rPr>
              <w:t>&lt;</w:t>
            </w:r>
            <w:r>
              <w:rPr>
                <w:rFonts w:ascii="Times New Roman" w:hAnsi="Times New Roman"/>
                <w:color w:val="000000"/>
                <w:sz w:val="20"/>
              </w:rPr>
              <w:t> </w:t>
            </w:r>
            <w:r>
              <w:rPr>
                <w:rFonts w:ascii="Times New Roman" w:hAnsi="Times New Roman"/>
                <w:b w:val="false"/>
                <w:color w:val="000000"/>
                <w:sz w:val="20"/>
              </w:rPr>
              <w:t>3.20:1.00</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w:t>
            </w:r>
          </w:p>
        </w:tc>
      </w:tr>
    </w:tbl>
    <w:p>
      <w:pPr>
        <w:pStyle w:val="TextBody"/>
        <w:bidi w:val="0"/>
        <w:jc w:val="both"/>
        <w:rPr/>
      </w:pPr>
      <w:r>
        <w:rPr/>
        <w:t>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Senior Notes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March 2021, VM Consolidated issued an aggregate principal amount of $350.0</w:t>
      </w:r>
      <w:r>
        <w:rPr>
          <w:rFonts w:ascii="Times New Roman" w:hAnsi="Times New Roman"/>
          <w:color w:val="000000"/>
          <w:sz w:val="20"/>
        </w:rPr>
        <w:t xml:space="preserve"> </w:t>
      </w:r>
      <w:r>
        <w:rPr>
          <w:rFonts w:ascii="Times New Roman" w:hAnsi="Times New Roman"/>
          <w:b w:val="false"/>
          <w:color w:val="000000"/>
          <w:sz w:val="20"/>
        </w:rPr>
        <w:t>million in Senior Unsecured Notes (the “</w:t>
      </w:r>
      <w:r>
        <w:rPr>
          <w:rFonts w:ascii="Times New Roman" w:hAnsi="Times New Roman"/>
          <w:b/>
          <w:i/>
          <w:color w:val="000000"/>
          <w:sz w:val="20"/>
        </w:rPr>
        <w:t>Senior Notes</w:t>
      </w:r>
      <w:r>
        <w:rPr>
          <w:rFonts w:ascii="Times New Roman" w:hAnsi="Times New Roman"/>
          <w:color w:val="000000"/>
          <w:sz w:val="20"/>
        </w:rPr>
        <w:t>”</w:t>
      </w:r>
      <w:r>
        <w:rPr>
          <w:rFonts w:ascii="Times New Roman" w:hAnsi="Times New Roman"/>
          <w:b w:val="false"/>
          <w:color w:val="000000"/>
          <w:sz w:val="20"/>
        </w:rPr>
        <w:t>), due on April 15, 2029. In connection with the issuance of the Senior Notes, the Company incurred $5.7</w:t>
      </w:r>
      <w:r>
        <w:rPr>
          <w:rFonts w:ascii="Times New Roman" w:hAnsi="Times New Roman"/>
          <w:color w:val="000000"/>
          <w:sz w:val="20"/>
        </w:rPr>
        <w:t xml:space="preserve"> </w:t>
      </w:r>
      <w:r>
        <w:rPr>
          <w:rFonts w:ascii="Times New Roman" w:hAnsi="Times New Roman"/>
          <w:b w:val="false"/>
          <w:color w:val="000000"/>
          <w:sz w:val="20"/>
        </w:rPr>
        <w:t>million in lender and third-party costs, which were capitalized as deferred financing costs and are being amortized over the remaining life of the Senior Notes.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Interest on the Senior Notes is fixed at 5.50% per annum and is</w:t>
      </w:r>
      <w:r>
        <w:rPr>
          <w:rFonts w:ascii="Times New Roman" w:hAnsi="Times New Roman"/>
          <w:color w:val="000000"/>
          <w:sz w:val="20"/>
        </w:rPr>
        <w:t xml:space="preserve"> </w:t>
      </w:r>
      <w:r>
        <w:rPr>
          <w:rFonts w:ascii="Times New Roman" w:hAnsi="Times New Roman"/>
          <w:b w:val="false"/>
          <w:color w:val="000000"/>
          <w:sz w:val="20"/>
        </w:rPr>
        <w:t>payable on April 15 and October 15 of each year. On or after April 15, 2024, the Company may redeem all or a portion of the Senior Notes at the redemption prices set forth below in percentages by year, plus accrued and unpaid interest:</w:t>
      </w:r>
    </w:p>
    <w:p>
      <w:pPr>
        <w:pStyle w:val="TextBody"/>
        <w:bidi w:val="0"/>
        <w:jc w:val="both"/>
        <w:rPr/>
      </w:pPr>
      <w:r>
        <w:rPr/>
        <w:t> </w:t>
      </w:r>
    </w:p>
    <w:tbl>
      <w:tblPr>
        <w:tblW w:w="2833" w:type="dxa"/>
        <w:jc w:val="left"/>
        <w:tblInd w:w="0" w:type="dxa"/>
        <w:tblLayout w:type="fixed"/>
        <w:tblCellMar>
          <w:top w:w="28" w:type="dxa"/>
          <w:left w:w="28" w:type="dxa"/>
          <w:bottom w:w="28" w:type="dxa"/>
          <w:right w:w="28" w:type="dxa"/>
        </w:tblCellMar>
      </w:tblPr>
      <w:tblGrid>
        <w:gridCol w:w="1696"/>
        <w:gridCol w:w="146"/>
        <w:gridCol w:w="9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r>
      <w:tr>
        <w:trPr/>
        <w:tc>
          <w:tcPr>
            <w:tcW w:w="169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102.750%</w:t>
            </w:r>
          </w:p>
        </w:tc>
      </w:tr>
      <w:tr>
        <w:trPr/>
        <w:tc>
          <w:tcPr>
            <w:tcW w:w="169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101.375%</w:t>
            </w:r>
          </w:p>
        </w:tc>
      </w:tr>
      <w:tr>
        <w:trPr/>
        <w:tc>
          <w:tcPr>
            <w:tcW w:w="169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2026 and thereafter</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100.000%</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In addition, the Company may redeem up to 40% of the Senior Notes before April 15, 2024, with the net cash proceeds from certain equity offerings.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PPP Loan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During fiscal year 2020, one of the Company’s wholly owned subsidiaries received</w:t>
      </w:r>
      <w:r>
        <w:rPr>
          <w:rFonts w:ascii="Times New Roman" w:hAnsi="Times New Roman"/>
          <w:color w:val="000000"/>
          <w:sz w:val="20"/>
        </w:rPr>
        <w:t xml:space="preserve"> </w:t>
      </w:r>
      <w:r>
        <w:rPr>
          <w:rFonts w:ascii="Times New Roman" w:hAnsi="Times New Roman"/>
          <w:b w:val="false"/>
          <w:color w:val="000000"/>
          <w:sz w:val="20"/>
        </w:rPr>
        <w:t>a $2.9</w:t>
      </w:r>
      <w:r>
        <w:rPr>
          <w:rFonts w:ascii="Times New Roman" w:hAnsi="Times New Roman"/>
          <w:color w:val="000000"/>
          <w:sz w:val="20"/>
        </w:rPr>
        <w:t xml:space="preserve"> </w:t>
      </w:r>
      <w:r>
        <w:rPr>
          <w:rFonts w:ascii="Times New Roman" w:hAnsi="Times New Roman"/>
          <w:b w:val="false"/>
          <w:color w:val="000000"/>
          <w:sz w:val="20"/>
        </w:rPr>
        <w:t>million loan from the U.S. Small Business Administration (“</w:t>
      </w:r>
      <w:r>
        <w:rPr>
          <w:rFonts w:ascii="Times New Roman" w:hAnsi="Times New Roman"/>
          <w:b/>
          <w:i/>
          <w:color w:val="000000"/>
          <w:sz w:val="20"/>
        </w:rPr>
        <w:t>SBA</w:t>
      </w:r>
      <w:r>
        <w:rPr>
          <w:rFonts w:ascii="Times New Roman" w:hAnsi="Times New Roman"/>
          <w:color w:val="000000"/>
          <w:sz w:val="20"/>
        </w:rPr>
        <w:t>”</w:t>
      </w:r>
      <w:r>
        <w:rPr>
          <w:rFonts w:ascii="Times New Roman" w:hAnsi="Times New Roman"/>
          <w:b w:val="false"/>
          <w:color w:val="000000"/>
          <w:sz w:val="20"/>
        </w:rPr>
        <w:t>) as part of the Paycheck Protection Program (“</w:t>
      </w:r>
      <w:r>
        <w:rPr>
          <w:rFonts w:ascii="Times New Roman" w:hAnsi="Times New Roman"/>
          <w:b/>
          <w:i/>
          <w:color w:val="000000"/>
          <w:sz w:val="20"/>
        </w:rPr>
        <w:t>PPP Loan</w:t>
      </w:r>
      <w:r>
        <w:rPr>
          <w:rFonts w:ascii="Times New Roman" w:hAnsi="Times New Roman"/>
          <w:color w:val="000000"/>
          <w:sz w:val="20"/>
        </w:rPr>
        <w:t>”</w:t>
      </w:r>
      <w:r>
        <w:rPr>
          <w:rFonts w:ascii="Times New Roman" w:hAnsi="Times New Roman"/>
          <w:b w:val="false"/>
          <w:color w:val="000000"/>
          <w:sz w:val="20"/>
        </w:rPr>
        <w:t>) to offset certain employment and other allowable costs incurred as a result of the COVID-19 pandemic. In early 2021, the Company applied for forgiveness of this loan, and on September 23, 2022, it was notified by the SBA that the loan, together with accrued interest, had been fully forgiven under the provisions of the PPP Loan program. Accordingly, the Company recognized a $3.0</w:t>
      </w:r>
      <w:r>
        <w:rPr>
          <w:rFonts w:ascii="Times New Roman" w:hAnsi="Times New Roman"/>
          <w:color w:val="000000"/>
          <w:sz w:val="20"/>
        </w:rPr>
        <w:t xml:space="preserve"> </w:t>
      </w:r>
      <w:r>
        <w:rPr>
          <w:rFonts w:ascii="Times New Roman" w:hAnsi="Times New Roman"/>
          <w:b w:val="false"/>
          <w:color w:val="000000"/>
          <w:sz w:val="20"/>
        </w:rPr>
        <w:t>million gain on extinguishment of debt in the condensed consolidated statement of operations for the three and nine months ended September 30, 2022.</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The Revolver</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has a Revolving Credit Agreement (the “</w:t>
      </w:r>
      <w:r>
        <w:rPr>
          <w:rFonts w:ascii="Times New Roman" w:hAnsi="Times New Roman"/>
          <w:b/>
          <w:i/>
          <w:color w:val="000000"/>
          <w:sz w:val="20"/>
        </w:rPr>
        <w:t>Revolver</w:t>
      </w:r>
      <w:r>
        <w:rPr>
          <w:rFonts w:ascii="Times New Roman" w:hAnsi="Times New Roman"/>
          <w:color w:val="000000"/>
          <w:sz w:val="20"/>
        </w:rPr>
        <w:t>”</w:t>
      </w:r>
      <w:r>
        <w:rPr>
          <w:rFonts w:ascii="Times New Roman" w:hAnsi="Times New Roman"/>
          <w:b w:val="false"/>
          <w:color w:val="000000"/>
          <w:sz w:val="20"/>
        </w:rPr>
        <w:t>) with a commitment of up to $75.0</w:t>
      </w:r>
      <w:r>
        <w:rPr>
          <w:rFonts w:ascii="Times New Roman" w:hAnsi="Times New Roman"/>
          <w:color w:val="000000"/>
          <w:sz w:val="20"/>
        </w:rPr>
        <w:t xml:space="preserve"> </w:t>
      </w:r>
      <w:r>
        <w:rPr>
          <w:rFonts w:ascii="Times New Roman" w:hAnsi="Times New Roman"/>
          <w:b w:val="false"/>
          <w:color w:val="000000"/>
          <w:sz w:val="20"/>
        </w:rPr>
        <w:t>million available for loans and letters of credit. The Revolver matures on December 20, 2026.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Term SOFR plus an applicable margin, or (2) an alternate base rate, plus an applicable margin. The margin percentage applied to (1) Term SOFR is either 1.25%, 1.50%, or 1.75%, or (2) the base rate is either 0.25%, 0.50%, or 0.75%, depending on the Company’s average availability to borrow under the commitment. There is a credit spread adjustment of 0.10% for a one-month duration, 0.15% for a three-month duration, and 0.25% for a six-month duration, in addition to Term SOFR and the applicable margin percentages. There are no</w:t>
      </w:r>
      <w:r>
        <w:rPr>
          <w:rFonts w:ascii="Times New Roman" w:hAnsi="Times New Roman"/>
          <w:color w:val="000000"/>
          <w:sz w:val="20"/>
        </w:rPr>
        <w:t xml:space="preserve"> </w:t>
      </w:r>
      <w:r>
        <w:rPr>
          <w:rFonts w:ascii="Times New Roman" w:hAnsi="Times New Roman"/>
          <w:b w:val="false"/>
          <w:color w:val="000000"/>
          <w:sz w:val="20"/>
        </w:rPr>
        <w:t>outstanding borrowings on the Revolver as of September 30, 2023 or December 31, 2022. The availability to borrow was $74.8</w:t>
      </w:r>
      <w:r>
        <w:rPr>
          <w:rFonts w:ascii="Times New Roman" w:hAnsi="Times New Roman"/>
          <w:color w:val="000000"/>
          <w:sz w:val="20"/>
        </w:rPr>
        <w:t xml:space="preserve"> </w:t>
      </w:r>
      <w:r>
        <w:rPr>
          <w:rFonts w:ascii="Times New Roman" w:hAnsi="Times New Roman"/>
          <w:b w:val="false"/>
          <w:color w:val="000000"/>
          <w:sz w:val="20"/>
        </w:rPr>
        <w:t>million, net of $0.2</w:t>
      </w:r>
      <w:r>
        <w:rPr>
          <w:rFonts w:ascii="Times New Roman" w:hAnsi="Times New Roman"/>
          <w:color w:val="000000"/>
          <w:sz w:val="20"/>
        </w:rPr>
        <w:t xml:space="preserve"> </w:t>
      </w:r>
      <w:r>
        <w:rPr>
          <w:rFonts w:ascii="Times New Roman" w:hAnsi="Times New Roman"/>
          <w:b w:val="false"/>
          <w:color w:val="000000"/>
          <w:sz w:val="20"/>
        </w:rPr>
        <w:t>million of outstanding letters of credit at September 30, 2023.</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Interest on the unused portion of the Revolver is payable quarterly at 0.375% and the Company is also required to pay participation and fronting fees at 1.38%</w:t>
      </w:r>
      <w:r>
        <w:rPr>
          <w:rFonts w:ascii="Times New Roman" w:hAnsi="Times New Roman"/>
          <w:color w:val="000000"/>
          <w:sz w:val="20"/>
        </w:rPr>
        <w:t xml:space="preserve"> </w:t>
      </w:r>
      <w:r>
        <w:rPr>
          <w:rFonts w:ascii="Times New Roman" w:hAnsi="Times New Roman"/>
          <w:b w:val="false"/>
          <w:color w:val="000000"/>
          <w:sz w:val="20"/>
        </w:rPr>
        <w:t>on $0.2</w:t>
      </w:r>
      <w:r>
        <w:rPr>
          <w:rFonts w:ascii="Times New Roman" w:hAnsi="Times New Roman"/>
          <w:color w:val="000000"/>
          <w:sz w:val="20"/>
        </w:rPr>
        <w:t xml:space="preserve"> </w:t>
      </w:r>
      <w:r>
        <w:rPr>
          <w:rFonts w:ascii="Times New Roman" w:hAnsi="Times New Roman"/>
          <w:b w:val="false"/>
          <w:color w:val="000000"/>
          <w:sz w:val="20"/>
        </w:rPr>
        <w:t>million of outstanding letters of credit as of September 30, 2023.</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Substantially all of the Company’s assets are pledged as collateral to secure the Company’s indebtedness under the 2021 Term Loan. At September 30, 2023, the Company was compliant with all debt covenants.</w:t>
      </w:r>
    </w:p>
    <w:p>
      <w:pPr>
        <w:pStyle w:val="TextBody"/>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Interest Expense</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recorded interest expense, including amortization of deferred financing costs and discounts, of $20.4</w:t>
      </w:r>
      <w:r>
        <w:rPr>
          <w:rFonts w:ascii="Times New Roman" w:hAnsi="Times New Roman"/>
          <w:color w:val="000000"/>
          <w:sz w:val="20"/>
        </w:rPr>
        <w:t xml:space="preserve"> </w:t>
      </w:r>
      <w:r>
        <w:rPr>
          <w:rFonts w:ascii="Times New Roman" w:hAnsi="Times New Roman"/>
          <w:b w:val="false"/>
          <w:color w:val="000000"/>
          <w:sz w:val="20"/>
        </w:rPr>
        <w:t>million and $20.3</w:t>
      </w:r>
      <w:r>
        <w:rPr>
          <w:rFonts w:ascii="Times New Roman" w:hAnsi="Times New Roman"/>
          <w:color w:val="000000"/>
          <w:sz w:val="20"/>
        </w:rPr>
        <w:t xml:space="preserve"> </w:t>
      </w:r>
      <w:r>
        <w:rPr>
          <w:rFonts w:ascii="Times New Roman" w:hAnsi="Times New Roman"/>
          <w:b w:val="false"/>
          <w:color w:val="000000"/>
          <w:sz w:val="20"/>
        </w:rPr>
        <w:t>million for the three months ended September 30, 2023 and 2022, respectively, and $65.8</w:t>
      </w:r>
      <w:r>
        <w:rPr>
          <w:rFonts w:ascii="Times New Roman" w:hAnsi="Times New Roman"/>
          <w:color w:val="000000"/>
          <w:sz w:val="20"/>
        </w:rPr>
        <w:t xml:space="preserve"> </w:t>
      </w:r>
      <w:r>
        <w:rPr>
          <w:rFonts w:ascii="Times New Roman" w:hAnsi="Times New Roman"/>
          <w:b w:val="false"/>
          <w:color w:val="000000"/>
          <w:sz w:val="20"/>
        </w:rPr>
        <w:t>million and $49.0</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2023 and 2022, respectively.</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weighted average effective interest rates on the Company’s outstanding borrowings were 7.6% and 7.0% at September 30, 2023 and December 31, 2022, respectively.</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 xml:space="preserve">See Note 2, </w:t>
      </w:r>
      <w:r>
        <w:rPr>
          <w:rFonts w:ascii="Times New Roman" w:hAnsi="Times New Roman"/>
          <w:b w:val="false"/>
          <w:i/>
          <w:color w:val="000000"/>
          <w:sz w:val="20"/>
        </w:rPr>
        <w:t>Significant Accounting Policies</w:t>
      </w:r>
      <w:r>
        <w:rPr>
          <w:rFonts w:ascii="Times New Roman" w:hAnsi="Times New Roman"/>
          <w:b w:val="false"/>
          <w:color w:val="000000"/>
          <w:sz w:val="20"/>
        </w:rPr>
        <w:t>, for additional information on the interest rate swap entered into in December 2022 to hedge the Company's exposure against rising interest rates.</w:t>
        <w:br/>
      </w:r>
      <w:r>
        <w:rPr>
          <w:rFonts w:ascii="Times New Roman" w:hAnsi="Times New Roman"/>
          <w:color w:val="000000"/>
          <w:sz w:val="20"/>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 Fair Value of Financial Instruments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ASC Topic 820, </w:t>
      </w:r>
      <w:r>
        <w:rPr>
          <w:rFonts w:ascii="Times New Roman" w:hAnsi="Times New Roman"/>
          <w:b w:val="false"/>
          <w:i/>
          <w:color w:val="000000"/>
          <w:sz w:val="20"/>
        </w:rPr>
        <w:t>Fair Value Measurement,</w:t>
      </w:r>
      <w:r>
        <w:rPr>
          <w:rFonts w:ascii="Times New Roman" w:hAnsi="Times New Roman"/>
          <w:color w:val="000000"/>
          <w:sz w:val="20"/>
        </w:rPr>
        <w:t xml:space="preserve"> </w:t>
      </w:r>
      <w:r>
        <w:rPr>
          <w:rFonts w:ascii="Times New Roman" w:hAnsi="Times New Roman"/>
          <w:b w:val="false"/>
          <w:color w:val="000000"/>
          <w:sz w:val="20"/>
        </w:rPr>
        <w:t>includes a single definition of fair value to be used for financial reporting purposes, provides a framework for applying this definition and for measuring fair value under GAAP, and establishes a fair value hierarchy that categorizes into three levels the inputs to valuation techniques used to measure fair value. The three levels of the fair value hierarchy are summarized as follows:</w:t>
      </w:r>
    </w:p>
    <w:p>
      <w:pPr>
        <w:pStyle w:val="TextBody"/>
        <w:bidi w:val="0"/>
        <w:spacing w:before="200" w:after="283"/>
        <w:jc w:val="both"/>
        <w:rPr>
          <w:rFonts w:ascii="Times New Roman" w:hAnsi="Times New Roman"/>
          <w:sz w:val="20"/>
        </w:rPr>
      </w:pPr>
      <w:r>
        <w:rPr>
          <w:rFonts w:ascii="Times New Roman" w:hAnsi="Times New Roman"/>
          <w:b w:val="false"/>
          <w:i/>
          <w:color w:val="000000"/>
          <w:sz w:val="20"/>
        </w:rPr>
        <w:t xml:space="preserve">Level 1 – </w:t>
      </w:r>
      <w:r>
        <w:rPr>
          <w:rFonts w:ascii="Times New Roman" w:hAnsi="Times New Roman"/>
          <w:b w:val="false"/>
          <w:color w:val="000000"/>
          <w:sz w:val="20"/>
        </w:rPr>
        <w:t>Fair value is based on observable inputs such as quoted prices for identical assets or liabilities in active markets.</w:t>
      </w:r>
    </w:p>
    <w:p>
      <w:pPr>
        <w:pStyle w:val="TextBody"/>
        <w:bidi w:val="0"/>
        <w:spacing w:before="200" w:after="283"/>
        <w:jc w:val="both"/>
        <w:rPr>
          <w:rFonts w:ascii="Times New Roman" w:hAnsi="Times New Roman"/>
          <w:sz w:val="20"/>
        </w:rPr>
      </w:pPr>
      <w:r>
        <w:rPr>
          <w:rFonts w:ascii="Times New Roman" w:hAnsi="Times New Roman"/>
          <w:b w:val="false"/>
          <w:i/>
          <w:color w:val="000000"/>
          <w:sz w:val="20"/>
        </w:rPr>
        <w:t>Level 2</w:t>
      </w:r>
      <w:r>
        <w:rPr>
          <w:rFonts w:ascii="Times New Roman" w:hAnsi="Times New Roman"/>
          <w:color w:val="000000"/>
          <w:sz w:val="20"/>
        </w:rPr>
        <w:t xml:space="preserve"> – </w:t>
      </w:r>
      <w:r>
        <w:rPr>
          <w:rFonts w:ascii="Times New Roman" w:hAnsi="Times New Roman"/>
          <w:b w:val="false"/>
          <w:color w:val="000000"/>
          <w:sz w:val="20"/>
        </w:rPr>
        <w:t>Fair value is determined using quoted prices for similar assets or liabilities in active markets, quoted prices for identical or similar assets or liabilities in markets that are not active or inputs other than quoted prices that are directly or indirectly observable.</w:t>
      </w:r>
    </w:p>
    <w:p>
      <w:pPr>
        <w:pStyle w:val="TextBody"/>
        <w:bidi w:val="0"/>
        <w:spacing w:before="200" w:after="283"/>
        <w:jc w:val="both"/>
        <w:rPr>
          <w:rFonts w:ascii="Times New Roman" w:hAnsi="Times New Roman"/>
          <w:sz w:val="20"/>
        </w:rPr>
      </w:pPr>
      <w:r>
        <w:rPr>
          <w:rFonts w:ascii="Times New Roman" w:hAnsi="Times New Roman"/>
          <w:b w:val="false"/>
          <w:i/>
          <w:color w:val="000000"/>
          <w:sz w:val="20"/>
        </w:rPr>
        <w:t>Level 3</w:t>
      </w:r>
      <w:r>
        <w:rPr>
          <w:rFonts w:ascii="Times New Roman" w:hAnsi="Times New Roman"/>
          <w:color w:val="000000"/>
          <w:sz w:val="20"/>
        </w:rPr>
        <w:t xml:space="preserve"> – </w:t>
      </w:r>
      <w:r>
        <w:rPr>
          <w:rFonts w:ascii="Times New Roman" w:hAnsi="Times New Roman"/>
          <w:b w:val="false"/>
          <w:color w:val="000000"/>
          <w:sz w:val="20"/>
        </w:rPr>
        <w:t>Fair value is determined using one or more significant inputs that are unobservable in active markets at the measurement date, such as a pricing model, discounted cash flow, or similar technique.</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carrying amounts reported in the Company’s condensed consolidated balance sheets for cash, accounts receivable, accounts payable and accrued expenses approximate fair value due to the immediate to short-term maturity of these financial instruments. The estimated fair value of the Company’s long-term debt was calculated based upon available market information. The carrying value and the estimated fair value of long-term debt are as follows:</w:t>
      </w:r>
    </w:p>
    <w:p>
      <w:pPr>
        <w:pStyle w:val="TextBody"/>
        <w:bidi w:val="0"/>
        <w:jc w:val="both"/>
        <w:rPr/>
      </w:pPr>
      <w:r>
        <w:rPr/>
        <w:t> </w:t>
      </w:r>
    </w:p>
    <w:tbl>
      <w:tblPr>
        <w:tblW w:w="8268" w:type="dxa"/>
        <w:jc w:val="left"/>
        <w:tblInd w:w="0" w:type="dxa"/>
        <w:tblLayout w:type="fixed"/>
        <w:tblCellMar>
          <w:top w:w="28" w:type="dxa"/>
          <w:left w:w="28" w:type="dxa"/>
          <w:bottom w:w="28" w:type="dxa"/>
          <w:right w:w="28" w:type="dxa"/>
        </w:tblCellMar>
      </w:tblPr>
      <w:tblGrid>
        <w:gridCol w:w="1471"/>
        <w:gridCol w:w="146"/>
        <w:gridCol w:w="886"/>
        <w:gridCol w:w="146"/>
        <w:gridCol w:w="211"/>
        <w:gridCol w:w="146"/>
        <w:gridCol w:w="781"/>
        <w:gridCol w:w="146"/>
        <w:gridCol w:w="146"/>
        <w:gridCol w:w="211"/>
        <w:gridCol w:w="146"/>
        <w:gridCol w:w="781"/>
        <w:gridCol w:w="146"/>
        <w:gridCol w:w="146"/>
        <w:gridCol w:w="211"/>
        <w:gridCol w:w="146"/>
        <w:gridCol w:w="781"/>
        <w:gridCol w:w="146"/>
        <w:gridCol w:w="146"/>
        <w:gridCol w:w="211"/>
        <w:gridCol w:w="146"/>
        <w:gridCol w:w="781"/>
        <w:gridCol w:w="19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in</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5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5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91" w:type="dxa"/>
            <w:tcBorders/>
            <w:shd w:fill="FFFFFF" w:val="clear"/>
            <w:vAlign w:val="center"/>
          </w:tcPr>
          <w:p>
            <w:pPr>
              <w:pStyle w:val="TableContents"/>
              <w:bidi w:val="0"/>
              <w:spacing w:before="0" w:after="283"/>
              <w:jc w:val="center"/>
              <w:rPr/>
            </w:pPr>
            <w:r>
              <w:rPr/>
              <w:t> </w:t>
            </w:r>
          </w:p>
        </w:tc>
      </w:tr>
      <w:tr>
        <w:trPr/>
        <w:tc>
          <w:tcPr>
            <w:tcW w:w="147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2021 Term Loan</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88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693,234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708,609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866,365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883,891</w:t>
            </w:r>
          </w:p>
        </w:tc>
        <w:tc>
          <w:tcPr>
            <w:tcW w:w="191" w:type="dxa"/>
            <w:tcBorders/>
            <w:shd w:fill="CFF0FC" w:val="clear"/>
            <w:vAlign w:val="center"/>
          </w:tcPr>
          <w:p>
            <w:pPr>
              <w:pStyle w:val="TableContents"/>
              <w:bidi w:val="0"/>
              <w:spacing w:before="0" w:after="283"/>
              <w:jc w:val="left"/>
              <w:rPr/>
            </w:pPr>
            <w:r>
              <w:rPr/>
              <w:t> </w:t>
            </w:r>
          </w:p>
        </w:tc>
      </w:tr>
      <w:tr>
        <w:trPr/>
        <w:tc>
          <w:tcPr>
            <w:tcW w:w="14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Senior Notes</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346,136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345,615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313,250</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The Company had issued Private Placement Warrants in connection with the IPO to acquire shares of the Company's Class A Common Stock which had a five-year term and expired in October 2023. As of September 30, 2023, all Private Placement Warrants were exercised by the warrant holders. The fair value of the Private Placement Warrants liabilities was measured on a recurring basis and was estimated using the Black-Scholes option pricing model using significant unobservable inputs, and was therefore classified within level 3 of the fair value hierarchy. The key assumptions used at December 31, 2022 were as follows:</w:t>
      </w:r>
    </w:p>
    <w:p>
      <w:pPr>
        <w:pStyle w:val="TextBody"/>
        <w:bidi w:val="0"/>
        <w:jc w:val="both"/>
        <w:rPr/>
      </w:pPr>
      <w:r>
        <w:rPr/>
        <w:t> </w:t>
      </w:r>
    </w:p>
    <w:tbl>
      <w:tblPr>
        <w:tblW w:w="4768" w:type="dxa"/>
        <w:jc w:val="left"/>
        <w:tblInd w:w="0" w:type="dxa"/>
        <w:tblLayout w:type="fixed"/>
        <w:tblCellMar>
          <w:top w:w="28" w:type="dxa"/>
          <w:left w:w="28" w:type="dxa"/>
          <w:bottom w:w="28" w:type="dxa"/>
          <w:right w:w="28" w:type="dxa"/>
        </w:tblCellMar>
      </w:tblPr>
      <w:tblGrid>
        <w:gridCol w:w="2806"/>
        <w:gridCol w:w="146"/>
        <w:gridCol w:w="403"/>
        <w:gridCol w:w="1097"/>
        <w:gridCol w:w="316"/>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price</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13.83</w:t>
            </w:r>
          </w:p>
        </w:tc>
        <w:tc>
          <w:tcPr>
            <w:tcW w:w="316" w:type="dxa"/>
            <w:tcBorders/>
            <w:shd w:fill="CFF0FC" w:val="cle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Strike price</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11.50</w:t>
            </w:r>
          </w:p>
        </w:tc>
        <w:tc>
          <w:tcPr>
            <w:tcW w:w="316" w:type="dxa"/>
            <w:tcBorders/>
            <w:shd w:fill="FFFFFF" w:val="clear"/>
            <w:vAlign w:val="center"/>
          </w:tcPr>
          <w:p>
            <w:pPr>
              <w:pStyle w:val="TableContents"/>
              <w:bidi w:val="0"/>
              <w:spacing w:before="0" w:after="283"/>
              <w:jc w:val="left"/>
              <w:rPr/>
            </w:pPr>
            <w:r>
              <w:rPr/>
              <w:t> </w:t>
            </w:r>
          </w:p>
        </w:tc>
      </w:tr>
      <w:tr>
        <w:trPr/>
        <w:tc>
          <w:tcPr>
            <w:tcW w:w="28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Volatility</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44.0</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Remaining life (in years)</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w:t>
            </w:r>
          </w:p>
        </w:tc>
        <w:tc>
          <w:tcPr>
            <w:tcW w:w="316" w:type="dxa"/>
            <w:tcBorders/>
            <w:shd w:fill="FFFFFF" w:val="clear"/>
            <w:vAlign w:val="center"/>
          </w:tcPr>
          <w:p>
            <w:pPr>
              <w:pStyle w:val="TableContents"/>
              <w:bidi w:val="0"/>
              <w:spacing w:before="0" w:after="283"/>
              <w:jc w:val="left"/>
              <w:rPr/>
            </w:pPr>
            <w:r>
              <w:rPr/>
              <w:t> </w:t>
            </w:r>
          </w:p>
        </w:tc>
      </w:tr>
      <w:tr>
        <w:trPr/>
        <w:tc>
          <w:tcPr>
            <w:tcW w:w="28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4.74</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Estimated fair value (per warrant)</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w:t>
            </w:r>
          </w:p>
        </w:tc>
        <w:tc>
          <w:tcPr>
            <w:tcW w:w="316"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The following summarizes the changes in fair value of Private Placement Warrant liabilities included in net income and the impact of exercises for the respective periods: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185"/>
        <w:gridCol w:w="146"/>
        <w:gridCol w:w="276"/>
        <w:gridCol w:w="829"/>
        <w:gridCol w:w="217"/>
        <w:gridCol w:w="191"/>
        <w:gridCol w:w="276"/>
        <w:gridCol w:w="887"/>
        <w:gridCol w:w="166"/>
        <w:gridCol w:w="146"/>
        <w:gridCol w:w="254"/>
        <w:gridCol w:w="889"/>
        <w:gridCol w:w="199"/>
        <w:gridCol w:w="175"/>
        <w:gridCol w:w="254"/>
        <w:gridCol w:w="816"/>
        <w:gridCol w:w="299"/>
      </w:tblGrid>
      <w:tr>
        <w:trPr/>
        <w:tc>
          <w:tcPr>
            <w:tcW w:w="4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418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5"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c>
          <w:tcPr>
            <w:tcW w:w="11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vAlign w:val="center"/>
          </w:tcPr>
          <w:p>
            <w:pPr>
              <w:pStyle w:val="TableContents"/>
              <w:bidi w:val="0"/>
              <w:spacing w:before="0" w:after="283"/>
              <w:jc w:val="lef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Beginning balance</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5,430</w:t>
            </w:r>
          </w:p>
        </w:tc>
        <w:tc>
          <w:tcPr>
            <w:tcW w:w="217"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35,600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24,066</w:t>
            </w:r>
          </w:p>
        </w:tc>
        <w:tc>
          <w:tcPr>
            <w:tcW w:w="199"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right"/>
              <w:rPr/>
            </w:pPr>
            <w:r>
              <w:rPr/>
              <w:t> </w:t>
            </w:r>
          </w:p>
        </w:tc>
        <w:tc>
          <w:tcPr>
            <w:tcW w:w="2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38,466</w:t>
            </w:r>
          </w:p>
        </w:tc>
        <w:tc>
          <w:tcPr>
            <w:tcW w:w="299" w:type="dxa"/>
            <w:tcBorders/>
            <w:shd w:fill="CFF0FC" w:val="clear"/>
            <w:vAlign w:val="center"/>
          </w:tcPr>
          <w:p>
            <w:pPr>
              <w:pStyle w:val="TableContents"/>
              <w:bidi w:val="0"/>
              <w:spacing w:before="0" w:after="283"/>
              <w:jc w:val="left"/>
              <w:rPr/>
            </w:pPr>
            <w:r>
              <w:rPr/>
              <w:t> </w:t>
            </w:r>
          </w:p>
        </w:tc>
      </w:tr>
      <w:tr>
        <w:trPr/>
        <w:tc>
          <w:tcPr>
            <w:tcW w:w="418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fair value of private placement warrants</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(553</w:t>
            </w:r>
          </w:p>
        </w:tc>
        <w:tc>
          <w:tcPr>
            <w:tcW w:w="2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1"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24,966</w:t>
            </w:r>
          </w:p>
        </w:tc>
        <w:tc>
          <w:tcPr>
            <w:tcW w:w="19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right"/>
              <w:rPr/>
            </w:pPr>
            <w:r>
              <w:rPr/>
              <w:t> </w:t>
            </w:r>
          </w:p>
        </w:tc>
        <w:tc>
          <w:tcPr>
            <w:tcW w:w="25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(5,133</w:t>
            </w:r>
          </w:p>
        </w:tc>
        <w:tc>
          <w:tcPr>
            <w:tcW w:w="29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18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Exercise of warrants</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(4,877</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1" w:type="dxa"/>
            <w:tcBorders/>
            <w:shd w:fill="CFF0FC" w:val="clear"/>
            <w:vAlign w:val="center"/>
          </w:tcPr>
          <w:p>
            <w:pPr>
              <w:pStyle w:val="TableContents"/>
              <w:bidi w:val="0"/>
              <w:spacing w:before="0" w:after="283"/>
              <w:jc w:val="righ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(49,032</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5" w:type="dxa"/>
            <w:tcBorders/>
            <w:shd w:fill="CFF0FC" w:val="cle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85"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Ending balance</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righ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33,333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righ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33,333</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Change in fair value of private placement warrants consists of adjustments related to the Private Placement Warrants liabilities re-measured to fair value at the end of each reporting period and the final mark-to-market adjustments for exercised warrants. During the nine months ended September 30, 2023, there were 6.7</w:t>
      </w:r>
      <w:r>
        <w:rPr>
          <w:rFonts w:ascii="Times New Roman" w:hAnsi="Times New Roman"/>
          <w:color w:val="000000"/>
          <w:sz w:val="20"/>
        </w:rPr>
        <w:t xml:space="preserve"> </w:t>
      </w:r>
      <w:r>
        <w:rPr>
          <w:rFonts w:ascii="Times New Roman" w:hAnsi="Times New Roman"/>
          <w:b w:val="false"/>
          <w:color w:val="000000"/>
          <w:sz w:val="20"/>
        </w:rPr>
        <w:t>million exercises of Private Placement Warrants which reduced our Private Placement Warrants liabilities by $49.0</w:t>
      </w:r>
      <w:r>
        <w:rPr>
          <w:rFonts w:ascii="Times New Roman" w:hAnsi="Times New Roman"/>
          <w:color w:val="000000"/>
          <w:sz w:val="20"/>
        </w:rPr>
        <w:t xml:space="preserve"> </w:t>
      </w:r>
      <w:r>
        <w:rPr>
          <w:rFonts w:ascii="Times New Roman" w:hAnsi="Times New Roman"/>
          <w:b w:val="false"/>
          <w:color w:val="000000"/>
          <w:sz w:val="20"/>
        </w:rPr>
        <w:t>million with an offset to common stock at par value and the remaining to additional paid in capital.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The Company has an equity investment measured at cost</w:t>
      </w:r>
      <w:r>
        <w:rPr>
          <w:rFonts w:ascii="Times New Roman" w:hAnsi="Times New Roman"/>
          <w:color w:val="000000"/>
          <w:sz w:val="20"/>
        </w:rPr>
        <w:t xml:space="preserve"> </w:t>
      </w:r>
      <w:r>
        <w:rPr>
          <w:rFonts w:ascii="Times New Roman" w:hAnsi="Times New Roman"/>
          <w:b w:val="false"/>
          <w:color w:val="000000"/>
          <w:sz w:val="20"/>
        </w:rPr>
        <w:t>with a carrying value of $1.9</w:t>
      </w:r>
      <w:r>
        <w:rPr>
          <w:rFonts w:ascii="Times New Roman" w:hAnsi="Times New Roman"/>
          <w:color w:val="000000"/>
          <w:sz w:val="20"/>
        </w:rPr>
        <w:t xml:space="preserve"> </w:t>
      </w:r>
      <w:r>
        <w:rPr>
          <w:rFonts w:ascii="Times New Roman" w:hAnsi="Times New Roman"/>
          <w:b w:val="false"/>
          <w:color w:val="000000"/>
          <w:sz w:val="20"/>
        </w:rPr>
        <w:t>million as of September</w:t>
      </w:r>
      <w:r>
        <w:rPr>
          <w:rFonts w:ascii="Times New Roman" w:hAnsi="Times New Roman"/>
          <w:color w:val="000000"/>
          <w:sz w:val="20"/>
        </w:rPr>
        <w:t xml:space="preserve"> </w:t>
      </w:r>
      <w:r>
        <w:rPr>
          <w:rFonts w:ascii="Times New Roman" w:hAnsi="Times New Roman"/>
          <w:b w:val="false"/>
          <w:color w:val="000000"/>
          <w:sz w:val="20"/>
        </w:rPr>
        <w:t>30, 2023, and is only adjusted to fair value if there are identified events that would indicate a need for an upward or downward adjustment or changes in circumstances that may indicate impairment. The estimation of fair value requires the use of significant unobservable inputs, such as voting rights and obligations in the securities held, and is therefore classified within level 3 of the fair value hierarchy. There were no identified events that required a fair value adjustment during the nine months ended September 30, 2023.</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 xml:space="preserve">The recurring fair value measurement of the interest rate swap was valued based on observable inputs for similar assets and liabilities including swaption values and other observable inputs for interest rates and yield curves and is classified within level 2 of the fair value hierarchy. The following presents the changes in the fair value of the interest rate swap in the gross balances within the below line items for the respective periods: </w:t>
      </w:r>
    </w:p>
    <w:p>
      <w:pPr>
        <w:pStyle w:val="TextBody"/>
        <w:bidi w:val="0"/>
        <w:jc w:val="both"/>
        <w:rPr/>
      </w:pPr>
      <w:r>
        <w:rPr/>
        <w:t> </w:t>
      </w:r>
    </w:p>
    <w:tbl>
      <w:tblPr>
        <w:tblW w:w="7430" w:type="dxa"/>
        <w:jc w:val="left"/>
        <w:tblInd w:w="0" w:type="dxa"/>
        <w:tblLayout w:type="fixed"/>
        <w:tblCellMar>
          <w:top w:w="28" w:type="dxa"/>
          <w:left w:w="28" w:type="dxa"/>
          <w:bottom w:w="28" w:type="dxa"/>
          <w:right w:w="28" w:type="dxa"/>
        </w:tblCellMar>
      </w:tblPr>
      <w:tblGrid>
        <w:gridCol w:w="3421"/>
        <w:gridCol w:w="146"/>
        <w:gridCol w:w="445"/>
        <w:gridCol w:w="1205"/>
        <w:gridCol w:w="166"/>
        <w:gridCol w:w="146"/>
        <w:gridCol w:w="429"/>
        <w:gridCol w:w="1161"/>
        <w:gridCol w:w="31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 September 30, 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1650"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90" w:type="dxa"/>
            <w:gridSpan w:val="2"/>
            <w:tcBorders/>
            <w:shd w:fill="CFF0FC" w:val="clear"/>
            <w:vAlign w:val="center"/>
          </w:tcPr>
          <w:p>
            <w:pPr>
              <w:pStyle w:val="TableContents"/>
              <w:bidi w:val="0"/>
              <w:spacing w:before="0" w:after="283"/>
              <w:jc w:val="center"/>
              <w:rPr/>
            </w:pPr>
            <w:r>
              <w:rPr/>
              <w:t> </w:t>
            </w:r>
          </w:p>
        </w:tc>
        <w:tc>
          <w:tcPr>
            <w:tcW w:w="311" w:type="dxa"/>
            <w:tcBorders/>
            <w:shd w:fill="CFF0FC" w:val="clear"/>
            <w:vAlign w:val="center"/>
          </w:tcPr>
          <w:p>
            <w:pPr>
              <w:pStyle w:val="TableContents"/>
              <w:bidi w:val="0"/>
              <w:spacing w:before="0" w:after="283"/>
              <w:jc w:val="center"/>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Beginning balance</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0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61"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fair value of interest rate swap</w:t>
            </w:r>
          </w:p>
        </w:tc>
        <w:tc>
          <w:tcPr>
            <w:tcW w:w="146" w:type="dxa"/>
            <w:tcBorders/>
            <w:shd w:fill="CFF0FC" w:val="clear"/>
            <w:vAlign w:val="center"/>
          </w:tcPr>
          <w:p>
            <w:pPr>
              <w:pStyle w:val="TableContents"/>
              <w:bidi w:val="0"/>
              <w:spacing w:before="0" w:after="283"/>
              <w:jc w:val="left"/>
              <w:rPr/>
            </w:pPr>
            <w:r>
              <w:rPr/>
              <w:t> </w:t>
            </w:r>
          </w:p>
        </w:tc>
        <w:tc>
          <w:tcPr>
            <w:tcW w:w="4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2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Ending balance</w:t>
            </w:r>
          </w:p>
        </w:tc>
        <w:tc>
          <w:tcPr>
            <w:tcW w:w="146" w:type="dxa"/>
            <w:tcBorders/>
            <w:shd w:fill="FFFFFF" w:val="clear"/>
            <w:vAlign w:val="center"/>
          </w:tcPr>
          <w:p>
            <w:pPr>
              <w:pStyle w:val="TableContents"/>
              <w:bidi w:val="0"/>
              <w:spacing w:before="0" w:after="283"/>
              <w:jc w:val="left"/>
              <w:rPr/>
            </w:pPr>
            <w:r>
              <w:rPr/>
              <w:t> </w:t>
            </w:r>
          </w:p>
        </w:tc>
        <w:tc>
          <w:tcPr>
            <w:tcW w:w="4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2,266</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0"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non-current assets</w:t>
            </w:r>
          </w:p>
        </w:tc>
        <w:tc>
          <w:tcPr>
            <w:tcW w:w="146" w:type="dxa"/>
            <w:tcBorders/>
            <w:shd w:fill="CFF0FC" w:val="clear"/>
            <w:vAlign w:val="center"/>
          </w:tcPr>
          <w:p>
            <w:pPr>
              <w:pStyle w:val="TableContents"/>
              <w:bidi w:val="0"/>
              <w:spacing w:before="0" w:after="283"/>
              <w:jc w:val="left"/>
              <w:rPr/>
            </w:pPr>
            <w:r>
              <w:rPr/>
              <w:t> </w:t>
            </w:r>
          </w:p>
        </w:tc>
        <w:tc>
          <w:tcPr>
            <w:tcW w:w="1650"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90" w:type="dxa"/>
            <w:gridSpan w:val="2"/>
            <w:tcBorders/>
            <w:shd w:fill="CFF0FC" w:val="clear"/>
            <w:vAlign w:val="center"/>
          </w:tcPr>
          <w:p>
            <w:pPr>
              <w:pStyle w:val="TableContents"/>
              <w:bidi w:val="0"/>
              <w:spacing w:before="0" w:after="283"/>
              <w:jc w:val="center"/>
              <w:rPr/>
            </w:pPr>
            <w:r>
              <w:rPr/>
              <w:t> </w:t>
            </w:r>
          </w:p>
        </w:tc>
        <w:tc>
          <w:tcPr>
            <w:tcW w:w="311" w:type="dxa"/>
            <w:tcBorders/>
            <w:shd w:fill="CFF0FC" w:val="clear"/>
            <w:vAlign w:val="center"/>
          </w:tcPr>
          <w:p>
            <w:pPr>
              <w:pStyle w:val="TableContents"/>
              <w:bidi w:val="0"/>
              <w:spacing w:before="0" w:after="283"/>
              <w:jc w:val="center"/>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Beginning balance</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0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1,973</w:t>
            </w:r>
          </w:p>
        </w:tc>
        <w:tc>
          <w:tcPr>
            <w:tcW w:w="31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fair value of interest rate swap</w:t>
            </w:r>
          </w:p>
        </w:tc>
        <w:tc>
          <w:tcPr>
            <w:tcW w:w="146" w:type="dxa"/>
            <w:tcBorders/>
            <w:shd w:fill="CFF0FC" w:val="clear"/>
            <w:vAlign w:val="center"/>
          </w:tcPr>
          <w:p>
            <w:pPr>
              <w:pStyle w:val="TableContents"/>
              <w:bidi w:val="0"/>
              <w:spacing w:before="0" w:after="283"/>
              <w:jc w:val="left"/>
              <w:rPr/>
            </w:pPr>
            <w:r>
              <w:rPr/>
              <w:t> </w:t>
            </w:r>
          </w:p>
        </w:tc>
        <w:tc>
          <w:tcPr>
            <w:tcW w:w="4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2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Ending balance</w:t>
            </w:r>
          </w:p>
        </w:tc>
        <w:tc>
          <w:tcPr>
            <w:tcW w:w="146" w:type="dxa"/>
            <w:tcBorders/>
            <w:shd w:fill="FFFFFF" w:val="clear"/>
            <w:vAlign w:val="center"/>
          </w:tcPr>
          <w:p>
            <w:pPr>
              <w:pStyle w:val="TableContents"/>
              <w:bidi w:val="0"/>
              <w:spacing w:before="0" w:after="283"/>
              <w:jc w:val="left"/>
              <w:rPr/>
            </w:pPr>
            <w:r>
              <w:rPr/>
              <w:t> </w:t>
            </w:r>
          </w:p>
        </w:tc>
        <w:tc>
          <w:tcPr>
            <w:tcW w:w="4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2,092</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0"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Accrued liabilities</w:t>
            </w:r>
          </w:p>
        </w:tc>
        <w:tc>
          <w:tcPr>
            <w:tcW w:w="146" w:type="dxa"/>
            <w:tcBorders/>
            <w:shd w:fill="CFF0FC" w:val="clear"/>
            <w:vAlign w:val="center"/>
          </w:tcPr>
          <w:p>
            <w:pPr>
              <w:pStyle w:val="TableContents"/>
              <w:bidi w:val="0"/>
              <w:spacing w:before="0" w:after="283"/>
              <w:jc w:val="left"/>
              <w:rPr/>
            </w:pPr>
            <w:r>
              <w:rPr/>
              <w:t> </w:t>
            </w:r>
          </w:p>
        </w:tc>
        <w:tc>
          <w:tcPr>
            <w:tcW w:w="1650"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90" w:type="dxa"/>
            <w:gridSpan w:val="2"/>
            <w:tcBorders/>
            <w:shd w:fill="CFF0FC" w:val="clear"/>
            <w:vAlign w:val="center"/>
          </w:tcPr>
          <w:p>
            <w:pPr>
              <w:pStyle w:val="TableContents"/>
              <w:bidi w:val="0"/>
              <w:spacing w:before="0" w:after="283"/>
              <w:jc w:val="center"/>
              <w:rPr/>
            </w:pPr>
            <w:r>
              <w:rPr/>
              <w:t> </w:t>
            </w:r>
          </w:p>
        </w:tc>
        <w:tc>
          <w:tcPr>
            <w:tcW w:w="311" w:type="dxa"/>
            <w:tcBorders/>
            <w:shd w:fill="CFF0FC" w:val="clear"/>
            <w:vAlign w:val="center"/>
          </w:tcPr>
          <w:p>
            <w:pPr>
              <w:pStyle w:val="TableContents"/>
              <w:bidi w:val="0"/>
              <w:spacing w:before="0" w:after="283"/>
              <w:jc w:val="center"/>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Beginning balance</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977</w:t>
            </w:r>
          </w:p>
        </w:tc>
        <w:tc>
          <w:tcPr>
            <w:tcW w:w="31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fair value of interest rate swap</w:t>
            </w:r>
          </w:p>
        </w:tc>
        <w:tc>
          <w:tcPr>
            <w:tcW w:w="146" w:type="dxa"/>
            <w:tcBorders/>
            <w:shd w:fill="CFF0FC" w:val="clear"/>
            <w:vAlign w:val="center"/>
          </w:tcPr>
          <w:p>
            <w:pPr>
              <w:pStyle w:val="TableContents"/>
              <w:bidi w:val="0"/>
              <w:spacing w:before="0" w:after="283"/>
              <w:jc w:val="left"/>
              <w:rPr/>
            </w:pPr>
            <w:r>
              <w:rPr/>
              <w:t> </w:t>
            </w:r>
          </w:p>
        </w:tc>
        <w:tc>
          <w:tcPr>
            <w:tcW w:w="4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42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Ending balance</w:t>
            </w:r>
          </w:p>
        </w:tc>
        <w:tc>
          <w:tcPr>
            <w:tcW w:w="146" w:type="dxa"/>
            <w:tcBorders/>
            <w:shd w:fill="FFFFFF" w:val="clear"/>
            <w:vAlign w:val="center"/>
          </w:tcPr>
          <w:p>
            <w:pPr>
              <w:pStyle w:val="TableContents"/>
              <w:bidi w:val="0"/>
              <w:spacing w:before="0" w:after="283"/>
              <w:jc w:val="left"/>
              <w:rPr/>
            </w:pPr>
            <w:r>
              <w:rPr/>
              <w:t> </w:t>
            </w:r>
          </w:p>
        </w:tc>
        <w:tc>
          <w:tcPr>
            <w:tcW w:w="4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 xml:space="preserve">The Company separately classifies the current and non-current components based on the value of settlements due within 12 months (current) and greater than 12 months (non-current). For additional information on the interest rate swap, refer to Note 2, </w:t>
      </w:r>
      <w:r>
        <w:rPr>
          <w:rFonts w:ascii="Times New Roman" w:hAnsi="Times New Roman"/>
          <w:b w:val="false"/>
          <w:i/>
          <w:color w:val="000000"/>
          <w:sz w:val="20"/>
        </w:rPr>
        <w:t>Significant Accounting Policies</w:t>
      </w:r>
      <w:r>
        <w:rPr>
          <w:rFonts w:ascii="Times New Roman" w:hAnsi="Times New Roman"/>
          <w:b w:val="false"/>
          <w:color w:val="000000"/>
          <w:sz w:val="20"/>
        </w:rPr>
        <w:t>.</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8. Net Income Per Share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Basic net income per share is calculated by dividing net income by the weighted average shares outstanding during the period, without consideration of common stock equivalents. Diluted net income per share is calculated by adjusting the weighted average shares outstanding for the dilutive effect of common stock equivalents outstanding for the period, determined using the treasury-stock method.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components of basic and diluted net income per share are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288"/>
        <w:gridCol w:w="146"/>
        <w:gridCol w:w="239"/>
        <w:gridCol w:w="884"/>
        <w:gridCol w:w="165"/>
        <w:gridCol w:w="165"/>
        <w:gridCol w:w="239"/>
        <w:gridCol w:w="884"/>
        <w:gridCol w:w="146"/>
        <w:gridCol w:w="146"/>
        <w:gridCol w:w="232"/>
        <w:gridCol w:w="861"/>
        <w:gridCol w:w="160"/>
        <w:gridCol w:w="160"/>
        <w:gridCol w:w="232"/>
        <w:gridCol w:w="861"/>
        <w:gridCol w:w="397"/>
      </w:tblGrid>
      <w:tr>
        <w:trPr/>
        <w:tc>
          <w:tcPr>
            <w:tcW w:w="4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28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8"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except per share data)</w:t>
            </w:r>
          </w:p>
        </w:tc>
        <w:tc>
          <w:tcPr>
            <w:tcW w:w="146" w:type="dxa"/>
            <w:tcBorders/>
            <w:shd w:fill="FFFFFF" w:val="clear"/>
            <w:vAlign w:val="center"/>
          </w:tcPr>
          <w:p>
            <w:pPr>
              <w:pStyle w:val="TableContents"/>
              <w:bidi w:val="0"/>
              <w:spacing w:before="0" w:after="283"/>
              <w:jc w:val="center"/>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center"/>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123" w:type="dxa"/>
            <w:gridSpan w:val="2"/>
            <w:tcBorders/>
            <w:shd w:fill="CFF0FC" w:val="clear"/>
            <w:vAlign w:val="center"/>
          </w:tcPr>
          <w:p>
            <w:pPr>
              <w:pStyle w:val="TableContents"/>
              <w:bidi w:val="0"/>
              <w:spacing w:before="0" w:after="283"/>
              <w:jc w:val="right"/>
              <w:rPr/>
            </w:pPr>
            <w:r>
              <w:rPr/>
              <w:t> </w:t>
            </w:r>
          </w:p>
        </w:tc>
        <w:tc>
          <w:tcPr>
            <w:tcW w:w="165" w:type="dxa"/>
            <w:tcBorders/>
            <w:shd w:fill="CFF0FC" w:val="clear"/>
            <w:vAlign w:val="center"/>
          </w:tcPr>
          <w:p>
            <w:pPr>
              <w:pStyle w:val="TableContents"/>
              <w:bidi w:val="0"/>
              <w:spacing w:before="0" w:after="283"/>
              <w:jc w:val="right"/>
              <w:rPr/>
            </w:pPr>
            <w:r>
              <w:rPr/>
              <w:t> </w:t>
            </w:r>
          </w:p>
        </w:tc>
        <w:tc>
          <w:tcPr>
            <w:tcW w:w="165" w:type="dxa"/>
            <w:tcBorders/>
            <w:shd w:fill="CFF0FC" w:val="clear"/>
            <w:vAlign w:val="center"/>
          </w:tcPr>
          <w:p>
            <w:pPr>
              <w:pStyle w:val="TableContents"/>
              <w:bidi w:val="0"/>
              <w:spacing w:before="0" w:after="283"/>
              <w:jc w:val="left"/>
              <w:rPr/>
            </w:pPr>
            <w:r>
              <w:rPr/>
              <w:t> </w:t>
            </w:r>
          </w:p>
        </w:tc>
        <w:tc>
          <w:tcPr>
            <w:tcW w:w="1123"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3" w:type="dxa"/>
            <w:gridSpan w:val="2"/>
            <w:tcBorders/>
            <w:shd w:fill="CFF0FC" w:val="clear"/>
            <w:vAlign w:val="center"/>
          </w:tcPr>
          <w:p>
            <w:pPr>
              <w:pStyle w:val="TableContents"/>
              <w:bidi w:val="0"/>
              <w:spacing w:before="0" w:after="283"/>
              <w:jc w:val="right"/>
              <w:rPr/>
            </w:pPr>
            <w:r>
              <w:rPr/>
              <w:t> </w:t>
            </w:r>
          </w:p>
        </w:tc>
        <w:tc>
          <w:tcPr>
            <w:tcW w:w="160" w:type="dxa"/>
            <w:tcBorders/>
            <w:shd w:fill="CFF0FC" w:val="clear"/>
            <w:vAlign w:val="center"/>
          </w:tcPr>
          <w:p>
            <w:pPr>
              <w:pStyle w:val="TableContents"/>
              <w:bidi w:val="0"/>
              <w:spacing w:before="0" w:after="283"/>
              <w:jc w:val="right"/>
              <w:rPr/>
            </w:pPr>
            <w:r>
              <w:rPr/>
              <w:t> </w:t>
            </w:r>
          </w:p>
        </w:tc>
        <w:tc>
          <w:tcPr>
            <w:tcW w:w="160" w:type="dxa"/>
            <w:tcBorders/>
            <w:shd w:fill="CFF0FC" w:val="clear"/>
            <w:vAlign w:val="center"/>
          </w:tcPr>
          <w:p>
            <w:pPr>
              <w:pStyle w:val="TableContents"/>
              <w:bidi w:val="0"/>
              <w:spacing w:before="0" w:after="283"/>
              <w:jc w:val="left"/>
              <w:rPr/>
            </w:pPr>
            <w:r>
              <w:rPr/>
              <w:t> </w:t>
            </w:r>
          </w:p>
        </w:tc>
        <w:tc>
          <w:tcPr>
            <w:tcW w:w="1093" w:type="dxa"/>
            <w:gridSpan w:val="2"/>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ind w:left="0" w:right="0" w:firstLine="200"/>
              <w:jc w:val="left"/>
              <w:rPr/>
            </w:pPr>
            <w:r>
              <w:rPr/>
              <w:t> </w:t>
            </w:r>
          </w:p>
        </w:tc>
      </w:tr>
      <w:tr>
        <w:trPr/>
        <w:tc>
          <w:tcPr>
            <w:tcW w:w="428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30,308</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53,993</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64,257</w:t>
            </w:r>
          </w:p>
        </w:tc>
        <w:tc>
          <w:tcPr>
            <w:tcW w:w="397" w:type="dxa"/>
            <w:tcBorders/>
            <w:shd w:fill="FFFFFF" w:val="clear"/>
            <w:vAlign w:val="center"/>
          </w:tcPr>
          <w:p>
            <w:pPr>
              <w:pStyle w:val="TableContents"/>
              <w:bidi w:val="0"/>
              <w:spacing w:before="0" w:after="283"/>
              <w:jc w:val="left"/>
              <w:rPr/>
            </w:pPr>
            <w:r>
              <w:rPr/>
              <w:t> </w:t>
            </w:r>
          </w:p>
        </w:tc>
      </w:tr>
      <w:tr>
        <w:trPr/>
        <w:tc>
          <w:tcPr>
            <w:tcW w:w="428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123" w:type="dxa"/>
            <w:gridSpan w:val="2"/>
            <w:tcBorders/>
            <w:shd w:fill="CFF0FC" w:val="clear"/>
            <w:vAlign w:val="center"/>
          </w:tcPr>
          <w:p>
            <w:pPr>
              <w:pStyle w:val="TableContents"/>
              <w:bidi w:val="0"/>
              <w:spacing w:before="0" w:after="283"/>
              <w:jc w:val="right"/>
              <w:rPr/>
            </w:pPr>
            <w:r>
              <w:rPr/>
              <w:t> </w:t>
            </w:r>
          </w:p>
        </w:tc>
        <w:tc>
          <w:tcPr>
            <w:tcW w:w="165" w:type="dxa"/>
            <w:tcBorders/>
            <w:shd w:fill="CFF0FC" w:val="clear"/>
            <w:vAlign w:val="center"/>
          </w:tcPr>
          <w:p>
            <w:pPr>
              <w:pStyle w:val="TableContents"/>
              <w:bidi w:val="0"/>
              <w:spacing w:before="0" w:after="283"/>
              <w:jc w:val="right"/>
              <w:rPr/>
            </w:pPr>
            <w:r>
              <w:rPr/>
              <w:t> </w:t>
            </w:r>
          </w:p>
        </w:tc>
        <w:tc>
          <w:tcPr>
            <w:tcW w:w="165" w:type="dxa"/>
            <w:tcBorders/>
            <w:shd w:fill="CFF0FC" w:val="clear"/>
            <w:vAlign w:val="center"/>
          </w:tcPr>
          <w:p>
            <w:pPr>
              <w:pStyle w:val="TableContents"/>
              <w:bidi w:val="0"/>
              <w:spacing w:before="0" w:after="283"/>
              <w:jc w:val="left"/>
              <w:rPr/>
            </w:pPr>
            <w:r>
              <w:rPr/>
              <w:t> </w:t>
            </w:r>
          </w:p>
        </w:tc>
        <w:tc>
          <w:tcPr>
            <w:tcW w:w="112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3" w:type="dxa"/>
            <w:gridSpan w:val="2"/>
            <w:tcBorders/>
            <w:shd w:fill="CFF0FC" w:val="clear"/>
            <w:vAlign w:val="center"/>
          </w:tcPr>
          <w:p>
            <w:pPr>
              <w:pStyle w:val="TableContents"/>
              <w:bidi w:val="0"/>
              <w:spacing w:before="0" w:after="283"/>
              <w:jc w:val="right"/>
              <w:rPr/>
            </w:pPr>
            <w:r>
              <w:rPr/>
              <w:t> </w:t>
            </w:r>
          </w:p>
        </w:tc>
        <w:tc>
          <w:tcPr>
            <w:tcW w:w="160" w:type="dxa"/>
            <w:tcBorders/>
            <w:shd w:fill="CFF0FC" w:val="clear"/>
            <w:vAlign w:val="center"/>
          </w:tcPr>
          <w:p>
            <w:pPr>
              <w:pStyle w:val="TableContents"/>
              <w:bidi w:val="0"/>
              <w:spacing w:before="0" w:after="283"/>
              <w:jc w:val="right"/>
              <w:rPr/>
            </w:pPr>
            <w:r>
              <w:rPr/>
              <w:t> </w:t>
            </w:r>
          </w:p>
        </w:tc>
        <w:tc>
          <w:tcPr>
            <w:tcW w:w="160" w:type="dxa"/>
            <w:tcBorders/>
            <w:shd w:fill="CFF0FC" w:val="clear"/>
            <w:vAlign w:val="center"/>
          </w:tcPr>
          <w:p>
            <w:pPr>
              <w:pStyle w:val="TableContents"/>
              <w:bidi w:val="0"/>
              <w:spacing w:before="0" w:after="283"/>
              <w:jc w:val="left"/>
              <w:rPr/>
            </w:pPr>
            <w:r>
              <w:rPr/>
              <w:t> </w:t>
            </w:r>
          </w:p>
        </w:tc>
        <w:tc>
          <w:tcPr>
            <w:tcW w:w="1093" w:type="dxa"/>
            <w:gridSpan w:val="2"/>
            <w:tcBorders/>
            <w:shd w:fill="CFF0FC" w:val="clear"/>
            <w:vAlign w:val="center"/>
          </w:tcPr>
          <w:p>
            <w:pPr>
              <w:pStyle w:val="TableContents"/>
              <w:bidi w:val="0"/>
              <w:spacing w:before="0" w:after="283"/>
              <w:jc w:val="right"/>
              <w:rPr/>
            </w:pPr>
            <w:r>
              <w:rPr/>
              <w:t> </w:t>
            </w:r>
          </w:p>
        </w:tc>
        <w:tc>
          <w:tcPr>
            <w:tcW w:w="397" w:type="dxa"/>
            <w:tcBorders/>
            <w:shd w:fill="CFF0FC" w:val="clear"/>
            <w:vAlign w:val="center"/>
          </w:tcPr>
          <w:p>
            <w:pPr>
              <w:pStyle w:val="TableContents"/>
              <w:bidi w:val="0"/>
              <w:spacing w:before="0" w:after="283"/>
              <w:ind w:left="0" w:right="0" w:firstLine="200"/>
              <w:jc w:val="right"/>
              <w:rPr/>
            </w:pPr>
            <w:r>
              <w:rPr/>
              <w:t> </w:t>
            </w:r>
          </w:p>
        </w:tc>
      </w:tr>
      <w:tr>
        <w:trPr/>
        <w:tc>
          <w:tcPr>
            <w:tcW w:w="428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Weighted average shares - basic</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168,089</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151,429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156,196</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154,067</w:t>
            </w:r>
          </w:p>
        </w:tc>
        <w:tc>
          <w:tcPr>
            <w:tcW w:w="397" w:type="dxa"/>
            <w:tcBorders/>
            <w:shd w:fill="FFFFFF" w:val="clear"/>
            <w:vAlign w:val="center"/>
          </w:tcPr>
          <w:p>
            <w:pPr>
              <w:pStyle w:val="TableContents"/>
              <w:bidi w:val="0"/>
              <w:spacing w:before="0" w:after="283"/>
              <w:ind w:left="0" w:right="0" w:firstLine="200"/>
              <w:jc w:val="left"/>
              <w:rPr/>
            </w:pPr>
            <w:r>
              <w:rPr/>
              <w:t> </w:t>
            </w:r>
          </w:p>
        </w:tc>
      </w:tr>
      <w:tr>
        <w:trPr/>
        <w:tc>
          <w:tcPr>
            <w:tcW w:w="428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Common stock equivalents</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1,408</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937</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6,366</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8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Weighted average shares - diluted</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169,497</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158,304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157,133</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160,433</w:t>
            </w:r>
          </w:p>
        </w:tc>
        <w:tc>
          <w:tcPr>
            <w:tcW w:w="397" w:type="dxa"/>
            <w:tcBorders/>
            <w:shd w:fill="FFFFFF" w:val="clear"/>
            <w:vAlign w:val="center"/>
          </w:tcPr>
          <w:p>
            <w:pPr>
              <w:pStyle w:val="TableContents"/>
              <w:bidi w:val="0"/>
              <w:spacing w:before="0" w:after="283"/>
              <w:jc w:val="left"/>
              <w:rPr/>
            </w:pPr>
            <w:r>
              <w:rPr/>
              <w:t> </w:t>
            </w:r>
          </w:p>
        </w:tc>
      </w:tr>
      <w:tr>
        <w:trPr/>
        <w:tc>
          <w:tcPr>
            <w:tcW w:w="428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per share - basic</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0.18</w:t>
            </w:r>
          </w:p>
        </w:tc>
        <w:tc>
          <w:tcPr>
            <w:tcW w:w="165"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0.35</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0.42</w:t>
            </w:r>
          </w:p>
        </w:tc>
        <w:tc>
          <w:tcPr>
            <w:tcW w:w="397" w:type="dxa"/>
            <w:tcBorders/>
            <w:shd w:fill="CFF0FC" w:val="clear"/>
            <w:vAlign w:val="center"/>
          </w:tcPr>
          <w:p>
            <w:pPr>
              <w:pStyle w:val="TableContents"/>
              <w:bidi w:val="0"/>
              <w:spacing w:before="0" w:after="283"/>
              <w:jc w:val="left"/>
              <w:rPr/>
            </w:pPr>
            <w:r>
              <w:rPr/>
              <w:t> </w:t>
            </w:r>
          </w:p>
        </w:tc>
      </w:tr>
      <w:tr>
        <w:trPr/>
        <w:tc>
          <w:tcPr>
            <w:tcW w:w="428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per share - diluted</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0.18</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0.34</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0.38</w:t>
            </w:r>
          </w:p>
        </w:tc>
        <w:tc>
          <w:tcPr>
            <w:tcW w:w="397" w:type="dxa"/>
            <w:tcBorders/>
            <w:shd w:fill="FFFFFF" w:val="clear"/>
            <w:vAlign w:val="center"/>
          </w:tcPr>
          <w:p>
            <w:pPr>
              <w:pStyle w:val="TableContents"/>
              <w:bidi w:val="0"/>
              <w:spacing w:before="0" w:after="283"/>
              <w:jc w:val="left"/>
              <w:rPr/>
            </w:pPr>
            <w:r>
              <w:rPr/>
              <w:t> </w:t>
            </w:r>
          </w:p>
        </w:tc>
      </w:tr>
      <w:tr>
        <w:trPr/>
        <w:tc>
          <w:tcPr>
            <w:tcW w:w="428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Antidilutive shares excluded from diluted net income per share:</w:t>
            </w:r>
          </w:p>
        </w:tc>
        <w:tc>
          <w:tcPr>
            <w:tcW w:w="146" w:type="dxa"/>
            <w:tcBorders/>
            <w:shd w:fill="CFF0FC" w:val="clear"/>
            <w:vAlign w:val="center"/>
          </w:tcPr>
          <w:p>
            <w:pPr>
              <w:pStyle w:val="TableContents"/>
              <w:bidi w:val="0"/>
              <w:spacing w:before="0" w:after="283"/>
              <w:jc w:val="left"/>
              <w:rPr/>
            </w:pPr>
            <w:r>
              <w:rPr/>
              <w:t> </w:t>
            </w:r>
          </w:p>
        </w:tc>
        <w:tc>
          <w:tcPr>
            <w:tcW w:w="1123" w:type="dxa"/>
            <w:gridSpan w:val="2"/>
            <w:tcBorders/>
            <w:shd w:fill="CFF0FC" w:val="clear"/>
            <w:vAlign w:val="center"/>
          </w:tcPr>
          <w:p>
            <w:pPr>
              <w:pStyle w:val="TableContents"/>
              <w:bidi w:val="0"/>
              <w:spacing w:before="0" w:after="283"/>
              <w:jc w:val="right"/>
              <w:rPr/>
            </w:pPr>
            <w:r>
              <w:rPr/>
              <w:t> </w:t>
            </w:r>
          </w:p>
        </w:tc>
        <w:tc>
          <w:tcPr>
            <w:tcW w:w="165" w:type="dxa"/>
            <w:tcBorders/>
            <w:shd w:fill="CFF0FC" w:val="clear"/>
            <w:vAlign w:val="center"/>
          </w:tcPr>
          <w:p>
            <w:pPr>
              <w:pStyle w:val="TableContents"/>
              <w:bidi w:val="0"/>
              <w:spacing w:before="0" w:after="283"/>
              <w:jc w:val="right"/>
              <w:rPr/>
            </w:pPr>
            <w:r>
              <w:rPr/>
              <w:t> </w:t>
            </w:r>
          </w:p>
        </w:tc>
        <w:tc>
          <w:tcPr>
            <w:tcW w:w="165" w:type="dxa"/>
            <w:tcBorders/>
            <w:shd w:fill="CFF0FC" w:val="clear"/>
            <w:vAlign w:val="center"/>
          </w:tcPr>
          <w:p>
            <w:pPr>
              <w:pStyle w:val="TableContents"/>
              <w:bidi w:val="0"/>
              <w:spacing w:before="0" w:after="283"/>
              <w:jc w:val="left"/>
              <w:rPr/>
            </w:pPr>
            <w:r>
              <w:rPr/>
              <w:t> </w:t>
            </w:r>
          </w:p>
        </w:tc>
        <w:tc>
          <w:tcPr>
            <w:tcW w:w="112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3" w:type="dxa"/>
            <w:gridSpan w:val="2"/>
            <w:tcBorders/>
            <w:shd w:fill="CFF0FC" w:val="clear"/>
            <w:vAlign w:val="center"/>
          </w:tcPr>
          <w:p>
            <w:pPr>
              <w:pStyle w:val="TableContents"/>
              <w:bidi w:val="0"/>
              <w:spacing w:before="0" w:after="283"/>
              <w:jc w:val="right"/>
              <w:rPr/>
            </w:pPr>
            <w:r>
              <w:rPr/>
              <w:t> </w:t>
            </w:r>
          </w:p>
        </w:tc>
        <w:tc>
          <w:tcPr>
            <w:tcW w:w="160" w:type="dxa"/>
            <w:tcBorders/>
            <w:shd w:fill="CFF0FC" w:val="clear"/>
            <w:vAlign w:val="center"/>
          </w:tcPr>
          <w:p>
            <w:pPr>
              <w:pStyle w:val="TableContents"/>
              <w:bidi w:val="0"/>
              <w:spacing w:before="0" w:after="283"/>
              <w:jc w:val="right"/>
              <w:rPr/>
            </w:pPr>
            <w:r>
              <w:rPr/>
              <w:t> </w:t>
            </w:r>
          </w:p>
        </w:tc>
        <w:tc>
          <w:tcPr>
            <w:tcW w:w="160" w:type="dxa"/>
            <w:tcBorders/>
            <w:shd w:fill="CFF0FC" w:val="clear"/>
            <w:vAlign w:val="center"/>
          </w:tcPr>
          <w:p>
            <w:pPr>
              <w:pStyle w:val="TableContents"/>
              <w:bidi w:val="0"/>
              <w:spacing w:before="0" w:after="283"/>
              <w:jc w:val="left"/>
              <w:rPr/>
            </w:pPr>
            <w:r>
              <w:rPr/>
              <w:t> </w:t>
            </w:r>
          </w:p>
        </w:tc>
        <w:tc>
          <w:tcPr>
            <w:tcW w:w="1093" w:type="dxa"/>
            <w:gridSpan w:val="2"/>
            <w:tcBorders/>
            <w:shd w:fill="CFF0FC" w:val="clear"/>
            <w:vAlign w:val="center"/>
          </w:tcPr>
          <w:p>
            <w:pPr>
              <w:pStyle w:val="TableContents"/>
              <w:bidi w:val="0"/>
              <w:spacing w:before="0" w:after="283"/>
              <w:jc w:val="right"/>
              <w:rPr/>
            </w:pPr>
            <w:r>
              <w:rPr/>
              <w:t> </w:t>
            </w:r>
          </w:p>
        </w:tc>
        <w:tc>
          <w:tcPr>
            <w:tcW w:w="397" w:type="dxa"/>
            <w:tcBorders/>
            <w:shd w:fill="CFF0FC" w:val="clear"/>
            <w:vAlign w:val="center"/>
          </w:tcPr>
          <w:p>
            <w:pPr>
              <w:pStyle w:val="TableContents"/>
              <w:bidi w:val="0"/>
              <w:spacing w:before="0" w:after="283"/>
              <w:ind w:left="0" w:right="0" w:firstLine="200"/>
              <w:jc w:val="right"/>
              <w:rPr/>
            </w:pPr>
            <w:r>
              <w:rPr/>
              <w:t> </w:t>
            </w:r>
          </w:p>
        </w:tc>
      </w:tr>
      <w:tr>
        <w:trPr/>
        <w:tc>
          <w:tcPr>
            <w:tcW w:w="4288"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 xml:space="preserve">Contingently issuable shares </w:t>
            </w:r>
            <w:r>
              <w:rPr>
                <w:rFonts w:ascii="Times New Roman" w:hAnsi="Times New Roman"/>
                <w:b w:val="false"/>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color w:val="000000"/>
              </w:rPr>
            </w:pPr>
            <w:r>
              <w:rPr>
                <w:color w:val="000000"/>
              </w:rPr>
              <w:t>—</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color w:val="000000"/>
              </w:rPr>
            </w:pPr>
            <w:r>
              <w:rPr>
                <w:color w:val="000000"/>
              </w:rPr>
              <w:t>—</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5,000</w:t>
            </w:r>
          </w:p>
        </w:tc>
        <w:tc>
          <w:tcPr>
            <w:tcW w:w="397" w:type="dxa"/>
            <w:tcBorders/>
            <w:shd w:fill="FFFFFF" w:val="clear"/>
            <w:vAlign w:val="center"/>
          </w:tcPr>
          <w:p>
            <w:pPr>
              <w:pStyle w:val="TableContents"/>
              <w:bidi w:val="0"/>
              <w:spacing w:before="0" w:after="283"/>
              <w:ind w:left="0" w:right="0" w:firstLine="200"/>
              <w:jc w:val="left"/>
              <w:rPr/>
            </w:pPr>
            <w:r>
              <w:rPr/>
              <w:t> </w:t>
            </w:r>
          </w:p>
        </w:tc>
      </w:tr>
      <w:tr>
        <w:trPr/>
        <w:tc>
          <w:tcPr>
            <w:tcW w:w="4288"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 xml:space="preserve">ASR shares </w:t>
            </w:r>
            <w:r>
              <w:rPr>
                <w:rFonts w:ascii="Times New Roman" w:hAnsi="Times New Roman"/>
                <w:b w:val="false"/>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985</w:t>
            </w:r>
          </w:p>
        </w:tc>
        <w:tc>
          <w:tcPr>
            <w:tcW w:w="165"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985</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984</w:t>
            </w:r>
          </w:p>
        </w:tc>
        <w:tc>
          <w:tcPr>
            <w:tcW w:w="397" w:type="dxa"/>
            <w:tcBorders/>
            <w:shd w:fill="CFF0FC" w:val="clear"/>
            <w:vAlign w:val="center"/>
          </w:tcPr>
          <w:p>
            <w:pPr>
              <w:pStyle w:val="TableContents"/>
              <w:bidi w:val="0"/>
              <w:spacing w:before="0" w:after="283"/>
              <w:ind w:left="0" w:right="0" w:firstLine="200"/>
              <w:jc w:val="left"/>
              <w:rPr/>
            </w:pPr>
            <w:r>
              <w:rPr/>
              <w:t> </w:t>
            </w:r>
          </w:p>
        </w:tc>
      </w:tr>
      <w:tr>
        <w:trPr/>
        <w:tc>
          <w:tcPr>
            <w:tcW w:w="428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Non-qualified stock options</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761</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1,224</w:t>
            </w:r>
          </w:p>
        </w:tc>
        <w:tc>
          <w:tcPr>
            <w:tcW w:w="397" w:type="dxa"/>
            <w:tcBorders/>
            <w:shd w:fill="FFFFFF" w:val="clear"/>
            <w:vAlign w:val="center"/>
          </w:tcPr>
          <w:p>
            <w:pPr>
              <w:pStyle w:val="TableContents"/>
              <w:bidi w:val="0"/>
              <w:spacing w:before="0" w:after="283"/>
              <w:ind w:left="0" w:right="0" w:firstLine="200"/>
              <w:jc w:val="left"/>
              <w:rPr/>
            </w:pPr>
            <w:r>
              <w:rPr/>
              <w:t> </w:t>
            </w:r>
          </w:p>
        </w:tc>
      </w:tr>
      <w:tr>
        <w:trPr/>
        <w:tc>
          <w:tcPr>
            <w:tcW w:w="428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Performance share units</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65"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341</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w:t>
            </w:r>
          </w:p>
        </w:tc>
        <w:tc>
          <w:tcPr>
            <w:tcW w:w="397" w:type="dxa"/>
            <w:tcBorders/>
            <w:shd w:fill="CFF0FC" w:val="clear"/>
            <w:vAlign w:val="center"/>
          </w:tcPr>
          <w:p>
            <w:pPr>
              <w:pStyle w:val="TableContents"/>
              <w:bidi w:val="0"/>
              <w:spacing w:before="0" w:after="283"/>
              <w:ind w:left="0" w:right="0" w:firstLine="200"/>
              <w:jc w:val="left"/>
              <w:rPr/>
            </w:pPr>
            <w:r>
              <w:rPr/>
              <w:t> </w:t>
            </w:r>
          </w:p>
        </w:tc>
      </w:tr>
      <w:tr>
        <w:trPr/>
        <w:tc>
          <w:tcPr>
            <w:tcW w:w="428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Restricted stock units</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8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antidilutive shares excluded</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1,243</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2,201</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8,394</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 xml:space="preserve">(1) Contingently issuable shares related to the earn-out agreement as discussed in Note 12, </w:t>
      </w:r>
      <w:r>
        <w:rPr>
          <w:rFonts w:ascii="Times New Roman" w:hAnsi="Times New Roman"/>
          <w:b w:val="false"/>
          <w:i/>
          <w:color w:val="000000"/>
          <w:sz w:val="20"/>
        </w:rPr>
        <w:t>Other Significant Transactions</w:t>
      </w:r>
      <w:r>
        <w:rPr>
          <w:rFonts w:ascii="Times New Roman" w:hAnsi="Times New Roman"/>
          <w:b w:val="false"/>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(2) Had</w:t>
      </w:r>
      <w:r>
        <w:rPr>
          <w:rFonts w:ascii="Times New Roman" w:hAnsi="Times New Roman"/>
          <w:color w:val="000000"/>
          <w:sz w:val="20"/>
        </w:rPr>
        <w:t xml:space="preserve"> </w:t>
      </w:r>
      <w:r>
        <w:rPr>
          <w:rFonts w:ascii="Times New Roman" w:hAnsi="Times New Roman"/>
          <w:b w:val="false"/>
          <w:color w:val="000000"/>
          <w:sz w:val="20"/>
        </w:rPr>
        <w:t>the accelerated share repurchase (“</w:t>
      </w:r>
      <w:r>
        <w:rPr>
          <w:rFonts w:ascii="Times New Roman" w:hAnsi="Times New Roman"/>
          <w:b/>
          <w:i/>
          <w:color w:val="000000"/>
          <w:sz w:val="20"/>
        </w:rPr>
        <w:t>ASR</w:t>
      </w:r>
      <w:r>
        <w:rPr>
          <w:rFonts w:ascii="Times New Roman" w:hAnsi="Times New Roman"/>
          <w:color w:val="000000"/>
          <w:sz w:val="20"/>
        </w:rPr>
        <w:t>”</w:t>
      </w:r>
      <w:r>
        <w:rPr>
          <w:rFonts w:ascii="Times New Roman" w:hAnsi="Times New Roman"/>
          <w:b w:val="false"/>
          <w:color w:val="000000"/>
          <w:sz w:val="20"/>
        </w:rPr>
        <w:t xml:space="preserve">) initiated in the third quarter of 2023 described in Note 10, </w:t>
      </w:r>
      <w:r>
        <w:rPr>
          <w:rFonts w:ascii="Times New Roman" w:hAnsi="Times New Roman"/>
          <w:b w:val="false"/>
          <w:i/>
          <w:color w:val="000000"/>
          <w:sz w:val="20"/>
        </w:rPr>
        <w:t>Stockholders' Equity</w:t>
      </w:r>
      <w:r>
        <w:rPr>
          <w:rFonts w:ascii="Times New Roman" w:hAnsi="Times New Roman"/>
          <w:b w:val="false"/>
          <w:color w:val="000000"/>
          <w:sz w:val="20"/>
        </w:rPr>
        <w:t>, been settled as of September 30, 2023, determined based on the volume-weighted average price per share since its effective date, the counterparties would have been required to deliver these additional estimated shares to the Company. However, the Company cannot predict the final number of shares to be received under the current ASR agreement until its completion, which is expected to occur during the first quarter of 2024. The final shares that were received by the Company for the August 2022 ASR were 943,361.</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 Income Taxes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Company’s interim income tax provision is determined using an estimated annual effective tax rate, adjusted for discrete items arising in that period. The estimated annual effective tax rate requires judgment and is dependent upon several factors. The Company provides for income taxes under the liability method. This approach requires the recognition of deferred tax assets and liabilities for the expected future tax consequences of differences between the tax basis of assets or liabilities and their carrying amounts in the financial statements.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Company provides a valuation allowance for deferred tax assets if it is more likely than not that these items will expire before the Company is able to realize their benefit. The Company calculates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Company’s effective income tax rate was 27.5% and 25.5% for the three months ended September 30, 2023 and 2022, respectively, and 37.1% and 30.2% for the nine months ended September 30, 2023 and 2022, respectively. The primary driver for the effective tax rate variance is the permanent difference related to the mark-to-market adjustments on the Private Placement Warrants.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Stockholders’ Equity</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Warrants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As of December 31, 2022, there were 19,999,967</w:t>
      </w:r>
      <w:r>
        <w:rPr>
          <w:rFonts w:ascii="Times New Roman" w:hAnsi="Times New Roman"/>
          <w:color w:val="000000"/>
          <w:sz w:val="20"/>
        </w:rPr>
        <w:t xml:space="preserve"> </w:t>
      </w:r>
      <w:r>
        <w:rPr>
          <w:rFonts w:ascii="Times New Roman" w:hAnsi="Times New Roman"/>
          <w:b w:val="false"/>
          <w:color w:val="000000"/>
          <w:sz w:val="20"/>
        </w:rPr>
        <w:t>warrants outstanding to acquire shares of the Company’s Class A Common Stock, including (i) 6,666,666</w:t>
      </w:r>
      <w:r>
        <w:rPr>
          <w:rFonts w:ascii="Times New Roman" w:hAnsi="Times New Roman"/>
          <w:color w:val="000000"/>
          <w:sz w:val="20"/>
        </w:rPr>
        <w:t xml:space="preserve"> </w:t>
      </w:r>
      <w:r>
        <w:rPr>
          <w:rFonts w:ascii="Times New Roman" w:hAnsi="Times New Roman"/>
          <w:b w:val="false"/>
          <w:color w:val="000000"/>
          <w:sz w:val="20"/>
        </w:rPr>
        <w:t>warrants originally issued to Gores Sponsor II, LLC in a private placement in connection with the IPO (the “</w:t>
      </w:r>
      <w:r>
        <w:rPr>
          <w:rFonts w:ascii="Times New Roman" w:hAnsi="Times New Roman"/>
          <w:b/>
          <w:i/>
          <w:color w:val="000000"/>
          <w:sz w:val="20"/>
        </w:rPr>
        <w:t>Private Placement Warrants</w:t>
      </w:r>
      <w:r>
        <w:rPr>
          <w:rFonts w:ascii="Times New Roman" w:hAnsi="Times New Roman"/>
          <w:color w:val="000000"/>
          <w:sz w:val="20"/>
        </w:rPr>
        <w:t>”</w:t>
      </w:r>
      <w:r>
        <w:rPr>
          <w:rFonts w:ascii="Times New Roman" w:hAnsi="Times New Roman"/>
          <w:b w:val="false"/>
          <w:color w:val="000000"/>
          <w:sz w:val="20"/>
        </w:rPr>
        <w:t>) and (ii) the remaining warrants issued in connection with the IPO (the “</w:t>
      </w:r>
      <w:r>
        <w:rPr>
          <w:rFonts w:ascii="Times New Roman" w:hAnsi="Times New Roman"/>
          <w:b/>
          <w:i/>
          <w:color w:val="000000"/>
          <w:sz w:val="20"/>
        </w:rPr>
        <w:t>Public Warrants</w:t>
      </w:r>
      <w:r>
        <w:rPr>
          <w:rFonts w:ascii="Times New Roman" w:hAnsi="Times New Roman"/>
          <w:color w:val="000000"/>
          <w:sz w:val="20"/>
        </w:rPr>
        <w:t xml:space="preserve">” </w:t>
      </w:r>
      <w:r>
        <w:rPr>
          <w:rFonts w:ascii="Times New Roman" w:hAnsi="Times New Roman"/>
          <w:b w:val="false"/>
          <w:color w:val="000000"/>
          <w:sz w:val="20"/>
        </w:rPr>
        <w:t>and, together with the Private Placement Warrants, the “</w:t>
      </w:r>
      <w:r>
        <w:rPr>
          <w:rFonts w:ascii="Times New Roman" w:hAnsi="Times New Roman"/>
          <w:b/>
          <w:i/>
          <w:color w:val="000000"/>
          <w:sz w:val="20"/>
        </w:rPr>
        <w:t>Warrants</w:t>
      </w:r>
      <w:r>
        <w:rPr>
          <w:rFonts w:ascii="Times New Roman" w:hAnsi="Times New Roman"/>
          <w:color w:val="000000"/>
          <w:sz w:val="20"/>
        </w:rPr>
        <w:t>”</w:t>
      </w:r>
      <w:r>
        <w:rPr>
          <w:rFonts w:ascii="Times New Roman" w:hAnsi="Times New Roman"/>
          <w:b w:val="false"/>
          <w:color w:val="000000"/>
          <w:sz w:val="20"/>
        </w:rPr>
        <w:t>). The Warrants had a five-year term and expired in October 2023, unless they were redeemed or liquidated prior to expiration. As of September 30, 2023, all Warrants were either exercised by the holder or redeemed by the Company.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During the nine months ended September 30, 2023, the Company processed the exercise of 19,999,333</w:t>
      </w:r>
      <w:r>
        <w:rPr>
          <w:rFonts w:ascii="Times New Roman" w:hAnsi="Times New Roman"/>
          <w:color w:val="000000"/>
          <w:sz w:val="20"/>
        </w:rPr>
        <w:t xml:space="preserve"> </w:t>
      </w:r>
      <w:r>
        <w:rPr>
          <w:rFonts w:ascii="Times New Roman" w:hAnsi="Times New Roman"/>
          <w:b w:val="false"/>
          <w:color w:val="000000"/>
          <w:sz w:val="20"/>
        </w:rPr>
        <w:t>Warrants in exchange for the issuance of 16,273,406</w:t>
      </w:r>
      <w:r>
        <w:rPr>
          <w:rFonts w:ascii="Times New Roman" w:hAnsi="Times New Roman"/>
          <w:color w:val="000000"/>
          <w:sz w:val="20"/>
        </w:rPr>
        <w:t xml:space="preserve"> </w:t>
      </w:r>
      <w:r>
        <w:rPr>
          <w:rFonts w:ascii="Times New Roman" w:hAnsi="Times New Roman"/>
          <w:b w:val="false"/>
          <w:color w:val="000000"/>
          <w:sz w:val="20"/>
        </w:rPr>
        <w:t>shares of Class A Common Stock. There were 14,035,449</w:t>
      </w:r>
      <w:r>
        <w:rPr>
          <w:rFonts w:ascii="Times New Roman" w:hAnsi="Times New Roman"/>
          <w:color w:val="000000"/>
          <w:sz w:val="20"/>
        </w:rPr>
        <w:t xml:space="preserve"> </w:t>
      </w:r>
      <w:r>
        <w:rPr>
          <w:rFonts w:ascii="Times New Roman" w:hAnsi="Times New Roman"/>
          <w:b w:val="false"/>
          <w:color w:val="000000"/>
          <w:sz w:val="20"/>
        </w:rPr>
        <w:t>shares issued in exchange for cash-basis warrant exercises resulting in the receipt of $161.4</w:t>
      </w:r>
      <w:r>
        <w:rPr>
          <w:rFonts w:ascii="Times New Roman" w:hAnsi="Times New Roman"/>
          <w:color w:val="000000"/>
          <w:sz w:val="20"/>
        </w:rPr>
        <w:t xml:space="preserve"> </w:t>
      </w:r>
      <w:r>
        <w:rPr>
          <w:rFonts w:ascii="Times New Roman" w:hAnsi="Times New Roman"/>
          <w:b w:val="false"/>
          <w:color w:val="000000"/>
          <w:sz w:val="20"/>
        </w:rPr>
        <w:t>million in cash proceeds as of September 30, 2023. The remaining Warrant exercises were completed on a cashless basis. In addition, the Company redeemed 634</w:t>
      </w:r>
      <w:r>
        <w:rPr>
          <w:rFonts w:ascii="Times New Roman" w:hAnsi="Times New Roman"/>
          <w:color w:val="000000"/>
          <w:sz w:val="20"/>
        </w:rPr>
        <w:t xml:space="preserve"> </w:t>
      </w:r>
      <w:r>
        <w:rPr>
          <w:rFonts w:ascii="Times New Roman" w:hAnsi="Times New Roman"/>
          <w:b w:val="false"/>
          <w:color w:val="000000"/>
          <w:sz w:val="20"/>
        </w:rPr>
        <w:t>Public Warrants at a price of $0.01</w:t>
      </w:r>
      <w:r>
        <w:rPr>
          <w:rFonts w:ascii="Times New Roman" w:hAnsi="Times New Roman"/>
          <w:color w:val="000000"/>
          <w:sz w:val="20"/>
        </w:rPr>
        <w:t xml:space="preserve"> </w:t>
      </w:r>
      <w:r>
        <w:rPr>
          <w:rFonts w:ascii="Times New Roman" w:hAnsi="Times New Roman"/>
          <w:b w:val="false"/>
          <w:color w:val="000000"/>
          <w:sz w:val="20"/>
        </w:rPr>
        <w:t>per warrant, as the last sale price of the Class A Common Stock was equal to or exceeded $18.00</w:t>
      </w:r>
      <w:r>
        <w:rPr>
          <w:rFonts w:ascii="Times New Roman" w:hAnsi="Times New Roman"/>
          <w:color w:val="000000"/>
          <w:sz w:val="20"/>
        </w:rPr>
        <w:t xml:space="preserve"> </w:t>
      </w:r>
      <w:r>
        <w:rPr>
          <w:rFonts w:ascii="Times New Roman" w:hAnsi="Times New Roman"/>
          <w:b w:val="false"/>
          <w:color w:val="000000"/>
          <w:sz w:val="20"/>
        </w:rPr>
        <w:t>per share for 20</w:t>
      </w:r>
      <w:r>
        <w:rPr>
          <w:rFonts w:ascii="Times New Roman" w:hAnsi="Times New Roman"/>
          <w:color w:val="000000"/>
          <w:sz w:val="20"/>
        </w:rPr>
        <w:t xml:space="preserve"> </w:t>
      </w:r>
      <w:r>
        <w:rPr>
          <w:rFonts w:ascii="Times New Roman" w:hAnsi="Times New Roman"/>
          <w:b w:val="false"/>
          <w:color w:val="000000"/>
          <w:sz w:val="20"/>
        </w:rPr>
        <w:t>trading days within a 30</w:t>
      </w:r>
      <w:r>
        <w:rPr>
          <w:rFonts w:ascii="Times New Roman" w:hAnsi="Times New Roman"/>
          <w:color w:val="000000"/>
          <w:sz w:val="20"/>
        </w:rPr>
        <w:t xml:space="preserve"> </w:t>
      </w:r>
      <w:r>
        <w:rPr>
          <w:rFonts w:ascii="Times New Roman" w:hAnsi="Times New Roman"/>
          <w:b w:val="false"/>
          <w:color w:val="000000"/>
          <w:sz w:val="20"/>
        </w:rPr>
        <w:t>trading-day period before the Company sent the notice of redemption to the Warrant holders.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For details on the Private Placement Warrants liabilities as a result of the Warrant exercises and the changes in fair value of the liabilities recorded in the condensed consolidated statement of operations, refer to Note 7, </w:t>
      </w:r>
      <w:r>
        <w:rPr>
          <w:rFonts w:ascii="Times New Roman" w:hAnsi="Times New Roman"/>
          <w:b w:val="false"/>
          <w:i/>
          <w:color w:val="000000"/>
          <w:sz w:val="20"/>
        </w:rPr>
        <w:t>Fair Value of Financial Instruments.</w:t>
      </w:r>
    </w:p>
    <w:p>
      <w:pPr>
        <w:pStyle w:val="TextBody"/>
        <w:bidi w:val="0"/>
        <w:spacing w:before="240" w:after="240"/>
        <w:jc w:val="left"/>
        <w:rPr>
          <w:rFonts w:ascii="Times New Roman" w:hAnsi="Times New Roman"/>
          <w:b w:val="false"/>
          <w:i/>
          <w:color w:val="000000"/>
          <w:sz w:val="20"/>
        </w:rPr>
      </w:pPr>
      <w:r>
        <w:rPr>
          <w:rFonts w:ascii="Times New Roman" w:hAnsi="Times New Roman"/>
          <w:b w:val="false"/>
          <w:i/>
          <w:color w:val="000000"/>
          <w:sz w:val="20"/>
        </w:rPr>
        <w:t>Share Repurchases and Retirement</w:t>
      </w:r>
    </w:p>
    <w:p>
      <w:pPr>
        <w:pStyle w:val="TextBody"/>
        <w:bidi w:val="0"/>
        <w:spacing w:before="240" w:after="240"/>
        <w:jc w:val="left"/>
        <w:rPr>
          <w:rFonts w:ascii="Times New Roman" w:hAnsi="Times New Roman"/>
          <w:b w:val="false"/>
          <w:i/>
          <w:color w:val="000000"/>
          <w:sz w:val="20"/>
        </w:rPr>
      </w:pPr>
      <w:r>
        <w:rPr>
          <w:rFonts w:ascii="Times New Roman" w:hAnsi="Times New Roman"/>
          <w:b w:val="false"/>
          <w:i/>
          <w:color w:val="000000"/>
          <w:sz w:val="20"/>
        </w:rPr>
        <w:t>Fiscal Year 2023</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November 2022, the Company's Board of Directors authorized a share repurchase program for up to an aggregate amount of $100.0</w:t>
      </w:r>
      <w:r>
        <w:rPr>
          <w:rFonts w:ascii="Times New Roman" w:hAnsi="Times New Roman"/>
          <w:color w:val="000000"/>
          <w:sz w:val="20"/>
        </w:rPr>
        <w:t xml:space="preserve"> </w:t>
      </w:r>
      <w:r>
        <w:rPr>
          <w:rFonts w:ascii="Times New Roman" w:hAnsi="Times New Roman"/>
          <w:b w:val="false"/>
          <w:color w:val="000000"/>
          <w:sz w:val="20"/>
        </w:rPr>
        <w:t>million of the Company's outstanding shares of Class A Common Stock over an 18-month period in open market, ASR or privately negotiated transactions, each as permitted under applicable rules and regulations, any of which may use pre-arranged trading plans that are designed to meet the requirements of Rule 10b5-1 of the Exchange Act.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paid $8.1</w:t>
      </w:r>
      <w:r>
        <w:rPr>
          <w:rFonts w:ascii="Times New Roman" w:hAnsi="Times New Roman"/>
          <w:color w:val="000000"/>
          <w:sz w:val="20"/>
        </w:rPr>
        <w:t xml:space="preserve"> </w:t>
      </w:r>
      <w:r>
        <w:rPr>
          <w:rFonts w:ascii="Times New Roman" w:hAnsi="Times New Roman"/>
          <w:b w:val="false"/>
          <w:color w:val="000000"/>
          <w:sz w:val="20"/>
        </w:rPr>
        <w:t>million to repurchase 449,432</w:t>
      </w:r>
      <w:r>
        <w:rPr>
          <w:rFonts w:ascii="Times New Roman" w:hAnsi="Times New Roman"/>
          <w:color w:val="000000"/>
          <w:sz w:val="20"/>
        </w:rPr>
        <w:t xml:space="preserve"> </w:t>
      </w:r>
      <w:r>
        <w:rPr>
          <w:rFonts w:ascii="Times New Roman" w:hAnsi="Times New Roman"/>
          <w:b w:val="false"/>
          <w:color w:val="000000"/>
          <w:sz w:val="20"/>
        </w:rPr>
        <w:t>shares of its Class A Common Stock through open market transactions during the three months ended September 30, 2023, which it subsequently retired. On September 5, 2023, the Company used the remaining availability under the share repurchase program for an ASR and paid approximately $91.9</w:t>
      </w:r>
      <w:r>
        <w:rPr>
          <w:rFonts w:ascii="Times New Roman" w:hAnsi="Times New Roman"/>
          <w:color w:val="000000"/>
          <w:sz w:val="20"/>
        </w:rPr>
        <w:t xml:space="preserve"> </w:t>
      </w:r>
      <w:r>
        <w:rPr>
          <w:rFonts w:ascii="Times New Roman" w:hAnsi="Times New Roman"/>
          <w:b w:val="false"/>
          <w:color w:val="000000"/>
          <w:sz w:val="20"/>
        </w:rPr>
        <w:t>million to receive an initial delivery of 4,131,551</w:t>
      </w:r>
      <w:r>
        <w:rPr>
          <w:rFonts w:ascii="Times New Roman" w:hAnsi="Times New Roman"/>
          <w:color w:val="000000"/>
          <w:sz w:val="20"/>
        </w:rPr>
        <w:t xml:space="preserve"> </w:t>
      </w:r>
      <w:r>
        <w:rPr>
          <w:rFonts w:ascii="Times New Roman" w:hAnsi="Times New Roman"/>
          <w:b w:val="false"/>
          <w:color w:val="000000"/>
          <w:sz w:val="20"/>
        </w:rPr>
        <w:t>shares of its Class A Common Stock in accordance with an ASR agreement with a third-party financial institution. The final settlement is expected to occur during the first quarter of fiscal year 2024, at which time, a volume-weighted average price calculation over the term of the ASR agreement will be used to determine the final number and the average price of shares repurchased and retired. The Company accounted for the ASR as a common stock repurchase and a forward contract indexed to its own common stock. The Company determined that the equity classification criteria was met for the forward contract, therefore, it did not account for it as a derivative instrument.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paid a total of $100.0</w:t>
      </w:r>
      <w:r>
        <w:rPr>
          <w:rFonts w:ascii="Times New Roman" w:hAnsi="Times New Roman"/>
          <w:color w:val="000000"/>
          <w:sz w:val="20"/>
        </w:rPr>
        <w:t xml:space="preserve"> </w:t>
      </w:r>
      <w:r>
        <w:rPr>
          <w:rFonts w:ascii="Times New Roman" w:hAnsi="Times New Roman"/>
          <w:b w:val="false"/>
          <w:color w:val="000000"/>
          <w:sz w:val="20"/>
        </w:rPr>
        <w:t>million for share repurchases during the three and nine months ended September 30, 2023, and accounted for the transactions by deducting the par value from common stock, reducing $15.2</w:t>
      </w:r>
      <w:r>
        <w:rPr>
          <w:rFonts w:ascii="Times New Roman" w:hAnsi="Times New Roman"/>
          <w:color w:val="000000"/>
          <w:sz w:val="20"/>
        </w:rPr>
        <w:t xml:space="preserve"> </w:t>
      </w:r>
      <w:r>
        <w:rPr>
          <w:rFonts w:ascii="Times New Roman" w:hAnsi="Times New Roman"/>
          <w:b w:val="false"/>
          <w:color w:val="000000"/>
          <w:sz w:val="20"/>
        </w:rPr>
        <w:t>million from additional paid-in capital calculated using an average share price, and by increasing accumulated deficit for the remaining cost of $84.8</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240" w:after="240"/>
        <w:jc w:val="left"/>
        <w:rPr>
          <w:rFonts w:ascii="Times New Roman" w:hAnsi="Times New Roman"/>
          <w:b w:val="false"/>
          <w:i/>
          <w:color w:val="000000"/>
          <w:sz w:val="20"/>
        </w:rPr>
      </w:pPr>
      <w:r>
        <w:rPr>
          <w:rFonts w:ascii="Times New Roman" w:hAnsi="Times New Roman"/>
          <w:b w:val="false"/>
          <w:i/>
          <w:color w:val="000000"/>
          <w:sz w:val="20"/>
        </w:rPr>
        <w:t>Fiscal Year 2022</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May 2022, the Company’s Board of Directors authorized a share repurchase program for up to an aggregate amount of $125.0</w:t>
      </w:r>
      <w:r>
        <w:rPr>
          <w:rFonts w:ascii="Times New Roman" w:hAnsi="Times New Roman"/>
          <w:color w:val="000000"/>
          <w:sz w:val="20"/>
        </w:rPr>
        <w:t xml:space="preserve"> </w:t>
      </w:r>
      <w:r>
        <w:rPr>
          <w:rFonts w:ascii="Times New Roman" w:hAnsi="Times New Roman"/>
          <w:b w:val="false"/>
          <w:color w:val="000000"/>
          <w:sz w:val="20"/>
        </w:rPr>
        <w:t>million of its outstanding shares of Class A Common Stock over a twelve-month period.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On May 12, 2022, the Company paid $50.0</w:t>
      </w:r>
      <w:r>
        <w:rPr>
          <w:rFonts w:ascii="Times New Roman" w:hAnsi="Times New Roman"/>
          <w:color w:val="000000"/>
          <w:sz w:val="20"/>
        </w:rPr>
        <w:t xml:space="preserve"> </w:t>
      </w:r>
      <w:r>
        <w:rPr>
          <w:rFonts w:ascii="Times New Roman" w:hAnsi="Times New Roman"/>
          <w:b w:val="false"/>
          <w:color w:val="000000"/>
          <w:sz w:val="20"/>
        </w:rPr>
        <w:t>million for an ASR and received an initial delivery of 2,739,726</w:t>
      </w:r>
      <w:r>
        <w:rPr>
          <w:rFonts w:ascii="Times New Roman" w:hAnsi="Times New Roman"/>
          <w:color w:val="000000"/>
          <w:sz w:val="20"/>
        </w:rPr>
        <w:t xml:space="preserve"> </w:t>
      </w:r>
      <w:r>
        <w:rPr>
          <w:rFonts w:ascii="Times New Roman" w:hAnsi="Times New Roman"/>
          <w:b w:val="false"/>
          <w:color w:val="000000"/>
          <w:sz w:val="20"/>
        </w:rPr>
        <w:t>shares of its Class A Common Stock in accordance with an ASR agreement with a third-party financial institution. The final settlement occurred during the third quarter of fiscal year 2022, at which time, the Company received 445,086</w:t>
      </w:r>
      <w:r>
        <w:rPr>
          <w:rFonts w:ascii="Times New Roman" w:hAnsi="Times New Roman"/>
          <w:color w:val="000000"/>
          <w:sz w:val="20"/>
        </w:rPr>
        <w:t xml:space="preserve"> </w:t>
      </w:r>
      <w:r>
        <w:rPr>
          <w:rFonts w:ascii="Times New Roman" w:hAnsi="Times New Roman"/>
          <w:b w:val="false"/>
          <w:color w:val="000000"/>
          <w:sz w:val="20"/>
        </w:rPr>
        <w:t>additional shares calculated using a volume-weighted average price over the term of the ASR agreement. In addition, during the second and third quarters of 2022, the Company paid $6.9</w:t>
      </w:r>
      <w:r>
        <w:rPr>
          <w:rFonts w:ascii="Times New Roman" w:hAnsi="Times New Roman"/>
          <w:color w:val="000000"/>
          <w:sz w:val="20"/>
        </w:rPr>
        <w:t xml:space="preserve"> </w:t>
      </w:r>
      <w:r>
        <w:rPr>
          <w:rFonts w:ascii="Times New Roman" w:hAnsi="Times New Roman"/>
          <w:b w:val="false"/>
          <w:color w:val="000000"/>
          <w:sz w:val="20"/>
        </w:rPr>
        <w:t>million and repurchased 445,791</w:t>
      </w:r>
      <w:r>
        <w:rPr>
          <w:rFonts w:ascii="Times New Roman" w:hAnsi="Times New Roman"/>
          <w:color w:val="000000"/>
          <w:sz w:val="20"/>
        </w:rPr>
        <w:t xml:space="preserve"> </w:t>
      </w:r>
      <w:r>
        <w:rPr>
          <w:rFonts w:ascii="Times New Roman" w:hAnsi="Times New Roman"/>
          <w:b w:val="false"/>
          <w:color w:val="000000"/>
          <w:sz w:val="20"/>
        </w:rPr>
        <w:t>shares of its Class A Common Stock through open market transactions. The Company then initiated a second ASR during the third quarter of 2022 for the remaining availability under the share repurchase program. On August 19, 2022, the Company paid $68.1</w:t>
      </w:r>
      <w:r>
        <w:rPr>
          <w:rFonts w:ascii="Times New Roman" w:hAnsi="Times New Roman"/>
          <w:color w:val="000000"/>
          <w:sz w:val="20"/>
        </w:rPr>
        <w:t xml:space="preserve"> </w:t>
      </w:r>
      <w:r>
        <w:rPr>
          <w:rFonts w:ascii="Times New Roman" w:hAnsi="Times New Roman"/>
          <w:b w:val="false"/>
          <w:color w:val="000000"/>
          <w:sz w:val="20"/>
        </w:rPr>
        <w:t>million for the second ASR, and received an initial delivery of 3,300,000</w:t>
      </w:r>
      <w:r>
        <w:rPr>
          <w:rFonts w:ascii="Times New Roman" w:hAnsi="Times New Roman"/>
          <w:color w:val="000000"/>
          <w:sz w:val="20"/>
        </w:rPr>
        <w:t xml:space="preserve"> </w:t>
      </w:r>
      <w:r>
        <w:rPr>
          <w:rFonts w:ascii="Times New Roman" w:hAnsi="Times New Roman"/>
          <w:b w:val="false"/>
          <w:color w:val="000000"/>
          <w:sz w:val="20"/>
        </w:rPr>
        <w:t>shares of its Class A Common Stock in accordance with an ASR agreement with a third-party financial institution. The final settlement occurred during the fourth quarter of fiscal year 2022. The Company accounted for each ASR transaction as a common stock repurchase and a forward contract indexed to its own common stock. The Company determined that the equity classification criteria was met for the forward contracts, therefore, it did not account for them as derivative instruments.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paid a total of $125.0</w:t>
      </w:r>
      <w:r>
        <w:rPr>
          <w:rFonts w:ascii="Times New Roman" w:hAnsi="Times New Roman"/>
          <w:color w:val="000000"/>
          <w:sz w:val="20"/>
        </w:rPr>
        <w:t xml:space="preserve"> </w:t>
      </w:r>
      <w:r>
        <w:rPr>
          <w:rFonts w:ascii="Times New Roman" w:hAnsi="Times New Roman"/>
          <w:b w:val="false"/>
          <w:color w:val="000000"/>
          <w:sz w:val="20"/>
        </w:rPr>
        <w:t>million for shares repurchases and $0.1</w:t>
      </w:r>
      <w:r>
        <w:rPr>
          <w:rFonts w:ascii="Times New Roman" w:hAnsi="Times New Roman"/>
          <w:color w:val="000000"/>
          <w:sz w:val="20"/>
        </w:rPr>
        <w:t xml:space="preserve"> </w:t>
      </w:r>
      <w:r>
        <w:rPr>
          <w:rFonts w:ascii="Times New Roman" w:hAnsi="Times New Roman"/>
          <w:b w:val="false"/>
          <w:color w:val="000000"/>
          <w:sz w:val="20"/>
        </w:rPr>
        <w:t>million for direct costs during the nine months ended September 30, 2022 and accounted for the transactions by deducting the par value from common stock, reducing $14.0</w:t>
      </w:r>
      <w:r>
        <w:rPr>
          <w:rFonts w:ascii="Times New Roman" w:hAnsi="Times New Roman"/>
          <w:color w:val="000000"/>
          <w:sz w:val="20"/>
        </w:rPr>
        <w:t xml:space="preserve"> </w:t>
      </w:r>
      <w:r>
        <w:rPr>
          <w:rFonts w:ascii="Times New Roman" w:hAnsi="Times New Roman"/>
          <w:b w:val="false"/>
          <w:color w:val="000000"/>
          <w:sz w:val="20"/>
        </w:rPr>
        <w:t>million from additional paid-in capital calculated using an average share price, and by increasing accumulated deficit for the remaining cost of $111.1</w:t>
      </w:r>
      <w:r>
        <w:rPr>
          <w:rFonts w:ascii="Times New Roman" w:hAnsi="Times New Roman"/>
          <w:color w:val="000000"/>
          <w:sz w:val="20"/>
        </w:rPr>
        <w:t xml:space="preserve"> </w:t>
      </w:r>
      <w:r>
        <w:rPr>
          <w:rFonts w:ascii="Times New Roman" w:hAnsi="Times New Roman"/>
          <w:b w:val="false"/>
          <w:color w:val="000000"/>
          <w:sz w:val="20"/>
        </w:rPr>
        <w:t>million. The repurchases under the May 2022 share repurchase program were completed prior to the authorization of the November 2022 share repurchase program discussed above.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 Stock-Based Compensation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following details the components of stock-based compensation for the respective periods:</w:t>
      </w:r>
    </w:p>
    <w:p>
      <w:pPr>
        <w:pStyle w:val="TextBody"/>
        <w:bidi w:val="0"/>
        <w:jc w:val="both"/>
        <w:rPr/>
      </w:pPr>
      <w:r>
        <w:rPr/>
        <w:t> </w:t>
      </w:r>
    </w:p>
    <w:tbl>
      <w:tblPr>
        <w:tblW w:w="9743" w:type="dxa"/>
        <w:jc w:val="left"/>
        <w:tblInd w:w="0" w:type="dxa"/>
        <w:tblLayout w:type="fixed"/>
        <w:tblCellMar>
          <w:top w:w="28" w:type="dxa"/>
          <w:left w:w="28" w:type="dxa"/>
          <w:bottom w:w="28" w:type="dxa"/>
          <w:right w:w="28" w:type="dxa"/>
        </w:tblCellMar>
      </w:tblPr>
      <w:tblGrid>
        <w:gridCol w:w="3736"/>
        <w:gridCol w:w="146"/>
        <w:gridCol w:w="305"/>
        <w:gridCol w:w="826"/>
        <w:gridCol w:w="211"/>
        <w:gridCol w:w="211"/>
        <w:gridCol w:w="305"/>
        <w:gridCol w:w="826"/>
        <w:gridCol w:w="146"/>
        <w:gridCol w:w="146"/>
        <w:gridCol w:w="265"/>
        <w:gridCol w:w="849"/>
        <w:gridCol w:w="183"/>
        <w:gridCol w:w="183"/>
        <w:gridCol w:w="265"/>
        <w:gridCol w:w="849"/>
        <w:gridCol w:w="2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628</w:t>
            </w:r>
          </w:p>
        </w:tc>
        <w:tc>
          <w:tcPr>
            <w:tcW w:w="21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1,507</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829</w:t>
            </w:r>
          </w:p>
        </w:tc>
        <w:tc>
          <w:tcPr>
            <w:tcW w:w="29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Selling,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10,839</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12,827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3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4,443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12,346</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13,656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b/>
          <w:color w:val="000000"/>
          <w:sz w:val="20"/>
        </w:rPr>
        <w:t>12.</w:t>
      </w:r>
      <w:r>
        <w:rPr>
          <w:rFonts w:ascii="Times New Roman" w:hAnsi="Times New Roman"/>
          <w:color w:val="000000"/>
          <w:sz w:val="20"/>
        </w:rPr>
        <w:t xml:space="preserve"> </w:t>
      </w:r>
      <w:r>
        <w:rPr>
          <w:rFonts w:ascii="Times New Roman" w:hAnsi="Times New Roman"/>
          <w:b/>
          <w:color w:val="000000"/>
          <w:sz w:val="20"/>
        </w:rPr>
        <w:t>Other Significant Transactions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At the closing of the Business Combination, the Company entered into a Tax Receivable Agreement (“</w:t>
      </w:r>
      <w:r>
        <w:rPr>
          <w:rFonts w:ascii="Times New Roman" w:hAnsi="Times New Roman"/>
          <w:b/>
          <w:i/>
          <w:color w:val="000000"/>
          <w:sz w:val="20"/>
        </w:rPr>
        <w:t>TRA</w:t>
      </w:r>
      <w:r>
        <w:rPr>
          <w:rFonts w:ascii="Times New Roman" w:hAnsi="Times New Roman"/>
          <w:color w:val="000000"/>
          <w:sz w:val="20"/>
        </w:rPr>
        <w:t>”</w:t>
      </w:r>
      <w:r>
        <w:rPr>
          <w:rFonts w:ascii="Times New Roman" w:hAnsi="Times New Roman"/>
          <w:b w:val="false"/>
          <w:color w:val="000000"/>
          <w:sz w:val="20"/>
        </w:rPr>
        <w:t>) with the Platinum Stockholder. On August 3, 2022, the Platinum Stockholder sold and transferred to Lakeside Smart Holdco L.P (“</w:t>
      </w:r>
      <w:r>
        <w:rPr>
          <w:rFonts w:ascii="Times New Roman" w:hAnsi="Times New Roman"/>
          <w:b/>
          <w:i/>
          <w:color w:val="000000"/>
          <w:sz w:val="20"/>
        </w:rPr>
        <w:t>Lakeside</w:t>
      </w:r>
      <w:r>
        <w:rPr>
          <w:rFonts w:ascii="Times New Roman" w:hAnsi="Times New Roman"/>
          <w:color w:val="000000"/>
          <w:sz w:val="20"/>
        </w:rPr>
        <w:t>”</w:t>
      </w:r>
      <w:r>
        <w:rPr>
          <w:rFonts w:ascii="Times New Roman" w:hAnsi="Times New Roman"/>
          <w:b w:val="false"/>
          <w:color w:val="000000"/>
          <w:sz w:val="20"/>
        </w:rPr>
        <w:t>), all of its rights, remaining interests and obligations as of that date under the TRA.</w:t>
      </w:r>
      <w:r>
        <w:rPr>
          <w:rFonts w:ascii="Times New Roman" w:hAnsi="Times New Roman"/>
          <w:color w:val="000000"/>
          <w:sz w:val="20"/>
        </w:rPr>
        <w:t xml:space="preserve"> </w:t>
      </w:r>
      <w:r>
        <w:rPr>
          <w:rFonts w:ascii="Times New Roman" w:hAnsi="Times New Roman"/>
          <w:b w:val="false"/>
          <w:color w:val="000000"/>
          <w:sz w:val="20"/>
        </w:rPr>
        <w:t>The TRA provides for the payment to Lakeside of 50.0% of the net cash savings, if any, in U.S. federal, state and local income tax that the Company actually realizes (or is deemed to realize in certain circumstances) in periods after the closing of the Business Combination as a result of the increased tax basis of certain acquired intangibles prior to the Business Combination. The Company generally retains the benefit of the remaining 50.0% of these cash savings. The Company estimated the potential maximum benefit to be paid will be approximately $70.0</w:t>
      </w:r>
      <w:r>
        <w:rPr>
          <w:rFonts w:ascii="Times New Roman" w:hAnsi="Times New Roman"/>
          <w:color w:val="000000"/>
          <w:sz w:val="20"/>
        </w:rPr>
        <w:t xml:space="preserve"> </w:t>
      </w:r>
      <w:r>
        <w:rPr>
          <w:rFonts w:ascii="Times New Roman" w:hAnsi="Times New Roman"/>
          <w:b w:val="false"/>
          <w:color w:val="000000"/>
          <w:sz w:val="20"/>
        </w:rPr>
        <w:t>million, and recorded an initial liability and corresponding charge to equity at the closing of the Business Combination.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At September 30, 2023, the TRA liability was approximately $55.9</w:t>
      </w:r>
      <w:r>
        <w:rPr>
          <w:rFonts w:ascii="Times New Roman" w:hAnsi="Times New Roman"/>
          <w:color w:val="000000"/>
          <w:sz w:val="20"/>
        </w:rPr>
        <w:t xml:space="preserve"> </w:t>
      </w:r>
      <w:r>
        <w:rPr>
          <w:rFonts w:ascii="Times New Roman" w:hAnsi="Times New Roman"/>
          <w:b w:val="false"/>
          <w:color w:val="000000"/>
          <w:sz w:val="20"/>
        </w:rPr>
        <w:t>million of which $5.0</w:t>
      </w:r>
      <w:r>
        <w:rPr>
          <w:rFonts w:ascii="Times New Roman" w:hAnsi="Times New Roman"/>
          <w:color w:val="000000"/>
          <w:sz w:val="20"/>
        </w:rPr>
        <w:t xml:space="preserve"> </w:t>
      </w:r>
      <w:r>
        <w:rPr>
          <w:rFonts w:ascii="Times New Roman" w:hAnsi="Times New Roman"/>
          <w:b w:val="false"/>
          <w:color w:val="000000"/>
          <w:sz w:val="20"/>
        </w:rPr>
        <w:t>million was the current portion and $50.9</w:t>
      </w:r>
      <w:r>
        <w:rPr>
          <w:rFonts w:ascii="Times New Roman" w:hAnsi="Times New Roman"/>
          <w:color w:val="000000"/>
          <w:sz w:val="20"/>
        </w:rPr>
        <w:t xml:space="preserve"> </w:t>
      </w:r>
      <w:r>
        <w:rPr>
          <w:rFonts w:ascii="Times New Roman" w:hAnsi="Times New Roman"/>
          <w:b w:val="false"/>
          <w:color w:val="000000"/>
          <w:sz w:val="20"/>
        </w:rPr>
        <w:t>million was the non-current portion, both of which are included in the respective tax receivable agreement liability line items on the condensed consolidated balance sheets.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There were no changes to the TRA liability for the nine months ended September 30, 2023. The Company recorded a $1.0</w:t>
      </w:r>
      <w:r>
        <w:rPr>
          <w:rFonts w:ascii="Times New Roman" w:hAnsi="Times New Roman"/>
          <w:color w:val="000000"/>
          <w:sz w:val="20"/>
        </w:rPr>
        <w:t xml:space="preserve"> </w:t>
      </w:r>
      <w:r>
        <w:rPr>
          <w:rFonts w:ascii="Times New Roman" w:hAnsi="Times New Roman"/>
          <w:b w:val="false"/>
          <w:color w:val="000000"/>
          <w:sz w:val="20"/>
        </w:rPr>
        <w:t>million benefit for the nine months ended September 30, 2022 which resulted from lower estimated state tax rates due to changes in apportionment.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Earn-Out Agreement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Under the Merger Agreement, the Platinum Stockholder was entitled to receive additional shares of Class A Common Stock (the “</w:t>
      </w:r>
      <w:r>
        <w:rPr>
          <w:rFonts w:ascii="Times New Roman" w:hAnsi="Times New Roman"/>
          <w:b/>
          <w:i/>
          <w:color w:val="000000"/>
          <w:sz w:val="20"/>
        </w:rPr>
        <w:t>Earn-Out Shares</w:t>
      </w:r>
      <w:r>
        <w:rPr>
          <w:rFonts w:ascii="Times New Roman" w:hAnsi="Times New Roman"/>
          <w:color w:val="000000"/>
          <w:sz w:val="20"/>
        </w:rPr>
        <w:t>”</w:t>
      </w:r>
      <w:r>
        <w:rPr>
          <w:rFonts w:ascii="Times New Roman" w:hAnsi="Times New Roman"/>
          <w:b w:val="false"/>
          <w:color w:val="000000"/>
          <w:sz w:val="20"/>
        </w:rPr>
        <w:t>) if the volume weighted average closing sale price of one share of Class A Common Stock on the Nasdaq exceeded certain thresholds for a period of at least 10 days</w:t>
      </w:r>
      <w:r>
        <w:rPr>
          <w:rFonts w:ascii="Times New Roman" w:hAnsi="Times New Roman"/>
          <w:color w:val="000000"/>
          <w:sz w:val="20"/>
        </w:rPr>
        <w:t xml:space="preserve"> </w:t>
      </w:r>
      <w:r>
        <w:rPr>
          <w:rFonts w:ascii="Times New Roman" w:hAnsi="Times New Roman"/>
          <w:b w:val="false"/>
          <w:color w:val="000000"/>
          <w:sz w:val="20"/>
        </w:rPr>
        <w:t>out of 20</w:t>
      </w:r>
      <w:r>
        <w:rPr>
          <w:rFonts w:ascii="Times New Roman" w:hAnsi="Times New Roman"/>
          <w:color w:val="000000"/>
          <w:sz w:val="20"/>
        </w:rPr>
        <w:t xml:space="preserve"> </w:t>
      </w:r>
      <w:r>
        <w:rPr>
          <w:rFonts w:ascii="Times New Roman" w:hAnsi="Times New Roman"/>
          <w:b w:val="false"/>
          <w:color w:val="000000"/>
          <w:sz w:val="20"/>
        </w:rPr>
        <w:t>consecutive trading days at any time during the five-year</w:t>
      </w:r>
      <w:r>
        <w:rPr>
          <w:rFonts w:ascii="Times New Roman" w:hAnsi="Times New Roman"/>
          <w:color w:val="000000"/>
          <w:sz w:val="20"/>
        </w:rPr>
        <w:t xml:space="preserve"> </w:t>
      </w:r>
      <w:r>
        <w:rPr>
          <w:rFonts w:ascii="Times New Roman" w:hAnsi="Times New Roman"/>
          <w:b w:val="false"/>
          <w:color w:val="000000"/>
          <w:sz w:val="20"/>
        </w:rPr>
        <w:t>period following the closing of the Business Combination (the “</w:t>
      </w:r>
      <w:r>
        <w:rPr>
          <w:rFonts w:ascii="Times New Roman" w:hAnsi="Times New Roman"/>
          <w:b/>
          <w:i/>
          <w:color w:val="000000"/>
          <w:sz w:val="20"/>
        </w:rPr>
        <w:t>Common Stock Price</w:t>
      </w:r>
      <w:r>
        <w:rPr>
          <w:rFonts w:ascii="Times New Roman" w:hAnsi="Times New Roman"/>
          <w:color w:val="000000"/>
          <w:sz w:val="20"/>
        </w:rPr>
        <w:t>”</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Earn-Out Shares were issued by the Company to the Platinum Stockholder upon meeting the below Common Stock Price Thresholds (each, a “</w:t>
      </w:r>
      <w:r>
        <w:rPr>
          <w:rFonts w:ascii="Times New Roman" w:hAnsi="Times New Roman"/>
          <w:b/>
          <w:i/>
          <w:color w:val="000000"/>
          <w:sz w:val="20"/>
        </w:rPr>
        <w:t>Triggering Event</w:t>
      </w:r>
      <w:r>
        <w:rPr>
          <w:rFonts w:ascii="Times New Roman" w:hAnsi="Times New Roman"/>
          <w:color w:val="000000"/>
          <w:sz w:val="20"/>
        </w:rPr>
        <w:t>”</w:t>
      </w:r>
      <w:r>
        <w:rPr>
          <w:rFonts w:ascii="Times New Roman" w:hAnsi="Times New Roman"/>
          <w:b w:val="false"/>
          <w:color w:val="000000"/>
          <w:sz w:val="20"/>
        </w:rPr>
        <w:t>):</w:t>
      </w:r>
    </w:p>
    <w:p>
      <w:pPr>
        <w:pStyle w:val="TextBody"/>
        <w:bidi w:val="0"/>
        <w:jc w:val="both"/>
        <w:rPr/>
      </w:pPr>
      <w:r>
        <w:rPr/>
        <w:t> </w:t>
      </w:r>
    </w:p>
    <w:tbl>
      <w:tblPr>
        <w:tblW w:w="4813" w:type="dxa"/>
        <w:jc w:val="left"/>
        <w:tblInd w:w="0" w:type="dxa"/>
        <w:tblLayout w:type="fixed"/>
        <w:tblCellMar>
          <w:top w:w="28" w:type="dxa"/>
          <w:left w:w="28" w:type="dxa"/>
          <w:bottom w:w="28" w:type="dxa"/>
          <w:right w:w="28" w:type="dxa"/>
        </w:tblCellMar>
      </w:tblPr>
      <w:tblGrid>
        <w:gridCol w:w="2476"/>
        <w:gridCol w:w="146"/>
        <w:gridCol w:w="2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Price Thresholds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One-time Issuance of Shares</w:t>
            </w:r>
          </w:p>
        </w:tc>
      </w:tr>
      <w:tr>
        <w:trPr/>
        <w:tc>
          <w:tcPr>
            <w:tcW w:w="2476"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&gt; $13.00</w:t>
            </w:r>
            <w:r>
              <w:rPr>
                <w:rFonts w:ascii="Times New Roman" w:hAnsi="Times New Roman"/>
                <w:color w:val="000000"/>
                <w:sz w:val="20"/>
              </w:rPr>
              <w:t xml:space="preserve"> </w:t>
            </w:r>
            <w:r>
              <w:rPr>
                <w:rFonts w:ascii="Times New Roman" w:hAnsi="Times New Roman"/>
                <w:b w:val="false"/>
                <w:color w:val="000000"/>
                <w:sz w:val="13"/>
              </w:rPr>
              <w:t>(a)</w:t>
            </w:r>
          </w:p>
        </w:tc>
        <w:tc>
          <w:tcPr>
            <w:tcW w:w="146" w:type="dxa"/>
            <w:tcBorders/>
            <w:shd w:fill="CFF0FC" w:val="clear"/>
            <w:vAlign w:val="center"/>
          </w:tcPr>
          <w:p>
            <w:pPr>
              <w:pStyle w:val="TableContents"/>
              <w:bidi w:val="0"/>
              <w:spacing w:before="0" w:after="283"/>
              <w:jc w:val="left"/>
              <w:rPr/>
            </w:pPr>
            <w:r>
              <w:rPr/>
              <w:t> </w:t>
            </w:r>
          </w:p>
        </w:tc>
        <w:tc>
          <w:tcPr>
            <w:tcW w:w="219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2,500,000</w:t>
            </w:r>
          </w:p>
        </w:tc>
      </w:tr>
      <w:tr>
        <w:trPr/>
        <w:tc>
          <w:tcPr>
            <w:tcW w:w="247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&gt; $15.50</w:t>
            </w:r>
            <w:r>
              <w:rPr>
                <w:rFonts w:ascii="Times New Roman" w:hAnsi="Times New Roman"/>
                <w:color w:val="000000"/>
                <w:sz w:val="20"/>
              </w:rPr>
              <w:t xml:space="preserve"> </w:t>
            </w:r>
            <w:r>
              <w:rPr>
                <w:rFonts w:ascii="Times New Roman" w:hAnsi="Times New Roman"/>
                <w:b w:val="false"/>
                <w:color w:val="000000"/>
                <w:sz w:val="13"/>
              </w:rPr>
              <w:t>(a)</w:t>
            </w:r>
          </w:p>
        </w:tc>
        <w:tc>
          <w:tcPr>
            <w:tcW w:w="146" w:type="dxa"/>
            <w:tcBorders/>
            <w:shd w:fill="FFFFFF" w:val="clear"/>
            <w:vAlign w:val="center"/>
          </w:tcPr>
          <w:p>
            <w:pPr>
              <w:pStyle w:val="TableContents"/>
              <w:bidi w:val="0"/>
              <w:spacing w:before="0" w:after="283"/>
              <w:jc w:val="left"/>
              <w:rPr/>
            </w:pPr>
            <w:r>
              <w:rPr/>
              <w:t> </w:t>
            </w:r>
          </w:p>
        </w:tc>
        <w:tc>
          <w:tcPr>
            <w:tcW w:w="219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2,500,000</w:t>
            </w:r>
          </w:p>
        </w:tc>
      </w:tr>
      <w:tr>
        <w:trPr/>
        <w:tc>
          <w:tcPr>
            <w:tcW w:w="2476"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&gt; $18.00</w:t>
            </w:r>
            <w:r>
              <w:rPr>
                <w:rFonts w:ascii="Times New Roman" w:hAnsi="Times New Roman"/>
                <w:color w:val="000000"/>
                <w:sz w:val="20"/>
              </w:rPr>
              <w:t xml:space="preserve"> </w:t>
            </w:r>
            <w:r>
              <w:rPr>
                <w:rFonts w:ascii="Times New Roman" w:hAnsi="Times New Roman"/>
                <w:b w:val="false"/>
                <w:color w:val="000000"/>
                <w:sz w:val="13"/>
              </w:rPr>
              <w:t>(a)</w:t>
            </w:r>
          </w:p>
        </w:tc>
        <w:tc>
          <w:tcPr>
            <w:tcW w:w="146" w:type="dxa"/>
            <w:tcBorders/>
            <w:shd w:fill="CFF0FC" w:val="clear"/>
            <w:vAlign w:val="center"/>
          </w:tcPr>
          <w:p>
            <w:pPr>
              <w:pStyle w:val="TableContents"/>
              <w:bidi w:val="0"/>
              <w:spacing w:before="0" w:after="283"/>
              <w:jc w:val="left"/>
              <w:rPr/>
            </w:pPr>
            <w:r>
              <w:rPr/>
              <w:t> </w:t>
            </w:r>
          </w:p>
        </w:tc>
        <w:tc>
          <w:tcPr>
            <w:tcW w:w="219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2,500,000</w:t>
            </w:r>
          </w:p>
        </w:tc>
      </w:tr>
      <w:tr>
        <w:trPr/>
        <w:tc>
          <w:tcPr>
            <w:tcW w:w="247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&gt; $20.50</w:t>
            </w:r>
            <w:r>
              <w:rPr>
                <w:rFonts w:ascii="Times New Roman" w:hAnsi="Times New Roman"/>
                <w:color w:val="000000"/>
                <w:sz w:val="20"/>
              </w:rPr>
              <w:t xml:space="preserve"> </w:t>
            </w:r>
            <w:r>
              <w:rPr>
                <w:rFonts w:ascii="Times New Roman" w:hAnsi="Times New Roman"/>
                <w:b w:val="false"/>
                <w:color w:val="000000"/>
                <w:sz w:val="13"/>
              </w:rPr>
              <w:t>(a)</w:t>
            </w:r>
          </w:p>
        </w:tc>
        <w:tc>
          <w:tcPr>
            <w:tcW w:w="146" w:type="dxa"/>
            <w:tcBorders/>
            <w:shd w:fill="FFFFFF" w:val="clear"/>
            <w:vAlign w:val="center"/>
          </w:tcPr>
          <w:p>
            <w:pPr>
              <w:pStyle w:val="TableContents"/>
              <w:bidi w:val="0"/>
              <w:spacing w:before="0" w:after="283"/>
              <w:jc w:val="left"/>
              <w:rPr/>
            </w:pPr>
            <w:r>
              <w:rPr/>
              <w:t> </w:t>
            </w:r>
          </w:p>
        </w:tc>
        <w:tc>
          <w:tcPr>
            <w:tcW w:w="219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2,500,000</w:t>
            </w:r>
          </w:p>
        </w:tc>
      </w:tr>
    </w:tbl>
    <w:p>
      <w:pPr>
        <w:pStyle w:val="TextBody"/>
        <w:bidi w:val="0"/>
        <w:jc w:val="both"/>
        <w:rPr/>
      </w:pPr>
      <w:r>
        <w:rPr/>
        <w:t> </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All four tranches of Earn-Out Shares have been issued, as discussed below.</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Company estimated the original fair value of the contingently issuable shares to be $73.15</w:t>
      </w:r>
      <w:r>
        <w:rPr>
          <w:rFonts w:ascii="Times New Roman" w:hAnsi="Times New Roman"/>
          <w:color w:val="000000"/>
          <w:sz w:val="20"/>
        </w:rPr>
        <w:t xml:space="preserve"> </w:t>
      </w:r>
      <w:r>
        <w:rPr>
          <w:rFonts w:ascii="Times New Roman" w:hAnsi="Times New Roman"/>
          <w:b w:val="false"/>
          <w:color w:val="000000"/>
          <w:sz w:val="20"/>
        </w:rPr>
        <w:t>million, which was not subject to future revisions during the five-year period discussed above. The Company used a Monte Carlo simulation option-pricing model to arrive at its original estimate. Each tranche was valued separately giving specific consideration to the tranche’s price target. The simulation considered volatility and risk-free rates utilizing a peer group based on a five-year term. This was initially recorded as a distribution to shareholders and was presented as common stock contingent consideration. Upon the occurrence of each Triggering Event, any issuable shares were transferred from common stock contingent consideration to common stock and additional paid-in capital accounts.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On April 26, 2019, January 27, 2020, June 14, 2023, and July 26, 2023, the Triggering Events for the issuance of the first, second, third and fourth tranches of Earn-Out Shares occurred, as the volume weighted average closing sale price per share of the Company’s Class A Common Stock as of each date had been greater than $13.00, $15.50, $18.00, and $20.50, respectively, for 10</w:t>
      </w:r>
      <w:r>
        <w:rPr>
          <w:rFonts w:ascii="Times New Roman" w:hAnsi="Times New Roman"/>
          <w:color w:val="000000"/>
          <w:sz w:val="20"/>
        </w:rPr>
        <w:t xml:space="preserve"> </w:t>
      </w:r>
      <w:r>
        <w:rPr>
          <w:rFonts w:ascii="Times New Roman" w:hAnsi="Times New Roman"/>
          <w:b w:val="false"/>
          <w:color w:val="000000"/>
          <w:sz w:val="20"/>
        </w:rPr>
        <w:t>out of 20</w:t>
      </w:r>
      <w:r>
        <w:rPr>
          <w:rFonts w:ascii="Times New Roman" w:hAnsi="Times New Roman"/>
          <w:color w:val="000000"/>
          <w:sz w:val="20"/>
        </w:rPr>
        <w:t xml:space="preserve"> </w:t>
      </w:r>
      <w:r>
        <w:rPr>
          <w:rFonts w:ascii="Times New Roman" w:hAnsi="Times New Roman"/>
          <w:b w:val="false"/>
          <w:color w:val="000000"/>
          <w:sz w:val="20"/>
        </w:rPr>
        <w:t>consecutive trading days. These Triggering Events resulted in the issuance of an aggregate 10,000,000</w:t>
      </w:r>
      <w:r>
        <w:rPr>
          <w:rFonts w:ascii="Times New Roman" w:hAnsi="Times New Roman"/>
          <w:color w:val="000000"/>
          <w:sz w:val="20"/>
        </w:rPr>
        <w:t xml:space="preserve"> </w:t>
      </w:r>
      <w:r>
        <w:rPr>
          <w:rFonts w:ascii="Times New Roman" w:hAnsi="Times New Roman"/>
          <w:b w:val="false"/>
          <w:color w:val="000000"/>
          <w:sz w:val="20"/>
        </w:rPr>
        <w:t>shares of the Company’s Class A Common Stock to the Platinum Stockholder and an aggregate increase in the Company’s common stock and additional paid-in capital accounts of $73.15</w:t>
      </w:r>
      <w:r>
        <w:rPr>
          <w:rFonts w:ascii="Times New Roman" w:hAnsi="Times New Roman"/>
          <w:color w:val="000000"/>
          <w:sz w:val="20"/>
        </w:rPr>
        <w:t xml:space="preserve"> </w:t>
      </w:r>
      <w:r>
        <w:rPr>
          <w:rFonts w:ascii="Times New Roman" w:hAnsi="Times New Roman"/>
          <w:b w:val="false"/>
          <w:color w:val="000000"/>
          <w:sz w:val="20"/>
        </w:rPr>
        <w:t>million, with a corresponding decrease to the common stock contingent consideration account. As of September 30, 2023, there are no shares that remain contingently issuable under the Earn-Out agreement.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13. Commitments and Contingencies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had $1.9</w:t>
      </w:r>
      <w:r>
        <w:rPr>
          <w:rFonts w:ascii="Times New Roman" w:hAnsi="Times New Roman"/>
          <w:color w:val="000000"/>
          <w:sz w:val="20"/>
        </w:rPr>
        <w:t xml:space="preserve"> </w:t>
      </w:r>
      <w:r>
        <w:rPr>
          <w:rFonts w:ascii="Times New Roman" w:hAnsi="Times New Roman"/>
          <w:b w:val="false"/>
          <w:color w:val="000000"/>
          <w:sz w:val="20"/>
        </w:rPr>
        <w:t>million of bank guarantees at September</w:t>
      </w:r>
      <w:r>
        <w:rPr>
          <w:rFonts w:ascii="Times New Roman" w:hAnsi="Times New Roman"/>
          <w:color w:val="000000"/>
          <w:sz w:val="20"/>
        </w:rPr>
        <w:t xml:space="preserve"> </w:t>
      </w:r>
      <w:r>
        <w:rPr>
          <w:rFonts w:ascii="Times New Roman" w:hAnsi="Times New Roman"/>
          <w:b w:val="false"/>
          <w:color w:val="000000"/>
          <w:sz w:val="20"/>
        </w:rPr>
        <w:t>30, 2023 required to support bids and contracts with certain international customers.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Company has non-cancelable purchase commitments to certain vendors. The aggregate non-cancelable purchase commitments outstanding at September 30, 2023 were $20.0</w:t>
      </w:r>
      <w:r>
        <w:rPr>
          <w:rFonts w:ascii="Times New Roman" w:hAnsi="Times New Roman"/>
          <w:color w:val="000000"/>
          <w:sz w:val="20"/>
        </w:rPr>
        <w:t xml:space="preserve"> </w:t>
      </w:r>
      <w:r>
        <w:rPr>
          <w:rFonts w:ascii="Times New Roman" w:hAnsi="Times New Roman"/>
          <w:b w:val="false"/>
          <w:color w:val="000000"/>
          <w:sz w:val="20"/>
        </w:rPr>
        <w:t>million. The majority of these outstanding commitments are expected to be incurred in the next twelve months, and approximately $2.9</w:t>
      </w:r>
      <w:r>
        <w:rPr>
          <w:rFonts w:ascii="Times New Roman" w:hAnsi="Times New Roman"/>
          <w:color w:val="000000"/>
          <w:sz w:val="20"/>
        </w:rPr>
        <w:t xml:space="preserve"> </w:t>
      </w:r>
      <w:r>
        <w:rPr>
          <w:rFonts w:ascii="Times New Roman" w:hAnsi="Times New Roman"/>
          <w:b w:val="false"/>
          <w:color w:val="000000"/>
          <w:sz w:val="20"/>
        </w:rPr>
        <w:t>million is expected to be incurred subsequent to September 30, 2024.</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Company is subject to tax audits in the normal course of business and does not have material contingencies recorded related to such audits.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Company accrues for claims and contingencies when losses become probable and reasonably estimable. As of the end of each applicable reporting period, the Company reviews each of its matters and, where it is probable that a liability has been or will be incurred, the Company accrues for all probable and reasonably estimable losses. Where the Company can reasonably estimate a range of loss it may incur regarding such a matter, the Company records an accrual for the amount within the range that constitutes its best estimate. If the Company can reasonably estimate a range but no amount within the range appears to be a better estimate than any other, the Company uses the amount that is the low end of such range.</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Legal Proceedings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Company is subject to legal and regulatory actions that arise from time to time in the ordinary course of business. The Company records a liability when it believes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The Company has determined that resolution of pending matters is not probable to have a material adverse impact on its results of operations, cash flows, or financial position, and accordingly, no material contingency accruals are recorded. However, the outcome of litigation is inherently uncertain. As additional information becomes available, the Company reassesses the potential liability.</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 xml:space="preserve">Brantley v. City of Gretna </w:t>
      </w:r>
      <w:r>
        <w:rPr>
          <w:rFonts w:ascii="Times New Roman" w:hAnsi="Times New Roman"/>
          <w:b w:val="false"/>
          <w:color w:val="000000"/>
          <w:sz w:val="20"/>
        </w:rPr>
        <w:t>is a class action lawsuit filed in the 24th Judicial District Court of Jefferson Parish, Louisiana against the City of Gretna (“</w:t>
      </w:r>
      <w:r>
        <w:rPr>
          <w:rFonts w:ascii="Times New Roman" w:hAnsi="Times New Roman"/>
          <w:b/>
          <w:i/>
          <w:color w:val="000000"/>
          <w:sz w:val="20"/>
        </w:rPr>
        <w:t>City</w:t>
      </w:r>
      <w:r>
        <w:rPr>
          <w:rFonts w:ascii="Times New Roman" w:hAnsi="Times New Roman"/>
          <w:color w:val="000000"/>
          <w:sz w:val="20"/>
        </w:rPr>
        <w:t>”</w:t>
      </w:r>
      <w:r>
        <w:rPr>
          <w:rFonts w:ascii="Times New Roman" w:hAnsi="Times New Roman"/>
          <w:b w:val="false"/>
          <w:color w:val="000000"/>
          <w:sz w:val="20"/>
        </w:rPr>
        <w:t>) and its safety camera vendor, Redflex Traffic Systems, Inc. in April 2016. The plaintiff class, which was certified on March 30, 2021, alleges that the City’s safety camera program was implemented and operated in violation of local ordinances and the state constitution, including that the City’s hearing process violated the plaintiffs’ due process rights for lack of a “neutral” arbiter of liability for traffic infractions. Plaintiffs seek recovery of traffic infraction fines paid. The City and Redflex Traffic Systems, Inc. appealed the trial court’s ruling granting class certification, which was denied and their petition for discretionary review of the certification ruling by the Louisiana Supreme Court was declined. Merits discovery in the trial court is underway. Trial has been scheduled for March 2025. Based on the information available to the Company at present, it cannot reasonably estimate a range of loss for this action and, accordingly, it has not accrued any liability associated with this action.</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PlusPass Inc. (“PlusPass”) v. Verra Mobility Corporation</w:t>
      </w:r>
      <w:r>
        <w:rPr>
          <w:rFonts w:ascii="Times New Roman" w:hAnsi="Times New Roman"/>
          <w:b w:val="false"/>
          <w:color w:val="000000"/>
          <w:sz w:val="20"/>
        </w:rPr>
        <w:t>, et al. is a lawsuit filed in the United States District Court, Central District of California, against Verra Mobility, The Gores Group LLC, Platinum Equity LLC, and ATS Processing Services, Inc., in November 2020. PlusPass filed amended complaints on November 20, 2020 and April 27, 2021. PlusPass alleges that Verra Mobility violated Section 7 of the Clayton Act through a merger of Highway Toll Administration, LLC (“</w:t>
      </w:r>
      <w:r>
        <w:rPr>
          <w:rFonts w:ascii="Times New Roman" w:hAnsi="Times New Roman"/>
          <w:b/>
          <w:i/>
          <w:color w:val="000000"/>
          <w:sz w:val="20"/>
        </w:rPr>
        <w:t>HTA</w:t>
      </w:r>
      <w:r>
        <w:rPr>
          <w:rFonts w:ascii="Times New Roman" w:hAnsi="Times New Roman"/>
          <w:color w:val="000000"/>
          <w:sz w:val="20"/>
        </w:rPr>
        <w:t>”</w:t>
      </w:r>
      <w:r>
        <w:rPr>
          <w:rFonts w:ascii="Times New Roman" w:hAnsi="Times New Roman"/>
          <w:b w:val="false"/>
          <w:color w:val="000000"/>
          <w:sz w:val="20"/>
        </w:rPr>
        <w:t>) and American Traffic Solutions, Inc. (“</w:t>
      </w:r>
      <w:r>
        <w:rPr>
          <w:rFonts w:ascii="Times New Roman" w:hAnsi="Times New Roman"/>
          <w:b/>
          <w:i/>
          <w:color w:val="000000"/>
          <w:sz w:val="20"/>
        </w:rPr>
        <w:t>ATS</w:t>
      </w:r>
      <w:r>
        <w:rPr>
          <w:rFonts w:ascii="Times New Roman" w:hAnsi="Times New Roman"/>
          <w:color w:val="000000"/>
          <w:sz w:val="20"/>
        </w:rPr>
        <w:t>”</w:t>
      </w:r>
      <w:r>
        <w:rPr>
          <w:rFonts w:ascii="Times New Roman" w:hAnsi="Times New Roman"/>
          <w:b w:val="false"/>
          <w:color w:val="000000"/>
          <w:sz w:val="20"/>
        </w:rPr>
        <w:t>) in 2018, and that Verra Mobility violated Sections 1 and 2 of the Sherman Antitrust Act of 1890 by using exclusive agreements in restraint of trade and other allegedly anticompetitive means to acquire and maintain monopoly power in the market for the administration of electronic toll payment collection for rental cars. PlusPass seeks injunctive relief, divestiture by Verra Mobility of HTA, damages in an amount to be determined, and attorneys’ fees and costs. On May 28, 2021, Verra Mobility filed a motion to dismiss PlusPass’ second amended complaint in its entirety, which was denied in August 2021. Discovery is closed. Verra Mobility filed a motion for summary judgment on June 21, 2023, which is pending. Trial had been set for November 2023, but was moved by the court to April 2024. Verra Mobility believes that all of PlusPass' claims are without merit and will defend itself vigorously in this litigation. Based on the information available to the Company at present, it cannot reasonably estimate a range of loss for this action and, accordingly, it has not accrued any liability associated with this action.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14. Segment Reporting</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has three</w:t>
      </w:r>
      <w:r>
        <w:rPr>
          <w:rFonts w:ascii="Times New Roman" w:hAnsi="Times New Roman"/>
          <w:color w:val="000000"/>
          <w:sz w:val="20"/>
        </w:rPr>
        <w:t xml:space="preserve"> </w:t>
      </w:r>
      <w:r>
        <w:rPr>
          <w:rFonts w:ascii="Times New Roman" w:hAnsi="Times New Roman"/>
          <w:b w:val="false"/>
          <w:color w:val="000000"/>
          <w:sz w:val="20"/>
        </w:rPr>
        <w:t>operating and reportable segments: Commercial Services, Government Solutions and Parking Solutions. Commercial Services offers toll and violation management solutions and title and registration services to commercial fleet vehicle owners, rental car companies and violation-issuing authorities. Government Solutions implements and administers traffic safety programs and products for municipalities and government agencies of all sizes. Parking Solutions provides an integrated suite of parking software and hardware solutions to its customers. The Company’s Chief Operating Decision Maker function (“</w:t>
      </w:r>
      <w:r>
        <w:rPr>
          <w:rFonts w:ascii="Times New Roman" w:hAnsi="Times New Roman"/>
          <w:b/>
          <w:i/>
          <w:color w:val="000000"/>
          <w:sz w:val="20"/>
        </w:rPr>
        <w:t>CODM</w:t>
      </w:r>
      <w:r>
        <w:rPr>
          <w:rFonts w:ascii="Times New Roman" w:hAnsi="Times New Roman"/>
          <w:color w:val="000000"/>
          <w:sz w:val="20"/>
        </w:rPr>
        <w:t>”</w:t>
      </w:r>
      <w:r>
        <w:rPr>
          <w:rFonts w:ascii="Times New Roman" w:hAnsi="Times New Roman"/>
          <w:b w:val="false"/>
          <w:color w:val="000000"/>
          <w:sz w:val="20"/>
        </w:rPr>
        <w:t>) is comprised of the Company’s CEO and certain defined representatives of the Company’s executive management team. The Company’s CODM monitors operating performance, allocates resources and deploys capital based on these three</w:t>
      </w:r>
      <w:r>
        <w:rPr>
          <w:rFonts w:ascii="Times New Roman" w:hAnsi="Times New Roman"/>
          <w:color w:val="000000"/>
          <w:sz w:val="20"/>
        </w:rPr>
        <w:t xml:space="preserve"> </w:t>
      </w:r>
      <w:r>
        <w:rPr>
          <w:rFonts w:ascii="Times New Roman" w:hAnsi="Times New Roman"/>
          <w:b w:val="false"/>
          <w:color w:val="000000"/>
          <w:sz w:val="20"/>
        </w:rPr>
        <w:t>segments.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Segment performance is based on revenues and income from operations before depreciation, amortization and stock-based compensation. The measure also excludes interest expense, net, income taxes and certain other transactions and is inclusive of other income, net. The tables below refer to this measure as segment profit. The aforementioned items are not indicative of operating performance, and, as a result are not included in the measures that are reviewed by the CODM for the segments. Other income, net included in segment profit below consists primarily of credit card rebates earned on the prepayment of tolling transactions and gains or losses on foreign currency transactions, and excludes certain non-operating expenses inapplicable to segments.</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following tables set forth financial information by segment for the respective periods:</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3662"/>
        <w:gridCol w:w="146"/>
        <w:gridCol w:w="235"/>
        <w:gridCol w:w="756"/>
        <w:gridCol w:w="166"/>
        <w:gridCol w:w="146"/>
        <w:gridCol w:w="242"/>
        <w:gridCol w:w="779"/>
        <w:gridCol w:w="166"/>
        <w:gridCol w:w="146"/>
        <w:gridCol w:w="211"/>
        <w:gridCol w:w="676"/>
        <w:gridCol w:w="166"/>
        <w:gridCol w:w="146"/>
        <w:gridCol w:w="211"/>
        <w:gridCol w:w="736"/>
        <w:gridCol w:w="166"/>
        <w:gridCol w:w="146"/>
        <w:gridCol w:w="211"/>
        <w:gridCol w:w="781"/>
        <w:gridCol w:w="311"/>
      </w:tblGrid>
      <w:tr>
        <w:trPr/>
        <w:tc>
          <w:tcPr>
            <w:tcW w:w="3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08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 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3662"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Service revenue</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98,149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85,092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201,029</w:t>
            </w:r>
          </w:p>
        </w:tc>
        <w:tc>
          <w:tcPr>
            <w:tcW w:w="311" w:type="dxa"/>
            <w:tcBorders/>
            <w:shd w:fill="CFF0FC" w:val="clear"/>
            <w:vAlign w:val="center"/>
          </w:tcPr>
          <w:p>
            <w:pPr>
              <w:pStyle w:val="TableContents"/>
              <w:bidi w:val="0"/>
              <w:spacing w:before="0" w:after="283"/>
              <w:jc w:val="left"/>
              <w:rPr/>
            </w:pPr>
            <w:r>
              <w:rPr/>
              <w:t> </w:t>
            </w:r>
          </w:p>
        </w:tc>
      </w:tr>
      <w:tr>
        <w:trPr/>
        <w:tc>
          <w:tcPr>
            <w:tcW w:w="36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Product sales</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8,904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62"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98,149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90,285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209,933</w:t>
            </w:r>
          </w:p>
        </w:tc>
        <w:tc>
          <w:tcPr>
            <w:tcW w:w="311" w:type="dxa"/>
            <w:tcBorders/>
            <w:shd w:fill="CFF0FC" w:val="clear"/>
            <w:vAlign w:val="center"/>
          </w:tcPr>
          <w:p>
            <w:pPr>
              <w:pStyle w:val="TableContents"/>
              <w:bidi w:val="0"/>
              <w:spacing w:before="0" w:after="283"/>
              <w:jc w:val="left"/>
              <w:rPr/>
            </w:pPr>
            <w:r>
              <w:rPr/>
              <w:t> </w:t>
            </w:r>
          </w:p>
        </w:tc>
      </w:tr>
      <w:tr>
        <w:trPr/>
        <w:tc>
          <w:tcPr>
            <w:tcW w:w="36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service revenue</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5,150</w:t>
            </w:r>
          </w:p>
        </w:tc>
        <w:tc>
          <w:tcPr>
            <w:tcW w:w="311" w:type="dxa"/>
            <w:tcBorders/>
            <w:shd w:fill="FFFFFF" w:val="clear"/>
            <w:vAlign w:val="center"/>
          </w:tcPr>
          <w:p>
            <w:pPr>
              <w:pStyle w:val="TableContents"/>
              <w:bidi w:val="0"/>
              <w:spacing w:before="0" w:after="283"/>
              <w:jc w:val="left"/>
              <w:rPr/>
            </w:pPr>
            <w:r>
              <w:rPr/>
              <w:t> </w:t>
            </w:r>
          </w:p>
        </w:tc>
      </w:tr>
      <w:tr>
        <w:trPr/>
        <w:tc>
          <w:tcPr>
            <w:tcW w:w="36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product sales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6,864</w:t>
            </w:r>
          </w:p>
        </w:tc>
        <w:tc>
          <w:tcPr>
            <w:tcW w:w="311" w:type="dxa"/>
            <w:tcBorders/>
            <w:shd w:fill="CFF0FC" w:val="clear"/>
            <w:vAlign w:val="center"/>
          </w:tcPr>
          <w:p>
            <w:pPr>
              <w:pStyle w:val="TableContents"/>
              <w:bidi w:val="0"/>
              <w:spacing w:before="0" w:after="283"/>
              <w:jc w:val="left"/>
              <w:rPr/>
            </w:pPr>
            <w:r>
              <w:rPr/>
              <w:t> </w:t>
            </w:r>
          </w:p>
        </w:tc>
      </w:tr>
      <w:tr>
        <w:trPr/>
        <w:tc>
          <w:tcPr>
            <w:tcW w:w="36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42,395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68,245</w:t>
            </w:r>
          </w:p>
        </w:tc>
        <w:tc>
          <w:tcPr>
            <w:tcW w:w="311" w:type="dxa"/>
            <w:tcBorders/>
            <w:shd w:fill="FFFFFF" w:val="clear"/>
            <w:vAlign w:val="center"/>
          </w:tcPr>
          <w:p>
            <w:pPr>
              <w:pStyle w:val="TableContents"/>
              <w:bidi w:val="0"/>
              <w:spacing w:before="0" w:after="283"/>
              <w:jc w:val="left"/>
              <w:rPr/>
            </w:pPr>
            <w:r>
              <w:rPr/>
              <w:t> </w:t>
            </w:r>
          </w:p>
        </w:tc>
      </w:tr>
      <w:tr>
        <w:trPr/>
        <w:tc>
          <w:tcPr>
            <w:tcW w:w="36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36,727</w:t>
            </w:r>
          </w:p>
        </w:tc>
        <w:tc>
          <w:tcPr>
            <w:tcW w:w="311" w:type="dxa"/>
            <w:tcBorders/>
            <w:shd w:fill="CFF0FC" w:val="clear"/>
            <w:vAlign w:val="center"/>
          </w:tcPr>
          <w:p>
            <w:pPr>
              <w:pStyle w:val="TableContents"/>
              <w:bidi w:val="0"/>
              <w:spacing w:before="0" w:after="283"/>
              <w:jc w:val="left"/>
              <w:rPr/>
            </w:pPr>
            <w:r>
              <w:rPr/>
              <w:t> </w:t>
            </w:r>
          </w:p>
        </w:tc>
      </w:tr>
      <w:tr>
        <w:trPr/>
        <w:tc>
          <w:tcPr>
            <w:tcW w:w="36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on disposal of assets, net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w:t>
            </w:r>
          </w:p>
        </w:tc>
        <w:tc>
          <w:tcPr>
            <w:tcW w:w="311" w:type="dxa"/>
            <w:tcBorders/>
            <w:shd w:fill="FFFFFF" w:val="clear"/>
            <w:vAlign w:val="center"/>
          </w:tcPr>
          <w:p>
            <w:pPr>
              <w:pStyle w:val="TableContents"/>
              <w:bidi w:val="0"/>
              <w:spacing w:before="0" w:after="283"/>
              <w:jc w:val="left"/>
              <w:rPr/>
            </w:pPr>
            <w:r>
              <w:rPr/>
              <w:t> </w:t>
            </w:r>
          </w:p>
        </w:tc>
      </w:tr>
      <w:tr>
        <w:trPr/>
        <w:tc>
          <w:tcPr>
            <w:tcW w:w="36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(4,498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662"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Segment profit</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65,282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97,378</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Segment profit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65,282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97,378</w:t>
            </w:r>
          </w:p>
        </w:tc>
        <w:tc>
          <w:tcPr>
            <w:tcW w:w="311" w:type="dxa"/>
            <w:tcBorders/>
            <w:shd w:fill="CFF0FC" w:val="clear"/>
            <w:vAlign w:val="center"/>
          </w:tcPr>
          <w:p>
            <w:pPr>
              <w:pStyle w:val="TableContents"/>
              <w:bidi w:val="0"/>
              <w:spacing w:before="0" w:after="283"/>
              <w:jc w:val="left"/>
              <w:rPr/>
            </w:pPr>
            <w:r>
              <w:rPr/>
              <w:t> </w:t>
            </w:r>
          </w:p>
        </w:tc>
      </w:tr>
      <w:tr>
        <w:trPr/>
        <w:tc>
          <w:tcPr>
            <w:tcW w:w="36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27,530</w:t>
            </w:r>
          </w:p>
        </w:tc>
        <w:tc>
          <w:tcPr>
            <w:tcW w:w="311" w:type="dxa"/>
            <w:tcBorders/>
            <w:shd w:fill="FFFFFF" w:val="clear"/>
            <w:vAlign w:val="center"/>
          </w:tcPr>
          <w:p>
            <w:pPr>
              <w:pStyle w:val="TableContents"/>
              <w:bidi w:val="0"/>
              <w:spacing w:before="0" w:after="283"/>
              <w:jc w:val="left"/>
              <w:rPr/>
            </w:pPr>
            <w:r>
              <w:rPr/>
              <w:t> </w:t>
            </w:r>
          </w:p>
        </w:tc>
      </w:tr>
      <w:tr>
        <w:trPr/>
        <w:tc>
          <w:tcPr>
            <w:tcW w:w="36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Transaction and other related expenses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w:t>
            </w:r>
          </w:p>
        </w:tc>
        <w:tc>
          <w:tcPr>
            <w:tcW w:w="311" w:type="dxa"/>
            <w:tcBorders/>
            <w:shd w:fill="CFF0FC" w:val="clear"/>
            <w:vAlign w:val="center"/>
          </w:tcPr>
          <w:p>
            <w:pPr>
              <w:pStyle w:val="TableContents"/>
              <w:bidi w:val="0"/>
              <w:spacing w:before="0" w:after="283"/>
              <w:jc w:val="left"/>
              <w:rPr/>
            </w:pPr>
            <w:r>
              <w:rPr/>
              <w:t> </w:t>
            </w:r>
          </w:p>
        </w:tc>
      </w:tr>
      <w:tr>
        <w:trPr/>
        <w:tc>
          <w:tcPr>
            <w:tcW w:w="36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Transformation expenses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1,582</w:t>
            </w:r>
          </w:p>
        </w:tc>
        <w:tc>
          <w:tcPr>
            <w:tcW w:w="311" w:type="dxa"/>
            <w:tcBorders/>
            <w:shd w:fill="FFFFFF" w:val="clear"/>
            <w:vAlign w:val="center"/>
          </w:tcPr>
          <w:p>
            <w:pPr>
              <w:pStyle w:val="TableContents"/>
              <w:bidi w:val="0"/>
              <w:spacing w:before="0" w:after="283"/>
              <w:jc w:val="left"/>
              <w:rPr/>
            </w:pPr>
            <w:r>
              <w:rPr/>
              <w:t> </w:t>
            </w:r>
          </w:p>
        </w:tc>
      </w:tr>
      <w:tr>
        <w:trPr/>
        <w:tc>
          <w:tcPr>
            <w:tcW w:w="36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fair value of private placement warrants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(553</w:t>
            </w:r>
          </w:p>
        </w:tc>
        <w:tc>
          <w:tcPr>
            <w:tcW w:w="3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on interest rate swap</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c>
          <w:tcPr>
            <w:tcW w:w="311" w:type="dxa"/>
            <w:tcBorders/>
            <w:shd w:fill="FFFFFF" w:val="clear"/>
            <w:vAlign w:val="center"/>
          </w:tcPr>
          <w:p>
            <w:pPr>
              <w:pStyle w:val="TableContents"/>
              <w:bidi w:val="0"/>
              <w:spacing w:before="0" w:after="283"/>
              <w:jc w:val="left"/>
              <w:rPr/>
            </w:pPr>
            <w:r>
              <w:rPr/>
              <w:t> </w:t>
            </w:r>
          </w:p>
        </w:tc>
      </w:tr>
      <w:tr>
        <w:trPr/>
        <w:tc>
          <w:tcPr>
            <w:tcW w:w="36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on extinguishment of debt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1,975</w:t>
            </w:r>
          </w:p>
        </w:tc>
        <w:tc>
          <w:tcPr>
            <w:tcW w:w="311" w:type="dxa"/>
            <w:tcBorders/>
            <w:shd w:fill="CFF0FC" w:val="clear"/>
            <w:vAlign w:val="center"/>
          </w:tcPr>
          <w:p>
            <w:pPr>
              <w:pStyle w:val="TableContents"/>
              <w:bidi w:val="0"/>
              <w:spacing w:before="0" w:after="283"/>
              <w:jc w:val="left"/>
              <w:rPr/>
            </w:pPr>
            <w:r>
              <w:rPr/>
              <w:t> </w:t>
            </w:r>
          </w:p>
        </w:tc>
      </w:tr>
      <w:tr>
        <w:trPr/>
        <w:tc>
          <w:tcPr>
            <w:tcW w:w="36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4,443</w:t>
            </w:r>
          </w:p>
        </w:tc>
        <w:tc>
          <w:tcPr>
            <w:tcW w:w="311" w:type="dxa"/>
            <w:tcBorders/>
            <w:shd w:fill="FFFFFF" w:val="clear"/>
            <w:vAlign w:val="center"/>
          </w:tcPr>
          <w:p>
            <w:pPr>
              <w:pStyle w:val="TableContents"/>
              <w:bidi w:val="0"/>
              <w:spacing w:before="0" w:after="283"/>
              <w:jc w:val="left"/>
              <w:rPr/>
            </w:pPr>
            <w:r>
              <w:rPr/>
              <w:t> </w:t>
            </w:r>
          </w:p>
        </w:tc>
      </w:tr>
      <w:tr>
        <w:trPr/>
        <w:tc>
          <w:tcPr>
            <w:tcW w:w="36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 net</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20,384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62"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65,282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(55,573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41,805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682"/>
        <w:gridCol w:w="146"/>
        <w:gridCol w:w="235"/>
        <w:gridCol w:w="756"/>
        <w:gridCol w:w="166"/>
        <w:gridCol w:w="146"/>
        <w:gridCol w:w="242"/>
        <w:gridCol w:w="779"/>
        <w:gridCol w:w="166"/>
        <w:gridCol w:w="146"/>
        <w:gridCol w:w="211"/>
        <w:gridCol w:w="676"/>
        <w:gridCol w:w="146"/>
        <w:gridCol w:w="146"/>
        <w:gridCol w:w="211"/>
        <w:gridCol w:w="736"/>
        <w:gridCol w:w="166"/>
        <w:gridCol w:w="146"/>
        <w:gridCol w:w="211"/>
        <w:gridCol w:w="781"/>
        <w:gridCol w:w="311"/>
      </w:tblGrid>
      <w:tr>
        <w:trPr/>
        <w:tc>
          <w:tcPr>
            <w:tcW w:w="3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8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06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 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3682"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Service revenue</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86,056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77,441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180,617</w:t>
            </w:r>
          </w:p>
        </w:tc>
        <w:tc>
          <w:tcPr>
            <w:tcW w:w="311" w:type="dxa"/>
            <w:tcBorders/>
            <w:shd w:fill="CFF0FC" w:val="clear"/>
            <w:vAlign w:val="center"/>
          </w:tcPr>
          <w:p>
            <w:pPr>
              <w:pStyle w:val="TableContents"/>
              <w:bidi w:val="0"/>
              <w:spacing w:before="0" w:after="283"/>
              <w:jc w:val="left"/>
              <w:rPr/>
            </w:pPr>
            <w:r>
              <w:rPr/>
              <w:t> </w:t>
            </w:r>
          </w:p>
        </w:tc>
      </w:tr>
      <w:tr>
        <w:trPr/>
        <w:tc>
          <w:tcPr>
            <w:tcW w:w="36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Product sales</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17,039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82"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86,056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89,728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197,656</w:t>
            </w:r>
          </w:p>
        </w:tc>
        <w:tc>
          <w:tcPr>
            <w:tcW w:w="311" w:type="dxa"/>
            <w:tcBorders/>
            <w:shd w:fill="CFF0FC" w:val="clear"/>
            <w:vAlign w:val="center"/>
          </w:tcPr>
          <w:p>
            <w:pPr>
              <w:pStyle w:val="TableContents"/>
              <w:bidi w:val="0"/>
              <w:spacing w:before="0" w:after="283"/>
              <w:jc w:val="left"/>
              <w:rPr/>
            </w:pPr>
            <w:r>
              <w:rPr/>
              <w:t> </w:t>
            </w:r>
          </w:p>
        </w:tc>
      </w:tr>
      <w:tr>
        <w:trPr/>
        <w:tc>
          <w:tcPr>
            <w:tcW w:w="36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service revenue</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4,144</w:t>
            </w:r>
          </w:p>
        </w:tc>
        <w:tc>
          <w:tcPr>
            <w:tcW w:w="311" w:type="dxa"/>
            <w:tcBorders/>
            <w:shd w:fill="FFFFFF" w:val="clear"/>
            <w:vAlign w:val="center"/>
          </w:tcPr>
          <w:p>
            <w:pPr>
              <w:pStyle w:val="TableContents"/>
              <w:bidi w:val="0"/>
              <w:spacing w:before="0" w:after="283"/>
              <w:jc w:val="left"/>
              <w:rPr/>
            </w:pPr>
            <w:r>
              <w:rPr/>
              <w:t> </w:t>
            </w:r>
          </w:p>
        </w:tc>
      </w:tr>
      <w:tr>
        <w:trPr/>
        <w:tc>
          <w:tcPr>
            <w:tcW w:w="36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product sales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11,317</w:t>
            </w:r>
          </w:p>
        </w:tc>
        <w:tc>
          <w:tcPr>
            <w:tcW w:w="311" w:type="dxa"/>
            <w:tcBorders/>
            <w:shd w:fill="CFF0FC" w:val="clear"/>
            <w:vAlign w:val="center"/>
          </w:tcPr>
          <w:p>
            <w:pPr>
              <w:pStyle w:val="TableContents"/>
              <w:bidi w:val="0"/>
              <w:spacing w:before="0" w:after="283"/>
              <w:jc w:val="left"/>
              <w:rPr/>
            </w:pPr>
            <w:r>
              <w:rPr/>
              <w:t> </w:t>
            </w:r>
          </w:p>
        </w:tc>
      </w:tr>
      <w:tr>
        <w:trPr/>
        <w:tc>
          <w:tcPr>
            <w:tcW w:w="36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36,868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60,205</w:t>
            </w:r>
          </w:p>
        </w:tc>
        <w:tc>
          <w:tcPr>
            <w:tcW w:w="311" w:type="dxa"/>
            <w:tcBorders/>
            <w:shd w:fill="FFFFFF" w:val="clear"/>
            <w:vAlign w:val="center"/>
          </w:tcPr>
          <w:p>
            <w:pPr>
              <w:pStyle w:val="TableContents"/>
              <w:bidi w:val="0"/>
              <w:spacing w:before="0" w:after="283"/>
              <w:jc w:val="left"/>
              <w:rPr/>
            </w:pPr>
            <w:r>
              <w:rPr/>
              <w:t> </w:t>
            </w:r>
          </w:p>
        </w:tc>
      </w:tr>
      <w:tr>
        <w:trPr/>
        <w:tc>
          <w:tcPr>
            <w:tcW w:w="36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35,378</w:t>
            </w:r>
          </w:p>
        </w:tc>
        <w:tc>
          <w:tcPr>
            <w:tcW w:w="311" w:type="dxa"/>
            <w:tcBorders/>
            <w:shd w:fill="CFF0FC" w:val="clear"/>
            <w:vAlign w:val="center"/>
          </w:tcPr>
          <w:p>
            <w:pPr>
              <w:pStyle w:val="TableContents"/>
              <w:bidi w:val="0"/>
              <w:spacing w:before="0" w:after="283"/>
              <w:jc w:val="left"/>
              <w:rPr/>
            </w:pPr>
            <w:r>
              <w:rPr/>
              <w:t> </w:t>
            </w:r>
          </w:p>
        </w:tc>
      </w:tr>
      <w:tr>
        <w:trPr/>
        <w:tc>
          <w:tcPr>
            <w:tcW w:w="36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(Gain) loss on disposal of assets, net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3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(4,238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682"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Segment profit</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56,369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90,894</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Segment profit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56,369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90,894</w:t>
            </w:r>
          </w:p>
        </w:tc>
        <w:tc>
          <w:tcPr>
            <w:tcW w:w="311" w:type="dxa"/>
            <w:tcBorders/>
            <w:shd w:fill="CFF0FC" w:val="clear"/>
            <w:vAlign w:val="center"/>
          </w:tcPr>
          <w:p>
            <w:pPr>
              <w:pStyle w:val="TableContents"/>
              <w:bidi w:val="0"/>
              <w:spacing w:before="0" w:after="283"/>
              <w:jc w:val="left"/>
              <w:rPr/>
            </w:pPr>
            <w:r>
              <w:rPr/>
              <w:t> </w:t>
            </w:r>
          </w:p>
        </w:tc>
      </w:tr>
      <w:tr>
        <w:trPr/>
        <w:tc>
          <w:tcPr>
            <w:tcW w:w="36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35,079</w:t>
            </w:r>
          </w:p>
        </w:tc>
        <w:tc>
          <w:tcPr>
            <w:tcW w:w="311" w:type="dxa"/>
            <w:tcBorders/>
            <w:shd w:fill="FFFFFF" w:val="clear"/>
            <w:vAlign w:val="center"/>
          </w:tcPr>
          <w:p>
            <w:pPr>
              <w:pStyle w:val="TableContents"/>
              <w:bidi w:val="0"/>
              <w:spacing w:before="0" w:after="283"/>
              <w:jc w:val="left"/>
              <w:rPr/>
            </w:pPr>
            <w:r>
              <w:rPr/>
              <w:t> </w:t>
            </w:r>
          </w:p>
        </w:tc>
      </w:tr>
      <w:tr>
        <w:trPr/>
        <w:tc>
          <w:tcPr>
            <w:tcW w:w="36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Transaction and other related expenses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2,968</w:t>
            </w:r>
          </w:p>
        </w:tc>
        <w:tc>
          <w:tcPr>
            <w:tcW w:w="311" w:type="dxa"/>
            <w:tcBorders/>
            <w:shd w:fill="CFF0FC" w:val="clear"/>
            <w:vAlign w:val="center"/>
          </w:tcPr>
          <w:p>
            <w:pPr>
              <w:pStyle w:val="TableContents"/>
              <w:bidi w:val="0"/>
              <w:spacing w:before="0" w:after="283"/>
              <w:jc w:val="left"/>
              <w:rPr/>
            </w:pPr>
            <w:r>
              <w:rPr/>
              <w:t> </w:t>
            </w:r>
          </w:p>
        </w:tc>
      </w:tr>
      <w:tr>
        <w:trPr/>
        <w:tc>
          <w:tcPr>
            <w:tcW w:w="36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Transformation expenses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w:t>
            </w:r>
          </w:p>
        </w:tc>
        <w:tc>
          <w:tcPr>
            <w:tcW w:w="311" w:type="dxa"/>
            <w:tcBorders/>
            <w:shd w:fill="FFFFFF" w:val="clear"/>
            <w:vAlign w:val="center"/>
          </w:tcPr>
          <w:p>
            <w:pPr>
              <w:pStyle w:val="TableContents"/>
              <w:bidi w:val="0"/>
              <w:spacing w:before="0" w:after="283"/>
              <w:jc w:val="left"/>
              <w:rPr/>
            </w:pPr>
            <w:r>
              <w:rPr/>
              <w:t> </w:t>
            </w:r>
          </w:p>
        </w:tc>
      </w:tr>
      <w:tr>
        <w:trPr/>
        <w:tc>
          <w:tcPr>
            <w:tcW w:w="36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fair value of private placement warrants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(2,267</w:t>
            </w:r>
          </w:p>
        </w:tc>
        <w:tc>
          <w:tcPr>
            <w:tcW w:w="3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Gain on extinguishment of debt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(3,005</w:t>
            </w:r>
          </w:p>
        </w:tc>
        <w:tc>
          <w:tcPr>
            <w:tcW w:w="3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4,644</w:t>
            </w:r>
          </w:p>
        </w:tc>
        <w:tc>
          <w:tcPr>
            <w:tcW w:w="311" w:type="dxa"/>
            <w:tcBorders/>
            <w:shd w:fill="CFF0FC" w:val="clear"/>
            <w:vAlign w:val="center"/>
          </w:tcPr>
          <w:p>
            <w:pPr>
              <w:pStyle w:val="TableContents"/>
              <w:bidi w:val="0"/>
              <w:spacing w:before="0" w:after="283"/>
              <w:jc w:val="left"/>
              <w:rPr/>
            </w:pPr>
            <w:r>
              <w:rPr/>
              <w:t> </w:t>
            </w:r>
          </w:p>
        </w:tc>
      </w:tr>
      <w:tr>
        <w:trPr/>
        <w:tc>
          <w:tcPr>
            <w:tcW w:w="36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 net</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20,260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82"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Income before income taxes</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56,369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(57,922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32,972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56"/>
        <w:gridCol w:w="146"/>
        <w:gridCol w:w="211"/>
        <w:gridCol w:w="781"/>
        <w:gridCol w:w="166"/>
        <w:gridCol w:w="146"/>
        <w:gridCol w:w="217"/>
        <w:gridCol w:w="804"/>
        <w:gridCol w:w="166"/>
        <w:gridCol w:w="146"/>
        <w:gridCol w:w="211"/>
        <w:gridCol w:w="676"/>
        <w:gridCol w:w="166"/>
        <w:gridCol w:w="146"/>
        <w:gridCol w:w="211"/>
        <w:gridCol w:w="841"/>
        <w:gridCol w:w="166"/>
        <w:gridCol w:w="146"/>
        <w:gridCol w:w="211"/>
        <w:gridCol w:w="781"/>
        <w:gridCol w:w="31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19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 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Service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278,243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253,319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50,215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581,777</w:t>
            </w:r>
          </w:p>
        </w:tc>
        <w:tc>
          <w:tcPr>
            <w:tcW w:w="31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Product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24,520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278,243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264,462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63,592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606,297</w:t>
            </w:r>
          </w:p>
        </w:tc>
        <w:tc>
          <w:tcPr>
            <w:tcW w:w="31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service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13,718</w:t>
            </w:r>
          </w:p>
        </w:tc>
        <w:tc>
          <w:tcPr>
            <w:tcW w:w="311" w:type="dxa"/>
            <w:tcBorders/>
            <w:shd w:fill="FFFFFF" w:val="cle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product sales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18,209</w:t>
            </w:r>
          </w:p>
        </w:tc>
        <w:tc>
          <w:tcPr>
            <w:tcW w:w="31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61,819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119,398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194,866</w:t>
            </w:r>
          </w:p>
        </w:tc>
        <w:tc>
          <w:tcPr>
            <w:tcW w:w="311" w:type="dxa"/>
            <w:tcBorders/>
            <w:shd w:fill="FFFFFF" w:val="cle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47,127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45,747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111,865</w:t>
            </w:r>
          </w:p>
        </w:tc>
        <w:tc>
          <w:tcPr>
            <w:tcW w:w="31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on disposal of assets,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w:t>
            </w:r>
          </w:p>
        </w:tc>
        <w:tc>
          <w:tcPr>
            <w:tcW w:w="311" w:type="dxa"/>
            <w:tcBorders/>
            <w:shd w:fill="FFFFFF" w:val="cle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(12,766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56"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Segment profit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179,931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90,393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280,222</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Segment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179,931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90,393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280,222</w:t>
            </w:r>
          </w:p>
        </w:tc>
        <w:tc>
          <w:tcPr>
            <w:tcW w:w="31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86,835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86,835</w:t>
            </w:r>
          </w:p>
        </w:tc>
        <w:tc>
          <w:tcPr>
            <w:tcW w:w="311" w:type="dxa"/>
            <w:tcBorders/>
            <w:shd w:fill="FFFFFF" w:val="cle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Transaction and other related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484</w:t>
            </w:r>
          </w:p>
        </w:tc>
        <w:tc>
          <w:tcPr>
            <w:tcW w:w="31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Transformation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2,306</w:t>
            </w:r>
          </w:p>
        </w:tc>
        <w:tc>
          <w:tcPr>
            <w:tcW w:w="311" w:type="dxa"/>
            <w:tcBorders/>
            <w:shd w:fill="FFFFFF" w:val="cle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fair value of private placement warrants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24,966</w:t>
            </w:r>
          </w:p>
        </w:tc>
        <w:tc>
          <w:tcPr>
            <w:tcW w:w="31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Gain on interest rate swap</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(1,947</w:t>
            </w:r>
          </w:p>
        </w:tc>
        <w:tc>
          <w:tcPr>
            <w:tcW w:w="3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on extinguishment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3,533</w:t>
            </w:r>
          </w:p>
        </w:tc>
        <w:tc>
          <w:tcPr>
            <w:tcW w:w="31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12,346</w:t>
            </w:r>
          </w:p>
        </w:tc>
        <w:tc>
          <w:tcPr>
            <w:tcW w:w="311" w:type="dxa"/>
            <w:tcBorders/>
            <w:shd w:fill="FFFFFF" w:val="cle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65,842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65,842</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55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179,931</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90,393</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9,898</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(194,365</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85,857</w:t>
            </w:r>
          </w:p>
        </w:tc>
        <w:tc>
          <w:tcPr>
            <w:tcW w:w="3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76"/>
        <w:gridCol w:w="146"/>
        <w:gridCol w:w="211"/>
        <w:gridCol w:w="781"/>
        <w:gridCol w:w="166"/>
        <w:gridCol w:w="146"/>
        <w:gridCol w:w="217"/>
        <w:gridCol w:w="804"/>
        <w:gridCol w:w="166"/>
        <w:gridCol w:w="146"/>
        <w:gridCol w:w="211"/>
        <w:gridCol w:w="676"/>
        <w:gridCol w:w="146"/>
        <w:gridCol w:w="146"/>
        <w:gridCol w:w="211"/>
        <w:gridCol w:w="841"/>
        <w:gridCol w:w="166"/>
        <w:gridCol w:w="146"/>
        <w:gridCol w:w="211"/>
        <w:gridCol w:w="781"/>
        <w:gridCol w:w="311"/>
      </w:tblGrid>
      <w:tr>
        <w:trPr/>
        <w:tc>
          <w:tcPr>
            <w:tcW w:w="3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17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 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357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Service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244,409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225,337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46,507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516,253</w:t>
            </w:r>
          </w:p>
        </w:tc>
        <w:tc>
          <w:tcPr>
            <w:tcW w:w="311" w:type="dxa"/>
            <w:tcBorders/>
            <w:shd w:fill="CFF0FC" w:val="clear"/>
            <w:vAlign w:val="center"/>
          </w:tcPr>
          <w:p>
            <w:pPr>
              <w:pStyle w:val="TableContents"/>
              <w:bidi w:val="0"/>
              <w:spacing w:before="0" w:after="283"/>
              <w:jc w:val="left"/>
              <w:rPr/>
            </w:pPr>
            <w:r>
              <w:rPr/>
              <w:t> </w:t>
            </w:r>
          </w:p>
        </w:tc>
      </w:tr>
      <w:tr>
        <w:trPr/>
        <w:tc>
          <w:tcPr>
            <w:tcW w:w="35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Product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39,275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7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244,409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252,084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59,035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555,528</w:t>
            </w:r>
          </w:p>
        </w:tc>
        <w:tc>
          <w:tcPr>
            <w:tcW w:w="311" w:type="dxa"/>
            <w:tcBorders/>
            <w:shd w:fill="CFF0FC" w:val="clear"/>
            <w:vAlign w:val="center"/>
          </w:tcPr>
          <w:p>
            <w:pPr>
              <w:pStyle w:val="TableContents"/>
              <w:bidi w:val="0"/>
              <w:spacing w:before="0" w:after="283"/>
              <w:jc w:val="left"/>
              <w:rPr/>
            </w:pPr>
            <w:r>
              <w:rPr/>
              <w:t> </w:t>
            </w:r>
          </w:p>
        </w:tc>
      </w:tr>
      <w:tr>
        <w:trPr/>
        <w:tc>
          <w:tcPr>
            <w:tcW w:w="35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service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11,636</w:t>
            </w:r>
          </w:p>
        </w:tc>
        <w:tc>
          <w:tcPr>
            <w:tcW w:w="311" w:type="dxa"/>
            <w:tcBorders/>
            <w:shd w:fill="FFFFFF" w:val="clear"/>
            <w:vAlign w:val="center"/>
          </w:tcPr>
          <w:p>
            <w:pPr>
              <w:pStyle w:val="TableContents"/>
              <w:bidi w:val="0"/>
              <w:spacing w:before="0" w:after="283"/>
              <w:jc w:val="left"/>
              <w:rPr/>
            </w:pPr>
            <w:r>
              <w:rPr/>
              <w:t> </w:t>
            </w:r>
          </w:p>
        </w:tc>
      </w:tr>
      <w:tr>
        <w:trPr/>
        <w:tc>
          <w:tcPr>
            <w:tcW w:w="35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product sales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25,638</w:t>
            </w:r>
          </w:p>
        </w:tc>
        <w:tc>
          <w:tcPr>
            <w:tcW w:w="311" w:type="dxa"/>
            <w:tcBorders/>
            <w:shd w:fill="CFF0FC" w:val="clear"/>
            <w:vAlign w:val="center"/>
          </w:tcPr>
          <w:p>
            <w:pPr>
              <w:pStyle w:val="TableContents"/>
              <w:bidi w:val="0"/>
              <w:spacing w:before="0" w:after="283"/>
              <w:jc w:val="left"/>
              <w:rPr/>
            </w:pPr>
            <w:r>
              <w:rPr/>
              <w:t> </w:t>
            </w:r>
          </w:p>
        </w:tc>
      </w:tr>
      <w:tr>
        <w:trPr/>
        <w:tc>
          <w:tcPr>
            <w:tcW w:w="35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53,004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103,660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165,966</w:t>
            </w:r>
          </w:p>
        </w:tc>
        <w:tc>
          <w:tcPr>
            <w:tcW w:w="311" w:type="dxa"/>
            <w:tcBorders/>
            <w:shd w:fill="FFFFFF" w:val="clear"/>
            <w:vAlign w:val="center"/>
          </w:tcPr>
          <w:p>
            <w:pPr>
              <w:pStyle w:val="TableContents"/>
              <w:bidi w:val="0"/>
              <w:spacing w:before="0" w:after="283"/>
              <w:jc w:val="left"/>
              <w:rPr/>
            </w:pPr>
            <w:r>
              <w:rPr/>
              <w:t> </w:t>
            </w:r>
          </w:p>
        </w:tc>
      </w:tr>
      <w:tr>
        <w:trPr/>
        <w:tc>
          <w:tcPr>
            <w:tcW w:w="35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40,980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45,732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107,896</w:t>
            </w:r>
          </w:p>
        </w:tc>
        <w:tc>
          <w:tcPr>
            <w:tcW w:w="311" w:type="dxa"/>
            <w:tcBorders/>
            <w:shd w:fill="CFF0FC" w:val="clear"/>
            <w:vAlign w:val="center"/>
          </w:tcPr>
          <w:p>
            <w:pPr>
              <w:pStyle w:val="TableContents"/>
              <w:bidi w:val="0"/>
              <w:spacing w:before="0" w:after="283"/>
              <w:jc w:val="left"/>
              <w:rPr/>
            </w:pPr>
            <w:r>
              <w:rPr/>
              <w:t> </w:t>
            </w:r>
          </w:p>
        </w:tc>
      </w:tr>
      <w:tr>
        <w:trPr/>
        <w:tc>
          <w:tcPr>
            <w:tcW w:w="35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on disposal of assets,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587</w:t>
            </w:r>
          </w:p>
        </w:tc>
        <w:tc>
          <w:tcPr>
            <w:tcW w:w="311" w:type="dxa"/>
            <w:tcBorders/>
            <w:shd w:fill="FFFFFF" w:val="clear"/>
            <w:vAlign w:val="center"/>
          </w:tcPr>
          <w:p>
            <w:pPr>
              <w:pStyle w:val="TableContents"/>
              <w:bidi w:val="0"/>
              <w:spacing w:before="0" w:after="283"/>
              <w:jc w:val="left"/>
              <w:rPr/>
            </w:pPr>
            <w:r>
              <w:rPr/>
              <w:t> </w:t>
            </w:r>
          </w:p>
        </w:tc>
      </w:tr>
      <w:tr>
        <w:trPr/>
        <w:tc>
          <w:tcPr>
            <w:tcW w:w="35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(11,143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76"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Segment profit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159,513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85,087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254,948</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Segment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159,513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85,087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254,948</w:t>
            </w:r>
          </w:p>
        </w:tc>
        <w:tc>
          <w:tcPr>
            <w:tcW w:w="311" w:type="dxa"/>
            <w:tcBorders/>
            <w:shd w:fill="CFF0FC" w:val="clear"/>
            <w:vAlign w:val="center"/>
          </w:tcPr>
          <w:p>
            <w:pPr>
              <w:pStyle w:val="TableContents"/>
              <w:bidi w:val="0"/>
              <w:spacing w:before="0" w:after="283"/>
              <w:jc w:val="left"/>
              <w:rPr/>
            </w:pPr>
            <w:r>
              <w:rPr/>
              <w:t> </w:t>
            </w:r>
          </w:p>
        </w:tc>
      </w:tr>
      <w:tr>
        <w:trPr/>
        <w:tc>
          <w:tcPr>
            <w:tcW w:w="35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105,294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105,294</w:t>
            </w:r>
          </w:p>
        </w:tc>
        <w:tc>
          <w:tcPr>
            <w:tcW w:w="311" w:type="dxa"/>
            <w:tcBorders/>
            <w:shd w:fill="FFFFFF" w:val="clear"/>
            <w:vAlign w:val="center"/>
          </w:tcPr>
          <w:p>
            <w:pPr>
              <w:pStyle w:val="TableContents"/>
              <w:bidi w:val="0"/>
              <w:spacing w:before="0" w:after="283"/>
              <w:jc w:val="left"/>
              <w:rPr/>
            </w:pPr>
            <w:r>
              <w:rPr/>
              <w:t> </w:t>
            </w:r>
          </w:p>
        </w:tc>
      </w:tr>
      <w:tr>
        <w:trPr/>
        <w:tc>
          <w:tcPr>
            <w:tcW w:w="35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Transaction and other related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3,457</w:t>
            </w:r>
          </w:p>
        </w:tc>
        <w:tc>
          <w:tcPr>
            <w:tcW w:w="311" w:type="dxa"/>
            <w:tcBorders/>
            <w:shd w:fill="CFF0FC" w:val="clear"/>
            <w:vAlign w:val="center"/>
          </w:tcPr>
          <w:p>
            <w:pPr>
              <w:pStyle w:val="TableContents"/>
              <w:bidi w:val="0"/>
              <w:spacing w:before="0" w:after="283"/>
              <w:jc w:val="left"/>
              <w:rPr/>
            </w:pPr>
            <w:r>
              <w:rPr/>
              <w:t> </w:t>
            </w:r>
          </w:p>
        </w:tc>
      </w:tr>
      <w:tr>
        <w:trPr/>
        <w:tc>
          <w:tcPr>
            <w:tcW w:w="35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Transformation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509</w:t>
            </w:r>
          </w:p>
        </w:tc>
        <w:tc>
          <w:tcPr>
            <w:tcW w:w="311" w:type="dxa"/>
            <w:tcBorders/>
            <w:shd w:fill="FFFFFF" w:val="clear"/>
            <w:vAlign w:val="center"/>
          </w:tcPr>
          <w:p>
            <w:pPr>
              <w:pStyle w:val="TableContents"/>
              <w:bidi w:val="0"/>
              <w:spacing w:before="0" w:after="283"/>
              <w:jc w:val="left"/>
              <w:rPr/>
            </w:pPr>
            <w:r>
              <w:rPr/>
              <w:t> </w:t>
            </w:r>
          </w:p>
        </w:tc>
      </w:tr>
      <w:tr>
        <w:trPr/>
        <w:tc>
          <w:tcPr>
            <w:tcW w:w="35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fair value of private placement warrants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(5,133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(5,133</w:t>
            </w:r>
          </w:p>
        </w:tc>
        <w:tc>
          <w:tcPr>
            <w:tcW w:w="3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Tax receivable agreement liability adjustment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(965</w:t>
            </w:r>
          </w:p>
        </w:tc>
        <w:tc>
          <w:tcPr>
            <w:tcW w:w="3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Gain on extinguishment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(3,005</w:t>
            </w:r>
          </w:p>
        </w:tc>
        <w:tc>
          <w:tcPr>
            <w:tcW w:w="3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13,656</w:t>
            </w:r>
          </w:p>
        </w:tc>
        <w:tc>
          <w:tcPr>
            <w:tcW w:w="311" w:type="dxa"/>
            <w:tcBorders/>
            <w:shd w:fill="FFFFFF" w:val="clear"/>
            <w:vAlign w:val="center"/>
          </w:tcPr>
          <w:p>
            <w:pPr>
              <w:pStyle w:val="TableContents"/>
              <w:bidi w:val="0"/>
              <w:spacing w:before="0" w:after="283"/>
              <w:jc w:val="left"/>
              <w:rPr/>
            </w:pPr>
            <w:r>
              <w:rPr/>
              <w:t> </w:t>
            </w:r>
          </w:p>
        </w:tc>
      </w:tr>
      <w:tr>
        <w:trPr/>
        <w:tc>
          <w:tcPr>
            <w:tcW w:w="35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49,024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7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159,513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85,087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(162,837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92,111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b w:val="false"/>
          <w:color w:val="000000"/>
          <w:sz w:val="20"/>
        </w:rPr>
        <w:t>The Company primarily operates within the United States, Australia, Canada, United Kingdom and in various other countries in Europe and Asia. Revenues earned from goods transferred to customers at a point in time were approximately $8.9</w:t>
      </w:r>
      <w:r>
        <w:rPr>
          <w:rFonts w:ascii="Times New Roman" w:hAnsi="Times New Roman"/>
          <w:color w:val="000000"/>
          <w:sz w:val="20"/>
        </w:rPr>
        <w:t xml:space="preserve"> </w:t>
      </w:r>
      <w:r>
        <w:rPr>
          <w:rFonts w:ascii="Times New Roman" w:hAnsi="Times New Roman"/>
          <w:b w:val="false"/>
          <w:color w:val="000000"/>
          <w:sz w:val="20"/>
        </w:rPr>
        <w:t>million and $17.0</w:t>
      </w:r>
      <w:r>
        <w:rPr>
          <w:rFonts w:ascii="Times New Roman" w:hAnsi="Times New Roman"/>
          <w:color w:val="000000"/>
          <w:sz w:val="20"/>
        </w:rPr>
        <w:t xml:space="preserve"> </w:t>
      </w:r>
      <w:r>
        <w:rPr>
          <w:rFonts w:ascii="Times New Roman" w:hAnsi="Times New Roman"/>
          <w:b w:val="false"/>
          <w:color w:val="000000"/>
          <w:sz w:val="20"/>
        </w:rPr>
        <w:t>million for the three months ended September</w:t>
      </w:r>
      <w:r>
        <w:rPr>
          <w:rFonts w:ascii="Times New Roman" w:hAnsi="Times New Roman"/>
          <w:color w:val="000000"/>
          <w:sz w:val="20"/>
        </w:rPr>
        <w:t xml:space="preserve"> </w:t>
      </w:r>
      <w:r>
        <w:rPr>
          <w:rFonts w:ascii="Times New Roman" w:hAnsi="Times New Roman"/>
          <w:b w:val="false"/>
          <w:color w:val="000000"/>
          <w:sz w:val="20"/>
        </w:rPr>
        <w:t>30, 2023 and 2022, respectively and were $24.5</w:t>
      </w:r>
      <w:r>
        <w:rPr>
          <w:rFonts w:ascii="Times New Roman" w:hAnsi="Times New Roman"/>
          <w:color w:val="000000"/>
          <w:sz w:val="20"/>
        </w:rPr>
        <w:t xml:space="preserve"> </w:t>
      </w:r>
      <w:r>
        <w:rPr>
          <w:rFonts w:ascii="Times New Roman" w:hAnsi="Times New Roman"/>
          <w:b w:val="false"/>
          <w:color w:val="000000"/>
          <w:sz w:val="20"/>
        </w:rPr>
        <w:t>million and $39.3</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2023 and 2022, respectively.</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following table details the revenues from international operations for the respective periods:</w:t>
      </w:r>
    </w:p>
    <w:p>
      <w:pPr>
        <w:pStyle w:val="TextBody"/>
        <w:bidi w:val="0"/>
        <w:spacing w:before="120" w:after="283"/>
        <w:jc w:val="both"/>
        <w:rPr/>
      </w:pPr>
      <w:r>
        <w:rPr/>
        <w:t> </w:t>
      </w:r>
    </w:p>
    <w:tbl>
      <w:tblPr>
        <w:tblW w:w="8521" w:type="dxa"/>
        <w:jc w:val="left"/>
        <w:tblInd w:w="0" w:type="dxa"/>
        <w:tblLayout w:type="fixed"/>
        <w:tblCellMar>
          <w:top w:w="28" w:type="dxa"/>
          <w:left w:w="28" w:type="dxa"/>
          <w:bottom w:w="28" w:type="dxa"/>
          <w:right w:w="28" w:type="dxa"/>
        </w:tblCellMar>
      </w:tblPr>
      <w:tblGrid>
        <w:gridCol w:w="2516"/>
        <w:gridCol w:w="146"/>
        <w:gridCol w:w="274"/>
        <w:gridCol w:w="878"/>
        <w:gridCol w:w="189"/>
        <w:gridCol w:w="189"/>
        <w:gridCol w:w="274"/>
        <w:gridCol w:w="878"/>
        <w:gridCol w:w="146"/>
        <w:gridCol w:w="146"/>
        <w:gridCol w:w="265"/>
        <w:gridCol w:w="849"/>
        <w:gridCol w:w="183"/>
        <w:gridCol w:w="183"/>
        <w:gridCol w:w="265"/>
        <w:gridCol w:w="849"/>
        <w:gridCol w:w="291"/>
      </w:tblGrid>
      <w:tr>
        <w:trPr/>
        <w:tc>
          <w:tcPr>
            <w:tcW w:w="2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Australia</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13,461</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33,431</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25,793</w:t>
            </w:r>
          </w:p>
        </w:tc>
        <w:tc>
          <w:tcPr>
            <w:tcW w:w="291" w:type="dxa"/>
            <w:tcBorders/>
            <w:shd w:fill="CFF0FC" w:val="clear"/>
            <w:vAlign w:val="center"/>
          </w:tcPr>
          <w:p>
            <w:pPr>
              <w:pStyle w:val="TableContents"/>
              <w:bidi w:val="0"/>
              <w:spacing w:before="0" w:after="283"/>
              <w:jc w:val="left"/>
              <w:rPr/>
            </w:pPr>
            <w:r>
              <w:rPr/>
              <w:t> </w:t>
            </w:r>
          </w:p>
        </w:tc>
      </w:tr>
      <w:tr>
        <w:trPr/>
        <w:tc>
          <w:tcPr>
            <w:tcW w:w="2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Canada</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6,535</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22,336</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23,757</w:t>
            </w:r>
          </w:p>
        </w:tc>
        <w:tc>
          <w:tcPr>
            <w:tcW w:w="291" w:type="dxa"/>
            <w:tcBorders/>
            <w:shd w:fill="FFFFFF" w:val="clear"/>
            <w:vAlign w:val="center"/>
          </w:tcPr>
          <w:p>
            <w:pPr>
              <w:pStyle w:val="TableContents"/>
              <w:bidi w:val="0"/>
              <w:spacing w:before="0" w:after="283"/>
              <w:jc w:val="left"/>
              <w:rPr/>
            </w:pPr>
            <w:r>
              <w:rPr/>
              <w:t> </w:t>
            </w:r>
          </w:p>
        </w:tc>
      </w:tr>
      <w:tr>
        <w:trPr/>
        <w:tc>
          <w:tcPr>
            <w:tcW w:w="2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United Kingdom</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4,923</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17,585</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15,716</w:t>
            </w:r>
          </w:p>
        </w:tc>
        <w:tc>
          <w:tcPr>
            <w:tcW w:w="291" w:type="dxa"/>
            <w:tcBorders/>
            <w:shd w:fill="CFF0FC" w:val="clear"/>
            <w:vAlign w:val="center"/>
          </w:tcPr>
          <w:p>
            <w:pPr>
              <w:pStyle w:val="TableContents"/>
              <w:bidi w:val="0"/>
              <w:spacing w:before="0" w:after="283"/>
              <w:jc w:val="left"/>
              <w:rPr/>
            </w:pPr>
            <w:r>
              <w:rPr/>
              <w:t> </w:t>
            </w:r>
          </w:p>
        </w:tc>
      </w:tr>
      <w:tr>
        <w:trPr/>
        <w:tc>
          <w:tcPr>
            <w:tcW w:w="2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All other</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1,008</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2,430</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1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international revenues</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25,927</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75,782</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67,406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15. Subsequent Event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On October 30, 2023, the Company’s Board of Directors authorized a share repurchase program for up to an aggregate amount of $100</w:t>
      </w:r>
      <w:r>
        <w:rPr>
          <w:rFonts w:ascii="Times New Roman" w:hAnsi="Times New Roman"/>
          <w:color w:val="000000"/>
          <w:sz w:val="20"/>
        </w:rPr>
        <w:t xml:space="preserve"> </w:t>
      </w:r>
      <w:r>
        <w:rPr>
          <w:rFonts w:ascii="Times New Roman" w:hAnsi="Times New Roman"/>
          <w:b w:val="false"/>
          <w:color w:val="000000"/>
          <w:sz w:val="20"/>
        </w:rPr>
        <w:t>million of its outstanding shares of Class A common stock over the next eighteen months. The level at which the Company repurchases depends on a number of factors, including its financial condition, capital requirements, cash flows, results of operations, future business prospects and other factors its management may deem relevant. The timing, volume and nature of repurchases are subject to market conditions, applicable securities laws and other factors and may be amended, suspended or discontinued at any time.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00" w:after="283"/>
        <w:jc w:val="both"/>
        <w:rPr>
          <w:rFonts w:ascii="Times New Roman" w:hAnsi="Times New Roman"/>
          <w:b w:val="false"/>
          <w:i/>
          <w:color w:val="000000"/>
          <w:sz w:val="20"/>
        </w:rPr>
      </w:pPr>
      <w:r>
        <w:rPr>
          <w:rFonts w:ascii="Times New Roman" w:hAnsi="Times New Roman"/>
          <w:b w:val="false"/>
          <w:i/>
          <w:color w:val="000000"/>
          <w:sz w:val="20"/>
        </w:rPr>
        <w:t>The following discussion and analysis should be read together with our Annual Report on Form 10-K for the year ended December 31, 2022, and our financial statements included in Part I, Item 1 “Financial Statements” of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set forth in Part I, Item 1A. “Risk Factors” in our Annual Report on Form 10-K for the year ended December 31, 2022. Please also refer to the section entitled “Cautionary Note Regarding Forward-Looking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Business Overview</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are a leading provider of smart mobility technology solutions throughout the United States, Australia, Canada and Europe. We make transportation safer, smarter and more connected through our integrated, data-driven solutions, including toll and violations management, title and registration services, automated safety and traffic enforcement and commercial parking management. We bring together vehicles, hardware, software, data, and people to solve transportation challenges for customers around the world, including fleet owners such as rental car companies (“</w:t>
      </w:r>
      <w:r>
        <w:rPr>
          <w:rFonts w:ascii="Times New Roman" w:hAnsi="Times New Roman"/>
          <w:b/>
          <w:i/>
          <w:color w:val="000000"/>
          <w:sz w:val="20"/>
        </w:rPr>
        <w:t>RACs</w:t>
      </w:r>
      <w:r>
        <w:rPr>
          <w:rFonts w:ascii="Times New Roman" w:hAnsi="Times New Roman"/>
          <w:color w:val="000000"/>
          <w:sz w:val="20"/>
        </w:rPr>
        <w:t>”</w:t>
      </w:r>
      <w:r>
        <w:rPr>
          <w:rFonts w:ascii="Times New Roman" w:hAnsi="Times New Roman"/>
          <w:b w:val="false"/>
          <w:color w:val="000000"/>
          <w:sz w:val="20"/>
        </w:rPr>
        <w:t>) and fleet management companies (“</w:t>
      </w:r>
      <w:r>
        <w:rPr>
          <w:rFonts w:ascii="Times New Roman" w:hAnsi="Times New Roman"/>
          <w:b/>
          <w:i/>
          <w:color w:val="000000"/>
          <w:sz w:val="20"/>
        </w:rPr>
        <w:t>FMCs</w:t>
      </w:r>
      <w:r>
        <w:rPr>
          <w:rFonts w:ascii="Times New Roman" w:hAnsi="Times New Roman"/>
          <w:color w:val="000000"/>
          <w:sz w:val="20"/>
        </w:rPr>
        <w:t>”</w:t>
      </w:r>
      <w:r>
        <w:rPr>
          <w:rFonts w:ascii="Times New Roman" w:hAnsi="Times New Roman"/>
          <w:b w:val="false"/>
          <w:color w:val="000000"/>
          <w:sz w:val="20"/>
        </w:rPr>
        <w:t>), governments, universities, healthcare facilities, commercial parking operators and other violation-issuing authorities. Our vision is to continue to develop and use technology and data intelligence to make transportation safer, smarter and more connected.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Executive Summary</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operate under long-term contracts and a highly reoccurring service revenue model. We continue to execute our strategy to grow revenue organically year over year and focus on initiatives that support our long-term vision. During the periods presented, we: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Increased total revenue by $50.8 million, or 9.1%, from $555.5 million in the nine months ended September 30, 2022 to $606.3 million in the same period in 2023. The increase was mainly due to service revenue resulting from increased travel volume and higher adoption of the all-inclusive product offering in the Commercial Services segment and the expansion of speed programs in the Government Solutions segment.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Generated cash flows from operating activities of $170.4 million and $148.8 million for the nine months ended September 30, 2023 and 2022, respectively. Our cash on hand was $114.4 million as of September 30, 2023, due in part to $161.4 million of cash proceeds received from Warrant exercises partially offset by $100 million paid for share repurchases during the nine months ended September 30, 2023.</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Continued to focus on debt management and lowering our exposure to higher interest rates, and as a result, made early repayments totaling $172.5 million on our 2021 Term Loan during the nine months ended September 30, 2023.</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Recent Events</w:t>
      </w:r>
    </w:p>
    <w:p>
      <w:pPr>
        <w:pStyle w:val="TextBody"/>
        <w:bidi w:val="0"/>
        <w:jc w:val="both"/>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November 2022, our Board of Directors authorized a share repurchase program for up to an aggregate amount of $100.0 million of our outstanding shares of Class A Common Stock over an 18-month period in open market, accelerated share repurchase (“</w:t>
      </w:r>
      <w:r>
        <w:rPr>
          <w:rFonts w:ascii="Times New Roman" w:hAnsi="Times New Roman"/>
          <w:b/>
          <w:i/>
          <w:color w:val="000000"/>
          <w:sz w:val="20"/>
        </w:rPr>
        <w:t>ASR</w:t>
      </w:r>
      <w:r>
        <w:rPr>
          <w:rFonts w:ascii="Times New Roman" w:hAnsi="Times New Roman"/>
          <w:color w:val="000000"/>
          <w:sz w:val="20"/>
        </w:rPr>
        <w:t>”</w:t>
      </w:r>
      <w:r>
        <w:rPr>
          <w:rFonts w:ascii="Times New Roman" w:hAnsi="Times New Roman"/>
          <w:b w:val="false"/>
          <w:color w:val="000000"/>
          <w:sz w:val="20"/>
        </w:rPr>
        <w:t>) or privately negotiated transactions, each as permitted under applicable rules and regulations, any of which may use pre-arranged trading plans that are designed to meet the requirements of Rule 10b5-1 of the Exchange Act.</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paid $8.1 million to repurchase 449,432 shares of our Class A Common Stock through open market transactions during the third quarter of fiscal year 2023, which we subsequently retired. On September 5, 2023, we used the remaining availability under the share repurchase program for an ASR and paid approximately $91.9 million to receive an initial delivery of 4,131,551 shares of our Class A Common Stock in accordance with an ASR agreement with a third-party financial institution. The final settlement is expected to occur during the first quarter of fiscal year 2024, at which time, a volume-weighted average price calculation over the term of the ASR agreement will be used to determine the final number and the average price of shares repurchased and retired. We paid a total of $100.0 million for shares repurchases during the nine months ended September 30, 2023.</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have three operating and reportable segments, Commercial Services, Government Solutions and Parking Solutions: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Our Commercial Services segment offers toll and violation management solutions and title and registration services for RACs and FMCs in North America. In Europe, we provide tolling and violations processing services.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Our Government Solutions segment offers photo enforcement solutions and services to its customers. We provide complete, end-to-end speed, red-light, school bus stop arm and bus lane enforcement solutions within the United States and Canada. The international operations primarily involve the sale of traffic enforcement products and related maintenance services.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Our Parking Solutions segment provides an integrated suite of parking software and hardware solutions to universities, municipalities, healthcare facilities and commercial parking operators in the United States and Canada.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Segment performance is based on revenues and income from operations before depreciation, amortization, and stock-based compensation. The measure also excludes interest expense, net, income taxes and certain other transactions and is inclusive of other income, net.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Primary Components of Our Operating Results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Service Revenue.</w:t>
      </w:r>
      <w:r>
        <w:rPr>
          <w:rFonts w:ascii="Times New Roman" w:hAnsi="Times New Roman"/>
          <w:color w:val="000000"/>
          <w:sz w:val="20"/>
        </w:rPr>
        <w:t xml:space="preserve"> </w:t>
      </w:r>
      <w:r>
        <w:rPr>
          <w:rFonts w:ascii="Times New Roman" w:hAnsi="Times New Roman"/>
          <w:b w:val="false"/>
          <w:color w:val="000000"/>
          <w:sz w:val="20"/>
        </w:rPr>
        <w:t>Our Commercial Services segment generates service revenue primarily through the operation and management of tolling programs and processing violations for RACs, FMCs and other large fleet customers. These solutions are full-service offerings by which we enroll the license plates of our customers’ vehicles and transponders with tolling authority accounts, pay tolls and violations on the customers’ behalf and, through proprietary technology, integrate with customer data to match the toll or violation to the driver and then bill the driver (or our customer, as applicable) for use of the service. The cost of certain tolls, violations and our customers’ share of administration fees are netted against revenue. We also generate service revenue in our Commercial Services segment through processing titles and registrations.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Our Government Solutions segment generates service revenue through the operation and maintenance of photo enforcement systems. Revenue drivers in this segment include the number of systems installed and the monthly revenue per system. Ancillary service revenue is generated in our Government Solutions segment from payment processing, pass-through fees for collection expense, and other fees.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Our Parking Solutions segment generates service revenue mainly from offering software as a service, subscription fees, professional services and citation processing services related to parking management solutions to its customers.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Product Sales.</w:t>
      </w:r>
      <w:r>
        <w:rPr>
          <w:rFonts w:ascii="Times New Roman" w:hAnsi="Times New Roman"/>
          <w:color w:val="000000"/>
          <w:sz w:val="20"/>
        </w:rPr>
        <w:t xml:space="preserve"> </w:t>
      </w:r>
      <w:r>
        <w:rPr>
          <w:rFonts w:ascii="Times New Roman" w:hAnsi="Times New Roman"/>
          <w:b w:val="false"/>
          <w:color w:val="000000"/>
          <w:sz w:val="20"/>
        </w:rPr>
        <w:t>Product sales are generated by the sale of photo enforcement equipment in the Government Solutions segment and specialized hardware in the Parking Solutions segment. Customer buying patterns vary greatly from period to period related to product sales.</w:t>
      </w:r>
      <w:r>
        <w:rPr>
          <w:rFonts w:ascii="Times New Roman" w:hAnsi="Times New Roman"/>
          <w:color w:val="000000"/>
          <w:sz w:val="20"/>
        </w:rPr>
        <w:t xml:space="preserv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Costs and Expenses</w:t>
      </w:r>
    </w:p>
    <w:p>
      <w:pPr>
        <w:pStyle w:val="TextBody"/>
        <w:bidi w:val="0"/>
        <w:spacing w:before="120" w:after="283"/>
        <w:jc w:val="both"/>
        <w:rPr>
          <w:rFonts w:ascii="Times New Roman" w:hAnsi="Times New Roman"/>
          <w:sz w:val="20"/>
        </w:rPr>
      </w:pPr>
      <w:r>
        <w:rPr>
          <w:rFonts w:ascii="Times New Roman" w:hAnsi="Times New Roman"/>
          <w:b w:val="false"/>
          <w:i/>
          <w:color w:val="000000"/>
          <w:sz w:val="20"/>
        </w:rPr>
        <w:t>Cost of Service Revenue.</w:t>
      </w:r>
      <w:r>
        <w:rPr>
          <w:rFonts w:ascii="Times New Roman" w:hAnsi="Times New Roman"/>
          <w:color w:val="000000"/>
          <w:sz w:val="20"/>
        </w:rPr>
        <w:t xml:space="preserve"> </w:t>
      </w:r>
      <w:r>
        <w:rPr>
          <w:rFonts w:ascii="Times New Roman" w:hAnsi="Times New Roman"/>
          <w:b w:val="false"/>
          <w:color w:val="000000"/>
          <w:sz w:val="20"/>
        </w:rPr>
        <w:t>Cost of service revenue consists of recurring service costs, collection and other third-party costs in our segments.</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 xml:space="preserve">Cost of Product Sales. </w:t>
      </w:r>
      <w:r>
        <w:rPr>
          <w:rFonts w:ascii="Times New Roman" w:hAnsi="Times New Roman"/>
          <w:b w:val="false"/>
          <w:color w:val="000000"/>
          <w:sz w:val="20"/>
        </w:rPr>
        <w:t>Cost of product sales consists of the cost to acquire and install photo enforcement equipment purchased by Government Solutions customers and costs to develop and install hardware sold to Parking Solutions customers.</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Operating Expenses</w:t>
      </w:r>
      <w:r>
        <w:rPr>
          <w:rFonts w:ascii="Times New Roman" w:hAnsi="Times New Roman"/>
          <w:b w:val="false"/>
          <w:color w:val="000000"/>
          <w:sz w:val="20"/>
        </w:rPr>
        <w:t>. Operating expenses primarily include payroll and payroll-related costs (including stock-based compensation), subcontractor costs, payment processing and other operational costs, including print, postage and communication costs.</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Selling, General and Administrative Expenses</w:t>
      </w:r>
      <w:r>
        <w:rPr>
          <w:rFonts w:ascii="Times New Roman" w:hAnsi="Times New Roman"/>
          <w:b w:val="false"/>
          <w:color w:val="000000"/>
          <w:sz w:val="20"/>
        </w:rPr>
        <w:t>. Selling, general and administrative expenses include payroll and payroll-related costs (including stock-based compensation), real estate lease expense, insurance costs, professional services fees, acquisition costs and general corporate expenses.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Depreciation, Amortization and (Gain) Loss on Disposal of Assets, Net</w:t>
      </w:r>
      <w:r>
        <w:rPr>
          <w:rFonts w:ascii="Times New Roman" w:hAnsi="Times New Roman"/>
          <w:b w:val="false"/>
          <w:color w:val="000000"/>
          <w:sz w:val="20"/>
        </w:rPr>
        <w:t>. Depreciation, amortization and (gain) loss on disposal of assets, net includes depreciation on property, plant and equipment, and amortization of definite-lived intangible assets. This line item also includes any one-time gains or losses incurred in connection with the disposal of certain assets.</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Interest Expense, Net</w:t>
      </w:r>
      <w:r>
        <w:rPr>
          <w:rFonts w:ascii="Times New Roman" w:hAnsi="Times New Roman"/>
          <w:b w:val="false"/>
          <w:color w:val="000000"/>
          <w:sz w:val="20"/>
        </w:rPr>
        <w:t>. This includes interest expense and amortization of deferred financing costs and discounts and is net of interest income.</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Change in Fair Value of Private Placement Warrants</w:t>
      </w:r>
      <w:r>
        <w:rPr>
          <w:rFonts w:ascii="Times New Roman" w:hAnsi="Times New Roman"/>
          <w:b w:val="false"/>
          <w:color w:val="000000"/>
          <w:sz w:val="20"/>
        </w:rPr>
        <w:t>. Change in fair value of private placement warrants consists of liability adjustments related to the Private Placement Warrants originally issued to Gores Sponsor II, LLC re-measured to fair value at the end of each reporting period, and the final re-measurement upon their exercise.</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Tax Receivable Agreement Liability Adjustment</w:t>
      </w:r>
      <w:r>
        <w:rPr>
          <w:rFonts w:ascii="Times New Roman" w:hAnsi="Times New Roman"/>
          <w:b w:val="false"/>
          <w:color w:val="000000"/>
          <w:sz w:val="20"/>
        </w:rPr>
        <w:t>. This consists of adjustments made to our Tax Receivable Agreement liability due to changes in estimates.</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 xml:space="preserve">Loss (Gain) on Interest Rate Swap. </w:t>
      </w:r>
      <w:r>
        <w:rPr>
          <w:rFonts w:ascii="Times New Roman" w:hAnsi="Times New Roman"/>
          <w:b w:val="false"/>
          <w:color w:val="000000"/>
          <w:sz w:val="20"/>
        </w:rPr>
        <w:t>Loss (gain) on interest rate swap relates to the changes associated with the derivative instrument re-measured to fair value at the end of the reporting period and the related periodic cash payments.</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 xml:space="preserve">Loss (Gain) on Extinguishment of Debt. </w:t>
      </w:r>
      <w:r>
        <w:rPr>
          <w:rFonts w:ascii="Times New Roman" w:hAnsi="Times New Roman"/>
          <w:b w:val="false"/>
          <w:color w:val="000000"/>
          <w:sz w:val="20"/>
        </w:rPr>
        <w:t>Loss (gain) on extinguishment of debt consists of the write-off of pre-existing original issue discounts and deferred financing costs associated with debt extinguishment, and any gains recognized as a result of loan forgiveness.</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Other Income, Net</w:t>
      </w:r>
      <w:r>
        <w:rPr>
          <w:rFonts w:ascii="Times New Roman" w:hAnsi="Times New Roman"/>
          <w:b w:val="false"/>
          <w:color w:val="000000"/>
          <w:sz w:val="20"/>
        </w:rPr>
        <w:t>. Other income, net primarily consists of volume rebates earned from total spend on purchasing cards, gains or losses on foreign currency transactions and other non-operating expenses.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Three Months Ended September 30, 2023 Compared to Three Months Ended September 30, 2022</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tbl>
      <w:tblPr>
        <w:tblW w:w="10205" w:type="dxa"/>
        <w:jc w:val="left"/>
        <w:tblInd w:w="0" w:type="dxa"/>
        <w:tblLayout w:type="fixed"/>
        <w:tblCellMar>
          <w:top w:w="28" w:type="dxa"/>
          <w:left w:w="28" w:type="dxa"/>
          <w:bottom w:w="28" w:type="dxa"/>
          <w:right w:w="28" w:type="dxa"/>
        </w:tblCellMar>
      </w:tblPr>
      <w:tblGrid>
        <w:gridCol w:w="2637"/>
        <w:gridCol w:w="146"/>
        <w:gridCol w:w="211"/>
        <w:gridCol w:w="781"/>
        <w:gridCol w:w="166"/>
        <w:gridCol w:w="146"/>
        <w:gridCol w:w="211"/>
        <w:gridCol w:w="781"/>
        <w:gridCol w:w="166"/>
        <w:gridCol w:w="146"/>
        <w:gridCol w:w="146"/>
        <w:gridCol w:w="571"/>
        <w:gridCol w:w="288"/>
        <w:gridCol w:w="146"/>
        <w:gridCol w:w="146"/>
        <w:gridCol w:w="571"/>
        <w:gridCol w:w="288"/>
        <w:gridCol w:w="146"/>
        <w:gridCol w:w="211"/>
        <w:gridCol w:w="676"/>
        <w:gridCol w:w="166"/>
        <w:gridCol w:w="146"/>
        <w:gridCol w:w="146"/>
        <w:gridCol w:w="631"/>
        <w:gridCol w:w="536"/>
      </w:tblGrid>
      <w:tr>
        <w:trPr/>
        <w:tc>
          <w:tcPr>
            <w:tcW w:w="2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63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88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2023 vs 2022</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7"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7"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Service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201,029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180,617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95.8</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91.4</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20,412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11.3</w:t>
            </w:r>
          </w:p>
        </w:tc>
        <w:tc>
          <w:tcPr>
            <w:tcW w:w="53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637"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Product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8,904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17,039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4.2</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8.6</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(47.7</w:t>
            </w:r>
          </w:p>
        </w:tc>
        <w:tc>
          <w:tcPr>
            <w:tcW w:w="53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9"/>
              </w:rPr>
            </w:pPr>
            <w:r>
              <w:rPr>
                <w:rFonts w:ascii="Times New Roman" w:hAnsi="Times New Roman"/>
                <w:b w:val="false"/>
                <w:color w:val="000000"/>
                <w:sz w:val="19"/>
              </w:rPr>
              <w:t>)%</w:t>
            </w:r>
          </w:p>
        </w:tc>
      </w:tr>
      <w:tr>
        <w:trPr/>
        <w:tc>
          <w:tcPr>
            <w:tcW w:w="2637"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9"/>
              </w:rPr>
            </w:pPr>
            <w:r>
              <w:rPr>
                <w:rFonts w:ascii="Times New Roman" w:hAnsi="Times New Roman"/>
                <w:b/>
                <w:color w:val="000000"/>
                <w:sz w:val="19"/>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209,933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197,656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100.0</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100.0</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12,277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6.2</w:t>
            </w:r>
          </w:p>
        </w:tc>
        <w:tc>
          <w:tcPr>
            <w:tcW w:w="53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637"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Cost of service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5,150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4,144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2.5</w:t>
            </w:r>
          </w:p>
        </w:tc>
        <w:tc>
          <w:tcPr>
            <w:tcW w:w="288"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2.1</w:t>
            </w:r>
          </w:p>
        </w:tc>
        <w:tc>
          <w:tcPr>
            <w:tcW w:w="288"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1,006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24.3</w:t>
            </w:r>
          </w:p>
        </w:tc>
        <w:tc>
          <w:tcPr>
            <w:tcW w:w="53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637"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Cost of product sales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6,864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11,317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3.3</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5.7</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(4,453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(39.3</w:t>
            </w:r>
          </w:p>
        </w:tc>
        <w:tc>
          <w:tcPr>
            <w:tcW w:w="53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637"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68,873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60,536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32.8</w:t>
            </w:r>
          </w:p>
        </w:tc>
        <w:tc>
          <w:tcPr>
            <w:tcW w:w="288"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30.6</w:t>
            </w:r>
          </w:p>
        </w:tc>
        <w:tc>
          <w:tcPr>
            <w:tcW w:w="288"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8,337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13.8</w:t>
            </w:r>
          </w:p>
        </w:tc>
        <w:tc>
          <w:tcPr>
            <w:tcW w:w="53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637"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42,276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41,126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20.1</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20.8</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2.8</w:t>
            </w:r>
          </w:p>
        </w:tc>
        <w:tc>
          <w:tcPr>
            <w:tcW w:w="53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637"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Depreciation, amortization and (gain) loss on disposal of assets,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27,597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35,035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13.1</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17.7</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(7,438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(21.2</w:t>
            </w:r>
          </w:p>
        </w:tc>
        <w:tc>
          <w:tcPr>
            <w:tcW w:w="53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9"/>
              </w:rPr>
            </w:pPr>
            <w:r>
              <w:rPr>
                <w:rFonts w:ascii="Times New Roman" w:hAnsi="Times New Roman"/>
                <w:b w:val="false"/>
                <w:color w:val="000000"/>
                <w:sz w:val="19"/>
              </w:rPr>
              <w:t>)%</w:t>
            </w:r>
          </w:p>
        </w:tc>
      </w:tr>
      <w:tr>
        <w:trPr/>
        <w:tc>
          <w:tcPr>
            <w:tcW w:w="263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Total costs and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150,760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152,158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71.8</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76.9</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(1,398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(0.9</w:t>
            </w:r>
          </w:p>
        </w:tc>
        <w:tc>
          <w:tcPr>
            <w:tcW w:w="53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9"/>
              </w:rPr>
            </w:pPr>
            <w:r>
              <w:rPr>
                <w:rFonts w:ascii="Times New Roman" w:hAnsi="Times New Roman"/>
                <w:b w:val="false"/>
                <w:color w:val="000000"/>
                <w:sz w:val="19"/>
              </w:rPr>
              <w:t>)%</w:t>
            </w:r>
          </w:p>
        </w:tc>
      </w:tr>
      <w:tr>
        <w:trPr/>
        <w:tc>
          <w:tcPr>
            <w:tcW w:w="2637"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9"/>
              </w:rPr>
            </w:pPr>
            <w:r>
              <w:rPr>
                <w:rFonts w:ascii="Times New Roman" w:hAnsi="Times New Roman"/>
                <w:b/>
                <w:color w:val="000000"/>
                <w:sz w:val="19"/>
              </w:rPr>
              <w:t>Income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59,173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45,498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28.2</w:t>
            </w:r>
          </w:p>
        </w:tc>
        <w:tc>
          <w:tcPr>
            <w:tcW w:w="288"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23.1</w:t>
            </w:r>
          </w:p>
        </w:tc>
        <w:tc>
          <w:tcPr>
            <w:tcW w:w="288"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13,675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30.1</w:t>
            </w:r>
          </w:p>
        </w:tc>
        <w:tc>
          <w:tcPr>
            <w:tcW w:w="53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637"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Interest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20,384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20,260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9.7</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10.3</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0.6</w:t>
            </w:r>
          </w:p>
        </w:tc>
        <w:tc>
          <w:tcPr>
            <w:tcW w:w="53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637"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Change in fair value of private placement warrants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(553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(2,267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(0.3</w:t>
            </w:r>
          </w:p>
        </w:tc>
        <w:tc>
          <w:tcPr>
            <w:tcW w:w="288"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w:t>
            </w:r>
          </w:p>
        </w:tc>
        <w:tc>
          <w:tcPr>
            <w:tcW w:w="288"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1,714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(75.6</w:t>
            </w:r>
          </w:p>
        </w:tc>
        <w:tc>
          <w:tcPr>
            <w:tcW w:w="53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637"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Loss on interest rate swap</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0.0</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28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77" w:type="dxa"/>
            <w:gridSpan w:val="2"/>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n/a</w:t>
            </w:r>
          </w:p>
        </w:tc>
        <w:tc>
          <w:tcPr>
            <w:tcW w:w="536" w:type="dxa"/>
            <w:tcBorders/>
            <w:shd w:fill="CFF0FC" w:val="clear"/>
            <w:vAlign w:val="center"/>
          </w:tcPr>
          <w:p>
            <w:pPr>
              <w:pStyle w:val="TableContents"/>
              <w:bidi w:val="0"/>
              <w:spacing w:before="0" w:after="283"/>
              <w:jc w:val="right"/>
              <w:rPr/>
            </w:pPr>
            <w:r>
              <w:rPr/>
              <w:t> </w:t>
            </w:r>
          </w:p>
        </w:tc>
      </w:tr>
      <w:tr>
        <w:trPr/>
        <w:tc>
          <w:tcPr>
            <w:tcW w:w="2637"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Loss (gain) on extinguishment of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1,975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(3,005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1.0</w:t>
            </w:r>
          </w:p>
        </w:tc>
        <w:tc>
          <w:tcPr>
            <w:tcW w:w="288"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(1.5</w:t>
            </w:r>
          </w:p>
        </w:tc>
        <w:tc>
          <w:tcPr>
            <w:tcW w:w="288"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4,980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(165.7</w:t>
            </w:r>
          </w:p>
        </w:tc>
        <w:tc>
          <w:tcPr>
            <w:tcW w:w="53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637"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(4,498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(2.1</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(1.2</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82.7</w:t>
            </w:r>
          </w:p>
        </w:tc>
        <w:tc>
          <w:tcPr>
            <w:tcW w:w="53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9"/>
              </w:rPr>
            </w:pPr>
            <w:r>
              <w:rPr>
                <w:rFonts w:ascii="Times New Roman" w:hAnsi="Times New Roman"/>
                <w:b w:val="false"/>
                <w:color w:val="000000"/>
                <w:sz w:val="19"/>
              </w:rPr>
              <w:t>%</w:t>
            </w:r>
          </w:p>
        </w:tc>
      </w:tr>
      <w:tr>
        <w:trPr/>
        <w:tc>
          <w:tcPr>
            <w:tcW w:w="263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Total other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17,368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12,526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8.3</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6.5</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4,842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38.7</w:t>
            </w:r>
          </w:p>
        </w:tc>
        <w:tc>
          <w:tcPr>
            <w:tcW w:w="53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637"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Income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41,805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32,972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19.9</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16.6</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8,833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26.8</w:t>
            </w:r>
          </w:p>
        </w:tc>
        <w:tc>
          <w:tcPr>
            <w:tcW w:w="53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637"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Income tax provision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11,497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5.5</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4.2</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36.9</w:t>
            </w:r>
          </w:p>
        </w:tc>
        <w:tc>
          <w:tcPr>
            <w:tcW w:w="53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9"/>
              </w:rPr>
            </w:pPr>
            <w:r>
              <w:rPr>
                <w:rFonts w:ascii="Times New Roman" w:hAnsi="Times New Roman"/>
                <w:b w:val="false"/>
                <w:color w:val="000000"/>
                <w:sz w:val="19"/>
              </w:rPr>
              <w:t>%</w:t>
            </w:r>
          </w:p>
        </w:tc>
      </w:tr>
      <w:tr>
        <w:trPr/>
        <w:tc>
          <w:tcPr>
            <w:tcW w:w="2637"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9"/>
              </w:rPr>
            </w:pPr>
            <w:r>
              <w:rPr>
                <w:rFonts w:ascii="Times New Roman" w:hAnsi="Times New Roman"/>
                <w:b/>
                <w:color w:val="000000"/>
                <w:sz w:val="19"/>
              </w:rPr>
              <w:t>Net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30,308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24,576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14.4</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12.4</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5,732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23.3</w:t>
            </w:r>
          </w:p>
        </w:tc>
        <w:tc>
          <w:tcPr>
            <w:tcW w:w="53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bl>
    <w:p>
      <w:pPr>
        <w:pStyle w:val="TextBody"/>
        <w:bidi w:val="0"/>
        <w:jc w:val="both"/>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Service Revenue.</w:t>
      </w:r>
      <w:r>
        <w:rPr>
          <w:rFonts w:ascii="Times New Roman" w:hAnsi="Times New Roman"/>
          <w:color w:val="000000"/>
          <w:sz w:val="20"/>
        </w:rPr>
        <w:t xml:space="preserve"> </w:t>
      </w:r>
      <w:r>
        <w:rPr>
          <w:rFonts w:ascii="Times New Roman" w:hAnsi="Times New Roman"/>
          <w:b w:val="false"/>
          <w:color w:val="000000"/>
          <w:sz w:val="20"/>
        </w:rPr>
        <w:t>Service revenue increased by $20.4 million, or 11.3%, to $201.0 million for the three months ended September 30, 2023 from $180.6 million for the three months ended September 30, 2022, representing 95.8% and 91.4% of total revenue, respectively. The following table depicts service revenue by segment:</w:t>
      </w:r>
    </w:p>
    <w:p>
      <w:pPr>
        <w:pStyle w:val="TextBody"/>
        <w:bidi w:val="0"/>
        <w:jc w:val="both"/>
        <w:rPr/>
      </w:pPr>
      <w:r>
        <w:rPr/>
        <w:t> </w:t>
      </w:r>
    </w:p>
    <w:tbl>
      <w:tblPr>
        <w:tblW w:w="9356" w:type="dxa"/>
        <w:jc w:val="left"/>
        <w:tblInd w:w="0" w:type="dxa"/>
        <w:tblLayout w:type="fixed"/>
        <w:tblCellMar>
          <w:top w:w="28" w:type="dxa"/>
          <w:left w:w="28" w:type="dxa"/>
          <w:bottom w:w="28" w:type="dxa"/>
          <w:right w:w="28" w:type="dxa"/>
        </w:tblCellMar>
      </w:tblPr>
      <w:tblGrid>
        <w:gridCol w:w="2151"/>
        <w:gridCol w:w="146"/>
        <w:gridCol w:w="211"/>
        <w:gridCol w:w="781"/>
        <w:gridCol w:w="146"/>
        <w:gridCol w:w="146"/>
        <w:gridCol w:w="211"/>
        <w:gridCol w:w="781"/>
        <w:gridCol w:w="146"/>
        <w:gridCol w:w="146"/>
        <w:gridCol w:w="157"/>
        <w:gridCol w:w="502"/>
        <w:gridCol w:w="292"/>
        <w:gridCol w:w="157"/>
        <w:gridCol w:w="157"/>
        <w:gridCol w:w="502"/>
        <w:gridCol w:w="271"/>
        <w:gridCol w:w="146"/>
        <w:gridCol w:w="211"/>
        <w:gridCol w:w="676"/>
        <w:gridCol w:w="146"/>
        <w:gridCol w:w="146"/>
        <w:gridCol w:w="146"/>
        <w:gridCol w:w="466"/>
        <w:gridCol w:w="516"/>
      </w:tblGrid>
      <w:tr>
        <w:trPr/>
        <w:tc>
          <w:tcPr>
            <w:tcW w:w="2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4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2023 vs 2022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Service 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59" w:type="dxa"/>
            <w:gridSpan w:val="2"/>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659"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21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Commercial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98,149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86,056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46.8</w:t>
            </w:r>
          </w:p>
        </w:tc>
        <w:tc>
          <w:tcPr>
            <w:tcW w:w="2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43.5</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1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Government Solutions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85,092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77,441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40.5</w:t>
            </w:r>
          </w:p>
        </w:tc>
        <w:tc>
          <w:tcPr>
            <w:tcW w:w="2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39.2</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1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Parking Solutions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FFFFFF" w:val="cle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service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201,029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180,617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95.8</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Commercial Services service revenue increased by $12.1 million, or 14.1%, from $86.1 million for the three months ended September 30, 2022 to $98.1 million for the three months ended September 30, 2023, which was primarily due to increased travel volume and related tolling activity compared to the prior year. An increase in the volume of tolls incurred by RAC vehicles along with the continued adoption of the all-inclusive fee structure, shifting from an incidental or daily usage rate by our large RAC customers, contributed to a $11.3 million growth in revenue. In addition, the increase in enrolled vehicles as well as higher tolling activity for our FMC customers contributed to a $2.7 million growth in revenue during the three months ended September 30, 2023, compared to the same period in 2022. These increases were partially offset by lower revenue generated from processing titles and registrations compared to the prior year.</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Government Solutions service revenue increased by $7.7 million to $85.1 million for the three months ended September 30, 2023 compared to $77.4 million in the same period in 2022. The increase was primarily driven by the expansion of speed programs, as speed is the largest product in this segment and contributed approximately $6.0 million to the service revenue growth. The remaining increase is attributable to expansions across red-light and bus lane programs.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Parking Solutions service revenue grew by $0.7 million to $17.8 million for the three months ended September 30, 2023, from $17.1 million for the three months ended September 30, 2022. The growth was primarily due to increased revenue from software as a service product offerings and citation processing services related to parking management solutions.</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Product Sales.</w:t>
      </w:r>
      <w:r>
        <w:rPr>
          <w:rFonts w:ascii="Times New Roman" w:hAnsi="Times New Roman"/>
          <w:color w:val="000000"/>
          <w:sz w:val="20"/>
        </w:rPr>
        <w:t xml:space="preserve"> </w:t>
      </w:r>
      <w:r>
        <w:rPr>
          <w:rFonts w:ascii="Times New Roman" w:hAnsi="Times New Roman"/>
          <w:b w:val="false"/>
          <w:color w:val="000000"/>
          <w:sz w:val="20"/>
        </w:rPr>
        <w:t>Product sales were $8.9 million and $17.0 million for the three months ended September 30, 2023 and 2022, respectively. Product sales decreased by approximately $8.1 million, which was mainly due to a $7.1 million decrease in product sales to Government Solutions customers and a decrease of $1.0 million in product sales in the Parking Solutions segment. Customer buying patterns vary greatly from period to period related to product sales.</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Cost of Service Revenue.</w:t>
      </w:r>
      <w:r>
        <w:rPr>
          <w:rFonts w:ascii="Times New Roman" w:hAnsi="Times New Roman"/>
          <w:color w:val="000000"/>
          <w:sz w:val="20"/>
        </w:rPr>
        <w:t xml:space="preserve"> </w:t>
      </w:r>
      <w:r>
        <w:rPr>
          <w:rFonts w:ascii="Times New Roman" w:hAnsi="Times New Roman"/>
          <w:b w:val="false"/>
          <w:color w:val="000000"/>
          <w:sz w:val="20"/>
        </w:rPr>
        <w:t>Cost of service revenue increased from $4.1 million for the three months ended September 30, 2022 to $5.2 million for the three months ended September 30, 2023. The $1.1 million increase was mainly due to increased recurring service costs in the Parking Solutions and the Commercial Services segments.</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Cost of Product Sales.</w:t>
      </w:r>
      <w:r>
        <w:rPr>
          <w:rFonts w:ascii="Times New Roman" w:hAnsi="Times New Roman"/>
          <w:color w:val="000000"/>
          <w:sz w:val="20"/>
        </w:rPr>
        <w:t xml:space="preserve"> </w:t>
      </w:r>
      <w:r>
        <w:rPr>
          <w:rFonts w:ascii="Times New Roman" w:hAnsi="Times New Roman"/>
          <w:b w:val="false"/>
          <w:color w:val="000000"/>
          <w:sz w:val="20"/>
        </w:rPr>
        <w:t>Cost of product sales decreased by $4.4 million from $11.3 million in the three months ended September 30, 2022 to $6.9 million in the three months ended September 30, 2023, which was in line with the decrease in product sales in the Government Solutions and Parking Solutions segments, discussed above.</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Operating Expenses.</w:t>
      </w:r>
      <w:r>
        <w:rPr>
          <w:rFonts w:ascii="Times New Roman" w:hAnsi="Times New Roman"/>
          <w:color w:val="000000"/>
          <w:sz w:val="20"/>
        </w:rPr>
        <w:t xml:space="preserve"> </w:t>
      </w:r>
      <w:r>
        <w:rPr>
          <w:rFonts w:ascii="Times New Roman" w:hAnsi="Times New Roman"/>
          <w:b w:val="false"/>
          <w:color w:val="000000"/>
          <w:sz w:val="20"/>
        </w:rPr>
        <w:t>Operating expenses increased by $8.3 million, or 13.8%, from $60.5 million for the three months ended September 30, 2022 to $68.9 million for the three months ended September 30, 2023. The increase in 2023 was primarily attributable to increases of $5.4 million in wages expense, $1.1 million of recurring service costs and $1.0 million for information technology expenses compared to the prior period. Operating expenses as a percentage of total revenue increased from 30.6% to 32.8% for the three months ended September 30, 2022 and 2023, respectively. The following table presents operating expenses by segment: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69"/>
        <w:gridCol w:w="146"/>
        <w:gridCol w:w="211"/>
        <w:gridCol w:w="676"/>
        <w:gridCol w:w="146"/>
        <w:gridCol w:w="146"/>
        <w:gridCol w:w="211"/>
        <w:gridCol w:w="676"/>
        <w:gridCol w:w="146"/>
        <w:gridCol w:w="146"/>
        <w:gridCol w:w="152"/>
        <w:gridCol w:w="486"/>
        <w:gridCol w:w="282"/>
        <w:gridCol w:w="152"/>
        <w:gridCol w:w="152"/>
        <w:gridCol w:w="486"/>
        <w:gridCol w:w="271"/>
        <w:gridCol w:w="146"/>
        <w:gridCol w:w="211"/>
        <w:gridCol w:w="571"/>
        <w:gridCol w:w="146"/>
        <w:gridCol w:w="146"/>
        <w:gridCol w:w="146"/>
        <w:gridCol w:w="466"/>
        <w:gridCol w:w="519"/>
      </w:tblGrid>
      <w:tr>
        <w:trPr/>
        <w:tc>
          <w:tcPr>
            <w:tcW w:w="33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33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7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2023 vs 2022</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9"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6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8" w:type="dxa"/>
            <w:gridSpan w:val="2"/>
            <w:tcBorders/>
            <w:shd w:fill="CFF0FC" w:val="clear"/>
            <w:vAlign w:val="center"/>
          </w:tcPr>
          <w:p>
            <w:pPr>
              <w:pStyle w:val="TableContents"/>
              <w:bidi w:val="0"/>
              <w:spacing w:before="0" w:after="283"/>
              <w:jc w:val="right"/>
              <w:rPr/>
            </w:pPr>
            <w:r>
              <w:rPr/>
              <w:t> </w:t>
            </w:r>
          </w:p>
        </w:tc>
        <w:tc>
          <w:tcPr>
            <w:tcW w:w="28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638"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gridSpan w:val="2"/>
            <w:tcBorders/>
            <w:shd w:fill="CFF0FC" w:val="clear"/>
            <w:vAlign w:val="center"/>
          </w:tcPr>
          <w:p>
            <w:pPr>
              <w:pStyle w:val="TableContents"/>
              <w:bidi w:val="0"/>
              <w:spacing w:before="0" w:after="283"/>
              <w:jc w:val="right"/>
              <w:rPr/>
            </w:pPr>
            <w:r>
              <w:rPr/>
              <w:t> </w:t>
            </w:r>
          </w:p>
        </w:tc>
        <w:tc>
          <w:tcPr>
            <w:tcW w:w="519" w:type="dxa"/>
            <w:tcBorders/>
            <w:shd w:fill="CFF0FC" w:val="clear"/>
            <w:vAlign w:val="center"/>
          </w:tcPr>
          <w:p>
            <w:pPr>
              <w:pStyle w:val="TableContents"/>
              <w:bidi w:val="0"/>
              <w:spacing w:before="0" w:after="283"/>
              <w:ind w:left="0" w:right="0" w:firstLine="200"/>
              <w:jc w:val="right"/>
              <w:rPr/>
            </w:pPr>
            <w:r>
              <w:rPr/>
              <w:t> </w:t>
            </w:r>
          </w:p>
        </w:tc>
      </w:tr>
      <w:tr>
        <w:trPr/>
        <w:tc>
          <w:tcPr>
            <w:tcW w:w="336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Commercial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2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w:t>
            </w:r>
          </w:p>
        </w:tc>
        <w:tc>
          <w:tcPr>
            <w:tcW w:w="519"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36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Government Solutions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42,395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36,868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w:t>
            </w:r>
          </w:p>
        </w:tc>
        <w:tc>
          <w:tcPr>
            <w:tcW w:w="2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w:t>
            </w:r>
          </w:p>
        </w:tc>
        <w:tc>
          <w:tcPr>
            <w:tcW w:w="519"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36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Parking Solutions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w:t>
            </w:r>
          </w:p>
        </w:tc>
        <w:tc>
          <w:tcPr>
            <w:tcW w:w="5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36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 before 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68,245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60,205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w:t>
            </w:r>
          </w:p>
        </w:tc>
        <w:tc>
          <w:tcPr>
            <w:tcW w:w="2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30.4</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w:t>
            </w:r>
          </w:p>
        </w:tc>
        <w:tc>
          <w:tcPr>
            <w:tcW w:w="5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36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89.7</w:t>
            </w:r>
          </w:p>
        </w:tc>
        <w:tc>
          <w:tcPr>
            <w:tcW w:w="5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36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68,873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60,536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32.8</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w:t>
            </w:r>
          </w:p>
        </w:tc>
        <w:tc>
          <w:tcPr>
            <w:tcW w:w="5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b w:val="false"/>
          <w:i/>
          <w:color w:val="000000"/>
          <w:sz w:val="20"/>
        </w:rPr>
        <w:t>Selling, General and Administrative Expenses.</w:t>
      </w:r>
      <w:r>
        <w:rPr>
          <w:rFonts w:ascii="Times New Roman" w:hAnsi="Times New Roman"/>
          <w:color w:val="000000"/>
          <w:sz w:val="20"/>
        </w:rPr>
        <w:t xml:space="preserve"> </w:t>
      </w:r>
      <w:r>
        <w:rPr>
          <w:rFonts w:ascii="Times New Roman" w:hAnsi="Times New Roman"/>
          <w:b w:val="false"/>
          <w:color w:val="000000"/>
          <w:sz w:val="20"/>
        </w:rPr>
        <w:t>Selling, general and administrative expenses increased by $1.1 million to $42.3 million for the three months ended September 30, 2023 compared to $41.1 million for the same period in 2022. The increase was primarily due to $2.3 million of higher wages expense, partially offset by decreases in professional services expense and credit loss expense based on customer payment trends in the last 12 months. Selling, general and administrative expenses as a percentage of total revenue decreased from 20.8% to 20.1% for the three months ended September 30, 2022 and 2023, respectively.</w:t>
      </w:r>
      <w:r>
        <w:rPr>
          <w:rFonts w:ascii="Times New Roman" w:hAnsi="Times New Roman"/>
          <w:color w:val="000000"/>
          <w:sz w:val="20"/>
        </w:rPr>
        <w:t xml:space="preserve"> </w:t>
      </w:r>
      <w:r>
        <w:rPr>
          <w:rFonts w:ascii="Times New Roman" w:hAnsi="Times New Roman"/>
          <w:b w:val="false"/>
          <w:color w:val="000000"/>
          <w:sz w:val="20"/>
        </w:rPr>
        <w:t>The following table presents selling, general and administrative expenses by segment: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299"/>
        <w:gridCol w:w="146"/>
        <w:gridCol w:w="211"/>
        <w:gridCol w:w="676"/>
        <w:gridCol w:w="146"/>
        <w:gridCol w:w="146"/>
        <w:gridCol w:w="211"/>
        <w:gridCol w:w="676"/>
        <w:gridCol w:w="146"/>
        <w:gridCol w:w="146"/>
        <w:gridCol w:w="149"/>
        <w:gridCol w:w="477"/>
        <w:gridCol w:w="277"/>
        <w:gridCol w:w="149"/>
        <w:gridCol w:w="149"/>
        <w:gridCol w:w="477"/>
        <w:gridCol w:w="271"/>
        <w:gridCol w:w="146"/>
        <w:gridCol w:w="211"/>
        <w:gridCol w:w="571"/>
        <w:gridCol w:w="166"/>
        <w:gridCol w:w="146"/>
        <w:gridCol w:w="146"/>
        <w:gridCol w:w="526"/>
        <w:gridCol w:w="541"/>
      </w:tblGrid>
      <w:tr>
        <w:trPr/>
        <w:tc>
          <w:tcPr>
            <w:tcW w:w="3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32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1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2023 vs 2022</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9"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vAlign w:val="center"/>
          </w:tcPr>
          <w:p>
            <w:pPr>
              <w:pStyle w:val="TableContents"/>
              <w:bidi w:val="0"/>
              <w:spacing w:before="0" w:after="283"/>
              <w:jc w:val="left"/>
              <w:rPr/>
            </w:pPr>
            <w:r>
              <w:rPr/>
              <w:t> </w:t>
            </w:r>
          </w:p>
        </w:tc>
        <w:tc>
          <w:tcPr>
            <w:tcW w:w="6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6" w:type="dxa"/>
            <w:gridSpan w:val="2"/>
            <w:tcBorders/>
            <w:shd w:fill="CFF0FC" w:val="clear"/>
            <w:vAlign w:val="center"/>
          </w:tcPr>
          <w:p>
            <w:pPr>
              <w:pStyle w:val="TableContents"/>
              <w:bidi w:val="0"/>
              <w:spacing w:before="0" w:after="283"/>
              <w:jc w:val="right"/>
              <w:rPr/>
            </w:pPr>
            <w:r>
              <w:rPr/>
              <w:t> </w:t>
            </w:r>
          </w:p>
        </w:tc>
        <w:tc>
          <w:tcPr>
            <w:tcW w:w="277"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626"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2" w:type="dxa"/>
            <w:gridSpan w:val="2"/>
            <w:tcBorders/>
            <w:shd w:fill="CFF0FC" w:val="clear"/>
            <w:vAlign w:val="center"/>
          </w:tcPr>
          <w:p>
            <w:pPr>
              <w:pStyle w:val="TableContents"/>
              <w:bidi w:val="0"/>
              <w:spacing w:before="0" w:after="283"/>
              <w:jc w:val="right"/>
              <w:rPr/>
            </w:pPr>
            <w:r>
              <w:rPr/>
              <w:t> </w:t>
            </w:r>
          </w:p>
        </w:tc>
        <w:tc>
          <w:tcPr>
            <w:tcW w:w="541" w:type="dxa"/>
            <w:tcBorders/>
            <w:shd w:fill="CFF0FC" w:val="clear"/>
            <w:vAlign w:val="center"/>
          </w:tcPr>
          <w:p>
            <w:pPr>
              <w:pStyle w:val="TableContents"/>
              <w:bidi w:val="0"/>
              <w:spacing w:before="0" w:after="283"/>
              <w:ind w:left="0" w:right="0" w:firstLine="200"/>
              <w:jc w:val="right"/>
              <w:rPr/>
            </w:pPr>
            <w:r>
              <w:rPr/>
              <w:t> </w:t>
            </w:r>
          </w:p>
        </w:tc>
      </w:tr>
      <w:tr>
        <w:trPr/>
        <w:tc>
          <w:tcPr>
            <w:tcW w:w="329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Commercial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w:t>
            </w:r>
          </w:p>
        </w:tc>
        <w:tc>
          <w:tcPr>
            <w:tcW w:w="27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54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29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Government Solutions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27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54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29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Parking Solutions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27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54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29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Corporate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9" w:type="dxa"/>
            <w:tcBorders/>
            <w:shd w:fill="CFF0FC" w:val="cle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9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selling, general and administrative expenses before 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36,813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w:t>
            </w:r>
          </w:p>
        </w:tc>
        <w:tc>
          <w:tcPr>
            <w:tcW w:w="27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9" w:type="dxa"/>
            <w:tcBorders/>
            <w:shd w:fill="CFF0FC" w:val="cle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w:t>
            </w:r>
          </w:p>
        </w:tc>
        <w:tc>
          <w:tcPr>
            <w:tcW w:w="54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29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selling,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42,276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41,126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9"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b w:val="false"/>
          <w:i/>
          <w:color w:val="000000"/>
          <w:sz w:val="20"/>
        </w:rPr>
        <w:t>Depreciation, Amortization and (Gain) Loss on Disposal of Assets, Net.</w:t>
      </w:r>
      <w:r>
        <w:rPr>
          <w:rFonts w:ascii="Times New Roman" w:hAnsi="Times New Roman"/>
          <w:color w:val="000000"/>
          <w:sz w:val="20"/>
        </w:rPr>
        <w:t xml:space="preserve"> </w:t>
      </w:r>
      <w:r>
        <w:rPr>
          <w:rFonts w:ascii="Times New Roman" w:hAnsi="Times New Roman"/>
          <w:b w:val="false"/>
          <w:color w:val="000000"/>
          <w:sz w:val="20"/>
        </w:rPr>
        <w:t>Depreciation, amortization and (gain) loss on disposal of assets, net, decreased by $7.4 million to $27.6 million for the three months ended September 30, 2023 from $35.0 million for the same period in 2022. This was mainly due to certain non-compete and developed technology intangible assets being fully amortized for the three-month period ended September 30, 2023 as compared to the prior year which included the amortization expense. This decrease was partially offset by an increase in depreciation expense in the 2023 period.</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Interest Expense, Net.</w:t>
      </w:r>
      <w:r>
        <w:rPr>
          <w:rFonts w:ascii="Times New Roman" w:hAnsi="Times New Roman"/>
          <w:color w:val="000000"/>
          <w:sz w:val="20"/>
        </w:rPr>
        <w:t xml:space="preserve"> </w:t>
      </w:r>
      <w:r>
        <w:rPr>
          <w:rFonts w:ascii="Times New Roman" w:hAnsi="Times New Roman"/>
          <w:b w:val="false"/>
          <w:color w:val="000000"/>
          <w:sz w:val="20"/>
        </w:rPr>
        <w:t>Interest expense, net increased by $0.1 million from $20.3 million for the three months ended September 30, 2022 to $20.4 million for the same period in 2023 which is primarily attributable to rising interest rates offset by voluntary early repayments. See “</w:t>
      </w:r>
      <w:r>
        <w:rPr>
          <w:rFonts w:ascii="Times New Roman" w:hAnsi="Times New Roman"/>
          <w:b w:val="false"/>
          <w:i/>
          <w:color w:val="000000"/>
          <w:sz w:val="20"/>
        </w:rPr>
        <w:t>Liquidity and Capital Resources</w:t>
      </w:r>
      <w:r>
        <w:rPr>
          <w:rFonts w:ascii="Times New Roman" w:hAnsi="Times New Roman"/>
          <w:b w:val="false"/>
          <w:color w:val="000000"/>
          <w:sz w:val="20"/>
        </w:rPr>
        <w:t>.”</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Change in Fair Value of Private Placement Warrants</w:t>
      </w:r>
      <w:r>
        <w:rPr>
          <w:rFonts w:ascii="Times New Roman" w:hAnsi="Times New Roman"/>
          <w:b w:val="false"/>
          <w:color w:val="000000"/>
          <w:sz w:val="20"/>
        </w:rPr>
        <w:t>. We recorded gains of $0.6 million and $2.3 million for the three months ended September 30, 2023 and 2022, respectively, related to the changes in fair value of our Private Placement Warrants, which were accounted for as liabilities on our condensed consolidated balance sheets. The change in fair value was the result of re-measurement of the liability at the end of each reporting period, and the final re-measurement upon their exercise.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 xml:space="preserve">Loss on Interest Rate Swap. </w:t>
      </w:r>
      <w:r>
        <w:rPr>
          <w:rFonts w:ascii="Times New Roman" w:hAnsi="Times New Roman"/>
          <w:b w:val="false"/>
          <w:color w:val="000000"/>
          <w:sz w:val="20"/>
        </w:rPr>
        <w:t>We recorded a $0.1 million loss during the three months ended September 30, 2023, of which approximately $0.2 million is associated with the derivative instrument re-measured to fair value at the end of the reporting period, offset by $0.1 million related to the monthly cash payments on the interest rate swap.</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Loss (Gain) on Extinguishment of Debt</w:t>
      </w:r>
      <w:r>
        <w:rPr>
          <w:rFonts w:ascii="Times New Roman" w:hAnsi="Times New Roman"/>
          <w:b w:val="false"/>
          <w:color w:val="000000"/>
          <w:sz w:val="20"/>
        </w:rPr>
        <w:t>. We recorded a $2.0 million loss on extinguishment of debt during the three months ended September 30, 2023 related to the write-off of pre-existing deferred financing costs and discounts in connection with the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early repayment of $100 million on the 2021 Term Loan. We recorded a $3.0 million gain on extinguishment of debt during the three months ended September 30, 2022 related to the forgiveness of the PPP loan, discussed below.</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Other Income, Net.</w:t>
      </w:r>
      <w:r>
        <w:rPr>
          <w:rFonts w:ascii="Times New Roman" w:hAnsi="Times New Roman"/>
          <w:color w:val="000000"/>
          <w:sz w:val="20"/>
        </w:rPr>
        <w:t xml:space="preserve"> </w:t>
      </w:r>
      <w:r>
        <w:rPr>
          <w:rFonts w:ascii="Times New Roman" w:hAnsi="Times New Roman"/>
          <w:b w:val="false"/>
          <w:color w:val="000000"/>
          <w:sz w:val="20"/>
        </w:rPr>
        <w:t>Other income, net was $4.5 million for the three months ended September 30, 2023 compared to $2.5 million for the three months ended September 30, 2022. The increase of $2.0 million is primarily attributable to income resulting from volume rebates earned from total spend on purchasing cards from increasing tolling activity, and a one-time adjustment recognized in the third quarter of 2022 for a previous acquisition subsequent to the measurement period with no comparable amount in the 2023 period.</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Income Tax Provision.</w:t>
      </w:r>
      <w:r>
        <w:rPr>
          <w:rFonts w:ascii="Times New Roman" w:hAnsi="Times New Roman"/>
          <w:color w:val="000000"/>
          <w:sz w:val="20"/>
        </w:rPr>
        <w:t xml:space="preserve"> </w:t>
      </w:r>
      <w:r>
        <w:rPr>
          <w:rFonts w:ascii="Times New Roman" w:hAnsi="Times New Roman"/>
          <w:b w:val="false"/>
          <w:color w:val="000000"/>
          <w:sz w:val="20"/>
        </w:rPr>
        <w:t>Income tax provision was $11.5 million representing an effective tax rate of 27.5% for the three months ended September 30, 2023 compared to a tax provision of $8.4 million, representing an effective tax rate of 25.5% for the same period in 2022. The primary driver for the effective tax rate variance is due to the permanent differences related to the mark-to-market adjustment on the Private Placement Warrants and the PPP loan forgiveness recorded in 2022.</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Net Income.</w:t>
      </w:r>
      <w:r>
        <w:rPr>
          <w:rFonts w:ascii="Times New Roman" w:hAnsi="Times New Roman"/>
          <w:color w:val="000000"/>
          <w:sz w:val="20"/>
        </w:rPr>
        <w:t xml:space="preserve"> </w:t>
      </w:r>
      <w:r>
        <w:rPr>
          <w:rFonts w:ascii="Times New Roman" w:hAnsi="Times New Roman"/>
          <w:b w:val="false"/>
          <w:color w:val="000000"/>
          <w:sz w:val="20"/>
        </w:rPr>
        <w:t>We had net income of $30.3 million for the three months ended September 30, 2023, as compared to a net income of $24.6 million for the three months ended September 30, 2022. The $5.7 million increase in net income was primarily due to the increase in total revenue, decreased amortization expense and the other statement of operations activity discussed above.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Nine Months Ended September 30, 2023 Compared to Nine Months Ended September 30, 2022</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tbl>
      <w:tblPr>
        <w:tblW w:w="10205" w:type="dxa"/>
        <w:jc w:val="left"/>
        <w:tblInd w:w="0" w:type="dxa"/>
        <w:tblLayout w:type="fixed"/>
        <w:tblCellMar>
          <w:top w:w="28" w:type="dxa"/>
          <w:left w:w="28" w:type="dxa"/>
          <w:bottom w:w="28" w:type="dxa"/>
          <w:right w:w="28" w:type="dxa"/>
        </w:tblCellMar>
      </w:tblPr>
      <w:tblGrid>
        <w:gridCol w:w="2579"/>
        <w:gridCol w:w="146"/>
        <w:gridCol w:w="211"/>
        <w:gridCol w:w="781"/>
        <w:gridCol w:w="166"/>
        <w:gridCol w:w="146"/>
        <w:gridCol w:w="211"/>
        <w:gridCol w:w="781"/>
        <w:gridCol w:w="166"/>
        <w:gridCol w:w="146"/>
        <w:gridCol w:w="146"/>
        <w:gridCol w:w="571"/>
        <w:gridCol w:w="288"/>
        <w:gridCol w:w="146"/>
        <w:gridCol w:w="146"/>
        <w:gridCol w:w="571"/>
        <w:gridCol w:w="288"/>
        <w:gridCol w:w="146"/>
        <w:gridCol w:w="211"/>
        <w:gridCol w:w="736"/>
        <w:gridCol w:w="166"/>
        <w:gridCol w:w="146"/>
        <w:gridCol w:w="146"/>
        <w:gridCol w:w="631"/>
        <w:gridCol w:w="534"/>
      </w:tblGrid>
      <w:tr>
        <w:trPr/>
        <w:tc>
          <w:tcPr>
            <w:tcW w:w="2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5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4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2023 vs 2022</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9"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9"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Service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581,777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516,253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96.0</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92.9</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65,524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12.7</w:t>
            </w:r>
          </w:p>
        </w:tc>
        <w:tc>
          <w:tcPr>
            <w:tcW w:w="534"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579"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Product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24,520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39,275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4.0</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7.1</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(14,755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(37.6</w:t>
            </w:r>
          </w:p>
        </w:tc>
        <w:tc>
          <w:tcPr>
            <w:tcW w:w="534"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9"/>
              </w:rPr>
            </w:pPr>
            <w:r>
              <w:rPr>
                <w:rFonts w:ascii="Times New Roman" w:hAnsi="Times New Roman"/>
                <w:b w:val="false"/>
                <w:color w:val="000000"/>
                <w:sz w:val="19"/>
              </w:rPr>
              <w:t>)%</w:t>
            </w:r>
          </w:p>
        </w:tc>
      </w:tr>
      <w:tr>
        <w:trPr/>
        <w:tc>
          <w:tcPr>
            <w:tcW w:w="2579"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9"/>
              </w:rPr>
            </w:pPr>
            <w:r>
              <w:rPr>
                <w:rFonts w:ascii="Times New Roman" w:hAnsi="Times New Roman"/>
                <w:b/>
                <w:color w:val="000000"/>
                <w:sz w:val="19"/>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606,297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555,528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100.0</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100.0</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50,769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9.1</w:t>
            </w:r>
          </w:p>
        </w:tc>
        <w:tc>
          <w:tcPr>
            <w:tcW w:w="534"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579"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Cost of service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13,718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11,636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2.2</w:t>
            </w:r>
          </w:p>
        </w:tc>
        <w:tc>
          <w:tcPr>
            <w:tcW w:w="288"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2.1</w:t>
            </w:r>
          </w:p>
        </w:tc>
        <w:tc>
          <w:tcPr>
            <w:tcW w:w="288"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2,082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17.9</w:t>
            </w:r>
          </w:p>
        </w:tc>
        <w:tc>
          <w:tcPr>
            <w:tcW w:w="534"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579"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Cost of product sales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18,209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25,638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3.0</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4.6</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(7,429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(29.0</w:t>
            </w:r>
          </w:p>
        </w:tc>
        <w:tc>
          <w:tcPr>
            <w:tcW w:w="534"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579"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196,373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166,795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32.4</w:t>
            </w:r>
          </w:p>
        </w:tc>
        <w:tc>
          <w:tcPr>
            <w:tcW w:w="288"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30.0</w:t>
            </w:r>
          </w:p>
        </w:tc>
        <w:tc>
          <w:tcPr>
            <w:tcW w:w="288"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29,578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17.7</w:t>
            </w:r>
          </w:p>
        </w:tc>
        <w:tc>
          <w:tcPr>
            <w:tcW w:w="534"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579"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125,494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122,913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20.7</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22.1</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2,581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2.1</w:t>
            </w:r>
          </w:p>
        </w:tc>
        <w:tc>
          <w:tcPr>
            <w:tcW w:w="534"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579"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Depreciation, amortization and (gain) loss on disposal of assets,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87,018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105,881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14.4</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19.1</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(18,863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(17.8</w:t>
            </w:r>
          </w:p>
        </w:tc>
        <w:tc>
          <w:tcPr>
            <w:tcW w:w="534"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9"/>
              </w:rPr>
            </w:pPr>
            <w:r>
              <w:rPr>
                <w:rFonts w:ascii="Times New Roman" w:hAnsi="Times New Roman"/>
                <w:b w:val="false"/>
                <w:color w:val="000000"/>
                <w:sz w:val="19"/>
              </w:rPr>
              <w:t>)%</w:t>
            </w:r>
          </w:p>
        </w:tc>
      </w:tr>
      <w:tr>
        <w:trPr/>
        <w:tc>
          <w:tcPr>
            <w:tcW w:w="257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Total costs and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440,812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432,863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72.7</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77.9</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7,949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1.8</w:t>
            </w:r>
          </w:p>
        </w:tc>
        <w:tc>
          <w:tcPr>
            <w:tcW w:w="53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9"/>
              </w:rPr>
            </w:pPr>
            <w:r>
              <w:rPr>
                <w:rFonts w:ascii="Times New Roman" w:hAnsi="Times New Roman"/>
                <w:b w:val="false"/>
                <w:color w:val="000000"/>
                <w:sz w:val="19"/>
              </w:rPr>
              <w:t>%</w:t>
            </w:r>
          </w:p>
        </w:tc>
      </w:tr>
      <w:tr>
        <w:trPr/>
        <w:tc>
          <w:tcPr>
            <w:tcW w:w="2579"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9"/>
              </w:rPr>
            </w:pPr>
            <w:r>
              <w:rPr>
                <w:rFonts w:ascii="Times New Roman" w:hAnsi="Times New Roman"/>
                <w:b/>
                <w:color w:val="000000"/>
                <w:sz w:val="19"/>
              </w:rPr>
              <w:t>Income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165,485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122,665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27.3</w:t>
            </w:r>
          </w:p>
        </w:tc>
        <w:tc>
          <w:tcPr>
            <w:tcW w:w="288"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22.1</w:t>
            </w:r>
          </w:p>
        </w:tc>
        <w:tc>
          <w:tcPr>
            <w:tcW w:w="288"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42,820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34.9</w:t>
            </w:r>
          </w:p>
        </w:tc>
        <w:tc>
          <w:tcPr>
            <w:tcW w:w="534"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579"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Interest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65,842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49,024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10.9</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8.8</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16,818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34.3</w:t>
            </w:r>
          </w:p>
        </w:tc>
        <w:tc>
          <w:tcPr>
            <w:tcW w:w="534"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579"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Change in fair value of private placement warrants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24,966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(5,133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4.1</w:t>
            </w:r>
          </w:p>
        </w:tc>
        <w:tc>
          <w:tcPr>
            <w:tcW w:w="288"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(0.9</w:t>
            </w:r>
          </w:p>
        </w:tc>
        <w:tc>
          <w:tcPr>
            <w:tcW w:w="288"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30,099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(586.4</w:t>
            </w:r>
          </w:p>
        </w:tc>
        <w:tc>
          <w:tcPr>
            <w:tcW w:w="534"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579"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Tax receivable agreement liability adjustment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(965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28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(0.2</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(100.0</w:t>
            </w:r>
          </w:p>
        </w:tc>
        <w:tc>
          <w:tcPr>
            <w:tcW w:w="534"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579"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Gain on interest rate swap</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(1,947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(0.3</w:t>
            </w:r>
          </w:p>
        </w:tc>
        <w:tc>
          <w:tcPr>
            <w:tcW w:w="288"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2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(1,947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n/a</w:t>
            </w:r>
          </w:p>
        </w:tc>
        <w:tc>
          <w:tcPr>
            <w:tcW w:w="534" w:type="dxa"/>
            <w:tcBorders/>
            <w:shd w:fill="FFFFFF" w:val="clear"/>
            <w:vAlign w:val="center"/>
          </w:tcPr>
          <w:p>
            <w:pPr>
              <w:pStyle w:val="TableContents"/>
              <w:bidi w:val="0"/>
              <w:spacing w:before="0" w:after="283"/>
              <w:jc w:val="right"/>
              <w:rPr/>
            </w:pPr>
            <w:r>
              <w:rPr/>
              <w:t> </w:t>
            </w:r>
          </w:p>
        </w:tc>
      </w:tr>
      <w:tr>
        <w:trPr/>
        <w:tc>
          <w:tcPr>
            <w:tcW w:w="2579"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Loss (gain) on extinguishment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3,533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(3,005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0.5</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(0.5</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6,538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(217.6</w:t>
            </w:r>
          </w:p>
        </w:tc>
        <w:tc>
          <w:tcPr>
            <w:tcW w:w="534"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579"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(12,766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(2.1</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(1.7</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36.3</w:t>
            </w:r>
          </w:p>
        </w:tc>
        <w:tc>
          <w:tcPr>
            <w:tcW w:w="534"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579"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Total other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79,628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30,554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13.1</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5.5</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49,074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160.6</w:t>
            </w:r>
          </w:p>
        </w:tc>
        <w:tc>
          <w:tcPr>
            <w:tcW w:w="534"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579"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85,857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92,111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14.2</w:t>
            </w:r>
          </w:p>
        </w:tc>
        <w:tc>
          <w:tcPr>
            <w:tcW w:w="288"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16.6</w:t>
            </w:r>
          </w:p>
        </w:tc>
        <w:tc>
          <w:tcPr>
            <w:tcW w:w="288"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(6,254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(6.8</w:t>
            </w:r>
          </w:p>
        </w:tc>
        <w:tc>
          <w:tcPr>
            <w:tcW w:w="534"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579"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Income tax provision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31,864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27,854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5.3</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5.0</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4,010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14.4</w:t>
            </w:r>
          </w:p>
        </w:tc>
        <w:tc>
          <w:tcPr>
            <w:tcW w:w="53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9"/>
              </w:rPr>
            </w:pPr>
            <w:r>
              <w:rPr>
                <w:rFonts w:ascii="Times New Roman" w:hAnsi="Times New Roman"/>
                <w:b w:val="false"/>
                <w:color w:val="000000"/>
                <w:sz w:val="19"/>
              </w:rPr>
              <w:t>%</w:t>
            </w:r>
          </w:p>
        </w:tc>
      </w:tr>
      <w:tr>
        <w:trPr/>
        <w:tc>
          <w:tcPr>
            <w:tcW w:w="2579"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9"/>
              </w:rPr>
            </w:pPr>
            <w:r>
              <w:rPr>
                <w:rFonts w:ascii="Times New Roman" w:hAnsi="Times New Roman"/>
                <w:b/>
                <w:color w:val="000000"/>
                <w:sz w:val="19"/>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53,993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64,257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8.9</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11.6</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(10,264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(16.0</w:t>
            </w:r>
          </w:p>
        </w:tc>
        <w:tc>
          <w:tcPr>
            <w:tcW w:w="534"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bl>
    <w:p>
      <w:pPr>
        <w:pStyle w:val="TextBody"/>
        <w:bidi w:val="0"/>
        <w:spacing w:before="240" w:after="283"/>
        <w:jc w:val="both"/>
        <w:rPr>
          <w:rFonts w:ascii="Times New Roman" w:hAnsi="Times New Roman"/>
          <w:sz w:val="20"/>
        </w:rPr>
      </w:pPr>
      <w:r>
        <w:rPr>
          <w:rFonts w:ascii="Times New Roman" w:hAnsi="Times New Roman"/>
          <w:b w:val="false"/>
          <w:i/>
          <w:color w:val="000000"/>
          <w:sz w:val="20"/>
        </w:rPr>
        <w:t>Service Revenue.</w:t>
      </w:r>
      <w:r>
        <w:rPr>
          <w:rFonts w:ascii="Times New Roman" w:hAnsi="Times New Roman"/>
          <w:color w:val="000000"/>
          <w:sz w:val="20"/>
        </w:rPr>
        <w:t xml:space="preserve"> </w:t>
      </w:r>
      <w:r>
        <w:rPr>
          <w:rFonts w:ascii="Times New Roman" w:hAnsi="Times New Roman"/>
          <w:b w:val="false"/>
          <w:color w:val="000000"/>
          <w:sz w:val="20"/>
        </w:rPr>
        <w:t>Service revenue increased by $65.5 million, or 12.7%, to $581.8 million for the nine months ended September 30, 2023 from $516.3 million for the nine months ended September 30, 2022, representing 96.0% and 92.9% of total revenue, respectively. The following table depicts service revenue by segment: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9356" w:type="dxa"/>
        <w:jc w:val="left"/>
        <w:tblInd w:w="0" w:type="dxa"/>
        <w:tblLayout w:type="fixed"/>
        <w:tblCellMar>
          <w:top w:w="28" w:type="dxa"/>
          <w:left w:w="28" w:type="dxa"/>
          <w:bottom w:w="28" w:type="dxa"/>
          <w:right w:w="28" w:type="dxa"/>
        </w:tblCellMar>
      </w:tblPr>
      <w:tblGrid>
        <w:gridCol w:w="2151"/>
        <w:gridCol w:w="146"/>
        <w:gridCol w:w="211"/>
        <w:gridCol w:w="781"/>
        <w:gridCol w:w="146"/>
        <w:gridCol w:w="146"/>
        <w:gridCol w:w="211"/>
        <w:gridCol w:w="781"/>
        <w:gridCol w:w="146"/>
        <w:gridCol w:w="146"/>
        <w:gridCol w:w="157"/>
        <w:gridCol w:w="502"/>
        <w:gridCol w:w="292"/>
        <w:gridCol w:w="157"/>
        <w:gridCol w:w="157"/>
        <w:gridCol w:w="502"/>
        <w:gridCol w:w="271"/>
        <w:gridCol w:w="146"/>
        <w:gridCol w:w="211"/>
        <w:gridCol w:w="676"/>
        <w:gridCol w:w="146"/>
        <w:gridCol w:w="146"/>
        <w:gridCol w:w="146"/>
        <w:gridCol w:w="466"/>
        <w:gridCol w:w="516"/>
      </w:tblGrid>
      <w:tr>
        <w:trPr/>
        <w:tc>
          <w:tcPr>
            <w:tcW w:w="2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4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2023 vs 2022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Service 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59" w:type="dxa"/>
            <w:gridSpan w:val="2"/>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659"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21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Commercial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278,243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244,409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w:t>
            </w:r>
          </w:p>
        </w:tc>
        <w:tc>
          <w:tcPr>
            <w:tcW w:w="2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44.0</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33,834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1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Government Solutions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253,319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225,337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w:t>
            </w:r>
          </w:p>
        </w:tc>
        <w:tc>
          <w:tcPr>
            <w:tcW w:w="2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40.6</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27,982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1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Parking Solutions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50,215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46,507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FFFFFF" w:val="cle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service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581,777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516,253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96.0</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65,524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40" w:after="283"/>
        <w:jc w:val="both"/>
        <w:rPr/>
      </w:pPr>
      <w:r>
        <w:rPr/>
        <w:t> </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Commercial Services service revenue increased by $33.8 million, or 13.8%, from $244.4 million for the nine months ended September 30, 2022 to $278.2 million for the nine months ended September 30, 2023. The increase was primarily due to increased travel volume and related tolling activity compared to the prior year which was still recovering from the COVID-19 pandemic, especially during January and February of 2022. An increase in the volume of tolls incurred by RAC vehicles along with the continued adoption of the all-inclusive fee structure, shifting from an incidental or daily usage rate by our large RAC customers, contributed to a $29.6 million growth in revenue. In addition, the increase in enrolled vehicles as well as higher tolling activity for our FMC customers contributed to a $6.5 million growth in revenue during the nine months ended September 30, 2023, compared to the same period in 2022. These increases were partially offset by lower revenue generated from processing titles and registrations compared to the prior year.</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Government Solutions service revenue increased by $28.0 million to $253.3 million for the nine months ended September 30, 2023 compared to $225.3 million in the same period in 2022. The increase was primarily driven by the expansion of speed programs, as speed is the largest product in this segment and contributed approximately $25.2 million to the service revenue growth. The remaining increase is attributable to expansions across red-light, school bus stop-arm and bus lane programs.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Parking Solutions service revenue grew by $3.7 million to $50.2 million for the nine months ended September 30, 2023, from $46.5 million for the nine months ended September 30, 2022. The growth was primarily due to increased revenue from software as a service product offerings, professional services and citation processing services related to parking management solutions.</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Product Sales.</w:t>
      </w:r>
      <w:r>
        <w:rPr>
          <w:rFonts w:ascii="Times New Roman" w:hAnsi="Times New Roman"/>
          <w:color w:val="000000"/>
          <w:sz w:val="20"/>
        </w:rPr>
        <w:t xml:space="preserve"> </w:t>
      </w:r>
      <w:r>
        <w:rPr>
          <w:rFonts w:ascii="Times New Roman" w:hAnsi="Times New Roman"/>
          <w:b w:val="false"/>
          <w:color w:val="000000"/>
          <w:sz w:val="20"/>
        </w:rPr>
        <w:t>Product sales were $24.5 million and $39.3 million for the nine months ended September 30, 2023 and 2022, respectively. Product sales decreased by approximately $14.8 million, which was mainly due to a $15.6 million decrease in product sales to Government Solutions customers, offset by a $0.8 million growth in product sales in the Parking Solutions segment. Customer buying patterns vary greatly from period to period related to product sales.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Cost of Service Revenue.</w:t>
      </w:r>
      <w:r>
        <w:rPr>
          <w:rFonts w:ascii="Times New Roman" w:hAnsi="Times New Roman"/>
          <w:color w:val="000000"/>
          <w:sz w:val="20"/>
        </w:rPr>
        <w:t xml:space="preserve"> </w:t>
      </w:r>
      <w:r>
        <w:rPr>
          <w:rFonts w:ascii="Times New Roman" w:hAnsi="Times New Roman"/>
          <w:b w:val="false"/>
          <w:color w:val="000000"/>
          <w:sz w:val="20"/>
        </w:rPr>
        <w:t>Cost of service revenue increased from $11.6 million for the nine months ended September 30, 2022 to $13.7 million for the nine months ended September 30, 2023. The $2.1 million increase was mainly due to increased recurring service costs in the Parking Solutions segment.</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Cost of Product Sales.</w:t>
      </w:r>
      <w:r>
        <w:rPr>
          <w:rFonts w:ascii="Times New Roman" w:hAnsi="Times New Roman"/>
          <w:color w:val="000000"/>
          <w:sz w:val="20"/>
        </w:rPr>
        <w:t xml:space="preserve"> </w:t>
      </w:r>
      <w:r>
        <w:rPr>
          <w:rFonts w:ascii="Times New Roman" w:hAnsi="Times New Roman"/>
          <w:b w:val="false"/>
          <w:color w:val="000000"/>
          <w:sz w:val="20"/>
        </w:rPr>
        <w:t>Cost of product sales decreased by $7.4 million from $25.6 million in the nine months ended September 30, 2022 to $18.2 million in the nine months ended September 30, 2023, which was in line with the decrease in product sales in the Government Solutions segment offset by an increase in costs in the Parking Solutions segment.</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Operating Expenses.</w:t>
      </w:r>
      <w:r>
        <w:rPr>
          <w:rFonts w:ascii="Times New Roman" w:hAnsi="Times New Roman"/>
          <w:color w:val="000000"/>
          <w:sz w:val="20"/>
        </w:rPr>
        <w:t xml:space="preserve"> </w:t>
      </w:r>
      <w:r>
        <w:rPr>
          <w:rFonts w:ascii="Times New Roman" w:hAnsi="Times New Roman"/>
          <w:b w:val="false"/>
          <w:color w:val="000000"/>
          <w:sz w:val="20"/>
        </w:rPr>
        <w:t>Operating expenses increased by $29.6 million, or 17.7%, from $166.8 million for the nine months ended September 30, 2022 to $196.4 million for the nine months ended September 30, 2023. The increase in 2023 was primarily attributable to increases of $18.2 million in wages expense, $3.7 million of recurring service costs, $3.4 million for subcontractor costs and $2.4 million of information technology costs compared to the prior period. Operating expenses as a percentage of total revenue increased from 30.0% to 32.4% for the nine months ended September 30, 2022 and 2023, respectively. The following table presents operating expenses by segment: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64"/>
        <w:gridCol w:w="146"/>
        <w:gridCol w:w="211"/>
        <w:gridCol w:w="781"/>
        <w:gridCol w:w="146"/>
        <w:gridCol w:w="146"/>
        <w:gridCol w:w="211"/>
        <w:gridCol w:w="781"/>
        <w:gridCol w:w="146"/>
        <w:gridCol w:w="146"/>
        <w:gridCol w:w="151"/>
        <w:gridCol w:w="483"/>
        <w:gridCol w:w="281"/>
        <w:gridCol w:w="151"/>
        <w:gridCol w:w="151"/>
        <w:gridCol w:w="483"/>
        <w:gridCol w:w="271"/>
        <w:gridCol w:w="146"/>
        <w:gridCol w:w="211"/>
        <w:gridCol w:w="676"/>
        <w:gridCol w:w="146"/>
        <w:gridCol w:w="146"/>
        <w:gridCol w:w="146"/>
        <w:gridCol w:w="466"/>
        <w:gridCol w:w="519"/>
      </w:tblGrid>
      <w:tr>
        <w:trPr/>
        <w:tc>
          <w:tcPr>
            <w:tcW w:w="3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30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7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2023 vs 2022</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4"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6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4" w:type="dxa"/>
            <w:gridSpan w:val="2"/>
            <w:tcBorders/>
            <w:shd w:fill="CFF0FC" w:val="clear"/>
            <w:vAlign w:val="center"/>
          </w:tcPr>
          <w:p>
            <w:pPr>
              <w:pStyle w:val="TableContents"/>
              <w:bidi w:val="0"/>
              <w:spacing w:before="0" w:after="283"/>
              <w:jc w:val="right"/>
              <w:rPr/>
            </w:pPr>
            <w:r>
              <w:rPr/>
              <w:t> </w:t>
            </w:r>
          </w:p>
        </w:tc>
        <w:tc>
          <w:tcPr>
            <w:tcW w:w="281" w:type="dxa"/>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left"/>
              <w:rPr/>
            </w:pPr>
            <w:r>
              <w:rPr/>
              <w:t> </w:t>
            </w:r>
          </w:p>
        </w:tc>
        <w:tc>
          <w:tcPr>
            <w:tcW w:w="634"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gridSpan w:val="2"/>
            <w:tcBorders/>
            <w:shd w:fill="CFF0FC" w:val="clear"/>
            <w:vAlign w:val="center"/>
          </w:tcPr>
          <w:p>
            <w:pPr>
              <w:pStyle w:val="TableContents"/>
              <w:bidi w:val="0"/>
              <w:spacing w:before="0" w:after="283"/>
              <w:jc w:val="right"/>
              <w:rPr/>
            </w:pPr>
            <w:r>
              <w:rPr/>
              <w:t> </w:t>
            </w:r>
          </w:p>
        </w:tc>
        <w:tc>
          <w:tcPr>
            <w:tcW w:w="519" w:type="dxa"/>
            <w:tcBorders/>
            <w:shd w:fill="CFF0FC" w:val="clear"/>
            <w:vAlign w:val="center"/>
          </w:tcPr>
          <w:p>
            <w:pPr>
              <w:pStyle w:val="TableContents"/>
              <w:bidi w:val="0"/>
              <w:spacing w:before="0" w:after="283"/>
              <w:ind w:left="0" w:right="0" w:firstLine="200"/>
              <w:jc w:val="right"/>
              <w:rPr/>
            </w:pPr>
            <w:r>
              <w:rPr/>
              <w:t> </w:t>
            </w:r>
          </w:p>
        </w:tc>
      </w:tr>
      <w:tr>
        <w:trPr/>
        <w:tc>
          <w:tcPr>
            <w:tcW w:w="306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Commercial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61,819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53,004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w:t>
            </w:r>
          </w:p>
        </w:tc>
        <w:tc>
          <w:tcPr>
            <w:tcW w:w="2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w:t>
            </w:r>
          </w:p>
        </w:tc>
        <w:tc>
          <w:tcPr>
            <w:tcW w:w="519"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06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Government Solutions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119,398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103,660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w:t>
            </w:r>
          </w:p>
        </w:tc>
        <w:tc>
          <w:tcPr>
            <w:tcW w:w="2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1"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w:t>
            </w:r>
          </w:p>
        </w:tc>
        <w:tc>
          <w:tcPr>
            <w:tcW w:w="519"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06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Parking Solutions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1" w:type="dxa"/>
            <w:tcBorders/>
            <w:shd w:fill="FFFFFF" w:val="cle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46.7</w:t>
            </w:r>
          </w:p>
        </w:tc>
        <w:tc>
          <w:tcPr>
            <w:tcW w:w="5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06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 before 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194,866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165,966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32.2</w:t>
            </w:r>
          </w:p>
        </w:tc>
        <w:tc>
          <w:tcPr>
            <w:tcW w:w="2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1"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w:t>
            </w:r>
          </w:p>
        </w:tc>
        <w:tc>
          <w:tcPr>
            <w:tcW w:w="5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06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1" w:type="dxa"/>
            <w:tcBorders/>
            <w:shd w:fill="FFFFFF" w:val="cle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81.8</w:t>
            </w:r>
          </w:p>
        </w:tc>
        <w:tc>
          <w:tcPr>
            <w:tcW w:w="5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06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196,373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166,795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32.4</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1" w:type="dxa"/>
            <w:tcBorders/>
            <w:shd w:fill="CFF0FC" w:val="cle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w:t>
            </w:r>
          </w:p>
        </w:tc>
        <w:tc>
          <w:tcPr>
            <w:tcW w:w="5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40" w:after="283"/>
        <w:jc w:val="both"/>
        <w:rPr/>
      </w:pPr>
      <w:r>
        <w:rPr/>
        <w:t> </w:t>
      </w:r>
    </w:p>
    <w:p>
      <w:pPr>
        <w:pStyle w:val="TextBody"/>
        <w:bidi w:val="0"/>
        <w:spacing w:before="40" w:after="283"/>
        <w:jc w:val="both"/>
        <w:rPr>
          <w:rFonts w:ascii="Times New Roman" w:hAnsi="Times New Roman"/>
          <w:sz w:val="20"/>
        </w:rPr>
      </w:pPr>
      <w:r>
        <w:rPr>
          <w:rFonts w:ascii="Times New Roman" w:hAnsi="Times New Roman"/>
          <w:b w:val="false"/>
          <w:i/>
          <w:color w:val="000000"/>
          <w:sz w:val="20"/>
        </w:rPr>
        <w:t>Selling, General and Administrative Expenses.</w:t>
      </w:r>
      <w:r>
        <w:rPr>
          <w:rFonts w:ascii="Times New Roman" w:hAnsi="Times New Roman"/>
          <w:color w:val="000000"/>
          <w:sz w:val="20"/>
        </w:rPr>
        <w:t xml:space="preserve"> </w:t>
      </w:r>
      <w:r>
        <w:rPr>
          <w:rFonts w:ascii="Times New Roman" w:hAnsi="Times New Roman"/>
          <w:b w:val="false"/>
          <w:color w:val="000000"/>
          <w:sz w:val="20"/>
        </w:rPr>
        <w:t>Selling, general and administrative expenses increased to $125.5 million for the nine months ended September 30, 2023 compared to $122.9 million for the same period in 2022. This is primarily due to $3.9 million in higher wage expenses, and increases in professional services, information technology and other general expenses, which are partially offset by a decrease in $3.3 million of credit loss expense based on customer payment trends in the last 12 months and lower stock-based compensation expense compared to prior year. Selling, general and administrative expenses as a percentage of total revenue decreased from 22.1% to 20.7% for the nine months ended September 30, 2022 and 2023, respectively.</w:t>
      </w:r>
      <w:r>
        <w:rPr>
          <w:rFonts w:ascii="Times New Roman" w:hAnsi="Times New Roman"/>
          <w:color w:val="000000"/>
          <w:sz w:val="20"/>
        </w:rPr>
        <w:t xml:space="preserve"> </w:t>
      </w:r>
      <w:r>
        <w:rPr>
          <w:rFonts w:ascii="Times New Roman" w:hAnsi="Times New Roman"/>
          <w:b w:val="false"/>
          <w:color w:val="000000"/>
          <w:sz w:val="20"/>
        </w:rPr>
        <w:t>The following table presents selling, general and administrative expenses by segment: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38"/>
        <w:gridCol w:w="146"/>
        <w:gridCol w:w="211"/>
        <w:gridCol w:w="781"/>
        <w:gridCol w:w="146"/>
        <w:gridCol w:w="146"/>
        <w:gridCol w:w="211"/>
        <w:gridCol w:w="781"/>
        <w:gridCol w:w="146"/>
        <w:gridCol w:w="146"/>
        <w:gridCol w:w="149"/>
        <w:gridCol w:w="476"/>
        <w:gridCol w:w="276"/>
        <w:gridCol w:w="149"/>
        <w:gridCol w:w="149"/>
        <w:gridCol w:w="476"/>
        <w:gridCol w:w="271"/>
        <w:gridCol w:w="146"/>
        <w:gridCol w:w="211"/>
        <w:gridCol w:w="631"/>
        <w:gridCol w:w="166"/>
        <w:gridCol w:w="146"/>
        <w:gridCol w:w="146"/>
        <w:gridCol w:w="526"/>
        <w:gridCol w:w="535"/>
      </w:tblGrid>
      <w:tr>
        <w:trPr/>
        <w:tc>
          <w:tcPr>
            <w:tcW w:w="30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303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8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2023 vs 2022</w:t>
            </w:r>
          </w:p>
        </w:tc>
        <w:tc>
          <w:tcPr>
            <w:tcW w:w="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8"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vAlign w:val="center"/>
          </w:tcPr>
          <w:p>
            <w:pPr>
              <w:pStyle w:val="TableContents"/>
              <w:bidi w:val="0"/>
              <w:spacing w:before="0" w:after="283"/>
              <w:jc w:val="left"/>
              <w:rPr/>
            </w:pPr>
            <w:r>
              <w:rPr/>
              <w:t> </w:t>
            </w:r>
          </w:p>
        </w:tc>
        <w:tc>
          <w:tcPr>
            <w:tcW w:w="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5" w:type="dxa"/>
            <w:gridSpan w:val="2"/>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625"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2" w:type="dxa"/>
            <w:gridSpan w:val="2"/>
            <w:tcBorders/>
            <w:shd w:fill="CFF0FC" w:val="clear"/>
            <w:vAlign w:val="center"/>
          </w:tcPr>
          <w:p>
            <w:pPr>
              <w:pStyle w:val="TableContents"/>
              <w:bidi w:val="0"/>
              <w:spacing w:before="0" w:after="283"/>
              <w:jc w:val="right"/>
              <w:rPr/>
            </w:pPr>
            <w:r>
              <w:rPr/>
              <w:t> </w:t>
            </w:r>
          </w:p>
        </w:tc>
        <w:tc>
          <w:tcPr>
            <w:tcW w:w="535" w:type="dxa"/>
            <w:tcBorders/>
            <w:shd w:fill="CFF0FC" w:val="clear"/>
            <w:vAlign w:val="center"/>
          </w:tcPr>
          <w:p>
            <w:pPr>
              <w:pStyle w:val="TableContents"/>
              <w:bidi w:val="0"/>
              <w:spacing w:before="0" w:after="283"/>
              <w:ind w:left="0" w:right="0" w:firstLine="200"/>
              <w:jc w:val="right"/>
              <w:rPr/>
            </w:pPr>
            <w:r>
              <w:rPr/>
              <w:t> </w:t>
            </w:r>
          </w:p>
        </w:tc>
      </w:tr>
      <w:tr>
        <w:trPr/>
        <w:tc>
          <w:tcPr>
            <w:tcW w:w="303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Commercial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47,127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40,980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w:t>
            </w:r>
          </w:p>
        </w:tc>
        <w:tc>
          <w:tcPr>
            <w:tcW w:w="2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w:t>
            </w:r>
          </w:p>
        </w:tc>
        <w:tc>
          <w:tcPr>
            <w:tcW w:w="535"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03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Government Solutions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45,747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45,732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c>
          <w:tcPr>
            <w:tcW w:w="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535"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03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Parking Solutions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2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(2,193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w:t>
            </w:r>
          </w:p>
        </w:tc>
        <w:tc>
          <w:tcPr>
            <w:tcW w:w="535"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03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Corporate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27.4</w:t>
            </w:r>
          </w:p>
        </w:tc>
        <w:tc>
          <w:tcPr>
            <w:tcW w:w="5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03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selling, general and administrative expenses before 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114,655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110,086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w:t>
            </w:r>
          </w:p>
        </w:tc>
        <w:tc>
          <w:tcPr>
            <w:tcW w:w="2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5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03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9" w:type="dxa"/>
            <w:tcBorders/>
            <w:shd w:fill="CFF0FC" w:val="cle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w:t>
            </w:r>
          </w:p>
        </w:tc>
        <w:tc>
          <w:tcPr>
            <w:tcW w:w="535"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03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selling,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125,494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122,913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5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40" w:after="283"/>
        <w:jc w:val="both"/>
        <w:rPr/>
      </w:pPr>
      <w:r>
        <w:rPr/>
        <w:t> </w:t>
      </w:r>
    </w:p>
    <w:p>
      <w:pPr>
        <w:pStyle w:val="TextBody"/>
        <w:bidi w:val="0"/>
        <w:spacing w:before="40" w:after="283"/>
        <w:jc w:val="both"/>
        <w:rPr>
          <w:rFonts w:ascii="Times New Roman" w:hAnsi="Times New Roman"/>
          <w:sz w:val="20"/>
        </w:rPr>
      </w:pPr>
      <w:r>
        <w:rPr>
          <w:rFonts w:ascii="Times New Roman" w:hAnsi="Times New Roman"/>
          <w:b w:val="false"/>
          <w:i/>
          <w:color w:val="000000"/>
          <w:sz w:val="20"/>
        </w:rPr>
        <w:t>Depreciation, Amortization and (Gain) Loss on Disposal of Assets, Net.</w:t>
      </w:r>
      <w:r>
        <w:rPr>
          <w:rFonts w:ascii="Times New Roman" w:hAnsi="Times New Roman"/>
          <w:color w:val="000000"/>
          <w:sz w:val="20"/>
        </w:rPr>
        <w:t xml:space="preserve"> </w:t>
      </w:r>
      <w:r>
        <w:rPr>
          <w:rFonts w:ascii="Times New Roman" w:hAnsi="Times New Roman"/>
          <w:b w:val="false"/>
          <w:color w:val="000000"/>
          <w:sz w:val="20"/>
        </w:rPr>
        <w:t>Depreciation, amortization and (gain) loss on disposal of assets, net, decreased by $18.9 million to $87.0 million for the nine months ended September 30, 2023 from $105.9 million for the same period in 2022. This was mainly due to certain non-compete and developed technology intangible assets being fully amortized in the nine months ended September 30, 2023 as compared to the prior year. This decrease was partially offset by an increase in depreciation expense in the 2023 period.</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Interest Expense, Net.</w:t>
      </w:r>
      <w:r>
        <w:rPr>
          <w:rFonts w:ascii="Times New Roman" w:hAnsi="Times New Roman"/>
          <w:color w:val="000000"/>
          <w:sz w:val="20"/>
        </w:rPr>
        <w:t xml:space="preserve"> </w:t>
      </w:r>
      <w:r>
        <w:rPr>
          <w:rFonts w:ascii="Times New Roman" w:hAnsi="Times New Roman"/>
          <w:b w:val="false"/>
          <w:color w:val="000000"/>
          <w:sz w:val="20"/>
        </w:rPr>
        <w:t>Interest expense, net increased by $16.8 million from $49.0 million for the nine months ended September 30, 2022 to $65.8 million for the same period in 2023 which is primarily attributable to rising interest rates. The average variable interest rate on the 2021 Term Loan was 380 basis points higher for the nine months ended September 30, 2023 compared to the prior period. See “</w:t>
      </w:r>
      <w:r>
        <w:rPr>
          <w:rFonts w:ascii="Times New Roman" w:hAnsi="Times New Roman"/>
          <w:b w:val="false"/>
          <w:i/>
          <w:color w:val="000000"/>
          <w:sz w:val="20"/>
        </w:rPr>
        <w:t>Liquidity and Capital Resources</w:t>
      </w:r>
      <w:r>
        <w:rPr>
          <w:rFonts w:ascii="Times New Roman" w:hAnsi="Times New Roman"/>
          <w:b w:val="false"/>
          <w:color w:val="000000"/>
          <w:sz w:val="20"/>
        </w:rPr>
        <w:t>.”</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Change in Fair Value of Private Placement Warrants</w:t>
      </w:r>
      <w:r>
        <w:rPr>
          <w:rFonts w:ascii="Times New Roman" w:hAnsi="Times New Roman"/>
          <w:b w:val="false"/>
          <w:color w:val="000000"/>
          <w:sz w:val="20"/>
        </w:rPr>
        <w:t>. We recorded a loss of $25.0 million and a gain of $5.1 million for the nine months ended September 30, 2023 and 2022, respectively, related to the changes in fair value of our Private Placement Warrants, which were accounted for as liabilities on our condensed consolidated balance sheets. The change in fair value was the result of re-measurement of the liability at the end of each reporting period, and the final re-measurement upon their exercise.</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Tax Receivable Agreement Liability Adjustment</w:t>
      </w:r>
      <w:r>
        <w:rPr>
          <w:rFonts w:ascii="Times New Roman" w:hAnsi="Times New Roman"/>
          <w:b w:val="false"/>
          <w:color w:val="000000"/>
          <w:sz w:val="20"/>
        </w:rPr>
        <w:t>. We recorded a $1.0 million benefit for the nine months ended September 30, 2022 which was from lower estimated state tax rates due to changes in apportionment.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 xml:space="preserve">Gain on Interest Rate Swap. </w:t>
      </w:r>
      <w:r>
        <w:rPr>
          <w:rFonts w:ascii="Times New Roman" w:hAnsi="Times New Roman"/>
          <w:b w:val="false"/>
          <w:color w:val="000000"/>
          <w:sz w:val="20"/>
        </w:rPr>
        <w:t>We recorded a $1.9 million gain during the nine months ended September 30, 2023, of which approximately $3.3 million is associated with the derivative instrument re-measured to fair value at the end of the reporting period and $1.4 million related to the monthly cash payments on the interest rate swap.</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Loss (Gain) on Extinguishment of Debt</w:t>
      </w:r>
      <w:r>
        <w:rPr>
          <w:rFonts w:ascii="Times New Roman" w:hAnsi="Times New Roman"/>
          <w:b w:val="false"/>
          <w:color w:val="000000"/>
          <w:sz w:val="20"/>
        </w:rPr>
        <w:t>. We recorded a $3.5 million loss on extinguishment of debt during the nine months ended September 30, 2023 related to the write-off of pre-existing deferred financing costs and discounts in connection with the early repayment of $172.5 million on the 2021 Term Loan. We recorded a $3.0 million gain on extinguishment of debt during the nine months ended September 30, 2022 related to the forgiveness of the PPP loan, discussed below.</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Other Income, Net.</w:t>
      </w:r>
      <w:r>
        <w:rPr>
          <w:rFonts w:ascii="Times New Roman" w:hAnsi="Times New Roman"/>
          <w:color w:val="000000"/>
          <w:sz w:val="20"/>
        </w:rPr>
        <w:t xml:space="preserve"> </w:t>
      </w:r>
      <w:r>
        <w:rPr>
          <w:rFonts w:ascii="Times New Roman" w:hAnsi="Times New Roman"/>
          <w:b w:val="false"/>
          <w:color w:val="000000"/>
          <w:sz w:val="20"/>
        </w:rPr>
        <w:t>Other income, net was $12.8 million for the nine months ended September 30, 2023 compared to $9.4 million for the nine months ended September 30, 2022. The increase of $3.4 million is primarily attributable to volume rebates earned from total spend on purchasing cards from increased tolling and travel activity.</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Income Tax Provision.</w:t>
      </w:r>
      <w:r>
        <w:rPr>
          <w:rFonts w:ascii="Times New Roman" w:hAnsi="Times New Roman"/>
          <w:color w:val="000000"/>
          <w:sz w:val="20"/>
        </w:rPr>
        <w:t xml:space="preserve"> </w:t>
      </w:r>
      <w:r>
        <w:rPr>
          <w:rFonts w:ascii="Times New Roman" w:hAnsi="Times New Roman"/>
          <w:b w:val="false"/>
          <w:color w:val="000000"/>
          <w:sz w:val="20"/>
        </w:rPr>
        <w:t>Income tax provision was $31.9 million representing an effective tax rate of 37.1% for the nine months ended September 30, 2023 compared to a tax provision of $27.9 million, representing an effective tax rate of 30.2% for the same period in 2022. The primary driver for the effective tax rate variance is due to the permanent differences related to the mark-to-market adjustments on the Private Placement Warrants.</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Net Income.</w:t>
      </w:r>
      <w:r>
        <w:rPr>
          <w:rFonts w:ascii="Times New Roman" w:hAnsi="Times New Roman"/>
          <w:color w:val="000000"/>
          <w:sz w:val="20"/>
        </w:rPr>
        <w:t xml:space="preserve"> </w:t>
      </w:r>
      <w:r>
        <w:rPr>
          <w:rFonts w:ascii="Times New Roman" w:hAnsi="Times New Roman"/>
          <w:b w:val="false"/>
          <w:color w:val="000000"/>
          <w:sz w:val="20"/>
        </w:rPr>
        <w:t>We had net income of $54.0 million for the nine months ended September 30, 2023, as compared to a net income of $64.3 million for the nine months ended September 30, 2022. The $10.3 million decrease in net income was primarily due to the change in fair value of Private Placement Warrants, increased interest expense, and the other statement of operations activity discussed above.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principal sources of liquidity are cash flows from operations and the available borrowing under our Revolver (defined below).</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have incurred significant long-term debt as a result of acquisitions completed in prior years.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believe that our existing cash and cash equivalents, cash flows provided by operating activities and our ability to borrow under our Revolver (as defined below) will be sufficient to meet operating cash requirements and service debt obligations for at least the next 12 months.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or strategic acquisitions. Should we pursue strategic acquisitions, we may need to raise additional capital, which may be in the form of additional long-term debt, borrowing on our Revolver, or equity financings, all of which may not be available to us on favorable terms or at all.</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We have the ability to borrow under our Revolver to meet obligations as they come due. As of September 30, 2023, we had $74.8 million available for borrowing, net of letters of credit, under our Revolver.</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We made early repayments totaling $100.0 million and $172.5 million on our 2021 Term Loan during the three and nine months ended September 30, 2023, respectively.</w:t>
      </w:r>
    </w:p>
    <w:p>
      <w:pPr>
        <w:pStyle w:val="TextBody"/>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Warrants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 xml:space="preserve">During the nine months ended September 30, 2023, we processed the exercise of 19,999,333 Warrants in exchange for the issuance of 16,273,406 shares of Class A Common Stock. There were 14,035,449 shares issued in exchange for cash-basis warrant exercises resulting in the receipt of $161.4 million in cash proceeds as of September 30, 2023, and the remaining Warrant exercises were completed on a cashless basis. In addition, there were 634 Public Warrants that were redeemed and as a result, there were no outstanding Warrants as of September 30,2023 as further discussed in Note 10, </w:t>
      </w:r>
      <w:r>
        <w:rPr>
          <w:rFonts w:ascii="Times New Roman" w:hAnsi="Times New Roman"/>
          <w:b w:val="false"/>
          <w:i/>
          <w:color w:val="000000"/>
          <w:sz w:val="20"/>
        </w:rPr>
        <w:t>Stockholders' Equity</w:t>
      </w:r>
      <w:r>
        <w:rPr>
          <w:rFonts w:ascii="Times New Roman" w:hAnsi="Times New Roman"/>
          <w:b w:val="false"/>
          <w:color w:val="000000"/>
          <w:sz w:val="20"/>
        </w:rPr>
        <w:t>.</w:t>
      </w:r>
    </w:p>
    <w:p>
      <w:pPr>
        <w:pStyle w:val="TextBody"/>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Share Repurchases and Retirement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November 2022, our Board of Directors authorized a share repurchase program for up to an aggregate amount of $100.0 million of our outstanding shares of Class A Common Stock over an 18-month period in open market, ASR or privately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negotiated transactions, each as permitted under applicable rules and regulations, any of which may use prearranged trading plans that are designed to meet the requirements of Rule 10b5-1 of the Exchange Act.</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paid $8.1 million to repurchase 449,432 shares of our Class A Common Stock through open market transactions during the third quarter of fiscal year 2023, which we subsequently retired. On September 5, 2023, we used the remaining availability under the share repurchase program for an ASR and paid approximately $91.9 million to receive an initial delivery of 4,131,551 shares of our Class A Common Stock in accordance with an ASR agreement with a third-party financial institution. The final settlement is expected to occur during the first quarter of fiscal year 2024, at which time, a volume-weighted average price calculation over the term of the ASR agreement will be used to determine the final number and the average price of shares repurchased and retired. We paid a total of $100.0 million for share repurchases during the nine months ended September 30, 2023.</w:t>
      </w:r>
    </w:p>
    <w:p>
      <w:pPr>
        <w:pStyle w:val="TextBody"/>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Concentration of Credit Risk</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City of New York Department of Transportation (“</w:t>
      </w:r>
      <w:r>
        <w:rPr>
          <w:rFonts w:ascii="Times New Roman" w:hAnsi="Times New Roman"/>
          <w:b/>
          <w:i/>
          <w:color w:val="000000"/>
          <w:sz w:val="20"/>
        </w:rPr>
        <w:t>NYCDOT</w:t>
      </w:r>
      <w:r>
        <w:rPr>
          <w:rFonts w:ascii="Times New Roman" w:hAnsi="Times New Roman"/>
          <w:color w:val="000000"/>
          <w:sz w:val="20"/>
        </w:rPr>
        <w:t>”</w:t>
      </w:r>
      <w:r>
        <w:rPr>
          <w:rFonts w:ascii="Times New Roman" w:hAnsi="Times New Roman"/>
          <w:b w:val="false"/>
          <w:color w:val="000000"/>
          <w:sz w:val="20"/>
        </w:rPr>
        <w:t>) represented 13% and 22% of total accounts receivable, net as of September 30, 2023 and December 31, 2022, respectively. There is no material reserve related to NYCDOT open receivables as amounts are deemed collectible based on current conditions and expectations.</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following table sets forth certain captions indicated on our statements of cash flows for the respective periods:</w:t>
      </w:r>
    </w:p>
    <w:p>
      <w:pPr>
        <w:pStyle w:val="TextBody"/>
        <w:bidi w:val="0"/>
        <w:jc w:val="both"/>
        <w:rPr/>
      </w:pPr>
      <w:r>
        <w:rPr/>
        <w:t> </w:t>
      </w:r>
    </w:p>
    <w:tbl>
      <w:tblPr>
        <w:tblW w:w="6415" w:type="dxa"/>
        <w:jc w:val="left"/>
        <w:tblInd w:w="0" w:type="dxa"/>
        <w:tblLayout w:type="fixed"/>
        <w:tblCellMar>
          <w:top w:w="28" w:type="dxa"/>
          <w:left w:w="28" w:type="dxa"/>
          <w:bottom w:w="28" w:type="dxa"/>
          <w:right w:w="28" w:type="dxa"/>
        </w:tblCellMar>
      </w:tblPr>
      <w:tblGrid>
        <w:gridCol w:w="3466"/>
        <w:gridCol w:w="146"/>
        <w:gridCol w:w="226"/>
        <w:gridCol w:w="903"/>
        <w:gridCol w:w="178"/>
        <w:gridCol w:w="156"/>
        <w:gridCol w:w="226"/>
        <w:gridCol w:w="903"/>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170,371</w:t>
            </w:r>
          </w:p>
        </w:tc>
        <w:tc>
          <w:tcPr>
            <w:tcW w:w="178"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148,776</w:t>
            </w:r>
          </w:p>
        </w:tc>
        <w:tc>
          <w:tcPr>
            <w:tcW w:w="21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(41,693</w:t>
            </w:r>
          </w:p>
        </w:tc>
        <w:tc>
          <w:tcPr>
            <w:tcW w:w="1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(36,434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(118,450</w:t>
            </w:r>
          </w:p>
        </w:tc>
        <w:tc>
          <w:tcPr>
            <w:tcW w:w="1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(159,525</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Cash Flows from Operating Activities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Cash provided by operating activities increased by $21.6 million from $148.8 million for the nine months ended September 30, 2022 to $170.4 million for the nine months ended September 30, 2023. Net income year over year decreased by approximately $10.3 million, from $64.3 million in 2022 to $54.0 million in 2023. The aggregate adjustments to reconcile net income to net cash provided by operating activities increased $20.4 million mainly due to the change in fair value of private placement warrants, the change in deferred income taxes and the loss (gain) on extinguishment of debt, partially offset by decreased amortization expense year over year. The aggregate changes in operating assets and liabilities increased by $11.5 million in 2023 compared to prior year primarily due to the timing of accrued and other payables and fluctuation in inventory levels offset by an increase in accounts receivables and unbilled receivables.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Flows from Investing Activities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Cash used in investing activities was $41.7 million and $36.4 million for the nine months ended September 30, 2023 and 2022, respectively. There was an increase in cash used in 2023 related to the purchases of installation and service parts and property and equipment compared to the prior year, and due to the monthly cash payments on the interest rate swap entered into in December 2022 to hedge our exposure to rising interest rates.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Cash used in financing activities was $118.5 million and $159.5 million for the nine months ended September 30, 2023 and 2022, respectively. The cash used in financing activities in 2023 was mainly due to early repayments totaling $172.5 million on our 2021 Term Loan and $100.0 million of share repurchases, which were partially offset by $161.4 million of proceeds from the exercise of warrants issued in connection with the IPO. The cash used in 2022 was mainly due to the repurchases of 6.9 million shares of our Class A Common Stock for $125.1 million, the repayment of $25.0 million of borrowing on the Revolver in January 2022 and the quarterly principal payments on the 2021 Term Loan.</w:t>
      </w:r>
      <w:r>
        <w:rPr>
          <w:rFonts w:ascii="Times New Roman" w:hAnsi="Times New Roman"/>
          <w:color w:val="000000"/>
          <w:sz w:val="20"/>
        </w:rPr>
        <w:t xml:space="preserv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Long-term Debt</w:t>
      </w:r>
    </w:p>
    <w:p>
      <w:pPr>
        <w:pStyle w:val="TextBody"/>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 xml:space="preserve">2021 Term Loan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March 2021, VM Consolidated, Inc. (“</w:t>
      </w:r>
      <w:r>
        <w:rPr>
          <w:rFonts w:ascii="Times New Roman" w:hAnsi="Times New Roman"/>
          <w:b/>
          <w:i/>
          <w:color w:val="000000"/>
          <w:sz w:val="20"/>
        </w:rPr>
        <w:t>VM Consolidated</w:t>
      </w:r>
      <w:r>
        <w:rPr>
          <w:rFonts w:ascii="Times New Roman" w:hAnsi="Times New Roman"/>
          <w:color w:val="000000"/>
          <w:sz w:val="20"/>
        </w:rPr>
        <w:t>”</w:t>
      </w:r>
      <w:r>
        <w:rPr>
          <w:rFonts w:ascii="Times New Roman" w:hAnsi="Times New Roman"/>
          <w:b w:val="false"/>
          <w:color w:val="000000"/>
          <w:sz w:val="20"/>
        </w:rPr>
        <w:t>), our wholly owned subsidiary, entered into an Amendment and Restatement Agreement No.1 to the First Lien Term Loan Credit Agreement (the “</w:t>
      </w:r>
      <w:r>
        <w:rPr>
          <w:rFonts w:ascii="Times New Roman" w:hAnsi="Times New Roman"/>
          <w:b/>
          <w:i/>
          <w:color w:val="000000"/>
          <w:sz w:val="20"/>
        </w:rPr>
        <w:t>2021</w:t>
      </w:r>
      <w:r>
        <w:rPr>
          <w:rFonts w:ascii="Times New Roman" w:hAnsi="Times New Roman"/>
          <w:color w:val="000000"/>
          <w:sz w:val="20"/>
        </w:rPr>
        <w:t xml:space="preserve"> </w:t>
      </w:r>
      <w:r>
        <w:rPr>
          <w:rFonts w:ascii="Times New Roman" w:hAnsi="Times New Roman"/>
          <w:b/>
          <w:i/>
          <w:color w:val="000000"/>
          <w:sz w:val="20"/>
        </w:rPr>
        <w:t>Term Loan</w:t>
      </w:r>
      <w:r>
        <w:rPr>
          <w:rFonts w:ascii="Times New Roman" w:hAnsi="Times New Roman"/>
          <w:color w:val="000000"/>
          <w:sz w:val="20"/>
        </w:rPr>
        <w:t>”</w:t>
      </w:r>
      <w:r>
        <w:rPr>
          <w:rFonts w:ascii="Times New Roman" w:hAnsi="Times New Roman"/>
          <w:b w:val="false"/>
          <w:color w:val="000000"/>
          <w:sz w:val="20"/>
        </w:rPr>
        <w:t>) with a syndicate of</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lenders. The 2021 Term Loan has an aggregate borrowing of $900.0 million, maturing on March 26, 2028, which includes the incremental borrowing of $250.0 million in December 2021 as a result of exercising the accordion feature available under the agreement. In connection with the 2021 Term Loan borrowings, we had $4.6 million of offering discount costs and $4.5 million in deferred financing costs, both of which were capitalized and are being amortized over the remaining life of the 2021 Term Loan.</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During the nine months ended September 30, 2023, we made early repayments of $172.5 million on the 2021 Term Loan and as a result, the total principal outstanding was $706.8 million as of September 30, 2023. We recognized a loss on extinguishment of debt of $2.0 million and $3.5 million for the three and nine months ended September 30, 2023, respectively, related to the write-off of pre-existing deferred financing costs and discounts.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2021 Term Loan is repayable at 1.0% per annum of the amount initially borrowed, paid in quarterly installments. It bears interest based, at our option, on either (1) LIBOR plus an applicable margin of 3.25% per annum, or (2) an alternate base rate plus an applicable margin of 2.25% per annum. In March 2023, we amended our 2021 Term Loan agreement to transition away from LIBOR to Term SOFR with the cessation of LIBOR in June 2023. To compensate for the differences in reference rates utilized, the amended agreement also includes a credit spread adjustment of 0.11448% for an interest period of one-month duration, 0.26161% for a three-month duration, 0.42826% for a six-month duration, and 0.71513% for twelve-months duration in addition to Term SOFR and the applicable margin. As of September 30, 2023, the new all-in interest rate on the 2021 Term Loan was 8.7%.</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In addition, the 2021 Term Loan requires mandatory prepayments equal to the product of the excess cash flows of the Company (as defined in the 2021 Term Loan agreement) and the applicable prepayment percentages (calculated as of the last day of the fiscal year), as set forth in the following table:</w:t>
      </w:r>
    </w:p>
    <w:p>
      <w:pPr>
        <w:pStyle w:val="TextBody"/>
        <w:bidi w:val="0"/>
        <w:jc w:val="both"/>
        <w:rPr/>
      </w:pPr>
      <w:r>
        <w:rPr/>
        <w:t> </w:t>
      </w:r>
    </w:p>
    <w:tbl>
      <w:tblPr>
        <w:tblW w:w="8008" w:type="dxa"/>
        <w:jc w:val="left"/>
        <w:tblInd w:w="0" w:type="dxa"/>
        <w:tblLayout w:type="fixed"/>
        <w:tblCellMar>
          <w:top w:w="28" w:type="dxa"/>
          <w:left w:w="28" w:type="dxa"/>
          <w:bottom w:w="28" w:type="dxa"/>
          <w:right w:w="28" w:type="dxa"/>
        </w:tblCellMar>
      </w:tblPr>
      <w:tblGrid>
        <w:gridCol w:w="6826"/>
        <w:gridCol w:w="146"/>
        <w:gridCol w:w="1036"/>
      </w:tblGrid>
      <w:tr>
        <w:trPr/>
        <w:tc>
          <w:tcPr>
            <w:tcW w:w="6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6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 First Lien Net Leverage Ratio (As Defined by the 2021 Term Loan Agreement)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Applicable</w:t>
              <w:br/>
              <w:t>Prepayment</w:t>
              <w:br/>
              <w:t>Percentage</w:t>
            </w:r>
          </w:p>
        </w:tc>
      </w:tr>
      <w:tr>
        <w:trPr/>
        <w:tc>
          <w:tcPr>
            <w:tcW w:w="682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&gt; 3.70:1.00</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50%</w:t>
            </w:r>
          </w:p>
        </w:tc>
      </w:tr>
      <w:tr>
        <w:trPr/>
        <w:tc>
          <w:tcPr>
            <w:tcW w:w="682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u w:val="single"/>
              </w:rPr>
              <w:t>&lt;</w:t>
            </w:r>
            <w:r>
              <w:rPr>
                <w:rFonts w:ascii="Times New Roman" w:hAnsi="Times New Roman"/>
                <w:color w:val="000000"/>
                <w:sz w:val="20"/>
              </w:rPr>
              <w:t> </w:t>
            </w:r>
            <w:r>
              <w:rPr>
                <w:rFonts w:ascii="Times New Roman" w:hAnsi="Times New Roman"/>
                <w:b w:val="false"/>
                <w:color w:val="000000"/>
                <w:sz w:val="20"/>
              </w:rPr>
              <w:t>3.70:1.00 and &gt; 3.20:1.00</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25%</w:t>
            </w:r>
          </w:p>
        </w:tc>
      </w:tr>
      <w:tr>
        <w:trPr/>
        <w:tc>
          <w:tcPr>
            <w:tcW w:w="6826"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u w:val="single"/>
              </w:rPr>
              <w:t>&lt;</w:t>
            </w:r>
            <w:r>
              <w:rPr>
                <w:rFonts w:ascii="Times New Roman" w:hAnsi="Times New Roman"/>
                <w:color w:val="000000"/>
                <w:sz w:val="20"/>
              </w:rPr>
              <w:t> </w:t>
            </w:r>
            <w:r>
              <w:rPr>
                <w:rFonts w:ascii="Times New Roman" w:hAnsi="Times New Roman"/>
                <w:b w:val="false"/>
                <w:color w:val="000000"/>
                <w:sz w:val="20"/>
              </w:rPr>
              <w:t>3.20:1.00</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w:t>
            </w:r>
          </w:p>
        </w:tc>
      </w:tr>
    </w:tbl>
    <w:p>
      <w:pPr>
        <w:pStyle w:val="TextBody"/>
        <w:bidi w:val="0"/>
        <w:jc w:val="left"/>
        <w:rPr/>
      </w:pPr>
      <w:r>
        <w:rPr/>
        <w:t>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Senior Notes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March 2021, VM Consolidated issued an aggregate principal amount of $350.0 million in Senior Unsecured Notes (the “</w:t>
      </w:r>
      <w:r>
        <w:rPr>
          <w:rFonts w:ascii="Times New Roman" w:hAnsi="Times New Roman"/>
          <w:b/>
          <w:i/>
          <w:color w:val="000000"/>
          <w:sz w:val="20"/>
        </w:rPr>
        <w:t>Senior Notes</w:t>
      </w:r>
      <w:r>
        <w:rPr>
          <w:rFonts w:ascii="Times New Roman" w:hAnsi="Times New Roman"/>
          <w:color w:val="000000"/>
          <w:sz w:val="20"/>
        </w:rPr>
        <w:t>”</w:t>
      </w:r>
      <w:r>
        <w:rPr>
          <w:rFonts w:ascii="Times New Roman" w:hAnsi="Times New Roman"/>
          <w:b w:val="false"/>
          <w:color w:val="000000"/>
          <w:sz w:val="20"/>
        </w:rPr>
        <w:t>), due on April 15, 2029. In connection with the issuance of the Senior Notes, we incurred $5.7 million in lender and third-party costs, which were capitalized as deferred financing costs and are being amortized over the remaining life of the Senior Notes.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Interest on the Senior Notes is fixed at 5.50% per annum and is payable on April 15 and October 15 of each year. On or after April 15, 2024, we may redeem all or a portion of the Senior Notes at the redemption prices set forth below in percentages by year, plus accrued and unpaid interest:</w:t>
      </w:r>
    </w:p>
    <w:p>
      <w:pPr>
        <w:pStyle w:val="TextBody"/>
        <w:bidi w:val="0"/>
        <w:jc w:val="left"/>
        <w:rPr/>
      </w:pPr>
      <w:r>
        <w:rPr/>
        <w:t> </w:t>
      </w:r>
    </w:p>
    <w:tbl>
      <w:tblPr>
        <w:tblW w:w="2833" w:type="dxa"/>
        <w:jc w:val="left"/>
        <w:tblInd w:w="0" w:type="dxa"/>
        <w:tblLayout w:type="fixed"/>
        <w:tblCellMar>
          <w:top w:w="28" w:type="dxa"/>
          <w:left w:w="28" w:type="dxa"/>
          <w:bottom w:w="28" w:type="dxa"/>
          <w:right w:w="28" w:type="dxa"/>
        </w:tblCellMar>
      </w:tblPr>
      <w:tblGrid>
        <w:gridCol w:w="1696"/>
        <w:gridCol w:w="146"/>
        <w:gridCol w:w="9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r>
      <w:tr>
        <w:trPr/>
        <w:tc>
          <w:tcPr>
            <w:tcW w:w="169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102.750%</w:t>
            </w:r>
          </w:p>
        </w:tc>
      </w:tr>
      <w:tr>
        <w:trPr/>
        <w:tc>
          <w:tcPr>
            <w:tcW w:w="169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101.375%</w:t>
            </w:r>
          </w:p>
        </w:tc>
      </w:tr>
      <w:tr>
        <w:trPr/>
        <w:tc>
          <w:tcPr>
            <w:tcW w:w="169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2026 and thereafter</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100.000%</w:t>
            </w:r>
          </w:p>
        </w:tc>
      </w:tr>
    </w:tbl>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In addition, we may redeem up to 40% of the Senior Notes before April 15, 2024, with the net cash proceeds from certain equity offerings.</w:t>
      </w:r>
    </w:p>
    <w:p>
      <w:pPr>
        <w:pStyle w:val="TextBody"/>
        <w:bidi w:val="0"/>
        <w:jc w:val="both"/>
        <w:rPr/>
      </w:pPr>
      <w:r>
        <w:rPr/>
        <w:t>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PPP Loan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During fiscal year 2020, one of our wholly owned subsidiaries received a $2.9 million loan from the U.S. Small Business Administration (“</w:t>
      </w:r>
      <w:r>
        <w:rPr>
          <w:rFonts w:ascii="Times New Roman" w:hAnsi="Times New Roman"/>
          <w:b/>
          <w:i/>
          <w:color w:val="000000"/>
          <w:sz w:val="20"/>
        </w:rPr>
        <w:t>SBA</w:t>
      </w:r>
      <w:r>
        <w:rPr>
          <w:rFonts w:ascii="Times New Roman" w:hAnsi="Times New Roman"/>
          <w:color w:val="000000"/>
          <w:sz w:val="20"/>
        </w:rPr>
        <w:t>”</w:t>
      </w:r>
      <w:r>
        <w:rPr>
          <w:rFonts w:ascii="Times New Roman" w:hAnsi="Times New Roman"/>
          <w:b w:val="false"/>
          <w:color w:val="000000"/>
          <w:sz w:val="20"/>
        </w:rPr>
        <w:t>) as part of the Paycheck Protection Program (“</w:t>
      </w:r>
      <w:r>
        <w:rPr>
          <w:rFonts w:ascii="Times New Roman" w:hAnsi="Times New Roman"/>
          <w:b/>
          <w:i/>
          <w:color w:val="000000"/>
          <w:sz w:val="20"/>
        </w:rPr>
        <w:t>PPP Loan</w:t>
      </w:r>
      <w:r>
        <w:rPr>
          <w:rFonts w:ascii="Times New Roman" w:hAnsi="Times New Roman"/>
          <w:color w:val="000000"/>
          <w:sz w:val="20"/>
        </w:rPr>
        <w:t>”</w:t>
      </w:r>
      <w:r>
        <w:rPr>
          <w:rFonts w:ascii="Times New Roman" w:hAnsi="Times New Roman"/>
          <w:b w:val="false"/>
          <w:color w:val="000000"/>
          <w:sz w:val="20"/>
        </w:rPr>
        <w:t>) to offset certain employment and other allowable costs incurred as a result of the COVID-19 pandemic. In early 2021, the Company applied for forgiveness of this loan, and on September 23, 2022, it was notified by the SBA that the loan, together with accrued interest, had been fully forgiven under the provisions of the PPP Loan program. Accordingly, we recognized a $3.0 million gain on extinguishment of debt in the condensed consolidated statement of operations for the three and nine months ended September 30, 2022.</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The Revolver</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have a Revolving Credit Agreement (the “</w:t>
      </w:r>
      <w:r>
        <w:rPr>
          <w:rFonts w:ascii="Times New Roman" w:hAnsi="Times New Roman"/>
          <w:b/>
          <w:i/>
          <w:color w:val="000000"/>
          <w:sz w:val="20"/>
        </w:rPr>
        <w:t>Revolver</w:t>
      </w:r>
      <w:r>
        <w:rPr>
          <w:rFonts w:ascii="Times New Roman" w:hAnsi="Times New Roman"/>
          <w:color w:val="000000"/>
          <w:sz w:val="20"/>
        </w:rPr>
        <w:t>”</w:t>
      </w:r>
      <w:r>
        <w:rPr>
          <w:rFonts w:ascii="Times New Roman" w:hAnsi="Times New Roman"/>
          <w:b w:val="false"/>
          <w:color w:val="000000"/>
          <w:sz w:val="20"/>
        </w:rPr>
        <w:t>) with a commitment of up to $75.0 million available for loans and letters of credit. The Revolver matures on December 20, 2026.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Term SOFR plus an applicable margin, or (2) an alternate base rate, plus an applicable margin. The margin percentage applied to (1) Term SOFR is either 1.25%, 1.50%, or 1.75%, or (2) the base rate is either 0.25%, 0.50%, or 0.75%, depending on our average availability to borrow under the commitment. There is a credit spread adjustment of 0.10% for a one-month duration, 0.15% for a three-month duration, and 0.25% for a six-month duration, in addition to Term SOFR and the applicable margin percentages. There are no outstanding borrowings on the Revolver as of September 30, 2023 or December 31, 2022. The availability to borrow was $74.8 million, net of $0.2 million of outstanding letters of credit at September 30, 2023.</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Interest on the unused portion of the Revolver is payable quarterly at 0.375% and we are also required to pay participation and fronting fees at 1.38% on $0.2 million of outstanding letters of credit as of September 30, 2023.</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Substantially all of our assets are pledged as collateral to secure our indebtedness under the 2021 Term Loan. At September 30, 2023, we were compliant with all debt covenants.</w:t>
      </w:r>
    </w:p>
    <w:p>
      <w:pPr>
        <w:pStyle w:val="TextBody"/>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Interest Expense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recorded interest expense, including amortization of deferred financing costs and discounts, of $20.4 million and $20.3 million for the three months ended September 30, 2023 and 2022, respectively, and $65.8 million and $49.0 million for the nine months ended September 30, 2023 and 2022, respectively.</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 xml:space="preserve">See Note 2, </w:t>
      </w:r>
      <w:r>
        <w:rPr>
          <w:rFonts w:ascii="Times New Roman" w:hAnsi="Times New Roman"/>
          <w:b w:val="false"/>
          <w:i/>
          <w:color w:val="000000"/>
          <w:sz w:val="20"/>
        </w:rPr>
        <w:t>Significant Accounting Policies</w:t>
      </w:r>
      <w:r>
        <w:rPr>
          <w:rFonts w:ascii="Times New Roman" w:hAnsi="Times New Roman"/>
          <w:b w:val="false"/>
          <w:color w:val="000000"/>
          <w:sz w:val="20"/>
        </w:rPr>
        <w:t>, in Part I, Item 1, Financial Statements, for additional information on the interest rate swap entered into in December 2022 to hedge our exposure against rising interest rates.</w:t>
      </w:r>
      <w:r>
        <w:rPr>
          <w:rFonts w:ascii="Times New Roman" w:hAnsi="Times New Roman"/>
          <w:color w:val="000000"/>
          <w:sz w:val="20"/>
        </w:rPr>
        <w:t xml:space="preserv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do not have any material off-balance sheet financing arrangements as of September 30, 2023.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Policies, Estimates and Judgments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preparation of condensed consolidated financial statements in conformity with generally accepted accounting principles in the United States requires management to make estimates and assumptions that affect the amounts reported in the financial statements and the accompanying notes. Refer to our 2022 Annual Report on Form 10-K for our critical accounting policies, estimates and judgments. We believe that our estimates and assumptions are reasonable in the circumstances; however, actual results could differ materially from those estimates.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For a discussion of our significant accounting policies, refer to Note 2, </w:t>
      </w:r>
      <w:r>
        <w:rPr>
          <w:rFonts w:ascii="Times New Roman" w:hAnsi="Times New Roman"/>
          <w:b w:val="false"/>
          <w:i/>
          <w:color w:val="000000"/>
          <w:sz w:val="20"/>
        </w:rPr>
        <w:t>Significant Accounting Policies</w:t>
      </w:r>
      <w:r>
        <w:rPr>
          <w:rFonts w:ascii="Times New Roman" w:hAnsi="Times New Roman"/>
          <w:b w:val="false"/>
          <w:color w:val="000000"/>
          <w:sz w:val="20"/>
        </w:rPr>
        <w:t>, in Part I, Item 1, Financial Statements.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For a discussion of recent accounting pronouncements, refer to Note 2, </w:t>
      </w:r>
      <w:r>
        <w:rPr>
          <w:rFonts w:ascii="Times New Roman" w:hAnsi="Times New Roman"/>
          <w:b w:val="false"/>
          <w:i/>
          <w:color w:val="000000"/>
          <w:sz w:val="20"/>
        </w:rPr>
        <w:t>Significant Accounting Policies</w:t>
      </w:r>
      <w:r>
        <w:rPr>
          <w:rFonts w:ascii="Times New Roman" w:hAnsi="Times New Roman"/>
          <w:b w:val="false"/>
          <w:color w:val="000000"/>
          <w:sz w:val="20"/>
        </w:rPr>
        <w:t>, in Part I, Item 1, Financial Statements.</w:t>
      </w:r>
    </w:p>
    <w:p>
      <w:pPr>
        <w:pStyle w:val="TextBody"/>
        <w:bidi w:val="0"/>
        <w:spacing w:before="360" w:after="283"/>
        <w:jc w:val="both"/>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We are exposed to interest rate market risk due to the variable interest rate on the 2021 Term Loan described in Part I, Item 2. </w:t>
      </w:r>
      <w:r>
        <w:rPr>
          <w:rFonts w:ascii="Times New Roman" w:hAnsi="Times New Roman"/>
          <w:b w:val="false"/>
          <w:i/>
          <w:color w:val="000000"/>
          <w:sz w:val="20"/>
        </w:rPr>
        <w:t>Management’s Discussion and Analysis of Financial Condition and Results of Operations—Liquidity and Capital Resources</w:t>
      </w:r>
      <w:r>
        <w:rPr>
          <w:rFonts w:ascii="Times New Roman" w:hAnsi="Times New Roman"/>
          <w:b w:val="false"/>
          <w:color w:val="000000"/>
          <w:sz w:val="20"/>
        </w:rPr>
        <w: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Interest rate risk represents our exposure to fluctuations in interest rates associated with the variable rate debt represented by the 2021 Term Loan, which has an outstanding balance of $706.8 million at September 30, 2023. The 2021 Term Loan bears interest based, at our option, on either (1) LIBOR plus an applicable margin of 3.25% per annum, or (2) an alternate base rate plus an applicable margin of 2.25% per annum. In March 2023, we amended our 2021 Term Loan agreement to transition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away from LIBOR to Term SOFR with the cessation of LIBOR in June 2023. To compensate for the differences in reference rates utilized, the amended agreement also includes a credit spread adjustment of 0.11448% for an interest period of one-month duration, 0.26161% for a three-month duration, 0.42826% for a six-month duration, and 0.71513% for twelve-months duration in addition to Term SOFR and the applicable margin. At September 30, 2023, the new all-in interest rate on the 2021 Term Loan was 8.7%.</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Based on the September 30, 2023 balance outstanding, each 1% movement in interest rates will result in an approximately $7.1 million change in annual interest expense. Due to the limited history of the use of the new benchmark rate, we are unable to estimate the future impact to our borrowing costs as a result of the discontinuation of the LIBOR benchmark.</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In December 2022, we entered into a cancellable interest rate swap agreement to hedge our exposure to interest rate fluctuations associated with the LIBOR (now transitioned to Term SOFR) portion of the variable interest rate on our 2021 Term Loan. Under the interest rate swap agreement, we pay a fixed rate of 5.17% and the counterparty pays a variable interest rate which is net settled. The notional amount on the interest rate swap is $675.0 million. We have the option to effectively terminate the interest rate swap agreement starting in December 2023, and monthly thereafter until December 2025, in the event interest rates decrease. We recorded a $0.1 million loss for the three months ended September 30, 2023 and a $1.9 million gain on the interest rate swap for the nine months ended September 30, 2023. See Note 2, </w:t>
      </w:r>
      <w:r>
        <w:rPr>
          <w:rFonts w:ascii="Times New Roman" w:hAnsi="Times New Roman"/>
          <w:b w:val="false"/>
          <w:i/>
          <w:color w:val="000000"/>
          <w:sz w:val="20"/>
        </w:rPr>
        <w:t>Significant Accounting Policies</w:t>
      </w:r>
      <w:r>
        <w:rPr>
          <w:rFonts w:ascii="Times New Roman" w:hAnsi="Times New Roman"/>
          <w:b w:val="false"/>
          <w:color w:val="000000"/>
          <w:sz w:val="20"/>
        </w:rPr>
        <w:t>, in Part I, Item 1, Financial Statements for additional information on the interest rate swap.</w:t>
      </w:r>
    </w:p>
    <w:p>
      <w:pPr>
        <w:pStyle w:val="TextBody"/>
        <w:bidi w:val="0"/>
        <w:spacing w:before="360" w:after="283"/>
        <w:jc w:val="both"/>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Evaluation of Disclosure Controls and Procedures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disclosure controls and procedures (as defined in Rules 13a-15(e) or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management, including our principal executive and financial officers, to allow timely decisions regarding disclosure. Our Chief Executive Officer and Chief Financial Officer, with assistance from other members of management, have reviewed the effectiveness of our disclosure controls and procedures. Based on the results of our assessment, our management concluded that our internal control over financial reporting was effective as of September 30, 2023.</w:t>
      </w:r>
    </w:p>
    <w:p>
      <w:pPr>
        <w:pStyle w:val="TextBody"/>
        <w:bidi w:val="0"/>
        <w:jc w:val="both"/>
        <w:rPr/>
      </w:pPr>
      <w:r>
        <w:rPr/>
        <w:t>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Changes in Internal Control Over Financial Reporting</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There have been no changes in our internal control over financial reporting (as defined in Rules 13a-15(f) or 15d-15(f) of the Exchange Act) that occurred during the quarter ended September 30, 2023 that have materially affected, or are reasonably likely to materially affect, the Company’s internal control over financial reporting.</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aps/>
          <w:color w:val="000000"/>
          <w:sz w:val="20"/>
        </w:rPr>
      </w:pPr>
      <w:bookmarkStart w:id="12" w:name="part_iior_information"/>
      <w:bookmarkEnd w:id="12"/>
      <w:r>
        <w:rPr>
          <w:rFonts w:ascii="Times New Roman" w:hAnsi="Times New Roman"/>
          <w:b/>
          <w:caps/>
          <w:color w:val="000000"/>
          <w:sz w:val="20"/>
        </w:rPr>
        <w:t>Part II—Other Information</w:t>
      </w:r>
    </w:p>
    <w:p>
      <w:pPr>
        <w:pStyle w:val="TextBody"/>
        <w:bidi w:val="0"/>
        <w:spacing w:before="120" w:after="283"/>
        <w:jc w:val="both"/>
        <w:rPr>
          <w:rFonts w:ascii="Times New Roman" w:hAnsi="Times New Roman"/>
          <w:sz w:val="20"/>
        </w:rPr>
      </w:pPr>
      <w:bookmarkStart w:id="13" w:name="item_1_legal_proceedings"/>
      <w:bookmarkEnd w:id="13"/>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On November 2, 2020, PlusPass, Inc. (“</w:t>
      </w:r>
      <w:r>
        <w:rPr>
          <w:rFonts w:ascii="Times New Roman" w:hAnsi="Times New Roman"/>
          <w:b/>
          <w:i/>
          <w:color w:val="000000"/>
          <w:sz w:val="20"/>
        </w:rPr>
        <w:t>PlusPass</w:t>
      </w:r>
      <w:r>
        <w:rPr>
          <w:rFonts w:ascii="Times New Roman" w:hAnsi="Times New Roman"/>
          <w:color w:val="000000"/>
          <w:sz w:val="20"/>
        </w:rPr>
        <w:t>”</w:t>
      </w:r>
      <w:r>
        <w:rPr>
          <w:rFonts w:ascii="Times New Roman" w:hAnsi="Times New Roman"/>
          <w:b w:val="false"/>
          <w:color w:val="000000"/>
          <w:sz w:val="20"/>
        </w:rPr>
        <w:t>) commenced an action in the United States District Court, Central District of California, against Verra Mobility, The Gores Group LLC, Platinum Equity LLC, and ATS Processing Services, Inc., alleging civil violations of Section 7 of the Clayton Antitrust Act of 1914 (the “</w:t>
      </w:r>
      <w:r>
        <w:rPr>
          <w:rFonts w:ascii="Times New Roman" w:hAnsi="Times New Roman"/>
          <w:b/>
          <w:i/>
          <w:color w:val="000000"/>
          <w:sz w:val="20"/>
        </w:rPr>
        <w:t>Clayton Act</w:t>
      </w:r>
      <w:r>
        <w:rPr>
          <w:rFonts w:ascii="Times New Roman" w:hAnsi="Times New Roman"/>
          <w:color w:val="000000"/>
          <w:sz w:val="20"/>
        </w:rPr>
        <w:t>”</w:t>
      </w:r>
      <w:r>
        <w:rPr>
          <w:rFonts w:ascii="Times New Roman" w:hAnsi="Times New Roman"/>
          <w:b w:val="false"/>
          <w:color w:val="000000"/>
          <w:sz w:val="20"/>
        </w:rPr>
        <w:t>) and Sections 1 and 2 of the Sherman Act. On November 20, 2020, PlusPass filed a First Amended Complaint. On February 9, 2021, the defendants filed motions to dismiss, and PlusPass subsequently abandoned various theories and claims and dismissed The Gores Group LLC, Platinum Equity LLC, and ATS Processing Services, Inc. On April 27, 2021, PlusPass filed a Second Amended Complaint (“</w:t>
      </w:r>
      <w:r>
        <w:rPr>
          <w:rFonts w:ascii="Times New Roman" w:hAnsi="Times New Roman"/>
          <w:b/>
          <w:i/>
          <w:color w:val="000000"/>
          <w:sz w:val="20"/>
        </w:rPr>
        <w:t>SAC</w:t>
      </w:r>
      <w:r>
        <w:rPr>
          <w:rFonts w:ascii="Times New Roman" w:hAnsi="Times New Roman"/>
          <w:color w:val="000000"/>
          <w:sz w:val="20"/>
        </w:rPr>
        <w:t>”</w:t>
      </w:r>
      <w:r>
        <w:rPr>
          <w:rFonts w:ascii="Times New Roman" w:hAnsi="Times New Roman"/>
          <w:b w:val="false"/>
          <w:color w:val="000000"/>
          <w:sz w:val="20"/>
        </w:rPr>
        <w:t>), alleging that Verra Mobility violated Section 7 of the Clayton Act through the merger of Highway Toll Administration, LLC (“</w:t>
      </w:r>
      <w:r>
        <w:rPr>
          <w:rFonts w:ascii="Times New Roman" w:hAnsi="Times New Roman"/>
          <w:b/>
          <w:i/>
          <w:color w:val="000000"/>
          <w:sz w:val="20"/>
        </w:rPr>
        <w:t>HTA</w:t>
      </w:r>
      <w:r>
        <w:rPr>
          <w:rFonts w:ascii="Times New Roman" w:hAnsi="Times New Roman"/>
          <w:color w:val="000000"/>
          <w:sz w:val="20"/>
        </w:rPr>
        <w:t>”</w:t>
      </w:r>
      <w:r>
        <w:rPr>
          <w:rFonts w:ascii="Times New Roman" w:hAnsi="Times New Roman"/>
          <w:b w:val="false"/>
          <w:color w:val="000000"/>
          <w:sz w:val="20"/>
        </w:rPr>
        <w:t>) and American Traffic Solutions, Inc. (“</w:t>
      </w:r>
      <w:r>
        <w:rPr>
          <w:rFonts w:ascii="Times New Roman" w:hAnsi="Times New Roman"/>
          <w:b/>
          <w:i/>
          <w:color w:val="000000"/>
          <w:sz w:val="20"/>
        </w:rPr>
        <w:t>ATS</w:t>
      </w:r>
      <w:r>
        <w:rPr>
          <w:rFonts w:ascii="Times New Roman" w:hAnsi="Times New Roman"/>
          <w:color w:val="000000"/>
          <w:sz w:val="20"/>
        </w:rPr>
        <w:t>”</w:t>
      </w:r>
      <w:r>
        <w:rPr>
          <w:rFonts w:ascii="Times New Roman" w:hAnsi="Times New Roman"/>
          <w:b w:val="false"/>
          <w:color w:val="000000"/>
          <w:sz w:val="20"/>
        </w:rPr>
        <w:t>) in 2018, and that Verra Mobility violated Sections 1 and 2 of the Sherman Antitrust Act of 1890 by using exclusive agreements in restraint of trade and other allegedly anticompetitive means to acquire and maintain monopoly power in the market for the administration of electronic toll payment collection for rental cars. PlusPass seeks injunctive relief, divestiture by Verra Mobility of HTA, damages in an amount to be determined, and attorneys’ fees and costs. On May 28, 2021, Verra Mobility filed a motion to dismiss the SAC in its entirety, which was denied in August 2021. Discovery is closed. Verra Mobility filed a motion for summary judgment on June 21, 2023, which is pending. Trial had been set for November 2023, but was moved by the court to April 2024. Verra Mobility believes that all of PlusPass' claims are without merit and will defend itself vigorously in this litigation.</w:t>
      </w:r>
    </w:p>
    <w:p>
      <w:pPr>
        <w:pStyle w:val="TextBody"/>
        <w:bidi w:val="0"/>
        <w:spacing w:before="360" w:after="283"/>
        <w:jc w:val="both"/>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Part I, Item 1A. “Risk Factors” in our Annual Report on Form 10-K for the year ended December 31, 2022 includes a discussion of our risk factors. There have been no material changes from the risk factors described in our Annual Report on Form 10-K and subsequent Quarterly Reports on Form 10-Q. We may disclose changes to such risk factors or disclose additional risk factors from time to time in our future SEC filings.</w:t>
      </w:r>
    </w:p>
    <w:p>
      <w:pPr>
        <w:pStyle w:val="TextBody"/>
        <w:bidi w:val="0"/>
        <w:spacing w:before="120" w:after="283"/>
        <w:jc w:val="both"/>
        <w:rPr/>
      </w:pPr>
      <w:r>
        <w:rPr/>
        <w:t> </w:t>
      </w:r>
    </w:p>
    <w:p>
      <w:pPr>
        <w:pStyle w:val="TextBody"/>
        <w:bidi w:val="0"/>
        <w:jc w:val="left"/>
        <w:rPr>
          <w:rFonts w:ascii="Times New Roman" w:hAnsi="Times New Roman"/>
          <w:b/>
          <w:color w:val="000000"/>
          <w:sz w:val="20"/>
        </w:rPr>
      </w:pPr>
      <w:bookmarkStart w:id="15" w:name="item_2_sales_of_equity_securities"/>
      <w:bookmarkEnd w:id="15"/>
      <w:r>
        <w:rPr>
          <w:rFonts w:ascii="Times New Roman" w:hAnsi="Times New Roman"/>
          <w:b/>
          <w:color w:val="000000"/>
          <w:sz w:val="20"/>
        </w:rPr>
        <w:t>Item 2. Unregistered Sales of Equity Securities, Use of Proceeds, and Issuer Purchases of Equity Securities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i/>
          <w:color w:val="000000"/>
          <w:sz w:val="20"/>
        </w:rPr>
        <w:t>Purchases of Equity Securities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November 2022, our Board of Directors authorized a share repurchase program for up to an aggregate amount of $100.0 million of our outstanding shares of Class A Common Stock over an 18-month period in open market, ASR or privately negotiated transactions, each as permitted under applicable rules and regulations, any of which may use prearranged trading plans that are designed to meet the requirements of Rule 10b5-1 of the Exchange Act.</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paid $8.1 million to repurchase 449,432 shares of our Class A Common Stock through open market transactions during the third quarter of fiscal year 2023, which we subsequently retired. On September 5, 2023, we used the remaining availability under the share repurchase program for an ASR and paid approximately $91.9 million to receive an initial delivery of 4,131,551 shares of our Class A Common Stock in accordance with an ASR agreement with a third-party financial institution. The final settlement is expected to occur during the first quarter of fiscal year 2024, at which time, a volume-weighted average price calculation over the term of the ASR agreement will be used to determine the final number and the average price of shares repurchased and retired. We paid a total of $100.0 million for share repurchases during the nine months ended September 30, 2023.</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following details our purchases of our Class A Common Stock during the three months ended September 30, 2023:</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196"/>
        <w:gridCol w:w="146"/>
        <w:gridCol w:w="208"/>
        <w:gridCol w:w="1178"/>
        <w:gridCol w:w="146"/>
        <w:gridCol w:w="146"/>
        <w:gridCol w:w="305"/>
        <w:gridCol w:w="800"/>
        <w:gridCol w:w="146"/>
        <w:gridCol w:w="146"/>
        <w:gridCol w:w="345"/>
        <w:gridCol w:w="1953"/>
        <w:gridCol w:w="146"/>
        <w:gridCol w:w="146"/>
        <w:gridCol w:w="489"/>
        <w:gridCol w:w="2515"/>
        <w:gridCol w:w="194"/>
      </w:tblGrid>
      <w:tr>
        <w:trPr/>
        <w:tc>
          <w:tcPr>
            <w:tcW w:w="1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Dollar Value of Shares that May Yet be Purchased Under the Publicly Announced Plans or Programs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As of July 1, 2023</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0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195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51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100,000,000</w:t>
            </w:r>
          </w:p>
        </w:tc>
        <w:tc>
          <w:tcPr>
            <w:tcW w:w="194" w:type="dxa"/>
            <w:tcBorders/>
            <w:shd w:fill="CFF0FC" w:val="clear"/>
            <w:vAlign w:val="center"/>
          </w:tcPr>
          <w:p>
            <w:pPr>
              <w:pStyle w:val="TableContents"/>
              <w:bidi w:val="0"/>
              <w:spacing w:before="0" w:after="283"/>
              <w:jc w:val="left"/>
              <w:rPr/>
            </w:pPr>
            <w:r>
              <w:rPr/>
              <w:t> </w:t>
            </w:r>
          </w:p>
        </w:tc>
      </w:tr>
      <w:tr>
        <w:trPr/>
        <w:tc>
          <w:tcPr>
            <w:tcW w:w="1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 repurchases</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As of July 31, 2023</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0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195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51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100,000,000</w:t>
            </w:r>
          </w:p>
        </w:tc>
        <w:tc>
          <w:tcPr>
            <w:tcW w:w="194" w:type="dxa"/>
            <w:tcBorders/>
            <w:shd w:fill="CFF0FC" w:val="clear"/>
            <w:vAlign w:val="center"/>
          </w:tcPr>
          <w:p>
            <w:pPr>
              <w:pStyle w:val="TableContents"/>
              <w:bidi w:val="0"/>
              <w:spacing w:before="0" w:after="283"/>
              <w:jc w:val="left"/>
              <w:rPr/>
            </w:pPr>
            <w:r>
              <w:rPr/>
              <w:t> </w:t>
            </w:r>
          </w:p>
        </w:tc>
      </w:tr>
      <w:tr>
        <w:trPr/>
        <w:tc>
          <w:tcPr>
            <w:tcW w:w="1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 repurchases</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209,444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209,444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96,206,656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As of August 31, 2023</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209,444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195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209,444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51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96,206,656</w:t>
            </w:r>
          </w:p>
        </w:tc>
        <w:tc>
          <w:tcPr>
            <w:tcW w:w="194" w:type="dxa"/>
            <w:tcBorders/>
            <w:shd w:fill="CFF0FC" w:val="clear"/>
            <w:vAlign w:val="center"/>
          </w:tcPr>
          <w:p>
            <w:pPr>
              <w:pStyle w:val="TableContents"/>
              <w:bidi w:val="0"/>
              <w:spacing w:before="0" w:after="283"/>
              <w:jc w:val="left"/>
              <w:rPr/>
            </w:pPr>
            <w:r>
              <w:rPr/>
              <w:t> </w:t>
            </w:r>
          </w:p>
        </w:tc>
      </w:tr>
      <w:tr>
        <w:trPr/>
        <w:tc>
          <w:tcPr>
            <w:tcW w:w="1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 repurchases</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239,988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195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239,988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51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91,875,359</w:t>
            </w:r>
          </w:p>
        </w:tc>
        <w:tc>
          <w:tcPr>
            <w:tcW w:w="194" w:type="dxa"/>
            <w:tcBorders/>
            <w:shd w:fill="FFFFFF" w:val="clear"/>
            <w:vAlign w:val="center"/>
          </w:tcPr>
          <w:p>
            <w:pPr>
              <w:pStyle w:val="TableContents"/>
              <w:bidi w:val="0"/>
              <w:spacing w:before="0" w:after="283"/>
              <w:jc w:val="left"/>
              <w:rPr/>
            </w:pPr>
            <w:r>
              <w:rPr/>
              <w:t> </w:t>
            </w:r>
          </w:p>
        </w:tc>
      </w:tr>
      <w:tr>
        <w:trPr/>
        <w:tc>
          <w:tcPr>
            <w:tcW w:w="119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 xml:space="preserve">Share repurchases - ASR </w:t>
            </w:r>
            <w:r>
              <w:rPr>
                <w:rFonts w:ascii="Times New Roman" w:hAnsi="Times New Roman"/>
                <w:b w:val="false"/>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4,131,551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4,131,551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As of September 30, 2023</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4,580,983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195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4,580,983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515" w:type="dxa"/>
            <w:tcBorders/>
            <w:shd w:fill="FFFFFF" w:val="clear"/>
            <w:vAlign w:val="center"/>
          </w:tcPr>
          <w:p>
            <w:pPr>
              <w:pStyle w:val="TableContents"/>
              <w:bidi w:val="0"/>
              <w:spacing w:before="0" w:after="283"/>
              <w:jc w:val="right"/>
              <w:rPr>
                <w:color w:val="000000"/>
              </w:rPr>
            </w:pPr>
            <w:r>
              <w:rPr>
                <w:color w:val="000000"/>
              </w:rPr>
              <w:t>—</w:t>
            </w:r>
          </w:p>
        </w:tc>
        <w:tc>
          <w:tcPr>
            <w:tcW w:w="194"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(1) On September 5, 2023, we paid approximately $91.9 million to receive an initial delivery of 4,131,551 shares of our Class A Common Stock in accordance with an ASR agreement with a third-party financial institution. The final settlement is expected to occur during the first quarter of fiscal year 2024, at which time, a volume-weighted average price calculation over the term of the ASR agreement will be used to determine the final number and the average price of shares repurchased and retired.</w:t>
      </w:r>
      <w:r>
        <w:rPr>
          <w:rFonts w:ascii="Times New Roman" w:hAnsi="Times New Roman"/>
          <w:color w:val="000000"/>
          <w:sz w:val="20"/>
        </w:rPr>
        <w:t xml:space="preserve"> </w:t>
      </w:r>
    </w:p>
    <w:p>
      <w:pPr>
        <w:pStyle w:val="TextBody"/>
        <w:bidi w:val="0"/>
        <w:spacing w:before="120" w:after="283"/>
        <w:jc w:val="both"/>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Sales of Unregistered Securities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did not have any sales of unregistered equity securities during the three months ended September 30, 2023.</w:t>
      </w:r>
    </w:p>
    <w:p>
      <w:pPr>
        <w:pStyle w:val="TextBody"/>
        <w:bidi w:val="0"/>
        <w:spacing w:before="360" w:after="283"/>
        <w:jc w:val="both"/>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360" w:after="283"/>
        <w:jc w:val="both"/>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360" w:after="283"/>
        <w:jc w:val="both"/>
        <w:rPr>
          <w:rFonts w:ascii="Times New Roman" w:hAnsi="Times New Roman"/>
          <w:sz w:val="20"/>
        </w:rPr>
      </w:pPr>
      <w:bookmarkStart w:id="18" w:name="item_5_o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00" w:after="283"/>
        <w:jc w:val="both"/>
        <w:rPr>
          <w:rFonts w:ascii="Times New Roman" w:hAnsi="Times New Roman"/>
          <w:sz w:val="20"/>
        </w:rPr>
      </w:pPr>
      <w:r>
        <w:rPr>
          <w:rFonts w:ascii="Times New Roman" w:hAnsi="Times New Roman"/>
          <w:b/>
          <w:color w:val="000000"/>
          <w:sz w:val="20"/>
        </w:rPr>
        <w:t>Insider Trading Arrangements and Policies</w:t>
      </w:r>
      <w:r>
        <w:rPr>
          <w:rFonts w:ascii="Times New Roman" w:hAnsi="Times New Roman"/>
          <w:b w:val="false"/>
          <w:color w:val="000000"/>
          <w:sz w:val="20"/>
        </w:rPr>
        <w:t>.</w:t>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 significant portion of the compensation of our executive officers is delivered in the form of deferred equity awards, including performance share units, stock options and restricted stock unit awards. This compensation design is intended to align our executive compensation with the interests of our stockholders by emphasizing performance-based incentive compensation focused on objectives that our Board believes have a significant impact on stockholder value. Following the delivery of shares of our common stock under those equity awards, once any applicable service time or performance-based vesting standards have been satisfied, our executive officers from time to time engage in the open-market sale of some of those shares. Our executive officers may also engage from time to time in other transactions involving our securities.</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Transactions in our securities by our executive officers are required to be made in accordance with our Insider Trading Policy, which, among other things, requires that the transactions be in accordance with applicable U.S. federal securities laws that prohibit trading while in possession of material nonpublic information. Rule 10b5-1 under the Exchange Act provides an affirmative defense that enables prearranged transactions in securities in a manner that avoids concerns about initiating transactions at a future date while possibly in possession of material nonpublic information. Our Insider Trading Policy permits our executive officers to enter into trading plans designed to comply with Rule 10b5-1. Accordingly, sales under these plans may occur at any time, including possibly before, simultaneously with, or immediately after significant events involving our company.</w:t>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During the three months ended September 30, 2023, none of our directors or executive officers adopted, modified or terminated any contract, instruction or written plan for the purchase or sale of our securities that was intended to satisfy the affirmative defense conditions of Rule 10b5-1(c) or any “non-Rule 10b5-1 trading arrangement.”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following exhibits are filed as part of, or incorporated by reference into, this Quarterly Report on Form 10-Q.</w:t>
      </w:r>
    </w:p>
    <w:p>
      <w:pPr>
        <w:pStyle w:val="TextBody"/>
        <w:bidi w:val="0"/>
        <w:spacing w:before="200" w:after="283"/>
        <w:jc w:val="center"/>
        <w:rPr>
          <w:rFonts w:ascii="Times New Roman" w:hAnsi="Times New Roman"/>
          <w:b/>
          <w:caps/>
          <w:color w:val="000000"/>
          <w:sz w:val="20"/>
        </w:rPr>
      </w:pPr>
      <w:r>
        <w:rPr>
          <w:rFonts w:ascii="Times New Roman" w:hAnsi="Times New Roman"/>
          <w:b/>
          <w:caps/>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1"/>
        <w:gridCol w:w="5828"/>
        <w:gridCol w:w="526"/>
        <w:gridCol w:w="706"/>
        <w:gridCol w:w="646"/>
        <w:gridCol w:w="905"/>
        <w:gridCol w:w="843"/>
      </w:tblGrid>
      <w:tr>
        <w:trPr/>
        <w:tc>
          <w:tcPr>
            <w:tcW w:w="751" w:type="dxa"/>
            <w:tcBorders/>
            <w:vAlign w:val="center"/>
          </w:tcPr>
          <w:p>
            <w:pPr>
              <w:pStyle w:val="TableContents"/>
              <w:bidi w:val="0"/>
              <w:spacing w:before="0" w:after="283"/>
              <w:jc w:val="left"/>
              <w:rPr>
                <w:sz w:val="4"/>
                <w:szCs w:val="4"/>
              </w:rPr>
            </w:pPr>
            <w:r>
              <w:rPr>
                <w:sz w:val="4"/>
                <w:szCs w:val="4"/>
              </w:rPr>
            </w:r>
          </w:p>
        </w:tc>
        <w:tc>
          <w:tcPr>
            <w:tcW w:w="582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before="0" w:after="283"/>
              <w:ind w:left="0" w:right="15" w:hanging="0"/>
              <w:jc w:val="center"/>
              <w:rPr/>
            </w:pPr>
            <w:r>
              <w:rPr/>
              <w:t> </w:t>
            </w:r>
          </w:p>
        </w:tc>
        <w:tc>
          <w:tcPr>
            <w:tcW w:w="5828" w:type="dxa"/>
            <w:tcBorders/>
            <w:vAlign w:val="center"/>
          </w:tcPr>
          <w:p>
            <w:pPr>
              <w:pStyle w:val="TableContents"/>
              <w:bidi w:val="0"/>
              <w:spacing w:before="0" w:after="283"/>
              <w:ind w:left="0" w:right="15" w:hanging="0"/>
              <w:jc w:val="center"/>
              <w:rPr/>
            </w:pPr>
            <w:r>
              <w:rPr/>
              <w:t> </w:t>
            </w:r>
          </w:p>
        </w:tc>
        <w:tc>
          <w:tcPr>
            <w:tcW w:w="2783" w:type="dxa"/>
            <w:gridSpan w:val="4"/>
            <w:tcBorders/>
            <w:vAlign w:val="center"/>
          </w:tcPr>
          <w:p>
            <w:pPr>
              <w:pStyle w:val="TableContents"/>
              <w:bidi w:val="0"/>
              <w:spacing w:before="0" w:after="283"/>
              <w:ind w:left="0" w:right="15" w:hanging="0"/>
              <w:jc w:val="center"/>
              <w:rPr>
                <w:rFonts w:ascii="Times New Roman" w:hAnsi="Times New Roman"/>
                <w:b/>
                <w:color w:val="000000"/>
                <w:sz w:val="16"/>
              </w:rPr>
            </w:pPr>
            <w:r>
              <w:rPr>
                <w:rFonts w:ascii="Times New Roman" w:hAnsi="Times New Roman"/>
                <w:b/>
                <w:color w:val="000000"/>
                <w:sz w:val="16"/>
              </w:rPr>
              <w:t>Incorporated by Reference</w:t>
            </w:r>
          </w:p>
        </w:tc>
        <w:tc>
          <w:tcPr>
            <w:tcW w:w="843" w:type="dxa"/>
            <w:tcBorders/>
            <w:vAlign w:val="center"/>
          </w:tcPr>
          <w:p>
            <w:pPr>
              <w:pStyle w:val="TableContents"/>
              <w:bidi w:val="0"/>
              <w:spacing w:before="0" w:after="283"/>
              <w:ind w:left="0" w:right="15" w:hanging="0"/>
              <w:jc w:val="center"/>
              <w:rPr/>
            </w:pPr>
            <w:r>
              <w:rPr/>
              <w:t> </w:t>
            </w:r>
          </w:p>
        </w:tc>
      </w:tr>
      <w:tr>
        <w:trPr/>
        <w:tc>
          <w:tcPr>
            <w:tcW w:w="751" w:type="dxa"/>
            <w:tcBorders>
              <w:bottom w:val="single" w:sz="4" w:space="0" w:color="000000"/>
            </w:tcBorders>
            <w:tcMar>
              <w:top w:w="0" w:type="dxa"/>
              <w:left w:w="0" w:type="dxa"/>
              <w:right w:w="0" w:type="dxa"/>
            </w:tcMar>
            <w:vAlign w:val="center"/>
          </w:tcPr>
          <w:p>
            <w:pPr>
              <w:pStyle w:val="TableContents"/>
              <w:bidi w:val="0"/>
              <w:ind w:left="0" w:right="15" w:hanging="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ind w:left="0" w:right="15" w:hanging="0"/>
              <w:jc w:val="center"/>
              <w:rPr>
                <w:rFonts w:ascii="Times New Roman" w:hAnsi="Times New Roman"/>
                <w:b/>
                <w:color w:val="000000"/>
                <w:sz w:val="16"/>
              </w:rPr>
            </w:pPr>
            <w:r>
              <w:rPr>
                <w:rFonts w:ascii="Times New Roman" w:hAnsi="Times New Roman"/>
                <w:b/>
                <w:color w:val="000000"/>
                <w:sz w:val="16"/>
              </w:rPr>
              <w:t>Number</w:t>
            </w:r>
          </w:p>
        </w:tc>
        <w:tc>
          <w:tcPr>
            <w:tcW w:w="5828" w:type="dxa"/>
            <w:tcBorders>
              <w:bottom w:val="single" w:sz="4" w:space="0" w:color="000000"/>
            </w:tcBorders>
            <w:tcMar>
              <w:top w:w="0" w:type="dxa"/>
              <w:left w:w="0" w:type="dxa"/>
              <w:right w:w="0" w:type="dxa"/>
            </w:tcMar>
            <w:vAlign w:val="center"/>
          </w:tcPr>
          <w:p>
            <w:pPr>
              <w:pStyle w:val="TableContents"/>
              <w:bidi w:val="0"/>
              <w:spacing w:before="0" w:after="283"/>
              <w:ind w:left="0" w:right="15" w:hanging="0"/>
              <w:jc w:val="center"/>
              <w:rPr>
                <w:rFonts w:ascii="Times New Roman" w:hAnsi="Times New Roman"/>
                <w:b/>
                <w:color w:val="000000"/>
                <w:sz w:val="16"/>
              </w:rPr>
            </w:pPr>
            <w:r>
              <w:rPr>
                <w:rFonts w:ascii="Times New Roman" w:hAnsi="Times New Roman"/>
                <w:b/>
                <w:color w:val="000000"/>
                <w:sz w:val="16"/>
              </w:rPr>
              <w:t>Description</w:t>
            </w:r>
          </w:p>
        </w:tc>
        <w:tc>
          <w:tcPr>
            <w:tcW w:w="526" w:type="dxa"/>
            <w:tcBorders>
              <w:bottom w:val="single" w:sz="4" w:space="0" w:color="000000"/>
            </w:tcBorders>
            <w:tcMar>
              <w:top w:w="0" w:type="dxa"/>
              <w:left w:w="0" w:type="dxa"/>
              <w:right w:w="0" w:type="dxa"/>
            </w:tcMar>
            <w:vAlign w:val="center"/>
          </w:tcPr>
          <w:p>
            <w:pPr>
              <w:pStyle w:val="TableContents"/>
              <w:bidi w:val="0"/>
              <w:spacing w:before="0" w:after="283"/>
              <w:ind w:left="0" w:right="15" w:hanging="0"/>
              <w:jc w:val="center"/>
              <w:rPr>
                <w:rFonts w:ascii="Times New Roman" w:hAnsi="Times New Roman"/>
                <w:b/>
                <w:color w:val="000000"/>
                <w:sz w:val="16"/>
              </w:rPr>
            </w:pPr>
            <w:r>
              <w:rPr>
                <w:rFonts w:ascii="Times New Roman" w:hAnsi="Times New Roman"/>
                <w:b/>
                <w:color w:val="000000"/>
                <w:sz w:val="16"/>
              </w:rPr>
              <w:t>Form</w:t>
            </w:r>
          </w:p>
        </w:tc>
        <w:tc>
          <w:tcPr>
            <w:tcW w:w="706" w:type="dxa"/>
            <w:tcBorders>
              <w:bottom w:val="single" w:sz="4" w:space="0" w:color="000000"/>
            </w:tcBorders>
            <w:tcMar>
              <w:top w:w="0" w:type="dxa"/>
              <w:left w:w="0" w:type="dxa"/>
              <w:right w:w="0" w:type="dxa"/>
            </w:tcMar>
            <w:vAlign w:val="center"/>
          </w:tcPr>
          <w:p>
            <w:pPr>
              <w:pStyle w:val="TableContents"/>
              <w:bidi w:val="0"/>
              <w:spacing w:before="0" w:after="283"/>
              <w:ind w:left="0" w:right="15" w:hanging="0"/>
              <w:jc w:val="center"/>
              <w:rPr>
                <w:rFonts w:ascii="Times New Roman" w:hAnsi="Times New Roman"/>
                <w:b/>
                <w:color w:val="000000"/>
                <w:sz w:val="16"/>
              </w:rPr>
            </w:pPr>
            <w:r>
              <w:rPr>
                <w:rFonts w:ascii="Times New Roman" w:hAnsi="Times New Roman"/>
                <w:b/>
                <w:color w:val="000000"/>
                <w:sz w:val="16"/>
              </w:rPr>
              <w:t>File No.</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ind w:left="0" w:right="15" w:hanging="0"/>
              <w:jc w:val="center"/>
              <w:rPr>
                <w:rFonts w:ascii="Times New Roman" w:hAnsi="Times New Roman"/>
                <w:b/>
                <w:color w:val="000000"/>
                <w:sz w:val="16"/>
              </w:rPr>
            </w:pPr>
            <w:r>
              <w:rPr>
                <w:rFonts w:ascii="Times New Roman" w:hAnsi="Times New Roman"/>
                <w:b/>
                <w:color w:val="000000"/>
                <w:sz w:val="16"/>
              </w:rPr>
              <w:t>Exhibit</w:t>
            </w:r>
          </w:p>
        </w:tc>
        <w:tc>
          <w:tcPr>
            <w:tcW w:w="905" w:type="dxa"/>
            <w:tcBorders>
              <w:bottom w:val="single" w:sz="4" w:space="0" w:color="000000"/>
            </w:tcBorders>
            <w:tcMar>
              <w:top w:w="0" w:type="dxa"/>
              <w:left w:w="0" w:type="dxa"/>
              <w:right w:w="0" w:type="dxa"/>
            </w:tcMar>
            <w:vAlign w:val="center"/>
          </w:tcPr>
          <w:p>
            <w:pPr>
              <w:pStyle w:val="TableContents"/>
              <w:bidi w:val="0"/>
              <w:spacing w:before="0" w:after="283"/>
              <w:ind w:left="0" w:right="15" w:hanging="0"/>
              <w:jc w:val="center"/>
              <w:rPr>
                <w:rFonts w:ascii="Times New Roman" w:hAnsi="Times New Roman"/>
                <w:b/>
                <w:color w:val="000000"/>
                <w:sz w:val="16"/>
              </w:rPr>
            </w:pPr>
            <w:r>
              <w:rPr>
                <w:rFonts w:ascii="Times New Roman" w:hAnsi="Times New Roman"/>
                <w:b/>
                <w:color w:val="000000"/>
                <w:sz w:val="16"/>
              </w:rPr>
              <w:t>Filing Date</w:t>
            </w:r>
          </w:p>
        </w:tc>
        <w:tc>
          <w:tcPr>
            <w:tcW w:w="843" w:type="dxa"/>
            <w:tcBorders>
              <w:bottom w:val="single" w:sz="4" w:space="0" w:color="000000"/>
            </w:tcBorders>
            <w:tcMar>
              <w:top w:w="0" w:type="dxa"/>
              <w:left w:w="0" w:type="dxa"/>
              <w:right w:w="0" w:type="dxa"/>
            </w:tcMar>
            <w:vAlign w:val="center"/>
          </w:tcPr>
          <w:p>
            <w:pPr>
              <w:pStyle w:val="TableContents"/>
              <w:bidi w:val="0"/>
              <w:ind w:left="0" w:right="15" w:hanging="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ind w:left="0" w:right="15" w:hanging="0"/>
              <w:jc w:val="center"/>
              <w:rPr>
                <w:rFonts w:ascii="Times New Roman" w:hAnsi="Times New Roman"/>
                <w:b/>
                <w:color w:val="000000"/>
                <w:sz w:val="16"/>
              </w:rPr>
            </w:pPr>
            <w:r>
              <w:rPr>
                <w:rFonts w:ascii="Times New Roman" w:hAnsi="Times New Roman"/>
                <w:b/>
                <w:color w:val="000000"/>
                <w:sz w:val="16"/>
              </w:rPr>
              <w:t>Herewith</w:t>
            </w:r>
          </w:p>
        </w:tc>
      </w:tr>
      <w:tr>
        <w:trPr/>
        <w:tc>
          <w:tcPr>
            <w:tcW w:w="751" w:type="dxa"/>
            <w:tcBorders/>
            <w:vAlign w:val="center"/>
          </w:tcPr>
          <w:p>
            <w:pPr>
              <w:pStyle w:val="TableContents"/>
              <w:bidi w:val="0"/>
              <w:spacing w:before="100" w:after="100"/>
              <w:jc w:val="left"/>
              <w:rPr>
                <w:rFonts w:ascii="Times New Roman" w:hAnsi="Times New Roman"/>
                <w:b w:val="false"/>
                <w:color w:val="000000"/>
                <w:sz w:val="20"/>
              </w:rPr>
            </w:pPr>
            <w:r>
              <w:rPr>
                <w:rFonts w:ascii="Times New Roman" w:hAnsi="Times New Roman"/>
                <w:b w:val="false"/>
                <w:color w:val="000000"/>
                <w:sz w:val="20"/>
              </w:rPr>
              <w:t>2.1</w:t>
            </w:r>
          </w:p>
        </w:tc>
        <w:tc>
          <w:tcPr>
            <w:tcW w:w="5828" w:type="dxa"/>
            <w:tcBorders/>
            <w:vAlign w:val="center"/>
          </w:tcPr>
          <w:p>
            <w:pPr>
              <w:pStyle w:val="TableContents"/>
              <w:bidi w:val="0"/>
              <w:spacing w:before="0" w:after="100"/>
              <w:jc w:val="both"/>
              <w:rPr/>
            </w:pPr>
            <w:hyperlink r:id="rId2">
              <w:r>
                <w:rPr>
                  <w:rStyle w:val="InternetLink"/>
                  <w:rFonts w:ascii="Times New Roman" w:hAnsi="Times New Roman"/>
                  <w:b w:val="false"/>
                  <w:color w:val="0000FF"/>
                  <w:sz w:val="20"/>
                  <w:u w:val="single"/>
                </w:rPr>
                <w:t>Merger Agreement, dated as of June 21, 2018, by and among Gores Holdings II, Inc., AM Merger Sub I, Inc., AM Merger Sub II, LLC, Greenlight Holding II Corporation and PE Greenlight Holdings, LLC, in its capacity as the Stockholder Representative.</w:t>
              </w:r>
            </w:hyperlink>
          </w:p>
        </w:tc>
        <w:tc>
          <w:tcPr>
            <w:tcW w:w="526" w:type="dxa"/>
            <w:tcBorders/>
            <w:vAlign w:val="center"/>
          </w:tcPr>
          <w:p>
            <w:pPr>
              <w:pStyle w:val="TableContents"/>
              <w:bidi w:val="0"/>
              <w:spacing w:before="0" w:after="100"/>
              <w:jc w:val="center"/>
              <w:rPr>
                <w:rFonts w:ascii="Times New Roman" w:hAnsi="Times New Roman"/>
                <w:b w:val="false"/>
                <w:color w:val="000000"/>
                <w:sz w:val="20"/>
              </w:rPr>
            </w:pPr>
            <w:r>
              <w:rPr>
                <w:rFonts w:ascii="Times New Roman" w:hAnsi="Times New Roman"/>
                <w:b w:val="false"/>
                <w:color w:val="000000"/>
                <w:sz w:val="20"/>
              </w:rPr>
              <w:t>8-K</w:t>
            </w:r>
          </w:p>
        </w:tc>
        <w:tc>
          <w:tcPr>
            <w:tcW w:w="706" w:type="dxa"/>
            <w:tcBorders/>
            <w:vAlign w:val="center"/>
          </w:tcPr>
          <w:p>
            <w:pPr>
              <w:pStyle w:val="TableContents"/>
              <w:bidi w:val="0"/>
              <w:spacing w:before="0" w:after="100"/>
              <w:jc w:val="center"/>
              <w:rPr>
                <w:rFonts w:ascii="Times New Roman" w:hAnsi="Times New Roman"/>
                <w:b w:val="false"/>
                <w:color w:val="000000"/>
                <w:sz w:val="20"/>
              </w:rPr>
            </w:pPr>
            <w:r>
              <w:rPr>
                <w:rFonts w:ascii="Times New Roman" w:hAnsi="Times New Roman"/>
                <w:b w:val="false"/>
                <w:color w:val="000000"/>
                <w:sz w:val="20"/>
              </w:rPr>
              <w:t>001-37979</w:t>
            </w:r>
          </w:p>
        </w:tc>
        <w:tc>
          <w:tcPr>
            <w:tcW w:w="646" w:type="dxa"/>
            <w:tcBorders/>
            <w:vAlign w:val="center"/>
          </w:tcPr>
          <w:p>
            <w:pPr>
              <w:pStyle w:val="TableContents"/>
              <w:bidi w:val="0"/>
              <w:spacing w:before="0" w:after="100"/>
              <w:jc w:val="center"/>
              <w:rPr>
                <w:rFonts w:ascii="Times New Roman" w:hAnsi="Times New Roman"/>
                <w:b w:val="false"/>
                <w:color w:val="000000"/>
                <w:sz w:val="20"/>
              </w:rPr>
            </w:pPr>
            <w:r>
              <w:rPr>
                <w:rFonts w:ascii="Times New Roman" w:hAnsi="Times New Roman"/>
                <w:b w:val="false"/>
                <w:color w:val="000000"/>
                <w:sz w:val="20"/>
              </w:rPr>
              <w:t>2.1</w:t>
            </w:r>
          </w:p>
        </w:tc>
        <w:tc>
          <w:tcPr>
            <w:tcW w:w="905" w:type="dxa"/>
            <w:tcBorders/>
            <w:vAlign w:val="center"/>
          </w:tcPr>
          <w:p>
            <w:pPr>
              <w:pStyle w:val="TableContents"/>
              <w:bidi w:val="0"/>
              <w:spacing w:before="0" w:after="100"/>
              <w:jc w:val="center"/>
              <w:rPr>
                <w:rFonts w:ascii="Times New Roman" w:hAnsi="Times New Roman"/>
                <w:b w:val="false"/>
                <w:color w:val="000000"/>
                <w:sz w:val="20"/>
              </w:rPr>
            </w:pPr>
            <w:r>
              <w:rPr>
                <w:rFonts w:ascii="Times New Roman" w:hAnsi="Times New Roman"/>
                <w:b w:val="false"/>
                <w:color w:val="000000"/>
                <w:sz w:val="20"/>
              </w:rPr>
              <w:t>June 21, 2018</w:t>
            </w:r>
          </w:p>
        </w:tc>
        <w:tc>
          <w:tcPr>
            <w:tcW w:w="843" w:type="dxa"/>
            <w:tcBorders/>
            <w:vAlign w:val="center"/>
          </w:tcPr>
          <w:p>
            <w:pPr>
              <w:pStyle w:val="TableContents"/>
              <w:bidi w:val="0"/>
              <w:spacing w:before="0" w:after="100"/>
              <w:jc w:val="center"/>
              <w:rPr/>
            </w:pPr>
            <w:r>
              <w:rPr/>
              <w:t> </w:t>
            </w:r>
          </w:p>
        </w:tc>
      </w:tr>
      <w:tr>
        <w:trPr/>
        <w:tc>
          <w:tcPr>
            <w:tcW w:w="751" w:type="dxa"/>
            <w:tcBorders/>
            <w:vAlign w:val="center"/>
          </w:tcPr>
          <w:p>
            <w:pPr>
              <w:pStyle w:val="TableContents"/>
              <w:bidi w:val="0"/>
              <w:spacing w:before="0" w:after="100"/>
              <w:jc w:val="left"/>
              <w:rPr>
                <w:rFonts w:ascii="Times New Roman" w:hAnsi="Times New Roman"/>
                <w:b w:val="false"/>
                <w:color w:val="000000"/>
                <w:sz w:val="20"/>
              </w:rPr>
            </w:pPr>
            <w:r>
              <w:rPr>
                <w:rFonts w:ascii="Times New Roman" w:hAnsi="Times New Roman"/>
                <w:b w:val="false"/>
                <w:color w:val="000000"/>
                <w:sz w:val="20"/>
              </w:rPr>
              <w:t>2.2</w:t>
            </w:r>
          </w:p>
        </w:tc>
        <w:tc>
          <w:tcPr>
            <w:tcW w:w="5828" w:type="dxa"/>
            <w:tcBorders/>
            <w:vAlign w:val="center"/>
          </w:tcPr>
          <w:p>
            <w:pPr>
              <w:pStyle w:val="TableContents"/>
              <w:bidi w:val="0"/>
              <w:spacing w:before="0" w:after="100"/>
              <w:jc w:val="both"/>
              <w:rPr/>
            </w:pPr>
            <w:hyperlink r:id="rId3">
              <w:r>
                <w:rPr>
                  <w:rStyle w:val="InternetLink"/>
                  <w:rFonts w:ascii="Times New Roman" w:hAnsi="Times New Roman"/>
                  <w:b w:val="false"/>
                  <w:color w:val="0000FF"/>
                  <w:sz w:val="20"/>
                  <w:u w:val="single"/>
                </w:rPr>
                <w:t>Amendment No. 1 to Agreement and Plan of Merger, dated as of August 23, 2018, by and among Gores Holdings II, Inc., AM Merger Sub I, Inc., AM Merger Sub II, LLC, Greenlight Holding II Corporation and PE Greenlight Holdings, LLC, in its capacity as the Stockholder Representative.</w:t>
              </w:r>
            </w:hyperlink>
          </w:p>
        </w:tc>
        <w:tc>
          <w:tcPr>
            <w:tcW w:w="526" w:type="dxa"/>
            <w:tcBorders/>
            <w:vAlign w:val="center"/>
          </w:tcPr>
          <w:p>
            <w:pPr>
              <w:pStyle w:val="TableContents"/>
              <w:bidi w:val="0"/>
              <w:spacing w:before="0" w:after="100"/>
              <w:jc w:val="center"/>
              <w:rPr>
                <w:rFonts w:ascii="Times New Roman" w:hAnsi="Times New Roman"/>
                <w:b w:val="false"/>
                <w:color w:val="000000"/>
                <w:sz w:val="20"/>
              </w:rPr>
            </w:pPr>
            <w:r>
              <w:rPr>
                <w:rFonts w:ascii="Times New Roman" w:hAnsi="Times New Roman"/>
                <w:b w:val="false"/>
                <w:color w:val="000000"/>
                <w:sz w:val="20"/>
              </w:rPr>
              <w:t>8-K</w:t>
            </w:r>
          </w:p>
        </w:tc>
        <w:tc>
          <w:tcPr>
            <w:tcW w:w="706" w:type="dxa"/>
            <w:tcBorders/>
            <w:vAlign w:val="center"/>
          </w:tcPr>
          <w:p>
            <w:pPr>
              <w:pStyle w:val="TableContents"/>
              <w:bidi w:val="0"/>
              <w:spacing w:before="0" w:after="100"/>
              <w:jc w:val="center"/>
              <w:rPr>
                <w:rFonts w:ascii="Times New Roman" w:hAnsi="Times New Roman"/>
                <w:b w:val="false"/>
                <w:color w:val="000000"/>
                <w:sz w:val="20"/>
              </w:rPr>
            </w:pPr>
            <w:r>
              <w:rPr>
                <w:rFonts w:ascii="Times New Roman" w:hAnsi="Times New Roman"/>
                <w:b w:val="false"/>
                <w:color w:val="000000"/>
                <w:sz w:val="20"/>
              </w:rPr>
              <w:t>001-37979</w:t>
            </w:r>
          </w:p>
        </w:tc>
        <w:tc>
          <w:tcPr>
            <w:tcW w:w="646" w:type="dxa"/>
            <w:tcBorders/>
            <w:vAlign w:val="center"/>
          </w:tcPr>
          <w:p>
            <w:pPr>
              <w:pStyle w:val="TableContents"/>
              <w:bidi w:val="0"/>
              <w:spacing w:before="0" w:after="100"/>
              <w:jc w:val="center"/>
              <w:rPr>
                <w:rFonts w:ascii="Times New Roman" w:hAnsi="Times New Roman"/>
                <w:b w:val="false"/>
                <w:color w:val="000000"/>
                <w:sz w:val="20"/>
              </w:rPr>
            </w:pPr>
            <w:r>
              <w:rPr>
                <w:rFonts w:ascii="Times New Roman" w:hAnsi="Times New Roman"/>
                <w:b w:val="false"/>
                <w:color w:val="000000"/>
                <w:sz w:val="20"/>
              </w:rPr>
              <w:t>2.2</w:t>
            </w:r>
          </w:p>
        </w:tc>
        <w:tc>
          <w:tcPr>
            <w:tcW w:w="905" w:type="dxa"/>
            <w:tcBorders/>
            <w:vAlign w:val="center"/>
          </w:tcPr>
          <w:p>
            <w:pPr>
              <w:pStyle w:val="TableContents"/>
              <w:bidi w:val="0"/>
              <w:spacing w:before="0" w:after="100"/>
              <w:jc w:val="center"/>
              <w:rPr>
                <w:rFonts w:ascii="Times New Roman" w:hAnsi="Times New Roman"/>
                <w:b w:val="false"/>
                <w:color w:val="000000"/>
                <w:sz w:val="20"/>
              </w:rPr>
            </w:pPr>
            <w:r>
              <w:rPr>
                <w:rFonts w:ascii="Times New Roman" w:hAnsi="Times New Roman"/>
                <w:b w:val="false"/>
                <w:color w:val="000000"/>
                <w:sz w:val="20"/>
              </w:rPr>
              <w:t>August 24, 2018</w:t>
            </w:r>
          </w:p>
        </w:tc>
        <w:tc>
          <w:tcPr>
            <w:tcW w:w="843" w:type="dxa"/>
            <w:tcBorders/>
            <w:vAlign w:val="center"/>
          </w:tcPr>
          <w:p>
            <w:pPr>
              <w:pStyle w:val="TableContents"/>
              <w:bidi w:val="0"/>
              <w:spacing w:before="0" w:after="100"/>
              <w:jc w:val="center"/>
              <w:rPr/>
            </w:pPr>
            <w:r>
              <w:rPr/>
              <w:t> </w:t>
            </w:r>
          </w:p>
        </w:tc>
      </w:tr>
      <w:tr>
        <w:trPr/>
        <w:tc>
          <w:tcPr>
            <w:tcW w:w="751" w:type="dxa"/>
            <w:tcBorders/>
            <w:vAlign w:val="center"/>
          </w:tcPr>
          <w:p>
            <w:pPr>
              <w:pStyle w:val="TableContents"/>
              <w:bidi w:val="0"/>
              <w:spacing w:before="0" w:after="100"/>
              <w:jc w:val="left"/>
              <w:rPr>
                <w:rFonts w:ascii="Times New Roman" w:hAnsi="Times New Roman"/>
                <w:b w:val="false"/>
                <w:color w:val="000000"/>
                <w:sz w:val="20"/>
              </w:rPr>
            </w:pPr>
            <w:r>
              <w:rPr>
                <w:rFonts w:ascii="Times New Roman" w:hAnsi="Times New Roman"/>
                <w:b w:val="false"/>
                <w:color w:val="000000"/>
                <w:sz w:val="20"/>
              </w:rPr>
              <w:t>3.1</w:t>
            </w:r>
          </w:p>
        </w:tc>
        <w:tc>
          <w:tcPr>
            <w:tcW w:w="5828" w:type="dxa"/>
            <w:tcBorders/>
            <w:vAlign w:val="center"/>
          </w:tcPr>
          <w:p>
            <w:pPr>
              <w:pStyle w:val="TableContents"/>
              <w:bidi w:val="0"/>
              <w:spacing w:before="0" w:after="100"/>
              <w:jc w:val="both"/>
              <w:rPr/>
            </w:pPr>
            <w:hyperlink r:id="rId4">
              <w:r>
                <w:rPr>
                  <w:rStyle w:val="InternetLink"/>
                  <w:rFonts w:ascii="Times New Roman" w:hAnsi="Times New Roman"/>
                  <w:b w:val="false"/>
                  <w:color w:val="0000FF"/>
                  <w:sz w:val="20"/>
                  <w:u w:val="single"/>
                </w:rPr>
                <w:t>Second Amended and Restated Certificate of Incorporation of Verra Mobility Corporation.</w:t>
              </w:r>
            </w:hyperlink>
          </w:p>
        </w:tc>
        <w:tc>
          <w:tcPr>
            <w:tcW w:w="526" w:type="dxa"/>
            <w:tcBorders/>
            <w:vAlign w:val="center"/>
          </w:tcPr>
          <w:p>
            <w:pPr>
              <w:pStyle w:val="TableContents"/>
              <w:bidi w:val="0"/>
              <w:spacing w:before="0" w:after="100"/>
              <w:jc w:val="center"/>
              <w:rPr>
                <w:rFonts w:ascii="Times New Roman" w:hAnsi="Times New Roman"/>
                <w:b w:val="false"/>
                <w:color w:val="000000"/>
                <w:sz w:val="20"/>
              </w:rPr>
            </w:pPr>
            <w:r>
              <w:rPr>
                <w:rFonts w:ascii="Times New Roman" w:hAnsi="Times New Roman"/>
                <w:b w:val="false"/>
                <w:color w:val="000000"/>
                <w:sz w:val="20"/>
              </w:rPr>
              <w:t>8-K</w:t>
            </w:r>
          </w:p>
        </w:tc>
        <w:tc>
          <w:tcPr>
            <w:tcW w:w="706" w:type="dxa"/>
            <w:tcBorders/>
            <w:vAlign w:val="center"/>
          </w:tcPr>
          <w:p>
            <w:pPr>
              <w:pStyle w:val="TableContents"/>
              <w:bidi w:val="0"/>
              <w:spacing w:before="0" w:after="100"/>
              <w:jc w:val="center"/>
              <w:rPr>
                <w:rFonts w:ascii="Times New Roman" w:hAnsi="Times New Roman"/>
                <w:b w:val="false"/>
                <w:color w:val="000000"/>
                <w:sz w:val="20"/>
              </w:rPr>
            </w:pPr>
            <w:r>
              <w:rPr>
                <w:rFonts w:ascii="Times New Roman" w:hAnsi="Times New Roman"/>
                <w:b w:val="false"/>
                <w:color w:val="000000"/>
                <w:sz w:val="20"/>
              </w:rPr>
              <w:t>001-37979</w:t>
            </w:r>
          </w:p>
        </w:tc>
        <w:tc>
          <w:tcPr>
            <w:tcW w:w="646" w:type="dxa"/>
            <w:tcBorders/>
            <w:vAlign w:val="center"/>
          </w:tcPr>
          <w:p>
            <w:pPr>
              <w:pStyle w:val="TableContents"/>
              <w:bidi w:val="0"/>
              <w:spacing w:before="0" w:after="100"/>
              <w:jc w:val="center"/>
              <w:rPr>
                <w:rFonts w:ascii="Times New Roman" w:hAnsi="Times New Roman"/>
                <w:b w:val="false"/>
                <w:color w:val="000000"/>
                <w:sz w:val="20"/>
              </w:rPr>
            </w:pPr>
            <w:r>
              <w:rPr>
                <w:rFonts w:ascii="Times New Roman" w:hAnsi="Times New Roman"/>
                <w:b w:val="false"/>
                <w:color w:val="000000"/>
                <w:sz w:val="20"/>
              </w:rPr>
              <w:t>3.1</w:t>
            </w:r>
          </w:p>
        </w:tc>
        <w:tc>
          <w:tcPr>
            <w:tcW w:w="905" w:type="dxa"/>
            <w:tcBorders/>
            <w:vAlign w:val="center"/>
          </w:tcPr>
          <w:p>
            <w:pPr>
              <w:pStyle w:val="TableContents"/>
              <w:bidi w:val="0"/>
              <w:spacing w:before="0" w:after="100"/>
              <w:jc w:val="center"/>
              <w:rPr>
                <w:rFonts w:ascii="Times New Roman" w:hAnsi="Times New Roman"/>
                <w:b w:val="false"/>
                <w:color w:val="000000"/>
                <w:sz w:val="20"/>
              </w:rPr>
            </w:pPr>
            <w:r>
              <w:rPr>
                <w:rFonts w:ascii="Times New Roman" w:hAnsi="Times New Roman"/>
                <w:b w:val="false"/>
                <w:color w:val="000000"/>
                <w:sz w:val="20"/>
              </w:rPr>
              <w:t>October 22, 2018</w:t>
            </w:r>
          </w:p>
        </w:tc>
        <w:tc>
          <w:tcPr>
            <w:tcW w:w="843" w:type="dxa"/>
            <w:tcBorders/>
            <w:vAlign w:val="center"/>
          </w:tcPr>
          <w:p>
            <w:pPr>
              <w:pStyle w:val="TableContents"/>
              <w:bidi w:val="0"/>
              <w:spacing w:before="0" w:after="100"/>
              <w:jc w:val="center"/>
              <w:rPr/>
            </w:pPr>
            <w:r>
              <w:rPr/>
              <w:t> </w:t>
            </w:r>
          </w:p>
        </w:tc>
      </w:tr>
      <w:tr>
        <w:trPr/>
        <w:tc>
          <w:tcPr>
            <w:tcW w:w="751" w:type="dxa"/>
            <w:tcBorders/>
            <w:vAlign w:val="center"/>
          </w:tcPr>
          <w:p>
            <w:pPr>
              <w:pStyle w:val="TableContents"/>
              <w:bidi w:val="0"/>
              <w:spacing w:before="0" w:after="100"/>
              <w:jc w:val="left"/>
              <w:rPr>
                <w:rFonts w:ascii="Times New Roman" w:hAnsi="Times New Roman"/>
                <w:b w:val="false"/>
                <w:color w:val="000000"/>
                <w:sz w:val="20"/>
              </w:rPr>
            </w:pPr>
            <w:r>
              <w:rPr>
                <w:rFonts w:ascii="Times New Roman" w:hAnsi="Times New Roman"/>
                <w:b w:val="false"/>
                <w:color w:val="000000"/>
                <w:sz w:val="20"/>
              </w:rPr>
              <w:t>3.2</w:t>
            </w:r>
          </w:p>
        </w:tc>
        <w:tc>
          <w:tcPr>
            <w:tcW w:w="5828" w:type="dxa"/>
            <w:tcBorders/>
            <w:vAlign w:val="center"/>
          </w:tcPr>
          <w:p>
            <w:pPr>
              <w:pStyle w:val="TableContents"/>
              <w:bidi w:val="0"/>
              <w:spacing w:before="0" w:after="100"/>
              <w:jc w:val="both"/>
              <w:rPr/>
            </w:pPr>
            <w:hyperlink r:id="rId5">
              <w:r>
                <w:rPr>
                  <w:rStyle w:val="InternetLink"/>
                  <w:rFonts w:ascii="Times New Roman" w:hAnsi="Times New Roman"/>
                  <w:b w:val="false"/>
                  <w:color w:val="0000FF"/>
                  <w:sz w:val="20"/>
                  <w:u w:val="single"/>
                </w:rPr>
                <w:t>Amended and Restated Bylaws of Verra Mobility Corporation.</w:t>
              </w:r>
            </w:hyperlink>
          </w:p>
        </w:tc>
        <w:tc>
          <w:tcPr>
            <w:tcW w:w="526" w:type="dxa"/>
            <w:tcBorders/>
            <w:vAlign w:val="center"/>
          </w:tcPr>
          <w:p>
            <w:pPr>
              <w:pStyle w:val="TableContents"/>
              <w:bidi w:val="0"/>
              <w:spacing w:before="0" w:after="100"/>
              <w:jc w:val="center"/>
              <w:rPr>
                <w:rFonts w:ascii="Times New Roman" w:hAnsi="Times New Roman"/>
                <w:b w:val="false"/>
                <w:color w:val="000000"/>
                <w:sz w:val="20"/>
              </w:rPr>
            </w:pPr>
            <w:r>
              <w:rPr>
                <w:rFonts w:ascii="Times New Roman" w:hAnsi="Times New Roman"/>
                <w:b w:val="false"/>
                <w:color w:val="000000"/>
                <w:sz w:val="20"/>
              </w:rPr>
              <w:t>8-K</w:t>
            </w:r>
          </w:p>
        </w:tc>
        <w:tc>
          <w:tcPr>
            <w:tcW w:w="706" w:type="dxa"/>
            <w:tcBorders/>
            <w:vAlign w:val="center"/>
          </w:tcPr>
          <w:p>
            <w:pPr>
              <w:pStyle w:val="TableContents"/>
              <w:bidi w:val="0"/>
              <w:spacing w:before="0" w:after="100"/>
              <w:jc w:val="center"/>
              <w:rPr>
                <w:rFonts w:ascii="Times New Roman" w:hAnsi="Times New Roman"/>
                <w:b w:val="false"/>
                <w:color w:val="000000"/>
                <w:sz w:val="20"/>
              </w:rPr>
            </w:pPr>
            <w:r>
              <w:rPr>
                <w:rFonts w:ascii="Times New Roman" w:hAnsi="Times New Roman"/>
                <w:b w:val="false"/>
                <w:color w:val="000000"/>
                <w:sz w:val="20"/>
              </w:rPr>
              <w:t>001-37979</w:t>
            </w:r>
          </w:p>
        </w:tc>
        <w:tc>
          <w:tcPr>
            <w:tcW w:w="646" w:type="dxa"/>
            <w:tcBorders/>
            <w:vAlign w:val="center"/>
          </w:tcPr>
          <w:p>
            <w:pPr>
              <w:pStyle w:val="TableContents"/>
              <w:bidi w:val="0"/>
              <w:spacing w:before="0" w:after="100"/>
              <w:jc w:val="center"/>
              <w:rPr>
                <w:rFonts w:ascii="Times New Roman" w:hAnsi="Times New Roman"/>
                <w:b w:val="false"/>
                <w:color w:val="000000"/>
                <w:sz w:val="20"/>
              </w:rPr>
            </w:pPr>
            <w:r>
              <w:rPr>
                <w:rFonts w:ascii="Times New Roman" w:hAnsi="Times New Roman"/>
                <w:b w:val="false"/>
                <w:color w:val="000000"/>
                <w:sz w:val="20"/>
              </w:rPr>
              <w:t>3.2</w:t>
            </w:r>
          </w:p>
        </w:tc>
        <w:tc>
          <w:tcPr>
            <w:tcW w:w="905" w:type="dxa"/>
            <w:tcBorders/>
            <w:vAlign w:val="center"/>
          </w:tcPr>
          <w:p>
            <w:pPr>
              <w:pStyle w:val="TableContents"/>
              <w:bidi w:val="0"/>
              <w:spacing w:before="0" w:after="100"/>
              <w:jc w:val="center"/>
              <w:rPr>
                <w:rFonts w:ascii="Times New Roman" w:hAnsi="Times New Roman"/>
                <w:b w:val="false"/>
                <w:color w:val="000000"/>
                <w:sz w:val="20"/>
              </w:rPr>
            </w:pPr>
            <w:r>
              <w:rPr>
                <w:rFonts w:ascii="Times New Roman" w:hAnsi="Times New Roman"/>
                <w:b w:val="false"/>
                <w:color w:val="000000"/>
                <w:sz w:val="20"/>
              </w:rPr>
              <w:t>October 22, 2018</w:t>
            </w:r>
          </w:p>
        </w:tc>
        <w:tc>
          <w:tcPr>
            <w:tcW w:w="843" w:type="dxa"/>
            <w:tcBorders/>
            <w:vAlign w:val="center"/>
          </w:tcPr>
          <w:p>
            <w:pPr>
              <w:pStyle w:val="TableContents"/>
              <w:bidi w:val="0"/>
              <w:spacing w:before="0" w:after="100"/>
              <w:jc w:val="center"/>
              <w:rPr/>
            </w:pPr>
            <w:r>
              <w:rPr/>
              <w:t> </w:t>
            </w:r>
          </w:p>
        </w:tc>
      </w:tr>
      <w:tr>
        <w:trPr/>
        <w:tc>
          <w:tcPr>
            <w:tcW w:w="751" w:type="dxa"/>
            <w:tcBorders/>
            <w:vAlign w:val="center"/>
          </w:tcPr>
          <w:p>
            <w:pPr>
              <w:pStyle w:val="TableContents"/>
              <w:bidi w:val="0"/>
              <w:spacing w:before="0" w:after="100"/>
              <w:jc w:val="left"/>
              <w:rPr>
                <w:rFonts w:ascii="Times New Roman" w:hAnsi="Times New Roman"/>
                <w:b w:val="false"/>
                <w:color w:val="000000"/>
                <w:sz w:val="20"/>
              </w:rPr>
            </w:pPr>
            <w:r>
              <w:rPr>
                <w:rFonts w:ascii="Times New Roman" w:hAnsi="Times New Roman"/>
                <w:b w:val="false"/>
                <w:color w:val="000000"/>
                <w:sz w:val="20"/>
              </w:rPr>
              <w:t>31.1</w:t>
            </w:r>
          </w:p>
        </w:tc>
        <w:tc>
          <w:tcPr>
            <w:tcW w:w="5828" w:type="dxa"/>
            <w:tcBorders/>
            <w:vAlign w:val="center"/>
          </w:tcPr>
          <w:p>
            <w:pPr>
              <w:pStyle w:val="TableContents"/>
              <w:bidi w:val="0"/>
              <w:spacing w:before="0" w:after="100"/>
              <w:jc w:val="both"/>
              <w:rPr/>
            </w:pPr>
            <w:hyperlink w:anchor="vrrm-ex31_1.htm">
              <w:r>
                <w:rPr>
                  <w:rStyle w:val="InternetLink"/>
                  <w:rFonts w:ascii="Times New Roman" w:hAnsi="Times New Roman"/>
                  <w:b w:val="false"/>
                  <w:color w:val="0000FF"/>
                  <w:sz w:val="20"/>
                  <w:u w:val="single"/>
                </w:rPr>
                <w:t>Certification of Principal Executive Officer Pursuant to Rules 13a</w:t>
                <w:noBreakHyphen/>
                <w:t>14(a) and 15d</w:t>
                <w:noBreakHyphen/>
                <w:t>14(a) under the Securities Exchange Act of 1934, as Adopted Pursuant to Section 302 of the Sarbanes-Oxley Act of 2002.</w:t>
              </w:r>
            </w:hyperlink>
          </w:p>
        </w:tc>
        <w:tc>
          <w:tcPr>
            <w:tcW w:w="526" w:type="dxa"/>
            <w:tcBorders/>
            <w:vAlign w:val="center"/>
          </w:tcPr>
          <w:p>
            <w:pPr>
              <w:pStyle w:val="TableContents"/>
              <w:bidi w:val="0"/>
              <w:spacing w:before="0" w:after="100"/>
              <w:jc w:val="center"/>
              <w:rPr/>
            </w:pPr>
            <w:r>
              <w:rPr/>
              <w:t> </w:t>
            </w:r>
          </w:p>
        </w:tc>
        <w:tc>
          <w:tcPr>
            <w:tcW w:w="706" w:type="dxa"/>
            <w:tcBorders/>
            <w:vAlign w:val="center"/>
          </w:tcPr>
          <w:p>
            <w:pPr>
              <w:pStyle w:val="TableContents"/>
              <w:bidi w:val="0"/>
              <w:spacing w:before="0" w:after="100"/>
              <w:jc w:val="center"/>
              <w:rPr/>
            </w:pPr>
            <w:r>
              <w:rPr/>
              <w:t> </w:t>
            </w:r>
          </w:p>
        </w:tc>
        <w:tc>
          <w:tcPr>
            <w:tcW w:w="646" w:type="dxa"/>
            <w:tcBorders/>
            <w:vAlign w:val="center"/>
          </w:tcPr>
          <w:p>
            <w:pPr>
              <w:pStyle w:val="TableContents"/>
              <w:bidi w:val="0"/>
              <w:spacing w:before="0" w:after="100"/>
              <w:jc w:val="center"/>
              <w:rPr/>
            </w:pPr>
            <w:r>
              <w:rPr/>
              <w:t> </w:t>
            </w:r>
          </w:p>
        </w:tc>
        <w:tc>
          <w:tcPr>
            <w:tcW w:w="905" w:type="dxa"/>
            <w:tcBorders/>
            <w:vAlign w:val="center"/>
          </w:tcPr>
          <w:p>
            <w:pPr>
              <w:pStyle w:val="TableContents"/>
              <w:bidi w:val="0"/>
              <w:spacing w:before="0" w:after="100"/>
              <w:jc w:val="center"/>
              <w:rPr/>
            </w:pPr>
            <w:r>
              <w:rPr/>
              <w:t> </w:t>
            </w:r>
          </w:p>
        </w:tc>
        <w:tc>
          <w:tcPr>
            <w:tcW w:w="843" w:type="dxa"/>
            <w:tcBorders/>
            <w:vAlign w:val="center"/>
          </w:tcPr>
          <w:p>
            <w:pPr>
              <w:pStyle w:val="TableContents"/>
              <w:bidi w:val="0"/>
              <w:spacing w:before="0" w:after="100"/>
              <w:jc w:val="center"/>
              <w:rPr>
                <w:rFonts w:ascii="Times New Roman" w:hAnsi="Times New Roman"/>
                <w:b w:val="false"/>
                <w:color w:val="000000"/>
                <w:sz w:val="20"/>
              </w:rPr>
            </w:pPr>
            <w:r>
              <w:rPr>
                <w:rFonts w:ascii="Times New Roman" w:hAnsi="Times New Roman"/>
                <w:b w:val="false"/>
                <w:color w:val="000000"/>
                <w:sz w:val="20"/>
              </w:rPr>
              <w:t>X</w:t>
            </w:r>
          </w:p>
        </w:tc>
      </w:tr>
      <w:tr>
        <w:trPr/>
        <w:tc>
          <w:tcPr>
            <w:tcW w:w="751" w:type="dxa"/>
            <w:tcBorders/>
            <w:vAlign w:val="center"/>
          </w:tcPr>
          <w:p>
            <w:pPr>
              <w:pStyle w:val="TableContents"/>
              <w:bidi w:val="0"/>
              <w:spacing w:before="0" w:after="100"/>
              <w:jc w:val="left"/>
              <w:rPr>
                <w:rFonts w:ascii="Times New Roman" w:hAnsi="Times New Roman"/>
                <w:b w:val="false"/>
                <w:color w:val="000000"/>
                <w:sz w:val="20"/>
              </w:rPr>
            </w:pPr>
            <w:r>
              <w:rPr>
                <w:rFonts w:ascii="Times New Roman" w:hAnsi="Times New Roman"/>
                <w:b w:val="false"/>
                <w:color w:val="000000"/>
                <w:sz w:val="20"/>
              </w:rPr>
              <w:t>31.2</w:t>
            </w:r>
          </w:p>
        </w:tc>
        <w:tc>
          <w:tcPr>
            <w:tcW w:w="5828" w:type="dxa"/>
            <w:tcBorders/>
            <w:vAlign w:val="center"/>
          </w:tcPr>
          <w:p>
            <w:pPr>
              <w:pStyle w:val="TableContents"/>
              <w:bidi w:val="0"/>
              <w:spacing w:before="0" w:after="100"/>
              <w:jc w:val="both"/>
              <w:rPr/>
            </w:pPr>
            <w:hyperlink w:anchor="vrrm-ex31_2.htm">
              <w:r>
                <w:rPr>
                  <w:rStyle w:val="InternetLink"/>
                  <w:rFonts w:ascii="Times New Roman" w:hAnsi="Times New Roman"/>
                  <w:b w:val="false"/>
                  <w:color w:val="0000FF"/>
                  <w:sz w:val="20"/>
                  <w:u w:val="single"/>
                </w:rPr>
                <w:t>Certification of Principal Financial Officer Pursuant to Rules 13a</w:t>
                <w:noBreakHyphen/>
                <w:t>14(a) and 15d</w:t>
                <w:noBreakHyphen/>
                <w:t>14(a) under the Securities Exchange Act of 1934, as Adopted Pursuant to Section 302 of the Sarbanes-Oxley Act of 2002.</w:t>
              </w:r>
            </w:hyperlink>
          </w:p>
        </w:tc>
        <w:tc>
          <w:tcPr>
            <w:tcW w:w="526" w:type="dxa"/>
            <w:tcBorders/>
            <w:vAlign w:val="center"/>
          </w:tcPr>
          <w:p>
            <w:pPr>
              <w:pStyle w:val="TableContents"/>
              <w:bidi w:val="0"/>
              <w:spacing w:before="0" w:after="100"/>
              <w:jc w:val="center"/>
              <w:rPr/>
            </w:pPr>
            <w:r>
              <w:rPr/>
              <w:t> </w:t>
            </w:r>
          </w:p>
        </w:tc>
        <w:tc>
          <w:tcPr>
            <w:tcW w:w="706" w:type="dxa"/>
            <w:tcBorders/>
            <w:vAlign w:val="center"/>
          </w:tcPr>
          <w:p>
            <w:pPr>
              <w:pStyle w:val="TableContents"/>
              <w:bidi w:val="0"/>
              <w:spacing w:before="0" w:after="100"/>
              <w:jc w:val="center"/>
              <w:rPr/>
            </w:pPr>
            <w:r>
              <w:rPr/>
              <w:t> </w:t>
            </w:r>
          </w:p>
        </w:tc>
        <w:tc>
          <w:tcPr>
            <w:tcW w:w="646" w:type="dxa"/>
            <w:tcBorders/>
            <w:vAlign w:val="center"/>
          </w:tcPr>
          <w:p>
            <w:pPr>
              <w:pStyle w:val="TableContents"/>
              <w:bidi w:val="0"/>
              <w:spacing w:before="0" w:after="100"/>
              <w:jc w:val="center"/>
              <w:rPr/>
            </w:pPr>
            <w:r>
              <w:rPr/>
              <w:t> </w:t>
            </w:r>
          </w:p>
        </w:tc>
        <w:tc>
          <w:tcPr>
            <w:tcW w:w="905" w:type="dxa"/>
            <w:tcBorders/>
            <w:vAlign w:val="center"/>
          </w:tcPr>
          <w:p>
            <w:pPr>
              <w:pStyle w:val="TableContents"/>
              <w:bidi w:val="0"/>
              <w:spacing w:before="0" w:after="100"/>
              <w:jc w:val="center"/>
              <w:rPr/>
            </w:pPr>
            <w:r>
              <w:rPr/>
              <w:t> </w:t>
            </w:r>
          </w:p>
        </w:tc>
        <w:tc>
          <w:tcPr>
            <w:tcW w:w="843" w:type="dxa"/>
            <w:tcBorders/>
            <w:vAlign w:val="center"/>
          </w:tcPr>
          <w:p>
            <w:pPr>
              <w:pStyle w:val="TableContents"/>
              <w:bidi w:val="0"/>
              <w:spacing w:before="0" w:after="100"/>
              <w:jc w:val="center"/>
              <w:rPr>
                <w:rFonts w:ascii="Times New Roman" w:hAnsi="Times New Roman"/>
                <w:b w:val="false"/>
                <w:color w:val="000000"/>
                <w:sz w:val="20"/>
              </w:rPr>
            </w:pPr>
            <w:r>
              <w:rPr>
                <w:rFonts w:ascii="Times New Roman" w:hAnsi="Times New Roman"/>
                <w:b w:val="false"/>
                <w:color w:val="000000"/>
                <w:sz w:val="20"/>
              </w:rPr>
              <w:t>X</w:t>
            </w:r>
          </w:p>
        </w:tc>
      </w:tr>
      <w:tr>
        <w:trPr/>
        <w:tc>
          <w:tcPr>
            <w:tcW w:w="751" w:type="dxa"/>
            <w:tcBorders/>
            <w:vAlign w:val="center"/>
          </w:tcPr>
          <w:p>
            <w:pPr>
              <w:pStyle w:val="TableContents"/>
              <w:bidi w:val="0"/>
              <w:spacing w:before="0" w:after="100"/>
              <w:jc w:val="left"/>
              <w:rPr>
                <w:rFonts w:ascii="Times New Roman" w:hAnsi="Times New Roman"/>
                <w:b w:val="false"/>
                <w:color w:val="000000"/>
                <w:sz w:val="20"/>
              </w:rPr>
            </w:pPr>
            <w:r>
              <w:rPr>
                <w:rFonts w:ascii="Times New Roman" w:hAnsi="Times New Roman"/>
                <w:b w:val="false"/>
                <w:color w:val="000000"/>
                <w:sz w:val="20"/>
              </w:rPr>
              <w:t>32.1*</w:t>
            </w:r>
          </w:p>
        </w:tc>
        <w:tc>
          <w:tcPr>
            <w:tcW w:w="5828" w:type="dxa"/>
            <w:tcBorders/>
            <w:vAlign w:val="center"/>
          </w:tcPr>
          <w:p>
            <w:pPr>
              <w:pStyle w:val="TableContents"/>
              <w:bidi w:val="0"/>
              <w:spacing w:before="0" w:after="100"/>
              <w:jc w:val="both"/>
              <w:rPr/>
            </w:pPr>
            <w:hyperlink w:anchor="vrrm-ex32_1.htm">
              <w:r>
                <w:rPr>
                  <w:rStyle w:val="InternetLink"/>
                  <w:rFonts w:ascii="Times New Roman" w:hAnsi="Times New Roman"/>
                  <w:b w:val="false"/>
                  <w:color w:val="0000FF"/>
                  <w:sz w:val="20"/>
                  <w:u w:val="single"/>
                </w:rPr>
                <w:t>Certification of Principal Executive Officer Pursuant to 18 U.S.C. Section 1350, as Adopted Pursuant to Section 906 of the Sarbanes-Oxley Act of 2002.</w:t>
              </w:r>
            </w:hyperlink>
          </w:p>
        </w:tc>
        <w:tc>
          <w:tcPr>
            <w:tcW w:w="526" w:type="dxa"/>
            <w:tcBorders/>
            <w:vAlign w:val="center"/>
          </w:tcPr>
          <w:p>
            <w:pPr>
              <w:pStyle w:val="TableContents"/>
              <w:bidi w:val="0"/>
              <w:spacing w:before="0" w:after="100"/>
              <w:jc w:val="center"/>
              <w:rPr/>
            </w:pPr>
            <w:r>
              <w:rPr/>
              <w:t> </w:t>
            </w:r>
          </w:p>
        </w:tc>
        <w:tc>
          <w:tcPr>
            <w:tcW w:w="706" w:type="dxa"/>
            <w:tcBorders/>
            <w:vAlign w:val="center"/>
          </w:tcPr>
          <w:p>
            <w:pPr>
              <w:pStyle w:val="TableContents"/>
              <w:bidi w:val="0"/>
              <w:spacing w:before="0" w:after="100"/>
              <w:jc w:val="center"/>
              <w:rPr/>
            </w:pPr>
            <w:r>
              <w:rPr/>
              <w:t> </w:t>
            </w:r>
          </w:p>
        </w:tc>
        <w:tc>
          <w:tcPr>
            <w:tcW w:w="646" w:type="dxa"/>
            <w:tcBorders/>
            <w:vAlign w:val="center"/>
          </w:tcPr>
          <w:p>
            <w:pPr>
              <w:pStyle w:val="TableContents"/>
              <w:bidi w:val="0"/>
              <w:spacing w:before="0" w:after="100"/>
              <w:jc w:val="center"/>
              <w:rPr/>
            </w:pPr>
            <w:r>
              <w:rPr/>
              <w:t> </w:t>
            </w:r>
          </w:p>
        </w:tc>
        <w:tc>
          <w:tcPr>
            <w:tcW w:w="905" w:type="dxa"/>
            <w:tcBorders/>
            <w:vAlign w:val="center"/>
          </w:tcPr>
          <w:p>
            <w:pPr>
              <w:pStyle w:val="TableContents"/>
              <w:bidi w:val="0"/>
              <w:spacing w:before="0" w:after="100"/>
              <w:jc w:val="center"/>
              <w:rPr/>
            </w:pPr>
            <w:r>
              <w:rPr/>
              <w:t> </w:t>
            </w:r>
          </w:p>
        </w:tc>
        <w:tc>
          <w:tcPr>
            <w:tcW w:w="843" w:type="dxa"/>
            <w:tcBorders/>
            <w:vAlign w:val="center"/>
          </w:tcPr>
          <w:p>
            <w:pPr>
              <w:pStyle w:val="TableContents"/>
              <w:bidi w:val="0"/>
              <w:spacing w:before="0" w:after="100"/>
              <w:jc w:val="center"/>
              <w:rPr>
                <w:rFonts w:ascii="Times New Roman" w:hAnsi="Times New Roman"/>
                <w:b w:val="false"/>
                <w:color w:val="000000"/>
                <w:sz w:val="20"/>
              </w:rPr>
            </w:pPr>
            <w:r>
              <w:rPr>
                <w:rFonts w:ascii="Times New Roman" w:hAnsi="Times New Roman"/>
                <w:b w:val="false"/>
                <w:color w:val="000000"/>
                <w:sz w:val="20"/>
              </w:rPr>
              <w:t>X</w:t>
            </w:r>
          </w:p>
        </w:tc>
      </w:tr>
      <w:tr>
        <w:trPr/>
        <w:tc>
          <w:tcPr>
            <w:tcW w:w="751" w:type="dxa"/>
            <w:tcBorders/>
            <w:vAlign w:val="center"/>
          </w:tcPr>
          <w:p>
            <w:pPr>
              <w:pStyle w:val="TableContents"/>
              <w:bidi w:val="0"/>
              <w:spacing w:before="0" w:after="100"/>
              <w:jc w:val="left"/>
              <w:rPr>
                <w:rFonts w:ascii="Times New Roman" w:hAnsi="Times New Roman"/>
                <w:b w:val="false"/>
                <w:color w:val="000000"/>
                <w:sz w:val="20"/>
              </w:rPr>
            </w:pPr>
            <w:r>
              <w:rPr>
                <w:rFonts w:ascii="Times New Roman" w:hAnsi="Times New Roman"/>
                <w:b w:val="false"/>
                <w:color w:val="000000"/>
                <w:sz w:val="20"/>
              </w:rPr>
              <w:t>32.2*</w:t>
            </w:r>
          </w:p>
        </w:tc>
        <w:tc>
          <w:tcPr>
            <w:tcW w:w="5828" w:type="dxa"/>
            <w:tcBorders/>
            <w:vAlign w:val="center"/>
          </w:tcPr>
          <w:p>
            <w:pPr>
              <w:pStyle w:val="TableContents"/>
              <w:bidi w:val="0"/>
              <w:spacing w:before="0" w:after="100"/>
              <w:jc w:val="both"/>
              <w:rPr/>
            </w:pPr>
            <w:hyperlink w:anchor="vrrm-ex32_2.htm">
              <w:r>
                <w:rPr>
                  <w:rStyle w:val="InternetLink"/>
                  <w:rFonts w:ascii="Times New Roman" w:hAnsi="Times New Roman"/>
                  <w:b w:val="false"/>
                  <w:color w:val="0000FF"/>
                  <w:sz w:val="20"/>
                  <w:u w:val="single"/>
                </w:rPr>
                <w:t>Certification of Principal Financial Officer Pursuant to 18 U.S.C. Section 1350, as Adopted Pursuant to Section 906 of the Sarbanes-Oxley Act of 2002.</w:t>
              </w:r>
            </w:hyperlink>
          </w:p>
        </w:tc>
        <w:tc>
          <w:tcPr>
            <w:tcW w:w="526" w:type="dxa"/>
            <w:tcBorders/>
            <w:vAlign w:val="center"/>
          </w:tcPr>
          <w:p>
            <w:pPr>
              <w:pStyle w:val="TableContents"/>
              <w:bidi w:val="0"/>
              <w:spacing w:before="0" w:after="100"/>
              <w:jc w:val="center"/>
              <w:rPr/>
            </w:pPr>
            <w:r>
              <w:rPr/>
              <w:t> </w:t>
            </w:r>
          </w:p>
        </w:tc>
        <w:tc>
          <w:tcPr>
            <w:tcW w:w="706" w:type="dxa"/>
            <w:tcBorders/>
            <w:vAlign w:val="center"/>
          </w:tcPr>
          <w:p>
            <w:pPr>
              <w:pStyle w:val="TableContents"/>
              <w:bidi w:val="0"/>
              <w:spacing w:before="0" w:after="100"/>
              <w:jc w:val="center"/>
              <w:rPr/>
            </w:pPr>
            <w:r>
              <w:rPr/>
              <w:t> </w:t>
            </w:r>
          </w:p>
        </w:tc>
        <w:tc>
          <w:tcPr>
            <w:tcW w:w="646" w:type="dxa"/>
            <w:tcBorders/>
            <w:vAlign w:val="center"/>
          </w:tcPr>
          <w:p>
            <w:pPr>
              <w:pStyle w:val="TableContents"/>
              <w:bidi w:val="0"/>
              <w:spacing w:before="0" w:after="100"/>
              <w:jc w:val="center"/>
              <w:rPr/>
            </w:pPr>
            <w:r>
              <w:rPr/>
              <w:t> </w:t>
            </w:r>
          </w:p>
        </w:tc>
        <w:tc>
          <w:tcPr>
            <w:tcW w:w="905" w:type="dxa"/>
            <w:tcBorders/>
            <w:vAlign w:val="center"/>
          </w:tcPr>
          <w:p>
            <w:pPr>
              <w:pStyle w:val="TableContents"/>
              <w:bidi w:val="0"/>
              <w:spacing w:before="0" w:after="100"/>
              <w:jc w:val="center"/>
              <w:rPr/>
            </w:pPr>
            <w:r>
              <w:rPr/>
              <w:t> </w:t>
            </w:r>
          </w:p>
        </w:tc>
        <w:tc>
          <w:tcPr>
            <w:tcW w:w="843" w:type="dxa"/>
            <w:tcBorders/>
            <w:vAlign w:val="center"/>
          </w:tcPr>
          <w:p>
            <w:pPr>
              <w:pStyle w:val="TableContents"/>
              <w:bidi w:val="0"/>
              <w:spacing w:before="0" w:after="100"/>
              <w:jc w:val="center"/>
              <w:rPr>
                <w:rFonts w:ascii="Times New Roman" w:hAnsi="Times New Roman"/>
                <w:b w:val="false"/>
                <w:color w:val="000000"/>
                <w:sz w:val="20"/>
              </w:rPr>
            </w:pPr>
            <w:r>
              <w:rPr>
                <w:rFonts w:ascii="Times New Roman" w:hAnsi="Times New Roman"/>
                <w:b w:val="false"/>
                <w:color w:val="000000"/>
                <w:sz w:val="20"/>
              </w:rPr>
              <w:t>X</w:t>
            </w:r>
          </w:p>
        </w:tc>
      </w:tr>
      <w:tr>
        <w:trPr/>
        <w:tc>
          <w:tcPr>
            <w:tcW w:w="751" w:type="dxa"/>
            <w:tcBorders/>
            <w:vAlign w:val="center"/>
          </w:tcPr>
          <w:p>
            <w:pPr>
              <w:pStyle w:val="TableContents"/>
              <w:bidi w:val="0"/>
              <w:spacing w:before="0" w:after="100"/>
              <w:jc w:val="left"/>
              <w:rPr>
                <w:rFonts w:ascii="Times New Roman" w:hAnsi="Times New Roman"/>
                <w:b w:val="false"/>
                <w:color w:val="000000"/>
                <w:sz w:val="20"/>
              </w:rPr>
            </w:pPr>
            <w:r>
              <w:rPr>
                <w:rFonts w:ascii="Times New Roman" w:hAnsi="Times New Roman"/>
                <w:b w:val="false"/>
                <w:color w:val="000000"/>
                <w:sz w:val="20"/>
              </w:rPr>
              <w:t>101.INS</w:t>
            </w:r>
          </w:p>
        </w:tc>
        <w:tc>
          <w:tcPr>
            <w:tcW w:w="5828" w:type="dxa"/>
            <w:tcBorders/>
            <w:vAlign w:val="center"/>
          </w:tcPr>
          <w:p>
            <w:pPr>
              <w:pStyle w:val="TableContents"/>
              <w:bidi w:val="0"/>
              <w:spacing w:before="0" w:after="100"/>
              <w:jc w:val="both"/>
              <w:rPr>
                <w:rFonts w:ascii="Times New Roman" w:hAnsi="Times New Roman"/>
                <w:b w:val="false"/>
                <w:color w:val="000000"/>
                <w:sz w:val="20"/>
              </w:rPr>
            </w:pPr>
            <w:r>
              <w:rPr>
                <w:rFonts w:ascii="Times New Roman" w:hAnsi="Times New Roman"/>
                <w:b w:val="false"/>
                <w:color w:val="000000"/>
                <w:sz w:val="20"/>
              </w:rPr>
              <w:t>Inline XBRL Instance Document (the instance does not appear in the Interactive Data File because its XBRL tags are embedded within the Inline XBRL document).</w:t>
            </w:r>
          </w:p>
        </w:tc>
        <w:tc>
          <w:tcPr>
            <w:tcW w:w="526" w:type="dxa"/>
            <w:tcBorders/>
            <w:vAlign w:val="center"/>
          </w:tcPr>
          <w:p>
            <w:pPr>
              <w:pStyle w:val="TableContents"/>
              <w:bidi w:val="0"/>
              <w:spacing w:before="0" w:after="100"/>
              <w:jc w:val="center"/>
              <w:rPr/>
            </w:pPr>
            <w:r>
              <w:rPr/>
              <w:t> </w:t>
            </w:r>
          </w:p>
        </w:tc>
        <w:tc>
          <w:tcPr>
            <w:tcW w:w="706" w:type="dxa"/>
            <w:tcBorders/>
            <w:vAlign w:val="center"/>
          </w:tcPr>
          <w:p>
            <w:pPr>
              <w:pStyle w:val="TableContents"/>
              <w:bidi w:val="0"/>
              <w:spacing w:before="0" w:after="100"/>
              <w:jc w:val="center"/>
              <w:rPr/>
            </w:pPr>
            <w:r>
              <w:rPr/>
              <w:t> </w:t>
            </w:r>
          </w:p>
        </w:tc>
        <w:tc>
          <w:tcPr>
            <w:tcW w:w="646" w:type="dxa"/>
            <w:tcBorders/>
            <w:vAlign w:val="center"/>
          </w:tcPr>
          <w:p>
            <w:pPr>
              <w:pStyle w:val="TableContents"/>
              <w:bidi w:val="0"/>
              <w:spacing w:before="0" w:after="100"/>
              <w:jc w:val="center"/>
              <w:rPr/>
            </w:pPr>
            <w:r>
              <w:rPr/>
              <w:t> </w:t>
            </w:r>
          </w:p>
        </w:tc>
        <w:tc>
          <w:tcPr>
            <w:tcW w:w="905" w:type="dxa"/>
            <w:tcBorders/>
            <w:vAlign w:val="center"/>
          </w:tcPr>
          <w:p>
            <w:pPr>
              <w:pStyle w:val="TableContents"/>
              <w:bidi w:val="0"/>
              <w:spacing w:before="0" w:after="100"/>
              <w:jc w:val="center"/>
              <w:rPr/>
            </w:pPr>
            <w:r>
              <w:rPr/>
              <w:t> </w:t>
            </w:r>
          </w:p>
        </w:tc>
        <w:tc>
          <w:tcPr>
            <w:tcW w:w="843" w:type="dxa"/>
            <w:tcBorders/>
            <w:vAlign w:val="center"/>
          </w:tcPr>
          <w:p>
            <w:pPr>
              <w:pStyle w:val="TableContents"/>
              <w:bidi w:val="0"/>
              <w:spacing w:before="0" w:after="100"/>
              <w:jc w:val="center"/>
              <w:rPr>
                <w:rFonts w:ascii="Times New Roman" w:hAnsi="Times New Roman"/>
                <w:b w:val="false"/>
                <w:color w:val="000000"/>
                <w:sz w:val="20"/>
              </w:rPr>
            </w:pPr>
            <w:r>
              <w:rPr>
                <w:rFonts w:ascii="Times New Roman" w:hAnsi="Times New Roman"/>
                <w:b w:val="false"/>
                <w:color w:val="000000"/>
                <w:sz w:val="20"/>
              </w:rPr>
              <w:t>X</w:t>
            </w:r>
          </w:p>
        </w:tc>
      </w:tr>
      <w:tr>
        <w:trPr/>
        <w:tc>
          <w:tcPr>
            <w:tcW w:w="751" w:type="dxa"/>
            <w:tcBorders/>
            <w:vAlign w:val="center"/>
          </w:tcPr>
          <w:p>
            <w:pPr>
              <w:pStyle w:val="TableContents"/>
              <w:bidi w:val="0"/>
              <w:spacing w:before="0" w:after="100"/>
              <w:jc w:val="left"/>
              <w:rPr>
                <w:rFonts w:ascii="Times New Roman" w:hAnsi="Times New Roman"/>
                <w:b w:val="false"/>
                <w:color w:val="000000"/>
                <w:sz w:val="20"/>
              </w:rPr>
            </w:pPr>
            <w:r>
              <w:rPr>
                <w:rFonts w:ascii="Times New Roman" w:hAnsi="Times New Roman"/>
                <w:b w:val="false"/>
                <w:color w:val="000000"/>
                <w:sz w:val="20"/>
              </w:rPr>
              <w:t>101.SCH</w:t>
            </w:r>
          </w:p>
        </w:tc>
        <w:tc>
          <w:tcPr>
            <w:tcW w:w="5828" w:type="dxa"/>
            <w:tcBorders/>
            <w:vAlign w:val="center"/>
          </w:tcPr>
          <w:p>
            <w:pPr>
              <w:pStyle w:val="TableContents"/>
              <w:bidi w:val="0"/>
              <w:spacing w:before="0" w:after="100"/>
              <w:jc w:val="both"/>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c>
          <w:tcPr>
            <w:tcW w:w="526" w:type="dxa"/>
            <w:tcBorders/>
            <w:vAlign w:val="center"/>
          </w:tcPr>
          <w:p>
            <w:pPr>
              <w:pStyle w:val="TableContents"/>
              <w:bidi w:val="0"/>
              <w:spacing w:before="0" w:after="100"/>
              <w:jc w:val="center"/>
              <w:rPr/>
            </w:pPr>
            <w:r>
              <w:rPr/>
              <w:t> </w:t>
            </w:r>
          </w:p>
        </w:tc>
        <w:tc>
          <w:tcPr>
            <w:tcW w:w="706" w:type="dxa"/>
            <w:tcBorders/>
            <w:vAlign w:val="center"/>
          </w:tcPr>
          <w:p>
            <w:pPr>
              <w:pStyle w:val="TableContents"/>
              <w:bidi w:val="0"/>
              <w:spacing w:before="0" w:after="100"/>
              <w:jc w:val="center"/>
              <w:rPr/>
            </w:pPr>
            <w:r>
              <w:rPr/>
              <w:t> </w:t>
            </w:r>
          </w:p>
        </w:tc>
        <w:tc>
          <w:tcPr>
            <w:tcW w:w="646" w:type="dxa"/>
            <w:tcBorders/>
            <w:vAlign w:val="center"/>
          </w:tcPr>
          <w:p>
            <w:pPr>
              <w:pStyle w:val="TableContents"/>
              <w:bidi w:val="0"/>
              <w:spacing w:before="0" w:after="100"/>
              <w:jc w:val="center"/>
              <w:rPr/>
            </w:pPr>
            <w:r>
              <w:rPr/>
              <w:t> </w:t>
            </w:r>
          </w:p>
        </w:tc>
        <w:tc>
          <w:tcPr>
            <w:tcW w:w="905" w:type="dxa"/>
            <w:tcBorders/>
            <w:vAlign w:val="center"/>
          </w:tcPr>
          <w:p>
            <w:pPr>
              <w:pStyle w:val="TableContents"/>
              <w:bidi w:val="0"/>
              <w:spacing w:before="0" w:after="100"/>
              <w:jc w:val="center"/>
              <w:rPr/>
            </w:pPr>
            <w:r>
              <w:rPr/>
              <w:t> </w:t>
            </w:r>
          </w:p>
        </w:tc>
        <w:tc>
          <w:tcPr>
            <w:tcW w:w="843" w:type="dxa"/>
            <w:tcBorders/>
            <w:vAlign w:val="center"/>
          </w:tcPr>
          <w:p>
            <w:pPr>
              <w:pStyle w:val="TableContents"/>
              <w:bidi w:val="0"/>
              <w:spacing w:before="0" w:after="100"/>
              <w:jc w:val="center"/>
              <w:rPr>
                <w:rFonts w:ascii="Times New Roman" w:hAnsi="Times New Roman"/>
                <w:b w:val="false"/>
                <w:color w:val="000000"/>
                <w:sz w:val="20"/>
              </w:rPr>
            </w:pPr>
            <w:r>
              <w:rPr>
                <w:rFonts w:ascii="Times New Roman" w:hAnsi="Times New Roman"/>
                <w:b w:val="false"/>
                <w:color w:val="000000"/>
                <w:sz w:val="20"/>
              </w:rPr>
              <w:t>X</w:t>
            </w:r>
          </w:p>
        </w:tc>
      </w:tr>
      <w:tr>
        <w:trPr/>
        <w:tc>
          <w:tcPr>
            <w:tcW w:w="751" w:type="dxa"/>
            <w:tcBorders/>
            <w:vAlign w:val="center"/>
          </w:tcPr>
          <w:p>
            <w:pPr>
              <w:pStyle w:val="TableContents"/>
              <w:bidi w:val="0"/>
              <w:spacing w:before="0" w:after="100"/>
              <w:jc w:val="left"/>
              <w:rPr>
                <w:rFonts w:ascii="Times New Roman" w:hAnsi="Times New Roman"/>
                <w:b w:val="false"/>
                <w:color w:val="000000"/>
                <w:sz w:val="20"/>
              </w:rPr>
            </w:pPr>
            <w:r>
              <w:rPr>
                <w:rFonts w:ascii="Times New Roman" w:hAnsi="Times New Roman"/>
                <w:b w:val="false"/>
                <w:color w:val="000000"/>
                <w:sz w:val="20"/>
              </w:rPr>
              <w:t>101.CAL</w:t>
            </w:r>
          </w:p>
        </w:tc>
        <w:tc>
          <w:tcPr>
            <w:tcW w:w="5828" w:type="dxa"/>
            <w:tcBorders/>
            <w:vAlign w:val="center"/>
          </w:tcPr>
          <w:p>
            <w:pPr>
              <w:pStyle w:val="TableContents"/>
              <w:bidi w:val="0"/>
              <w:spacing w:before="0" w:after="100"/>
              <w:jc w:val="both"/>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c>
          <w:tcPr>
            <w:tcW w:w="526" w:type="dxa"/>
            <w:tcBorders/>
            <w:vAlign w:val="center"/>
          </w:tcPr>
          <w:p>
            <w:pPr>
              <w:pStyle w:val="TableContents"/>
              <w:bidi w:val="0"/>
              <w:spacing w:before="0" w:after="100"/>
              <w:jc w:val="center"/>
              <w:rPr/>
            </w:pPr>
            <w:r>
              <w:rPr/>
              <w:t> </w:t>
            </w:r>
          </w:p>
        </w:tc>
        <w:tc>
          <w:tcPr>
            <w:tcW w:w="706" w:type="dxa"/>
            <w:tcBorders/>
            <w:vAlign w:val="center"/>
          </w:tcPr>
          <w:p>
            <w:pPr>
              <w:pStyle w:val="TableContents"/>
              <w:bidi w:val="0"/>
              <w:spacing w:before="0" w:after="100"/>
              <w:jc w:val="center"/>
              <w:rPr/>
            </w:pPr>
            <w:r>
              <w:rPr/>
              <w:t> </w:t>
            </w:r>
          </w:p>
        </w:tc>
        <w:tc>
          <w:tcPr>
            <w:tcW w:w="646" w:type="dxa"/>
            <w:tcBorders/>
            <w:vAlign w:val="center"/>
          </w:tcPr>
          <w:p>
            <w:pPr>
              <w:pStyle w:val="TableContents"/>
              <w:bidi w:val="0"/>
              <w:spacing w:before="0" w:after="100"/>
              <w:jc w:val="center"/>
              <w:rPr/>
            </w:pPr>
            <w:r>
              <w:rPr/>
              <w:t> </w:t>
            </w:r>
          </w:p>
        </w:tc>
        <w:tc>
          <w:tcPr>
            <w:tcW w:w="905" w:type="dxa"/>
            <w:tcBorders/>
            <w:vAlign w:val="center"/>
          </w:tcPr>
          <w:p>
            <w:pPr>
              <w:pStyle w:val="TableContents"/>
              <w:bidi w:val="0"/>
              <w:spacing w:before="0" w:after="100"/>
              <w:jc w:val="center"/>
              <w:rPr/>
            </w:pPr>
            <w:r>
              <w:rPr/>
              <w:t> </w:t>
            </w:r>
          </w:p>
        </w:tc>
        <w:tc>
          <w:tcPr>
            <w:tcW w:w="843" w:type="dxa"/>
            <w:tcBorders/>
            <w:vAlign w:val="center"/>
          </w:tcPr>
          <w:p>
            <w:pPr>
              <w:pStyle w:val="TableContents"/>
              <w:bidi w:val="0"/>
              <w:spacing w:before="0" w:after="100"/>
              <w:jc w:val="center"/>
              <w:rPr>
                <w:rFonts w:ascii="Times New Roman" w:hAnsi="Times New Roman"/>
                <w:b w:val="false"/>
                <w:color w:val="000000"/>
                <w:sz w:val="20"/>
              </w:rPr>
            </w:pPr>
            <w:r>
              <w:rPr>
                <w:rFonts w:ascii="Times New Roman" w:hAnsi="Times New Roman"/>
                <w:b w:val="false"/>
                <w:color w:val="000000"/>
                <w:sz w:val="20"/>
              </w:rPr>
              <w:t>X</w:t>
            </w:r>
          </w:p>
        </w:tc>
      </w:tr>
      <w:tr>
        <w:trPr/>
        <w:tc>
          <w:tcPr>
            <w:tcW w:w="751" w:type="dxa"/>
            <w:tcBorders/>
            <w:vAlign w:val="center"/>
          </w:tcPr>
          <w:p>
            <w:pPr>
              <w:pStyle w:val="TableContents"/>
              <w:bidi w:val="0"/>
              <w:spacing w:before="0" w:after="100"/>
              <w:jc w:val="left"/>
              <w:rPr>
                <w:rFonts w:ascii="Times New Roman" w:hAnsi="Times New Roman"/>
                <w:b w:val="false"/>
                <w:color w:val="000000"/>
                <w:sz w:val="20"/>
              </w:rPr>
            </w:pPr>
            <w:r>
              <w:rPr>
                <w:rFonts w:ascii="Times New Roman" w:hAnsi="Times New Roman"/>
                <w:b w:val="false"/>
                <w:color w:val="000000"/>
                <w:sz w:val="20"/>
              </w:rPr>
              <w:t>101.DEF</w:t>
            </w:r>
          </w:p>
        </w:tc>
        <w:tc>
          <w:tcPr>
            <w:tcW w:w="5828" w:type="dxa"/>
            <w:tcBorders/>
            <w:vAlign w:val="center"/>
          </w:tcPr>
          <w:p>
            <w:pPr>
              <w:pStyle w:val="TableContents"/>
              <w:bidi w:val="0"/>
              <w:spacing w:before="0" w:after="100"/>
              <w:jc w:val="both"/>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c>
          <w:tcPr>
            <w:tcW w:w="526" w:type="dxa"/>
            <w:tcBorders/>
            <w:vAlign w:val="center"/>
          </w:tcPr>
          <w:p>
            <w:pPr>
              <w:pStyle w:val="TableContents"/>
              <w:bidi w:val="0"/>
              <w:spacing w:before="0" w:after="100"/>
              <w:jc w:val="center"/>
              <w:rPr/>
            </w:pPr>
            <w:r>
              <w:rPr/>
              <w:t> </w:t>
            </w:r>
          </w:p>
        </w:tc>
        <w:tc>
          <w:tcPr>
            <w:tcW w:w="706" w:type="dxa"/>
            <w:tcBorders/>
            <w:vAlign w:val="center"/>
          </w:tcPr>
          <w:p>
            <w:pPr>
              <w:pStyle w:val="TableContents"/>
              <w:bidi w:val="0"/>
              <w:spacing w:before="0" w:after="100"/>
              <w:jc w:val="center"/>
              <w:rPr/>
            </w:pPr>
            <w:r>
              <w:rPr/>
              <w:t> </w:t>
            </w:r>
          </w:p>
        </w:tc>
        <w:tc>
          <w:tcPr>
            <w:tcW w:w="646" w:type="dxa"/>
            <w:tcBorders/>
            <w:vAlign w:val="center"/>
          </w:tcPr>
          <w:p>
            <w:pPr>
              <w:pStyle w:val="TableContents"/>
              <w:bidi w:val="0"/>
              <w:spacing w:before="0" w:after="100"/>
              <w:jc w:val="center"/>
              <w:rPr/>
            </w:pPr>
            <w:r>
              <w:rPr/>
              <w:t> </w:t>
            </w:r>
          </w:p>
        </w:tc>
        <w:tc>
          <w:tcPr>
            <w:tcW w:w="905" w:type="dxa"/>
            <w:tcBorders/>
            <w:vAlign w:val="center"/>
          </w:tcPr>
          <w:p>
            <w:pPr>
              <w:pStyle w:val="TableContents"/>
              <w:bidi w:val="0"/>
              <w:spacing w:before="0" w:after="100"/>
              <w:jc w:val="center"/>
              <w:rPr/>
            </w:pPr>
            <w:r>
              <w:rPr/>
              <w:t> </w:t>
            </w:r>
          </w:p>
        </w:tc>
        <w:tc>
          <w:tcPr>
            <w:tcW w:w="843" w:type="dxa"/>
            <w:tcBorders/>
            <w:vAlign w:val="center"/>
          </w:tcPr>
          <w:p>
            <w:pPr>
              <w:pStyle w:val="TableContents"/>
              <w:bidi w:val="0"/>
              <w:spacing w:before="0" w:after="100"/>
              <w:jc w:val="center"/>
              <w:rPr>
                <w:rFonts w:ascii="Times New Roman" w:hAnsi="Times New Roman"/>
                <w:b w:val="false"/>
                <w:color w:val="000000"/>
                <w:sz w:val="20"/>
              </w:rPr>
            </w:pPr>
            <w:r>
              <w:rPr>
                <w:rFonts w:ascii="Times New Roman" w:hAnsi="Times New Roman"/>
                <w:b w:val="false"/>
                <w:color w:val="000000"/>
                <w:sz w:val="20"/>
              </w:rPr>
              <w:t>X</w:t>
            </w:r>
          </w:p>
        </w:tc>
      </w:tr>
      <w:tr>
        <w:trPr/>
        <w:tc>
          <w:tcPr>
            <w:tcW w:w="751" w:type="dxa"/>
            <w:tcBorders/>
            <w:vAlign w:val="center"/>
          </w:tcPr>
          <w:p>
            <w:pPr>
              <w:pStyle w:val="TableContents"/>
              <w:bidi w:val="0"/>
              <w:spacing w:before="0" w:after="100"/>
              <w:jc w:val="left"/>
              <w:rPr>
                <w:rFonts w:ascii="Times New Roman" w:hAnsi="Times New Roman"/>
                <w:b w:val="false"/>
                <w:color w:val="000000"/>
                <w:sz w:val="20"/>
              </w:rPr>
            </w:pPr>
            <w:r>
              <w:rPr>
                <w:rFonts w:ascii="Times New Roman" w:hAnsi="Times New Roman"/>
                <w:b w:val="false"/>
                <w:color w:val="000000"/>
                <w:sz w:val="20"/>
              </w:rPr>
              <w:t>101.LAB</w:t>
            </w:r>
          </w:p>
        </w:tc>
        <w:tc>
          <w:tcPr>
            <w:tcW w:w="5828" w:type="dxa"/>
            <w:tcBorders/>
            <w:vAlign w:val="center"/>
          </w:tcPr>
          <w:p>
            <w:pPr>
              <w:pStyle w:val="TableContents"/>
              <w:bidi w:val="0"/>
              <w:spacing w:before="0" w:after="100"/>
              <w:jc w:val="both"/>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c>
          <w:tcPr>
            <w:tcW w:w="526" w:type="dxa"/>
            <w:tcBorders/>
            <w:vAlign w:val="center"/>
          </w:tcPr>
          <w:p>
            <w:pPr>
              <w:pStyle w:val="TableContents"/>
              <w:bidi w:val="0"/>
              <w:spacing w:before="0" w:after="100"/>
              <w:jc w:val="center"/>
              <w:rPr/>
            </w:pPr>
            <w:r>
              <w:rPr/>
              <w:t> </w:t>
            </w:r>
          </w:p>
        </w:tc>
        <w:tc>
          <w:tcPr>
            <w:tcW w:w="706" w:type="dxa"/>
            <w:tcBorders/>
            <w:vAlign w:val="center"/>
          </w:tcPr>
          <w:p>
            <w:pPr>
              <w:pStyle w:val="TableContents"/>
              <w:bidi w:val="0"/>
              <w:spacing w:before="0" w:after="100"/>
              <w:jc w:val="center"/>
              <w:rPr/>
            </w:pPr>
            <w:r>
              <w:rPr/>
              <w:t> </w:t>
            </w:r>
          </w:p>
        </w:tc>
        <w:tc>
          <w:tcPr>
            <w:tcW w:w="646" w:type="dxa"/>
            <w:tcBorders/>
            <w:vAlign w:val="center"/>
          </w:tcPr>
          <w:p>
            <w:pPr>
              <w:pStyle w:val="TableContents"/>
              <w:bidi w:val="0"/>
              <w:spacing w:before="0" w:after="100"/>
              <w:jc w:val="center"/>
              <w:rPr/>
            </w:pPr>
            <w:r>
              <w:rPr/>
              <w:t> </w:t>
            </w:r>
          </w:p>
        </w:tc>
        <w:tc>
          <w:tcPr>
            <w:tcW w:w="905" w:type="dxa"/>
            <w:tcBorders/>
            <w:vAlign w:val="center"/>
          </w:tcPr>
          <w:p>
            <w:pPr>
              <w:pStyle w:val="TableContents"/>
              <w:bidi w:val="0"/>
              <w:spacing w:before="0" w:after="100"/>
              <w:jc w:val="center"/>
              <w:rPr/>
            </w:pPr>
            <w:r>
              <w:rPr/>
              <w:t> </w:t>
            </w:r>
          </w:p>
        </w:tc>
        <w:tc>
          <w:tcPr>
            <w:tcW w:w="843" w:type="dxa"/>
            <w:tcBorders/>
            <w:vAlign w:val="center"/>
          </w:tcPr>
          <w:p>
            <w:pPr>
              <w:pStyle w:val="TableContents"/>
              <w:bidi w:val="0"/>
              <w:spacing w:before="0" w:after="100"/>
              <w:jc w:val="center"/>
              <w:rPr>
                <w:rFonts w:ascii="Times New Roman" w:hAnsi="Times New Roman"/>
                <w:b w:val="false"/>
                <w:color w:val="000000"/>
                <w:sz w:val="20"/>
              </w:rPr>
            </w:pPr>
            <w:r>
              <w:rPr>
                <w:rFonts w:ascii="Times New Roman" w:hAnsi="Times New Roman"/>
                <w:b w:val="false"/>
                <w:color w:val="000000"/>
                <w:sz w:val="20"/>
              </w:rPr>
              <w:t>X</w:t>
            </w:r>
          </w:p>
        </w:tc>
      </w:tr>
      <w:tr>
        <w:trPr/>
        <w:tc>
          <w:tcPr>
            <w:tcW w:w="751" w:type="dxa"/>
            <w:tcBorders/>
            <w:vAlign w:val="center"/>
          </w:tcPr>
          <w:p>
            <w:pPr>
              <w:pStyle w:val="TableContents"/>
              <w:bidi w:val="0"/>
              <w:spacing w:before="0" w:after="100"/>
              <w:jc w:val="left"/>
              <w:rPr>
                <w:rFonts w:ascii="Times New Roman" w:hAnsi="Times New Roman"/>
                <w:b w:val="false"/>
                <w:color w:val="000000"/>
                <w:sz w:val="20"/>
              </w:rPr>
            </w:pPr>
            <w:r>
              <w:rPr>
                <w:rFonts w:ascii="Times New Roman" w:hAnsi="Times New Roman"/>
                <w:b w:val="false"/>
                <w:color w:val="000000"/>
                <w:sz w:val="20"/>
              </w:rPr>
              <w:t>101.PRE</w:t>
            </w:r>
          </w:p>
        </w:tc>
        <w:tc>
          <w:tcPr>
            <w:tcW w:w="5828" w:type="dxa"/>
            <w:tcBorders/>
            <w:vAlign w:val="center"/>
          </w:tcPr>
          <w:p>
            <w:pPr>
              <w:pStyle w:val="TableContents"/>
              <w:bidi w:val="0"/>
              <w:spacing w:before="0" w:after="100"/>
              <w:jc w:val="both"/>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c>
          <w:tcPr>
            <w:tcW w:w="526" w:type="dxa"/>
            <w:tcBorders/>
            <w:vAlign w:val="center"/>
          </w:tcPr>
          <w:p>
            <w:pPr>
              <w:pStyle w:val="TableContents"/>
              <w:bidi w:val="0"/>
              <w:spacing w:before="0" w:after="100"/>
              <w:jc w:val="center"/>
              <w:rPr/>
            </w:pPr>
            <w:r>
              <w:rPr/>
              <w:t> </w:t>
            </w:r>
          </w:p>
        </w:tc>
        <w:tc>
          <w:tcPr>
            <w:tcW w:w="706" w:type="dxa"/>
            <w:tcBorders/>
            <w:vAlign w:val="center"/>
          </w:tcPr>
          <w:p>
            <w:pPr>
              <w:pStyle w:val="TableContents"/>
              <w:bidi w:val="0"/>
              <w:spacing w:before="0" w:after="100"/>
              <w:jc w:val="center"/>
              <w:rPr/>
            </w:pPr>
            <w:r>
              <w:rPr/>
              <w:t> </w:t>
            </w:r>
          </w:p>
        </w:tc>
        <w:tc>
          <w:tcPr>
            <w:tcW w:w="646" w:type="dxa"/>
            <w:tcBorders/>
            <w:vAlign w:val="center"/>
          </w:tcPr>
          <w:p>
            <w:pPr>
              <w:pStyle w:val="TableContents"/>
              <w:bidi w:val="0"/>
              <w:spacing w:before="0" w:after="100"/>
              <w:jc w:val="center"/>
              <w:rPr/>
            </w:pPr>
            <w:r>
              <w:rPr/>
              <w:t> </w:t>
            </w:r>
          </w:p>
        </w:tc>
        <w:tc>
          <w:tcPr>
            <w:tcW w:w="905" w:type="dxa"/>
            <w:tcBorders/>
            <w:vAlign w:val="center"/>
          </w:tcPr>
          <w:p>
            <w:pPr>
              <w:pStyle w:val="TableContents"/>
              <w:bidi w:val="0"/>
              <w:spacing w:before="0" w:after="100"/>
              <w:jc w:val="center"/>
              <w:rPr/>
            </w:pPr>
            <w:r>
              <w:rPr/>
              <w:t> </w:t>
            </w:r>
          </w:p>
        </w:tc>
        <w:tc>
          <w:tcPr>
            <w:tcW w:w="843" w:type="dxa"/>
            <w:tcBorders/>
            <w:vAlign w:val="center"/>
          </w:tcPr>
          <w:p>
            <w:pPr>
              <w:pStyle w:val="TableContents"/>
              <w:bidi w:val="0"/>
              <w:spacing w:before="0" w:after="100"/>
              <w:jc w:val="center"/>
              <w:rPr>
                <w:rFonts w:ascii="Times New Roman" w:hAnsi="Times New Roman"/>
                <w:b w:val="false"/>
                <w:color w:val="000000"/>
                <w:sz w:val="20"/>
              </w:rPr>
            </w:pPr>
            <w:r>
              <w:rPr>
                <w:rFonts w:ascii="Times New Roman" w:hAnsi="Times New Roman"/>
                <w:b w:val="false"/>
                <w:color w:val="000000"/>
                <w:sz w:val="20"/>
              </w:rPr>
              <w:t>X</w:t>
            </w:r>
          </w:p>
        </w:tc>
      </w:tr>
    </w:tbl>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7"/>
        <w:gridCol w:w="7996"/>
        <w:gridCol w:w="246"/>
        <w:gridCol w:w="246"/>
        <w:gridCol w:w="246"/>
        <w:gridCol w:w="246"/>
        <w:gridCol w:w="488"/>
      </w:tblGrid>
      <w:tr>
        <w:trPr/>
        <w:tc>
          <w:tcPr>
            <w:tcW w:w="737" w:type="dxa"/>
            <w:tcBorders/>
            <w:vAlign w:val="center"/>
          </w:tcPr>
          <w:p>
            <w:pPr>
              <w:pStyle w:val="TableContents"/>
              <w:bidi w:val="0"/>
              <w:spacing w:before="0" w:after="283"/>
              <w:jc w:val="left"/>
              <w:rPr>
                <w:sz w:val="4"/>
                <w:szCs w:val="4"/>
              </w:rPr>
            </w:pPr>
            <w:r>
              <w:rPr>
                <w:sz w:val="4"/>
                <w:szCs w:val="4"/>
              </w:rPr>
            </w:r>
          </w:p>
        </w:tc>
        <w:tc>
          <w:tcPr>
            <w:tcW w:w="79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737" w:type="dxa"/>
            <w:tcBorders/>
            <w:vAlign w:val="center"/>
          </w:tcPr>
          <w:p>
            <w:pPr>
              <w:pStyle w:val="TableContents"/>
              <w:bidi w:val="0"/>
              <w:spacing w:before="0" w:after="100"/>
              <w:jc w:val="left"/>
              <w:rPr>
                <w:rFonts w:ascii="Times New Roman" w:hAnsi="Times New Roman"/>
                <w:b w:val="false"/>
                <w:color w:val="000000"/>
                <w:sz w:val="20"/>
              </w:rPr>
            </w:pPr>
            <w:r>
              <w:rPr>
                <w:rFonts w:ascii="Times New Roman" w:hAnsi="Times New Roman"/>
                <w:b w:val="false"/>
                <w:color w:val="000000"/>
                <w:sz w:val="20"/>
              </w:rPr>
              <w:t>104</w:t>
            </w:r>
          </w:p>
        </w:tc>
        <w:tc>
          <w:tcPr>
            <w:tcW w:w="7996" w:type="dxa"/>
            <w:tcBorders/>
            <w:vAlign w:val="center"/>
          </w:tcPr>
          <w:p>
            <w:pPr>
              <w:pStyle w:val="TableContents"/>
              <w:bidi w:val="0"/>
              <w:spacing w:before="0" w:after="100"/>
              <w:jc w:val="both"/>
              <w:rPr>
                <w:rFonts w:ascii="Times New Roman" w:hAnsi="Times New Roman"/>
                <w:b w:val="false"/>
                <w:color w:val="000000"/>
                <w:sz w:val="20"/>
              </w:rPr>
            </w:pPr>
            <w:r>
              <w:rPr>
                <w:rFonts w:ascii="Times New Roman" w:hAnsi="Times New Roman"/>
                <w:b w:val="false"/>
                <w:color w:val="000000"/>
                <w:sz w:val="20"/>
              </w:rPr>
              <w:t>Cover Page Interactive Data File (embedded within the Inline XBRL document)</w:t>
            </w:r>
          </w:p>
        </w:tc>
        <w:tc>
          <w:tcPr>
            <w:tcW w:w="246" w:type="dxa"/>
            <w:tcBorders/>
            <w:vAlign w:val="center"/>
          </w:tcPr>
          <w:p>
            <w:pPr>
              <w:pStyle w:val="TableContents"/>
              <w:bidi w:val="0"/>
              <w:spacing w:before="0" w:after="100"/>
              <w:jc w:val="center"/>
              <w:rPr/>
            </w:pPr>
            <w:r>
              <w:rPr/>
              <w:t> </w:t>
            </w:r>
          </w:p>
        </w:tc>
        <w:tc>
          <w:tcPr>
            <w:tcW w:w="246" w:type="dxa"/>
            <w:tcBorders/>
            <w:vAlign w:val="center"/>
          </w:tcPr>
          <w:p>
            <w:pPr>
              <w:pStyle w:val="TableContents"/>
              <w:bidi w:val="0"/>
              <w:spacing w:before="0" w:after="100"/>
              <w:jc w:val="center"/>
              <w:rPr/>
            </w:pPr>
            <w:r>
              <w:rPr/>
              <w:t> </w:t>
            </w:r>
          </w:p>
        </w:tc>
        <w:tc>
          <w:tcPr>
            <w:tcW w:w="246" w:type="dxa"/>
            <w:tcBorders/>
            <w:vAlign w:val="center"/>
          </w:tcPr>
          <w:p>
            <w:pPr>
              <w:pStyle w:val="TableContents"/>
              <w:bidi w:val="0"/>
              <w:spacing w:before="0" w:after="100"/>
              <w:jc w:val="center"/>
              <w:rPr/>
            </w:pPr>
            <w:r>
              <w:rPr/>
              <w:t> </w:t>
            </w:r>
          </w:p>
        </w:tc>
        <w:tc>
          <w:tcPr>
            <w:tcW w:w="246" w:type="dxa"/>
            <w:tcBorders/>
            <w:vAlign w:val="center"/>
          </w:tcPr>
          <w:p>
            <w:pPr>
              <w:pStyle w:val="TableContents"/>
              <w:bidi w:val="0"/>
              <w:spacing w:before="0" w:after="100"/>
              <w:jc w:val="center"/>
              <w:rPr/>
            </w:pPr>
            <w:r>
              <w:rPr/>
              <w:t> </w:t>
            </w:r>
          </w:p>
        </w:tc>
        <w:tc>
          <w:tcPr>
            <w:tcW w:w="488" w:type="dxa"/>
            <w:tcBorders/>
            <w:vAlign w:val="center"/>
          </w:tcPr>
          <w:p>
            <w:pPr>
              <w:pStyle w:val="TableContents"/>
              <w:bidi w:val="0"/>
              <w:spacing w:before="0" w:after="100"/>
              <w:jc w:val="center"/>
              <w:rPr>
                <w:rFonts w:ascii="Times New Roman" w:hAnsi="Times New Roman"/>
                <w:b w:val="false"/>
                <w:color w:val="000000"/>
                <w:sz w:val="20"/>
              </w:rPr>
            </w:pPr>
            <w:r>
              <w:rPr>
                <w:rFonts w:ascii="Times New Roman" w:hAnsi="Times New Roman"/>
                <w:b w:val="false"/>
                <w:color w:val="000000"/>
                <w:sz w:val="20"/>
              </w:rPr>
              <w:t>X</w:t>
            </w:r>
          </w:p>
        </w:tc>
      </w:tr>
      <w:tr>
        <w:trPr/>
        <w:tc>
          <w:tcPr>
            <w:tcW w:w="10205" w:type="dxa"/>
            <w:gridSpan w:val="7"/>
            <w:tcBorders/>
            <w:vAlign w:val="center"/>
          </w:tcPr>
          <w:p>
            <w:pPr>
              <w:pStyle w:val="TableContents"/>
              <w:bidi w:val="0"/>
              <w:spacing w:before="40" w:after="283"/>
              <w:jc w:val="both"/>
              <w:rPr>
                <w:rFonts w:ascii="Times New Roman" w:hAnsi="Times New Roman"/>
                <w:b w:val="false"/>
                <w:color w:val="000000"/>
                <w:sz w:val="20"/>
              </w:rPr>
            </w:pPr>
            <w:r>
              <w:rPr>
                <w:rFonts w:ascii="Times New Roman" w:hAnsi="Times New Roman"/>
                <w:b w:val="false"/>
                <w:color w:val="000000"/>
                <w:sz w:val="20"/>
              </w:rPr>
              <w:t>* This certification is deemed not filed for purposes of Section 18 of the Exchange Act or otherwise subject to the liability of that section, nor shall it be deemed incorporated by reference into any filing under the Securities Act or the Exchange Act.</w:t>
            </w:r>
          </w:p>
        </w:tc>
      </w:tr>
    </w:tbl>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20" w:name="signatures"/>
      <w:bookmarkEnd w:id="20"/>
      <w:r>
        <w:rPr>
          <w:rFonts w:ascii="Times New Roman" w:hAnsi="Times New Roman"/>
          <w:b/>
          <w:caps/>
          <w:color w:val="000000"/>
          <w:sz w:val="20"/>
        </w:rPr>
        <w:t>Signatures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5311" w:type="dxa"/>
        <w:jc w:val="left"/>
        <w:tblInd w:w="0" w:type="dxa"/>
        <w:tblLayout w:type="fixed"/>
        <w:tblCellMar>
          <w:top w:w="28" w:type="dxa"/>
          <w:left w:w="28" w:type="dxa"/>
          <w:bottom w:w="28" w:type="dxa"/>
          <w:right w:w="28" w:type="dxa"/>
        </w:tblCellMar>
      </w:tblPr>
      <w:tblGrid>
        <w:gridCol w:w="2101"/>
        <w:gridCol w:w="461"/>
        <w:gridCol w:w="2749"/>
      </w:tblGrid>
      <w:tr>
        <w:trPr/>
        <w:tc>
          <w:tcPr>
            <w:tcW w:w="210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sz w:val="4"/>
                <w:szCs w:val="4"/>
              </w:rPr>
            </w:pPr>
            <w:r>
              <w:rPr>
                <w:sz w:val="4"/>
                <w:szCs w:val="4"/>
              </w:rPr>
            </w:r>
          </w:p>
        </w:tc>
        <w:tc>
          <w:tcPr>
            <w:tcW w:w="3210"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VERRA MOBILITY CORPORATION</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3210" w:type="dxa"/>
            <w:gridSpan w:val="2"/>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46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749" w:type="dxa"/>
            <w:tcBorders/>
            <w:vAlign w:val="center"/>
          </w:tcPr>
          <w:p>
            <w:pPr>
              <w:pStyle w:val="TableContents"/>
              <w:bidi w:val="0"/>
              <w:spacing w:before="0" w:after="283"/>
              <w:ind w:left="0" w:right="0" w:firstLine="144"/>
              <w:jc w:val="left"/>
              <w:rPr>
                <w:rFonts w:ascii="Times New Roman" w:hAnsi="Times New Roman"/>
                <w:b w:val="false"/>
                <w:color w:val="000000"/>
                <w:sz w:val="20"/>
              </w:rPr>
            </w:pPr>
            <w:r>
              <w:rPr>
                <w:rFonts w:ascii="Times New Roman" w:hAnsi="Times New Roman"/>
                <w:b w:val="false"/>
                <w:color w:val="000000"/>
                <w:sz w:val="20"/>
              </w:rPr>
              <w:t>/s/ Craig Conti</w:t>
            </w:r>
          </w:p>
        </w:tc>
      </w:tr>
      <w:tr>
        <w:trPr/>
        <w:tc>
          <w:tcPr>
            <w:tcW w:w="2101" w:type="dxa"/>
            <w:tcBorders/>
            <w:vAlign w:val="center"/>
          </w:tcPr>
          <w:p>
            <w:pPr>
              <w:pStyle w:val="TableContents"/>
              <w:bidi w:val="0"/>
              <w:spacing w:before="0" w:after="283"/>
              <w:ind w:left="0" w:right="0" w:firstLine="144"/>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749" w:type="dxa"/>
            <w:tcBorders>
              <w:top w:val="single" w:sz="8" w:space="0" w:color="000000"/>
            </w:tcBorders>
            <w:tcMar>
              <w:left w:w="0" w:type="dxa"/>
              <w:bottom w:w="0" w:type="dxa"/>
              <w:right w:w="0" w:type="dxa"/>
            </w:tcMar>
            <w:vAlign w:val="center"/>
          </w:tcPr>
          <w:p>
            <w:pPr>
              <w:pStyle w:val="TableContents"/>
              <w:bidi w:val="0"/>
              <w:spacing w:before="0" w:after="283"/>
              <w:ind w:left="0" w:right="0" w:firstLine="144"/>
              <w:jc w:val="left"/>
              <w:rPr>
                <w:rFonts w:ascii="Times New Roman" w:hAnsi="Times New Roman"/>
                <w:b w:val="false"/>
                <w:color w:val="000000"/>
                <w:sz w:val="20"/>
              </w:rPr>
            </w:pPr>
            <w:r>
              <w:rPr>
                <w:rFonts w:ascii="Times New Roman" w:hAnsi="Times New Roman"/>
                <w:b w:val="false"/>
                <w:color w:val="000000"/>
                <w:sz w:val="20"/>
              </w:rPr>
              <w:t>Craig Conti</w:t>
            </w:r>
          </w:p>
        </w:tc>
      </w:tr>
      <w:tr>
        <w:trPr/>
        <w:tc>
          <w:tcPr>
            <w:tcW w:w="2101" w:type="dxa"/>
            <w:tcBorders/>
            <w:vAlign w:val="center"/>
          </w:tcPr>
          <w:p>
            <w:pPr>
              <w:pStyle w:val="TableContents"/>
              <w:bidi w:val="0"/>
              <w:spacing w:before="0" w:after="283"/>
              <w:ind w:left="0" w:right="0" w:firstLine="144"/>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Financial Officer</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Financial Officer)</w:t>
            </w:r>
          </w:p>
        </w:tc>
      </w:tr>
      <w:tr>
        <w:trPr/>
        <w:tc>
          <w:tcPr>
            <w:tcW w:w="2101"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bookmarkStart w:id="21" w:name="vrrm-ex31_1.htm"/>
      <w:bookmarkStart w:id="22" w:name="ksvrrm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 David Roberts, certify that: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 have reviewed this Quarterly Report on Form 10-Q of Verra Mobility Corporation;</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Based on my knowledge, this Quarterly Report on Form 10-Q does not contain any untrue statement of a material fact or omit to state a material fact necessary to make the statements made, in light of the circumstances under which such statements were made, not misleading with respect to the period covered by this Quarterly Report on Form 10-Q;</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on Form 10-Q is being prepared;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Quarterly Report on Form 10-Q our conclusions about the effectiveness of the disclosure controls and procedures, as of the end of the period covered by this Quarterly Report on Form 10-Q based on such evaluation; and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Disclosed in this Quarterly Report on Form 10-Q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969" w:type="dxa"/>
        <w:jc w:val="left"/>
        <w:tblInd w:w="0" w:type="dxa"/>
        <w:tblLayout w:type="fixed"/>
        <w:tblCellMar>
          <w:top w:w="28" w:type="dxa"/>
          <w:left w:w="28" w:type="dxa"/>
          <w:bottom w:w="28" w:type="dxa"/>
          <w:right w:w="28" w:type="dxa"/>
        </w:tblCellMar>
      </w:tblPr>
      <w:tblGrid>
        <w:gridCol w:w="2206"/>
        <w:gridCol w:w="406"/>
        <w:gridCol w:w="146"/>
        <w:gridCol w:w="3211"/>
      </w:tblGrid>
      <w:tr>
        <w:trP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Dated: November 9, 2023</w:t>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David Roberts</w:t>
            </w:r>
          </w:p>
        </w:tc>
      </w:tr>
      <w:tr>
        <w:trPr/>
        <w:tc>
          <w:tcPr>
            <w:tcW w:w="220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David Roberts</w:t>
            </w:r>
          </w:p>
        </w:tc>
      </w:tr>
      <w:tr>
        <w:trPr/>
        <w:tc>
          <w:tcPr>
            <w:tcW w:w="220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President and Chief Executive Officer</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vrrm-ex31_2.htm"/>
      <w:bookmarkStart w:id="24" w:name="ksvrrm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 Craig Conti, certify that: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 have reviewed this Quarterly Report on Form 10-Q of Verra Mobility Corporation;</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Based on my knowledge, this Quarterly Report on Form 10-Q does not contain any untrue statement of a material fact or omit to state a material fact necessary to make the statements made, in light of the circumstances under which such statements were made, not misleading with respect to the period covered by this Quarterly Report on Form 10-Q;</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on Form 10-Q is being prepared;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Quarterly Report on Form 10-Q our conclusions about the effectiveness of the disclosure controls and procedures, as of the end of the period covered by this Quarterly Report on Form 10-Q based on such evaluation; and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69" w:type="dxa"/>
        <w:jc w:val="left"/>
        <w:tblInd w:w="0" w:type="dxa"/>
        <w:tblLayout w:type="fixed"/>
        <w:tblCellMar>
          <w:top w:w="28" w:type="dxa"/>
          <w:left w:w="28" w:type="dxa"/>
          <w:bottom w:w="28" w:type="dxa"/>
          <w:right w:w="28" w:type="dxa"/>
        </w:tblCellMar>
      </w:tblPr>
      <w:tblGrid>
        <w:gridCol w:w="2206"/>
        <w:gridCol w:w="406"/>
        <w:gridCol w:w="146"/>
        <w:gridCol w:w="2011"/>
      </w:tblGrid>
      <w:tr>
        <w:trP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Dated: November 9, 2023</w:t>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Craig Conti</w:t>
            </w:r>
          </w:p>
        </w:tc>
      </w:tr>
      <w:tr>
        <w:trPr/>
        <w:tc>
          <w:tcPr>
            <w:tcW w:w="220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Craig Conti</w:t>
            </w:r>
          </w:p>
        </w:tc>
      </w:tr>
      <w:tr>
        <w:trPr/>
        <w:tc>
          <w:tcPr>
            <w:tcW w:w="220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vrrm-ex32_1.htm"/>
      <w:bookmarkStart w:id="26" w:name="ksvrrm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In connection with the periodic report of Verra Mobility Corporation (the “</w:t>
      </w:r>
      <w:r>
        <w:rPr>
          <w:rFonts w:ascii="Times New Roman" w:hAnsi="Times New Roman"/>
          <w:b/>
          <w:i/>
          <w:color w:val="000000"/>
          <w:sz w:val="20"/>
        </w:rPr>
        <w:t>Company</w:t>
      </w:r>
      <w:r>
        <w:rPr>
          <w:rFonts w:ascii="Times New Roman" w:hAnsi="Times New Roman"/>
          <w:color w:val="000000"/>
          <w:sz w:val="20"/>
        </w:rPr>
        <w:t>”</w:t>
      </w:r>
      <w:r>
        <w:rPr>
          <w:rFonts w:ascii="Times New Roman" w:hAnsi="Times New Roman"/>
          <w:b w:val="false"/>
          <w:color w:val="000000"/>
          <w:sz w:val="20"/>
        </w:rPr>
        <w:t>) on Form 10-Q for the period ended September 30, 2023 as filed with the Securities and Exchange Commission (the “</w:t>
      </w:r>
      <w:r>
        <w:rPr>
          <w:rFonts w:ascii="Times New Roman" w:hAnsi="Times New Roman"/>
          <w:b/>
          <w:i/>
          <w:color w:val="000000"/>
          <w:sz w:val="20"/>
        </w:rPr>
        <w:t>Report</w:t>
      </w:r>
      <w:r>
        <w:rPr>
          <w:rFonts w:ascii="Times New Roman" w:hAnsi="Times New Roman"/>
          <w:color w:val="000000"/>
          <w:sz w:val="20"/>
        </w:rPr>
        <w:t>”</w:t>
      </w:r>
      <w:r>
        <w:rPr>
          <w:rFonts w:ascii="Times New Roman" w:hAnsi="Times New Roman"/>
          <w:b w:val="false"/>
          <w:color w:val="000000"/>
          <w:sz w:val="20"/>
        </w:rPr>
        <w:t>), I, David Roberts, President and Chief Executive Officer of the Company, hereby certify as of the date hereof, solely for purposes of Title 18, Chapter 63, Section 1350 of the United States Code, that to the best of my knowledge: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15(d), as applicable, of the Securities Exchange Act of 1934, and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 at the dates and for the periods indicated.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This Certification has not been, and shall not be deemed, “filed” with the Securities and Exchange Commission.</w:t>
      </w:r>
    </w:p>
    <w:p>
      <w:pPr>
        <w:pStyle w:val="TextBody"/>
        <w:bidi w:val="0"/>
        <w:jc w:val="left"/>
        <w:rPr/>
      </w:pPr>
      <w:r>
        <w:rPr/>
        <w:t> </w:t>
      </w:r>
    </w:p>
    <w:tbl>
      <w:tblPr>
        <w:tblW w:w="5969" w:type="dxa"/>
        <w:jc w:val="left"/>
        <w:tblInd w:w="0" w:type="dxa"/>
        <w:tblLayout w:type="fixed"/>
        <w:tblCellMar>
          <w:top w:w="28" w:type="dxa"/>
          <w:left w:w="28" w:type="dxa"/>
          <w:bottom w:w="28" w:type="dxa"/>
          <w:right w:w="28" w:type="dxa"/>
        </w:tblCellMar>
      </w:tblPr>
      <w:tblGrid>
        <w:gridCol w:w="2206"/>
        <w:gridCol w:w="406"/>
        <w:gridCol w:w="146"/>
        <w:gridCol w:w="3211"/>
      </w:tblGrid>
      <w:tr>
        <w:trP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Dated: November 9, 2023</w:t>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David Roberts</w:t>
            </w:r>
          </w:p>
        </w:tc>
      </w:tr>
      <w:tr>
        <w:trPr/>
        <w:tc>
          <w:tcPr>
            <w:tcW w:w="220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David Roberts</w:t>
            </w:r>
          </w:p>
        </w:tc>
      </w:tr>
      <w:tr>
        <w:trPr/>
        <w:tc>
          <w:tcPr>
            <w:tcW w:w="220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vrrm-ex32_2.htm"/>
      <w:bookmarkStart w:id="28" w:name="ksvrrmex32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In connection with the periodic report of Verra Mobility Corporation (the “</w:t>
      </w:r>
      <w:r>
        <w:rPr>
          <w:rFonts w:ascii="Times New Roman" w:hAnsi="Times New Roman"/>
          <w:b/>
          <w:i/>
          <w:color w:val="000000"/>
          <w:sz w:val="20"/>
        </w:rPr>
        <w:t>Company</w:t>
      </w:r>
      <w:r>
        <w:rPr>
          <w:rFonts w:ascii="Times New Roman" w:hAnsi="Times New Roman"/>
          <w:color w:val="000000"/>
          <w:sz w:val="20"/>
        </w:rPr>
        <w:t>”</w:t>
      </w:r>
      <w:r>
        <w:rPr>
          <w:rFonts w:ascii="Times New Roman" w:hAnsi="Times New Roman"/>
          <w:b w:val="false"/>
          <w:color w:val="000000"/>
          <w:sz w:val="20"/>
        </w:rPr>
        <w:t>) on Form 10-Q for the period ended September 30, 2023 as filed with the Securities and Exchange Commission (the “</w:t>
      </w:r>
      <w:r>
        <w:rPr>
          <w:rFonts w:ascii="Times New Roman" w:hAnsi="Times New Roman"/>
          <w:b/>
          <w:i/>
          <w:color w:val="000000"/>
          <w:sz w:val="20"/>
        </w:rPr>
        <w:t>Report</w:t>
      </w:r>
      <w:r>
        <w:rPr>
          <w:rFonts w:ascii="Times New Roman" w:hAnsi="Times New Roman"/>
          <w:color w:val="000000"/>
          <w:sz w:val="20"/>
        </w:rPr>
        <w:t>”</w:t>
      </w:r>
      <w:r>
        <w:rPr>
          <w:rFonts w:ascii="Times New Roman" w:hAnsi="Times New Roman"/>
          <w:b w:val="false"/>
          <w:color w:val="000000"/>
          <w:sz w:val="20"/>
        </w:rPr>
        <w:t>), I, Craig Conti, Chief Financial Officer of the Company, hereby certify as of the date hereof, solely for purposes of Title 18, Chapter 63, Section 1350 of the United States Code, that to the best of my knowledge: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15(d), as applicable, of the Securities Exchange Act of 1934, and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 at the dates and for the periods indicated.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This Certification has not been, and shall not be deemed, “filed” with the Securities and Exchange Commission.</w:t>
      </w:r>
    </w:p>
    <w:p>
      <w:pPr>
        <w:pStyle w:val="TextBody"/>
        <w:bidi w:val="0"/>
        <w:jc w:val="left"/>
        <w:rPr/>
      </w:pPr>
      <w:r>
        <w:rPr/>
        <w:t> </w:t>
      </w:r>
    </w:p>
    <w:tbl>
      <w:tblPr>
        <w:tblW w:w="4769" w:type="dxa"/>
        <w:jc w:val="left"/>
        <w:tblInd w:w="0" w:type="dxa"/>
        <w:tblLayout w:type="fixed"/>
        <w:tblCellMar>
          <w:top w:w="28" w:type="dxa"/>
          <w:left w:w="28" w:type="dxa"/>
          <w:bottom w:w="28" w:type="dxa"/>
          <w:right w:w="28" w:type="dxa"/>
        </w:tblCellMar>
      </w:tblPr>
      <w:tblGrid>
        <w:gridCol w:w="2206"/>
        <w:gridCol w:w="406"/>
        <w:gridCol w:w="146"/>
        <w:gridCol w:w="2011"/>
      </w:tblGrid>
      <w:tr>
        <w:trP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Dated: November 9, 2023</w:t>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Craig Conti</w:t>
            </w:r>
          </w:p>
        </w:tc>
      </w:tr>
      <w:tr>
        <w:trPr/>
        <w:tc>
          <w:tcPr>
            <w:tcW w:w="220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Craig Conti</w:t>
            </w:r>
          </w:p>
        </w:tc>
      </w:tr>
      <w:tr>
        <w:trPr/>
        <w:tc>
          <w:tcPr>
            <w:tcW w:w="220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82745/000110465918041476/a18-15692_1ex2d1.htm" TargetMode="External"/><Relationship Id="rId3" Type="http://schemas.openxmlformats.org/officeDocument/2006/relationships/hyperlink" Target="https://www.sec.gov/Archives/edgar/data/1682745/000104746918005773/a2236552zex-2_2.htm" TargetMode="External"/><Relationship Id="rId4" Type="http://schemas.openxmlformats.org/officeDocument/2006/relationships/hyperlink" Target="https://www.sec.gov/Archives/edgar/data/1682745/000156459018024644/vrrm-ex31_941.htm" TargetMode="External"/><Relationship Id="rId5" Type="http://schemas.openxmlformats.org/officeDocument/2006/relationships/hyperlink" Target="https://www.sec.gov/Archives/edgar/data/1682745/000156459018024644/vrrm-ex32_939.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23059</Words>
  <Characters>125022</Characters>
  <CharactersWithSpaces>150533</CharactersWithSpaces>
  <Paragraphs>9892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