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Moser Stacey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2046 RIVERVIEW AUTO DRIVE,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MESA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VERRA MOBILITY Corp</w:t>
              </w:r>
            </w:hyperlink>
            <w:r>
              <w:rPr/>
              <w:t xml:space="preserve"> [ </w:t>
            </w:r>
            <w:r>
              <w:rPr>
                <w:rFonts w:ascii="Times;serif" w:hAnsi="Times;serif"/>
                <w:color w:val="0000FF"/>
                <w:sz w:val="24"/>
                <w:shd w:fill="FFFFFF" w:val="clear"/>
              </w:rPr>
              <w:t>VRRM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Customer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13,502</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Verra Mobility Corporation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7, 2025, the Reporting Person was granted restricted stock units, vesting in two (2) equal annual installments beginning on August 7, 2026, subject to the Reporting Person's continued service with the Issuer through each such vesting date. Vested shares will be delivered to the Reporting Person on each settlement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Stacey Moser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7684" TargetMode="External"/><Relationship Id="rId5" Type="http://schemas.openxmlformats.org/officeDocument/2006/relationships/hyperlink" Target="http://www.sec.gov/cgi-bin/browse-edgar?action=getcompany&amp;CIK=00016827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3579</Characters>
  <CharactersWithSpaces>4158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