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141605</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173355</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 w:lineRule="exact"/>
        <w:rPr>
          <w:sz w:val="24"/>
          <w:szCs w:val="24"/>
          <w:color w:val="auto"/>
        </w:rPr>
      </w:pPr>
    </w:p>
    <w:p>
      <w:pPr>
        <w:ind w:left="3860" w:right="1720" w:hanging="3852"/>
        <w:spacing w:after="0" w:line="266" w:lineRule="auto"/>
        <w:tabs>
          <w:tab w:leader="none" w:pos="36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300" w:right="1720" w:hanging="3292"/>
        <w:spacing w:after="0" w:line="320" w:lineRule="auto"/>
        <w:tabs>
          <w:tab w:leader="none" w:pos="36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03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VERRA MOBILITY CORPORATION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24" w:lineRule="exact"/>
        <w:rPr>
          <w:sz w:val="24"/>
          <w:szCs w:val="24"/>
          <w:color w:val="auto"/>
        </w:rPr>
      </w:pPr>
    </w:p>
    <w:tbl>
      <w:tblPr>
        <w:tblLayout w:type="fixed"/>
        <w:tblInd w:w="500" w:type="dxa"/>
        <w:tblCellMar>
          <w:top w:w="0" w:type="dxa"/>
          <w:left w:w="0" w:type="dxa"/>
          <w:bottom w:w="0" w:type="dxa"/>
          <w:right w:w="0" w:type="dxa"/>
        </w:tblCellMar>
      </w:tblPr>
      <w:tr>
        <w:trPr>
          <w:trHeight w:val="214"/>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jc w:val="right"/>
              <w:ind w:right="1639"/>
              <w:spacing w:after="0"/>
              <w:rPr>
                <w:sz w:val="20"/>
                <w:szCs w:val="20"/>
                <w:color w:val="auto"/>
              </w:rPr>
            </w:pPr>
            <w:r>
              <w:rPr>
                <w:rFonts w:ascii="Times New Roman" w:cs="Times New Roman" w:eastAsia="Times New Roman" w:hAnsi="Times New Roman"/>
                <w:sz w:val="16"/>
                <w:szCs w:val="16"/>
                <w:b w:val="1"/>
                <w:bCs w:val="1"/>
                <w:color w:val="auto"/>
              </w:rPr>
              <w:t>81-3563824</w:t>
            </w:r>
          </w:p>
        </w:tc>
      </w:tr>
      <w:tr>
        <w:trPr>
          <w:trHeight w:val="203"/>
        </w:trPr>
        <w:tc>
          <w:tcPr>
            <w:tcW w:w="36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State of</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I.R.S. Employer</w:t>
            </w:r>
          </w:p>
        </w:tc>
      </w:tr>
      <w:tr>
        <w:trPr>
          <w:trHeight w:val="212"/>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i w:val="1"/>
                <w:iCs w:val="1"/>
                <w:color w:val="auto"/>
              </w:rPr>
              <w:t>Incorporation</w:t>
            </w:r>
            <w:r>
              <w:rPr>
                <w:rFonts w:ascii="Times New Roman" w:cs="Times New Roman" w:eastAsia="Times New Roman" w:hAnsi="Times New Roman"/>
                <w:sz w:val="16"/>
                <w:szCs w:val="16"/>
                <w:color w:val="auto"/>
              </w:rPr>
              <w:t>)</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jc w:val="center"/>
              <w:ind w:right="999"/>
              <w:spacing w:after="0"/>
              <w:rPr>
                <w:sz w:val="20"/>
                <w:szCs w:val="20"/>
                <w:color w:val="auto"/>
              </w:rPr>
            </w:pPr>
            <w:r>
              <w:rPr>
                <w:rFonts w:ascii="Times New Roman" w:cs="Times New Roman" w:eastAsia="Times New Roman" w:hAnsi="Times New Roman"/>
                <w:sz w:val="16"/>
                <w:szCs w:val="16"/>
                <w:i w:val="1"/>
                <w:iCs w:val="1"/>
                <w:color w:val="auto"/>
              </w:rPr>
              <w:t>Identification No.</w:t>
            </w:r>
            <w:r>
              <w:rPr>
                <w:rFonts w:ascii="Times New Roman" w:cs="Times New Roman" w:eastAsia="Times New Roman" w:hAnsi="Times New Roman"/>
                <w:sz w:val="16"/>
                <w:szCs w:val="16"/>
                <w:color w:val="auto"/>
              </w:rPr>
              <w:t>)</w:t>
            </w:r>
          </w:p>
        </w:tc>
      </w:tr>
      <w:tr>
        <w:trPr>
          <w:trHeight w:val="405"/>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1150 North Alma School Road</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jc w:val="right"/>
              <w:ind w:right="1839"/>
              <w:spacing w:after="0"/>
              <w:rPr>
                <w:sz w:val="20"/>
                <w:szCs w:val="20"/>
                <w:color w:val="auto"/>
              </w:rPr>
            </w:pPr>
            <w:r>
              <w:rPr>
                <w:rFonts w:ascii="Times New Roman" w:cs="Times New Roman" w:eastAsia="Times New Roman" w:hAnsi="Times New Roman"/>
                <w:sz w:val="16"/>
                <w:szCs w:val="16"/>
                <w:b w:val="1"/>
                <w:bCs w:val="1"/>
                <w:color w:val="auto"/>
              </w:rPr>
              <w:t>85201</w:t>
            </w:r>
          </w:p>
        </w:tc>
      </w:tr>
      <w:tr>
        <w:trPr>
          <w:trHeight w:val="206"/>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Mesa, Arizona</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Zip Code</w:t>
            </w:r>
            <w:r>
              <w:rPr>
                <w:rFonts w:ascii="Times New Roman" w:cs="Times New Roman" w:eastAsia="Times New Roman" w:hAnsi="Times New Roman"/>
                <w:sz w:val="16"/>
                <w:szCs w:val="16"/>
                <w:color w:val="auto"/>
              </w:rPr>
              <w:t>)</w:t>
            </w:r>
          </w:p>
        </w:tc>
      </w:tr>
      <w:tr>
        <w:trPr>
          <w:trHeight w:val="212"/>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Address of Principal Executive Offices</w:t>
            </w:r>
            <w:r>
              <w:rPr>
                <w:rFonts w:ascii="Times New Roman" w:cs="Times New Roman" w:eastAsia="Times New Roman" w:hAnsi="Times New Roman"/>
                <w:sz w:val="16"/>
                <w:szCs w:val="16"/>
                <w:color w:val="auto"/>
              </w:rPr>
              <w:t>)</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3"/>
        </w:trPr>
        <w:tc>
          <w:tcPr>
            <w:tcW w:w="362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(480) 443-7000</w:t>
            </w:r>
          </w:p>
        </w:tc>
        <w:tc>
          <w:tcPr>
            <w:tcW w:w="3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12"/>
        </w:trPr>
        <w:tc>
          <w:tcPr>
            <w:tcW w:w="6920" w:type="dxa"/>
            <w:vAlign w:val="bottom"/>
            <w:gridSpan w:val="3"/>
          </w:tcPr>
          <w:p>
            <w:pPr>
              <w:jc w:val="center"/>
              <w:ind w:left="3239"/>
              <w:spacing w:after="0"/>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i w:val="1"/>
                <w:iCs w:val="1"/>
                <w:color w:val="auto"/>
                <w:w w:val="99"/>
              </w:rPr>
              <w:t>Registrant’s telephone number, including area code</w:t>
            </w:r>
            <w:r>
              <w:rPr>
                <w:rFonts w:ascii="Times New Roman" w:cs="Times New Roman" w:eastAsia="Times New Roman" w:hAnsi="Times New Roman"/>
                <w:sz w:val="16"/>
                <w:szCs w:val="16"/>
                <w:color w:val="auto"/>
                <w:w w:val="99"/>
              </w:rPr>
              <w:t>)</w:t>
            </w:r>
          </w:p>
        </w:tc>
        <w:tc>
          <w:tcPr>
            <w:tcW w:w="3160" w:type="dxa"/>
            <w:vAlign w:val="bottom"/>
          </w:tcPr>
          <w:p>
            <w:pPr>
              <w:spacing w:after="0"/>
              <w:rPr>
                <w:sz w:val="18"/>
                <w:szCs w:val="18"/>
                <w:color w:val="auto"/>
              </w:rPr>
            </w:pPr>
          </w:p>
        </w:tc>
      </w:tr>
      <w:tr>
        <w:trPr>
          <w:trHeight w:val="459"/>
        </w:trPr>
        <w:tc>
          <w:tcPr>
            <w:tcW w:w="10080" w:type="dxa"/>
            <w:vAlign w:val="bottom"/>
            <w:gridSpan w:val="4"/>
          </w:tcPr>
          <w:p>
            <w:pPr>
              <w:jc w:val="center"/>
              <w:ind w:left="9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405"/>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(Title of Each Class)</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i w:val="1"/>
                <w:iCs w:val="1"/>
                <w:color w:val="auto"/>
              </w:rPr>
              <w:t>(Trading Symbol)</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(Name of Each Exchange on Which Registered)</w:t>
            </w:r>
          </w:p>
        </w:tc>
      </w:tr>
      <w:tr>
        <w:trPr>
          <w:trHeight w:val="243"/>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VRRM</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Capital Market</w:t>
            </w:r>
          </w:p>
        </w:tc>
      </w:tr>
      <w:tr>
        <w:trPr>
          <w:trHeight w:val="243"/>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to purchase Class A Common Stock</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VRRMW</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OTC Pink Marketplace</w:t>
            </w:r>
          </w:p>
        </w:tc>
      </w:tr>
    </w:tbl>
    <w:p>
      <w:pPr>
        <w:spacing w:after="0" w:line="235" w:lineRule="exact"/>
        <w:rPr>
          <w:sz w:val="24"/>
          <w:szCs w:val="24"/>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36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1, 2022, there were 153,184,099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9"/>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7"/>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20" w:type="dxa"/>
            <w:vAlign w:val="bottom"/>
            <w:gridSpan w:val="11"/>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FOR THE QUARTER ENDED JUNE 30, 2022</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7"/>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6060" w:type="dxa"/>
            <w:vAlign w:val="bottom"/>
            <w:gridSpan w:val="12"/>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5360" w:type="dxa"/>
            <w:vAlign w:val="bottom"/>
            <w:gridSpan w:val="9"/>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820" w:type="dxa"/>
            <w:vAlign w:val="bottom"/>
            <w:tcBorders>
              <w:top w:val="single" w:sz="8" w:color="0000FF"/>
            </w:tcBorders>
          </w:tcPr>
          <w:p>
            <w:pPr>
              <w:spacing w:after="0"/>
              <w:rPr>
                <w:sz w:val="24"/>
                <w:szCs w:val="24"/>
                <w:color w:val="auto"/>
              </w:rPr>
            </w:pPr>
          </w:p>
        </w:tc>
        <w:tc>
          <w:tcPr>
            <w:tcW w:w="210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4580" w:type="dxa"/>
            <w:vAlign w:val="bottom"/>
            <w:gridSpan w:val="7"/>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24"/>
                <w:szCs w:val="24"/>
                <w:color w:val="auto"/>
              </w:rPr>
            </w:pPr>
          </w:p>
        </w:tc>
        <w:tc>
          <w:tcPr>
            <w:tcW w:w="4040" w:type="dxa"/>
            <w:vAlign w:val="bottom"/>
            <w:gridSpan w:val="5"/>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000" w:type="dxa"/>
            <w:vAlign w:val="bottom"/>
            <w:tcBorders>
              <w:left w:val="single" w:sz="8" w:color="0000FF"/>
            </w:tcBorders>
            <w:gridSpan w:val="4"/>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360" w:type="dxa"/>
            <w:vAlign w:val="bottom"/>
            <w:gridSpan w:val="13"/>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580" w:type="dxa"/>
            <w:vAlign w:val="bottom"/>
            <w:gridSpan w:val="14"/>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20" w:type="dxa"/>
            <w:vAlign w:val="bottom"/>
            <w:gridSpan w:val="16"/>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740" w:type="dxa"/>
            <w:vAlign w:val="bottom"/>
            <w:gridSpan w:val="1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8060" w:type="dxa"/>
            <w:vAlign w:val="bottom"/>
            <w:gridSpan w:val="19"/>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709"/>
        </w:trPr>
        <w:tc>
          <w:tcPr>
            <w:tcW w:w="7140" w:type="dxa"/>
            <w:vAlign w:val="bottom"/>
            <w:gridSpan w:val="21"/>
          </w:tcPr>
          <w:p>
            <w:pPr>
              <w:jc w:val="center"/>
              <w:ind w:left="401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of this Quarterly Report on Form 10-Q and in Part I, Item 1A. “Risk Factors” of our Annual Report on Form 10-K for the year ended December 31, 2021.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in forward-looking statements include, among other things:</w:t>
      </w:r>
    </w:p>
    <w:p>
      <w:pPr>
        <w:spacing w:after="0" w:line="10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business and results of operations as a result of the novel coronavirus pandemic, including variant strains (“</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revenues from key customers in our Commercial Services, Government Solutions and Parking Solutions segments;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of automated and other similar methods of photo enforcement, parking solutions or the use of tolling;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interest in outsourcing from our customers;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perform under our contracts and otherwise satisfy our customers;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and rapidly evolving market;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up with technological developments and changing customer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new products and changes to existing products and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uncertainties and exposures related to our international operations;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necessary intellectual property and adequately protect our existing intellectual property;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vendors and service providers;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share repurchase program;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litigation, disputes and regulatory investigations.</w:t>
      </w:r>
    </w:p>
    <w:p>
      <w:pPr>
        <w:spacing w:after="0" w:line="21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69"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1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20" w:type="dxa"/>
            <w:vAlign w:val="bottom"/>
          </w:tcPr>
          <w:p>
            <w:pPr>
              <w:spacing w:after="0"/>
              <w:rPr>
                <w:sz w:val="15"/>
                <w:szCs w:val="15"/>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data)</w:t>
            </w:r>
          </w:p>
        </w:tc>
        <w:tc>
          <w:tcPr>
            <w:tcW w:w="340" w:type="dxa"/>
            <w:vAlign w:val="bottom"/>
          </w:tcPr>
          <w:p>
            <w:pPr>
              <w:spacing w:after="0"/>
              <w:rPr>
                <w:sz w:val="15"/>
                <w:szCs w:val="15"/>
                <w:color w:val="auto"/>
              </w:rPr>
            </w:pPr>
          </w:p>
        </w:tc>
        <w:tc>
          <w:tcPr>
            <w:tcW w:w="134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6"/>
        </w:trPr>
        <w:tc>
          <w:tcPr>
            <w:tcW w:w="20" w:type="dxa"/>
            <w:vAlign w:val="bottom"/>
            <w:shd w:val="clear" w:color="auto" w:fill="CFF0FC"/>
          </w:tcPr>
          <w:p>
            <w:pPr>
              <w:spacing w:after="0"/>
              <w:rPr>
                <w:sz w:val="18"/>
                <w:szCs w:val="18"/>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8"/>
                <w:szCs w:val="18"/>
                <w:color w:val="auto"/>
              </w:rPr>
            </w:pPr>
          </w:p>
        </w:tc>
      </w:tr>
      <w:tr>
        <w:trPr>
          <w:trHeight w:val="171"/>
        </w:trPr>
        <w:tc>
          <w:tcPr>
            <w:tcW w:w="20" w:type="dxa"/>
            <w:vAlign w:val="bottom"/>
            <w:shd w:val="clear" w:color="auto" w:fill="CFF0FC"/>
          </w:tcPr>
          <w:p>
            <w:pPr>
              <w:spacing w:after="0"/>
              <w:rPr>
                <w:sz w:val="14"/>
                <w:szCs w:val="14"/>
                <w:color w:val="auto"/>
              </w:rPr>
            </w:pPr>
          </w:p>
        </w:tc>
        <w:tc>
          <w:tcPr>
            <w:tcW w:w="7480" w:type="dxa"/>
            <w:vAlign w:val="bottom"/>
            <w:gridSpan w:val="2"/>
            <w:shd w:val="clear" w:color="auto" w:fill="CFF0FC"/>
          </w:tcPr>
          <w:p>
            <w:pPr>
              <w:ind w:left="180"/>
              <w:spacing w:after="0" w:line="170"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$17.1 million and</w:t>
            </w: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20" w:type="dxa"/>
            <w:vAlign w:val="bottom"/>
            <w:shd w:val="clear" w:color="auto" w:fill="CFF0FC"/>
          </w:tcPr>
          <w:p>
            <w:pPr>
              <w:spacing w:after="0"/>
              <w:rPr>
                <w:sz w:val="20"/>
                <w:szCs w:val="20"/>
                <w:color w:val="auto"/>
              </w:rPr>
            </w:pPr>
          </w:p>
        </w:tc>
        <w:tc>
          <w:tcPr>
            <w:tcW w:w="7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$12.1 million at June 30, 2022 and December 31, 2021, respectively)</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172,816</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160,979</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tcPr>
          <w:p>
            <w:pPr>
              <w:spacing w:after="0"/>
              <w:rPr>
                <w:sz w:val="18"/>
                <w:szCs w:val="18"/>
                <w:color w:val="auto"/>
              </w:rPr>
            </w:pPr>
          </w:p>
        </w:tc>
      </w:tr>
      <w:tr>
        <w:trPr>
          <w:trHeight w:val="210"/>
        </w:trPr>
        <w:tc>
          <w:tcPr>
            <w:tcW w:w="7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348,371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348,069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102,755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38,862</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429,813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487,299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838,867</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4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1,779,860</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1,837,056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69,107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4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175,191</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1,205,169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1,206,802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Private placement warrant liabilities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4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1,577,092</w:t>
            </w:r>
          </w:p>
        </w:tc>
        <w:tc>
          <w:tcPr>
            <w:tcW w:w="100" w:type="dxa"/>
            <w:vAlign w:val="bottom"/>
          </w:tcPr>
          <w:p>
            <w:pPr>
              <w:spacing w:after="0"/>
              <w:rPr>
                <w:sz w:val="18"/>
                <w:szCs w:val="18"/>
                <w:color w:val="auto"/>
              </w:rPr>
            </w:pPr>
          </w:p>
        </w:tc>
      </w:tr>
      <w:tr>
        <w:trPr>
          <w:trHeight w:val="216"/>
        </w:trPr>
        <w:tc>
          <w:tcPr>
            <w:tcW w:w="7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Preferred stock, $0.0001 par value</w:t>
            </w: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stock contingent consideration</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309,883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(90,852 )</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(81,416 )</w:t>
            </w:r>
          </w:p>
        </w:tc>
      </w:tr>
      <w:tr>
        <w:trPr>
          <w:trHeight w:val="216"/>
        </w:trPr>
        <w:tc>
          <w:tcPr>
            <w:tcW w:w="20" w:type="dxa"/>
            <w:vAlign w:val="bottom"/>
          </w:tcPr>
          <w:p>
            <w:pPr>
              <w:spacing w:after="0"/>
              <w:rPr>
                <w:sz w:val="18"/>
                <w:szCs w:val="18"/>
                <w:color w:val="auto"/>
              </w:rPr>
            </w:pPr>
          </w:p>
        </w:tc>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(12,767 )</w:t>
            </w:r>
          </w:p>
        </w:tc>
        <w:tc>
          <w:tcPr>
            <w:tcW w:w="2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(5,094 )</w:t>
            </w:r>
          </w:p>
        </w:tc>
      </w:tr>
      <w:tr>
        <w:trPr>
          <w:trHeight w:val="210"/>
        </w:trPr>
        <w:tc>
          <w:tcPr>
            <w:tcW w:w="7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244,223</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1,779,860</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1,837,056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-3796665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-2665095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-1559560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7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data)</w:t>
            </w: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6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174,502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116,426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335,636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206,189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12,985</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5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187,487</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128,657</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357,872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218,515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6,144</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14,321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106,259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40,152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26,229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81,787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54,672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504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FF0FC"/>
            </w:tcBorders>
          </w:tcPr>
          <w:p>
            <w:pPr>
              <w:spacing w:after="0"/>
              <w:rPr>
                <w:sz w:val="20"/>
                <w:szCs w:val="20"/>
                <w:color w:val="auto"/>
              </w:rPr>
            </w:pPr>
          </w:p>
        </w:tc>
        <w:tc>
          <w:tcPr>
            <w:tcW w:w="502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7"/>
                <w:szCs w:val="17"/>
                <w:color w:val="auto"/>
              </w:rPr>
              <w:t>disposal of assets, net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34,939</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27,012</w:t>
            </w: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70,846</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55,277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FF0FC"/>
            </w:tcBorders>
            <w:shd w:val="clear" w:color="auto" w:fill="CFF0FC"/>
          </w:tcPr>
          <w:p>
            <w:pPr>
              <w:spacing w:after="0"/>
              <w:rPr>
                <w:sz w:val="17"/>
                <w:szCs w:val="17"/>
                <w:color w:val="auto"/>
              </w:rPr>
            </w:pPr>
          </w:p>
        </w:tc>
        <w:tc>
          <w:tcPr>
            <w:tcW w:w="50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142,326</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97,151</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280,705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185,258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45,161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77,167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14,485</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11,680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28,764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3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(6,600 )</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(2,866 )</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adjustment</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(965 )</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(965 )</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32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(4,039 )</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(2,798 )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(6,905 )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(5,811 )</w:t>
            </w:r>
          </w:p>
        </w:tc>
        <w:tc>
          <w:tcPr>
            <w:tcW w:w="0" w:type="dxa"/>
            <w:vAlign w:val="bottom"/>
          </w:tcPr>
          <w:p>
            <w:pPr>
              <w:spacing w:after="0"/>
              <w:rPr>
                <w:sz w:val="1"/>
                <w:szCs w:val="1"/>
                <w:color w:val="auto"/>
              </w:rPr>
            </w:pPr>
          </w:p>
        </w:tc>
      </w:tr>
      <w:tr>
        <w:trPr>
          <w:trHeight w:val="196"/>
        </w:trPr>
        <w:tc>
          <w:tcPr>
            <w:tcW w:w="20" w:type="dxa"/>
            <w:vAlign w:val="bottom"/>
            <w:tcBorders>
              <w:top w:val="single" w:sz="8" w:color="CFF0FC"/>
            </w:tcBorders>
          </w:tcPr>
          <w:p>
            <w:pPr>
              <w:spacing w:after="0"/>
              <w:rPr>
                <w:sz w:val="17"/>
                <w:szCs w:val="17"/>
                <w:color w:val="auto"/>
              </w:rPr>
            </w:pPr>
          </w:p>
        </w:tc>
        <w:tc>
          <w:tcPr>
            <w:tcW w:w="50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7"/>
                <w:szCs w:val="17"/>
                <w:color w:val="auto"/>
              </w:rPr>
              <w:t>Total other expenses</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18,610</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18,028</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32,162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42,280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12,896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59,139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12,639</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8,904</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19,458</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50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29,641</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39,681</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3"/>
        </w:trPr>
        <w:tc>
          <w:tcPr>
            <w:tcW w:w="504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7"/>
                <w:szCs w:val="17"/>
                <w:color w:val="auto"/>
              </w:rPr>
              <w:t>Other comprehensive (loss) income: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(10,381 )</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(7,673 )</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comprehensive income (loss)</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19,260</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2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32,008</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gridSpan w:val="3"/>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Net income (loss) per share:</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28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tcPr>
          <w:p>
            <w:pPr>
              <w:spacing w:after="0"/>
              <w:rPr>
                <w:sz w:val="17"/>
                <w:szCs w:val="17"/>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24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0" w:type="dxa"/>
            <w:vAlign w:val="bottom"/>
          </w:tcPr>
          <w:p>
            <w:pPr>
              <w:spacing w:after="0"/>
              <w:rPr>
                <w:sz w:val="1"/>
                <w:szCs w:val="1"/>
                <w:color w:val="auto"/>
              </w:rPr>
            </w:pPr>
          </w:p>
        </w:tc>
      </w:tr>
      <w:tr>
        <w:trPr>
          <w:trHeight w:val="203"/>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154,694</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162,378</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155,408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160,344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161,507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-2699385</wp:posOffset>
            </wp:positionV>
            <wp:extent cx="102870" cy="170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-2699385</wp:posOffset>
            </wp:positionV>
            <wp:extent cx="93980" cy="170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-2699385</wp:posOffset>
            </wp:positionV>
            <wp:extent cx="93980" cy="170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-2699385</wp:posOffset>
            </wp:positionV>
            <wp:extent cx="93980" cy="170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-1769110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-1769110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-1769110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-1769110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-1229360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-1212215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-1229360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-1212215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-1229360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-1212215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-1229360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-1212215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For the Three and Six Months Ended June 30, 2022</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3"/>
            <w:vMerge w:val="restart"/>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2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Contingent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1120" w:type="dxa"/>
            <w:vAlign w:val="bottom"/>
            <w:gridSpan w:val="2"/>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5"/>
                <w:szCs w:val="15"/>
                <w:color w:val="auto"/>
              </w:rPr>
            </w:pPr>
          </w:p>
        </w:tc>
        <w:tc>
          <w:tcPr>
            <w:tcW w:w="1180" w:type="dxa"/>
            <w:vAlign w:val="bottom"/>
            <w:gridSpan w:val="2"/>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31"/>
        </w:trPr>
        <w:tc>
          <w:tcPr>
            <w:tcW w:w="27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1"/>
                <w:szCs w:val="11"/>
                <w:color w:val="auto"/>
              </w:rPr>
            </w:pPr>
          </w:p>
        </w:tc>
        <w:tc>
          <w:tcPr>
            <w:tcW w:w="720" w:type="dxa"/>
            <w:vAlign w:val="bottom"/>
          </w:tcPr>
          <w:p>
            <w:pPr>
              <w:jc w:val="right"/>
              <w:ind w:right="197"/>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3"/>
                <w:szCs w:val="13"/>
                <w:b w:val="1"/>
                <w:bCs w:val="1"/>
                <w:color w:val="auto"/>
                <w:w w:val="99"/>
              </w:rPr>
              <w:t>Consideration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520"/>
              <w:spacing w:after="0" w:line="131"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120" w:type="dxa"/>
            <w:vAlign w:val="bottom"/>
            <w:gridSpan w:val="2"/>
          </w:tcPr>
          <w:p>
            <w:pPr>
              <w:jc w:val="right"/>
              <w:ind w:right="518"/>
              <w:spacing w:after="0" w:line="13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1180" w:type="dxa"/>
            <w:vAlign w:val="bottom"/>
            <w:gridSpan w:val="2"/>
          </w:tcPr>
          <w:p>
            <w:pPr>
              <w:jc w:val="center"/>
              <w:ind w:right="277"/>
              <w:spacing w:after="0" w:line="131"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gridSpan w:val="3"/>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156,079</w:t>
            </w:r>
          </w:p>
        </w:tc>
        <w:tc>
          <w:tcPr>
            <w:tcW w:w="28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16</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36,575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309,883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(81,416</w:t>
            </w:r>
          </w:p>
        </w:tc>
        <w:tc>
          <w:tcPr>
            <w:tcW w:w="24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(5,094</w:t>
            </w:r>
          </w:p>
        </w:tc>
        <w:tc>
          <w:tcPr>
            <w:tcW w:w="260" w:type="dxa"/>
            <w:vAlign w:val="bottom"/>
            <w:shd w:val="clear" w:color="auto" w:fill="CFF0FC"/>
          </w:tcPr>
          <w:p>
            <w:pPr>
              <w:jc w:val="right"/>
              <w:ind w:right="1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259,964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 ("</w:t>
            </w:r>
            <w:r>
              <w:rPr>
                <w:rFonts w:ascii="Times New Roman" w:cs="Times New Roman" w:eastAsia="Times New Roman" w:hAnsi="Times New Roman"/>
                <w:sz w:val="13"/>
                <w:szCs w:val="13"/>
                <w:b w:val="1"/>
                <w:bCs w:val="1"/>
                <w:i w:val="1"/>
                <w:iCs w:val="1"/>
                <w:color w:val="auto"/>
              </w:rPr>
              <w:t>RSUs</w:t>
            </w: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00" w:type="dxa"/>
            <w:vAlign w:val="bottom"/>
            <w:gridSpan w:val="4"/>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Payment of employee tax withholding related to</w:t>
            </w:r>
          </w:p>
        </w:tc>
        <w:tc>
          <w:tcPr>
            <w:tcW w:w="7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RSUs vesting</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(1,436 )</w:t>
            </w: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(1,436 )</w:t>
            </w: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2022</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156,240</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312,986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(71,376 )</w:t>
            </w:r>
          </w:p>
        </w:tc>
        <w:tc>
          <w:tcPr>
            <w:tcW w:w="80" w:type="dxa"/>
            <w:vAlign w:val="bottom"/>
          </w:tcPr>
          <w:p>
            <w:pPr>
              <w:spacing w:after="0"/>
              <w:rPr>
                <w:sz w:val="13"/>
                <w:szCs w:val="13"/>
                <w:color w:val="auto"/>
              </w:rPr>
            </w:pPr>
          </w:p>
        </w:tc>
        <w:tc>
          <w:tcPr>
            <w:tcW w:w="11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(2,386 )</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29,641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Share repurchases and retirement</w:t>
            </w: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(3,076 )</w:t>
            </w:r>
          </w:p>
        </w:tc>
        <w:tc>
          <w:tcPr>
            <w:tcW w:w="7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(6,163 )</w:t>
            </w:r>
          </w:p>
        </w:tc>
        <w:tc>
          <w:tcPr>
            <w:tcW w:w="100" w:type="dxa"/>
            <w:vAlign w:val="bottom"/>
          </w:tcPr>
          <w:p>
            <w:pPr>
              <w:spacing w:after="0"/>
              <w:rPr>
                <w:sz w:val="14"/>
                <w:szCs w:val="14"/>
                <w:color w:val="auto"/>
              </w:rPr>
            </w:pP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(49,117 )</w:t>
            </w: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(55,281 )</w:t>
            </w:r>
          </w:p>
        </w:tc>
        <w:tc>
          <w:tcPr>
            <w:tcW w:w="0" w:type="dxa"/>
            <w:vAlign w:val="bottom"/>
          </w:tcPr>
          <w:p>
            <w:pPr>
              <w:spacing w:after="0"/>
              <w:rPr>
                <w:sz w:val="1"/>
                <w:szCs w:val="1"/>
                <w:color w:val="auto"/>
              </w:rPr>
            </w:pPr>
          </w:p>
        </w:tc>
      </w:tr>
      <w:tr>
        <w:trPr>
          <w:trHeight w:val="162"/>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00" w:type="dxa"/>
            <w:vAlign w:val="bottom"/>
            <w:gridSpan w:val="4"/>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Payment of employee tax withholding related to</w:t>
            </w:r>
          </w:p>
        </w:tc>
        <w:tc>
          <w:tcPr>
            <w:tcW w:w="7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RSUs vesting</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(203 )</w:t>
            </w: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(203 )</w:t>
            </w: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(10,381 )</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(10,381 )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2022</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153,220</w:t>
            </w:r>
          </w:p>
        </w:tc>
        <w:tc>
          <w:tcPr>
            <w:tcW w:w="280" w:type="dxa"/>
            <w:vAlign w:val="bottom"/>
          </w:tcPr>
          <w:p>
            <w:pPr>
              <w:spacing w:after="0"/>
              <w:rPr>
                <w:sz w:val="13"/>
                <w:szCs w:val="13"/>
                <w:color w:val="auto"/>
              </w:rPr>
            </w:pPr>
          </w:p>
        </w:tc>
        <w:tc>
          <w:tcPr>
            <w:tcW w:w="78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36,575</w:t>
            </w: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311,252</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(90,852 )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(12,767 )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For the Three and Six Months Ended June 30, 2021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0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162,269</w:t>
            </w:r>
          </w:p>
        </w:tc>
        <w:tc>
          <w:tcPr>
            <w:tcW w:w="1060" w:type="dxa"/>
            <w:vAlign w:val="bottom"/>
            <w:gridSpan w:val="2"/>
            <w:shd w:val="clear" w:color="auto" w:fill="CFF0FC"/>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36,575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373,620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(94,850 )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315,572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(8,915 )</w:t>
            </w: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(8,915 )</w:t>
            </w:r>
          </w:p>
        </w:tc>
        <w:tc>
          <w:tcPr>
            <w:tcW w:w="0" w:type="dxa"/>
            <w:vAlign w:val="bottom"/>
          </w:tcPr>
          <w:p>
            <w:pPr>
              <w:spacing w:after="0"/>
              <w:rPr>
                <w:sz w:val="1"/>
                <w:szCs w:val="1"/>
                <w:color w:val="auto"/>
              </w:rPr>
            </w:pPr>
          </w:p>
        </w:tc>
      </w:tr>
      <w:tr>
        <w:trPr>
          <w:trHeight w:val="162"/>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2900" w:type="dxa"/>
            <w:vAlign w:val="bottom"/>
            <w:gridSpan w:val="4"/>
          </w:tcPr>
          <w:p>
            <w:pPr>
              <w:ind w:left="20"/>
              <w:spacing w:after="0" w:line="108" w:lineRule="exact"/>
              <w:rPr>
                <w:sz w:val="20"/>
                <w:szCs w:val="20"/>
                <w:color w:val="auto"/>
              </w:rPr>
            </w:pPr>
            <w:r>
              <w:rPr>
                <w:rFonts w:ascii="Times New Roman" w:cs="Times New Roman" w:eastAsia="Times New Roman" w:hAnsi="Times New Roman"/>
                <w:sz w:val="12"/>
                <w:szCs w:val="12"/>
                <w:color w:val="auto"/>
              </w:rPr>
              <w:t>Payment of employee tax withholding related to</w:t>
            </w: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RSUs vesting</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(857 )</w:t>
            </w:r>
          </w:p>
        </w:tc>
        <w:tc>
          <w:tcPr>
            <w:tcW w:w="100" w:type="dxa"/>
            <w:vAlign w:val="bottom"/>
          </w:tcPr>
          <w:p>
            <w:pPr>
              <w:spacing w:after="0"/>
              <w:rPr>
                <w:sz w:val="15"/>
                <w:szCs w:val="15"/>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(857 )</w:t>
            </w:r>
          </w:p>
        </w:tc>
        <w:tc>
          <w:tcPr>
            <w:tcW w:w="0" w:type="dxa"/>
            <w:vAlign w:val="bottom"/>
          </w:tcPr>
          <w:p>
            <w:pPr>
              <w:spacing w:after="0"/>
              <w:rPr>
                <w:sz w:val="1"/>
                <w:szCs w:val="1"/>
                <w:color w:val="auto"/>
              </w:rPr>
            </w:pPr>
          </w:p>
        </w:tc>
      </w:tr>
      <w:tr>
        <w:trPr>
          <w:trHeight w:val="170"/>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(190 )</w:t>
            </w:r>
          </w:p>
        </w:tc>
        <w:tc>
          <w:tcPr>
            <w:tcW w:w="1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(190 )</w:t>
            </w:r>
          </w:p>
        </w:tc>
        <w:tc>
          <w:tcPr>
            <w:tcW w:w="0" w:type="dxa"/>
            <w:vAlign w:val="bottom"/>
          </w:tcPr>
          <w:p>
            <w:pPr>
              <w:spacing w:after="0"/>
              <w:rPr>
                <w:sz w:val="1"/>
                <w:szCs w:val="1"/>
                <w:color w:val="auto"/>
              </w:rPr>
            </w:pPr>
          </w:p>
        </w:tc>
      </w:tr>
      <w:tr>
        <w:trPr>
          <w:trHeight w:val="155"/>
        </w:trPr>
        <w:tc>
          <w:tcPr>
            <w:tcW w:w="2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2021</w:t>
            </w:r>
          </w:p>
        </w:tc>
        <w:tc>
          <w:tcPr>
            <w:tcW w:w="1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162,360</w:t>
            </w:r>
          </w:p>
        </w:tc>
        <w:tc>
          <w:tcPr>
            <w:tcW w:w="28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36,575</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375,671</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(103,765</w:t>
            </w:r>
          </w:p>
        </w:tc>
        <w:tc>
          <w:tcPr>
            <w:tcW w:w="24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308,518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RSUs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00" w:type="dxa"/>
            <w:vAlign w:val="bottom"/>
            <w:gridSpan w:val="4"/>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Payment of employee tax withholding related to</w:t>
            </w:r>
          </w:p>
        </w:tc>
        <w:tc>
          <w:tcPr>
            <w:tcW w:w="7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RSUs vesting</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(96 )</w:t>
            </w:r>
          </w:p>
        </w:tc>
        <w:tc>
          <w:tcPr>
            <w:tcW w:w="0" w:type="dxa"/>
            <w:vAlign w:val="bottom"/>
          </w:tcPr>
          <w:p>
            <w:pPr>
              <w:spacing w:after="0"/>
              <w:rPr>
                <w:sz w:val="1"/>
                <w:szCs w:val="1"/>
                <w:color w:val="auto"/>
              </w:rPr>
            </w:pPr>
          </w:p>
        </w:tc>
      </w:tr>
      <w:tr>
        <w:trPr>
          <w:trHeight w:val="162"/>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162,408</w:t>
            </w:r>
          </w:p>
        </w:tc>
        <w:tc>
          <w:tcPr>
            <w:tcW w:w="1060" w:type="dxa"/>
            <w:vAlign w:val="bottom"/>
            <w:gridSpan w:val="2"/>
          </w:tcPr>
          <w:p>
            <w:pPr>
              <w:jc w:val="right"/>
              <w:ind w:right="6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379,235</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(99,773 )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316,425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-3016885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-3016885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-3016885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-3016885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-3016885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-3016885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-2099310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-2099310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-2099310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-2099310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-2099310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-2099310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-136525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-136525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-136525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-136525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-136525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-136525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76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(4,923 )</w:t>
            </w:r>
          </w:p>
        </w:tc>
      </w:tr>
      <w:tr>
        <w:trPr>
          <w:trHeight w:val="216"/>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(2,866 )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(965 )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(15,700 )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(19,112 )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(42,970 )</w:t>
            </w: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(4,918 )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(2,098 )</w:t>
            </w: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(7,397 )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(545 )</w:t>
            </w:r>
          </w:p>
        </w:tc>
      </w:tr>
      <w:tr>
        <w:trPr>
          <w:trHeight w:val="209"/>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96,375</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 of business, net of cash and restricted cash acquired</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(107,004 )</w:t>
            </w: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(647 )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(22,724 )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(8,257 )</w:t>
            </w: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r>
      <w:tr>
        <w:trPr>
          <w:trHeight w:val="209"/>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(23,299</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(115,102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Repayment on the revolver</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(25,000 )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38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996,750</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(4,510 )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(881,281 )</w:t>
            </w: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(6,507 )</w:t>
            </w: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debt extinguishment costs</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(1,066 )</w:t>
            </w: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(55,281 )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FF0FC"/>
          </w:tcPr>
          <w:p>
            <w:pPr>
              <w:spacing w:after="0"/>
              <w:rPr>
                <w:sz w:val="18"/>
                <w:szCs w:val="18"/>
                <w:color w:val="auto"/>
              </w:rPr>
            </w:pPr>
          </w:p>
        </w:tc>
        <w:tc>
          <w:tcPr>
            <w:tcW w:w="7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employee tax withholding related to RSUs vesting</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(1,639 )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(953 )</w:t>
            </w:r>
          </w:p>
        </w:tc>
      </w:tr>
      <w:tr>
        <w:trPr>
          <w:trHeight w:val="209"/>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(86,517</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Pr>
          <w:p>
            <w:pPr>
              <w:spacing w:after="0"/>
              <w:rPr>
                <w:sz w:val="18"/>
                <w:szCs w:val="18"/>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(430 )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r>
      <w:tr>
        <w:trPr>
          <w:trHeight w:val="210"/>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104,432</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120,892</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90,561</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7"/>
        </w:trPr>
        <w:tc>
          <w:tcPr>
            <w:tcW w:w="7680" w:type="dxa"/>
            <w:vAlign w:val="bottom"/>
            <w:gridSpan w:val="3"/>
            <w:shd w:val="clear" w:color="auto" w:fill="CFF0FC"/>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8"/>
        </w:trPr>
        <w:tc>
          <w:tcPr>
            <w:tcW w:w="7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 the condensed consolidated balance sheets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86,392</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147,346</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90,561</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-1439545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-864870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-847725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16510</wp:posOffset>
            </wp:positionV>
            <wp:extent cx="21945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9" w:lineRule="exact"/>
        <w:rPr>
          <w:sz w:val="20"/>
          <w:szCs w:val="20"/>
          <w:color w:val="auto"/>
        </w:rPr>
      </w:pPr>
    </w:p>
    <w:p>
      <w:pPr>
        <w:ind w:left="832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5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26,036</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6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w:t>
            </w: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 at period-end</w:t>
            </w: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FF0FC"/>
          </w:tcPr>
          <w:p>
            <w:pPr>
              <w:spacing w:after="0"/>
              <w:rPr>
                <w:sz w:val="20"/>
                <w:szCs w:val="20"/>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3"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04"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formerly known as Gores Holdings II, Inc. (“</w:t>
      </w:r>
      <w:r>
        <w:rPr>
          <w:rFonts w:ascii="Times New Roman" w:cs="Times New Roman" w:eastAsia="Times New Roman" w:hAnsi="Times New Roman"/>
          <w:sz w:val="18"/>
          <w:szCs w:val="18"/>
          <w:b w:val="1"/>
          <w:bCs w:val="1"/>
          <w:i w:val="1"/>
          <w:iCs w:val="1"/>
          <w:color w:val="auto"/>
        </w:rPr>
        <w:t>Gores</w:t>
      </w:r>
      <w:r>
        <w:rPr>
          <w:rFonts w:ascii="Times New Roman" w:cs="Times New Roman" w:eastAsia="Times New Roman" w:hAnsi="Times New Roman"/>
          <w:sz w:val="18"/>
          <w:szCs w:val="18"/>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following which its shares began trading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On June 21, 2018, Gores entered into an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Greenlight Holding II Corporation, PE Greenlight Holdings, LLC (the “</w:t>
      </w:r>
      <w:r>
        <w:rPr>
          <w:rFonts w:ascii="Times New Roman" w:cs="Times New Roman" w:eastAsia="Times New Roman" w:hAnsi="Times New Roman"/>
          <w:sz w:val="18"/>
          <w:szCs w:val="18"/>
          <w:b w:val="1"/>
          <w:bCs w:val="1"/>
          <w:i w:val="1"/>
          <w:iCs w:val="1"/>
          <w:color w:val="auto"/>
        </w:rPr>
        <w:t>Platinum Stockholder</w:t>
      </w:r>
      <w:r>
        <w:rPr>
          <w:rFonts w:ascii="Times New Roman" w:cs="Times New Roman" w:eastAsia="Times New Roman" w:hAnsi="Times New Roman"/>
          <w:sz w:val="18"/>
          <w:szCs w:val="18"/>
          <w:color w:val="auto"/>
        </w:rPr>
        <w:t>”), AM Merger Sub I, Inc., a direct, wholly owned subsidiary of Gores and AM Merger Sub II, LLC, a direct, wholly owned subsidiary of Gores. On October 17, 2018, the transactions contemplated by the Merger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Verra Mobility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15.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and consumer tolling services through Pagatelia S.L.</w:t>
      </w:r>
    </w:p>
    <w:p>
      <w:pPr>
        <w:spacing w:after="0" w:line="181"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Through its acquisition of Redflex Holdings Limited (“</w:t>
      </w:r>
      <w:r>
        <w:rPr>
          <w:rFonts w:ascii="Times New Roman" w:cs="Times New Roman" w:eastAsia="Times New Roman" w:hAnsi="Times New Roman"/>
          <w:sz w:val="18"/>
          <w:szCs w:val="18"/>
          <w:b w:val="1"/>
          <w:bCs w:val="1"/>
          <w:i w:val="1"/>
          <w:iCs w:val="1"/>
          <w:color w:val="auto"/>
        </w:rPr>
        <w:t>Redflex</w:t>
      </w:r>
      <w:r>
        <w:rPr>
          <w:rFonts w:ascii="Times New Roman" w:cs="Times New Roman" w:eastAsia="Times New Roman" w:hAnsi="Times New Roman"/>
          <w:sz w:val="18"/>
          <w:szCs w:val="18"/>
          <w:color w:val="auto"/>
        </w:rPr>
        <w:t>”) in June 2021, the Company expanded its current footprint in the United States and gained access to international markets.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acquired through Redflex primarily involve the sale of traffic enforcement products and related maintenance services.</w:t>
      </w:r>
    </w:p>
    <w:p>
      <w:pPr>
        <w:spacing w:after="0" w:line="180"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and hardware solutions to its customers, which include universities, municipalities, parking operators, healthcare facilities and transportation hubs. The Company added this new operating segment as a result of the acquisition of T2 Systems Parent Corporation (“</w:t>
      </w:r>
      <w:r>
        <w:rPr>
          <w:rFonts w:ascii="Times New Roman" w:cs="Times New Roman" w:eastAsia="Times New Roman" w:hAnsi="Times New Roman"/>
          <w:sz w:val="18"/>
          <w:szCs w:val="18"/>
          <w:b w:val="1"/>
          <w:bCs w:val="1"/>
          <w:i w:val="1"/>
          <w:iCs w:val="1"/>
          <w:color w:val="auto"/>
        </w:rPr>
        <w:t>T2 Systems</w:t>
      </w:r>
      <w:r>
        <w:rPr>
          <w:rFonts w:ascii="Times New Roman" w:cs="Times New Roman" w:eastAsia="Times New Roman" w:hAnsi="Times New Roman"/>
          <w:sz w:val="18"/>
          <w:szCs w:val="18"/>
          <w:color w:val="auto"/>
        </w:rPr>
        <w:t xml:space="preserve">”) on December 7, 2021, which allowed the Company to diversify its operations into the parking solutions space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Parking Solutions segment develops specialized hardware and parking management software that provides a platform for the issuance of parking permits, enforcement, gateless vehicle counting, event parking and citation services. T2 Systems also produces and markets its proprietary software as a service to its customers throughout the United States and Canada.</w:t>
      </w:r>
    </w:p>
    <w:p>
      <w:pPr>
        <w:spacing w:after="0" w:line="28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60" w:firstLine="374"/>
        <w:spacing w:after="0" w:line="244"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Significant estimates and assumptions include those related to the fair values assigned to net assets acquired (including identifiable intangibles) in business combinations, revenue recognition, inventory valuation, allowance for credit losses, fair value of the private placement warrant liabilities, valuation allowance on deferred tax assets, impairment assessments of goodwill, intangible assets and other long-lived assets, asset retirement obligations, contingent consideration and the recognition and measurement of loss contingencies.</w:t>
      </w:r>
    </w:p>
    <w:p>
      <w:pPr>
        <w:spacing w:after="0" w:line="195"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 Revenue from the single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Solutions customer exceeding 10% of total revenue is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City of New York Department of Transportation</w:t>
            </w:r>
          </w:p>
        </w:tc>
        <w:tc>
          <w:tcPr>
            <w:tcW w:w="1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25% and 39% of total accounts receivable, net as of June 30, 2022 and December 31, 2021,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168"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Significant customer revenue concentrations generated through the Company’s Commercial Services partners as a percent of total revenue are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Hertz Corporation</w:t>
            </w:r>
          </w:p>
        </w:tc>
        <w:tc>
          <w:tcPr>
            <w:tcW w:w="1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Avis Budget Group, Inc.</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13.2 %</w:t>
            </w:r>
          </w:p>
        </w:tc>
        <w:tc>
          <w:tcPr>
            <w:tcW w:w="11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13.0 %</w:t>
            </w:r>
          </w:p>
        </w:tc>
        <w:tc>
          <w:tcPr>
            <w:tcW w:w="112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12.4 %</w:t>
            </w:r>
          </w:p>
        </w:tc>
        <w:tc>
          <w:tcPr>
            <w:tcW w:w="1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Enterprise Holdings, Inc.</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9.7 %</w:t>
            </w:r>
          </w:p>
        </w:tc>
        <w:tc>
          <w:tcPr>
            <w:tcW w:w="112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12.8 %</w:t>
            </w:r>
          </w:p>
        </w:tc>
        <w:tc>
          <w:tcPr>
            <w:tcW w:w="112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9.3 %</w:t>
            </w:r>
          </w:p>
        </w:tc>
        <w:tc>
          <w:tcPr>
            <w:tcW w:w="1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Commercial Services customer exceeded 10% of total accounts receivable, net as of any period presented.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receivables, net for the Parking Solutions segment.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08" w:lineRule="exact"/>
        <w:rPr>
          <w:sz w:val="20"/>
          <w:szCs w:val="20"/>
          <w:color w:val="auto"/>
        </w:rPr>
      </w:pPr>
    </w:p>
    <w:p>
      <w:pPr>
        <w:jc w:val="both"/>
        <w:ind w:right="60" w:firstLine="374"/>
        <w:spacing w:after="0" w:line="247"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identified portfolio segments based on the type of business, industry in which the customer operates and historical credit loss patterns.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activity in the allowance for credit losses for the six months ended June 30, 2022 and 2021, respectively:</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4"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gridSpan w:val="4"/>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Commercial Services</w:t>
            </w:r>
          </w:p>
        </w:tc>
        <w:tc>
          <w:tcPr>
            <w:tcW w:w="120" w:type="dxa"/>
            <w:vAlign w:val="bottom"/>
          </w:tcPr>
          <w:p>
            <w:pPr>
              <w:spacing w:after="0"/>
              <w:rPr>
                <w:sz w:val="13"/>
                <w:szCs w:val="13"/>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5"/>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540" w:type="dxa"/>
            <w:vAlign w:val="bottom"/>
            <w:gridSpan w:val="3"/>
          </w:tcPr>
          <w:p>
            <w:pPr>
              <w:jc w:val="center"/>
              <w:ind w:right="420"/>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(Driver-billed) </w:t>
            </w:r>
            <w:r>
              <w:rPr>
                <w:rFonts w:ascii="Times New Roman" w:cs="Times New Roman" w:eastAsia="Times New Roman" w:hAnsi="Times New Roman"/>
                <w:sz w:val="19"/>
                <w:szCs w:val="19"/>
                <w:b w:val="1"/>
                <w:bCs w:val="1"/>
                <w:color w:val="auto"/>
                <w:w w:val="98"/>
                <w:vertAlign w:val="superscript"/>
              </w:rPr>
              <w:t>(1)</w:t>
            </w:r>
          </w:p>
        </w:tc>
        <w:tc>
          <w:tcPr>
            <w:tcW w:w="120" w:type="dxa"/>
            <w:vAlign w:val="bottom"/>
          </w:tcPr>
          <w:p>
            <w:pPr>
              <w:spacing w:after="0"/>
              <w:rPr>
                <w:sz w:val="15"/>
                <w:szCs w:val="15"/>
                <w:color w:val="auto"/>
              </w:rPr>
            </w:pPr>
          </w:p>
        </w:tc>
        <w:tc>
          <w:tcPr>
            <w:tcW w:w="136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5"/>
                <w:szCs w:val="15"/>
                <w:color w:val="auto"/>
              </w:rPr>
            </w:pPr>
          </w:p>
        </w:tc>
        <w:tc>
          <w:tcPr>
            <w:tcW w:w="980" w:type="dxa"/>
            <w:vAlign w:val="bottom"/>
            <w:gridSpan w:val="2"/>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Parking Solutions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3,649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0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(1,902 )</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(2,082 )</w:t>
            </w: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304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4,034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Commercial Services</w:t>
            </w:r>
          </w:p>
        </w:tc>
        <w:tc>
          <w:tcPr>
            <w:tcW w:w="17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20"/>
              <w:spacing w:after="0" w:line="146"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gridSpan w:val="5"/>
          </w:tcPr>
          <w:p>
            <w:pPr>
              <w:jc w:val="right"/>
              <w:ind w:right="64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(Driver-billed) </w:t>
            </w:r>
            <w:r>
              <w:rPr>
                <w:rFonts w:ascii="Times New Roman" w:cs="Times New Roman" w:eastAsia="Times New Roman" w:hAnsi="Times New Roman"/>
                <w:sz w:val="19"/>
                <w:szCs w:val="19"/>
                <w:b w:val="1"/>
                <w:bCs w:val="1"/>
                <w:color w:val="auto"/>
                <w:vertAlign w:val="superscript"/>
              </w:rPr>
              <w:t>(1)</w:t>
            </w:r>
          </w:p>
        </w:tc>
        <w:tc>
          <w:tcPr>
            <w:tcW w:w="460" w:type="dxa"/>
            <w:vAlign w:val="bottom"/>
          </w:tcPr>
          <w:p>
            <w:pPr>
              <w:spacing w:after="0"/>
              <w:rPr>
                <w:sz w:val="16"/>
                <w:szCs w:val="16"/>
                <w:color w:val="auto"/>
              </w:rPr>
            </w:pPr>
          </w:p>
        </w:tc>
        <w:tc>
          <w:tcPr>
            <w:tcW w:w="124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6"/>
                <w:szCs w:val="16"/>
                <w:color w:val="auto"/>
              </w:rPr>
            </w:pPr>
          </w:p>
        </w:tc>
        <w:tc>
          <w:tcPr>
            <w:tcW w:w="19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Government Solutions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right="5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3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(989 )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0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4"/>
              </w:rPr>
              <w:t>(2,613 )</w:t>
            </w: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gridSpan w:val="4"/>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(2,658 )</w:t>
            </w: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304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June 30, 2021</w:t>
            </w:r>
          </w:p>
        </w:tc>
        <w:tc>
          <w:tcPr>
            <w:tcW w:w="14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center"/>
              <w:ind w:right="5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32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-1199515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-1199515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-1199515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-1199515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-170815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left="680" w:hanging="372"/>
        <w:spacing w:after="0" w:line="25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16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Commercial Services (Driver-billed) portfolio segment’s credit loss estimate as of June 30, 2022 increased compared to the prior year due to increased revenue that impacted the volume of transactions as a result of recovery from COVID-19.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it primarily relates to Government Solutions and Parking Solutions customers. The Company had approximately $11.0 million and $8.9 million of deferred revenue in the Government Solutions segment as of June 30, 2022 and December 31, 2021, respectively. The majority of the remaining performance obligations as of June 30, 2022 are expected to be completed and recognized as revenue in the next 12 months and $3.7 million is expected to be recognized between 2023 through 2027. The Company had approximately $21.7 million and $20.9 million of deferred revenue in the Parking Solutions segment as of June 30, 2022 and December 31, 2021, respectively. The majority of the remaining performance obligations as of June 30, 2022 are expected to be completed and recognized as revenue in the next 12 months and $0.9 million is expected to be recognized in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210"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color w:val="auto"/>
        </w:rPr>
        <w:t>In May 2021,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2021-04,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260), Debt—Modifications and Extinguishments (Subtopic 470-50), Compensation—Stock Compensation (Topic 718), and Derivatives and Hedging —Contracts in Entity’s Own Equity (Subtopic 815-40): Issuer’s Accounting for Certain Modifications or Exchanges of Freestanding Equity-Classified</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Written Call Options</w:t>
      </w:r>
      <w:r>
        <w:rPr>
          <w:rFonts w:ascii="Times New Roman" w:cs="Times New Roman" w:eastAsia="Times New Roman" w:hAnsi="Times New Roman"/>
          <w:sz w:val="18"/>
          <w:szCs w:val="18"/>
          <w:color w:val="auto"/>
        </w:rPr>
        <w:t>. This ASU provides guidance for a modification or an exchange of a freestanding equity-classified written call option that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scope of another topic. It specifically addresses the measurement and recognition of the effect of a modification of the terms or conditions or an exchange of a freestanding equity-classified written call option if it remains equity-classified after the modification or exchange. The Company adopted this standard as of January 1, 2022, which did not have an impact on its financial statements and related disclosures, as the Company had no transactions subject to the standard. If the Company were to have modifications or exchanges in the future, such guidance would apply.</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Assistance</w:t>
      </w:r>
      <w:r>
        <w:rPr>
          <w:rFonts w:ascii="Times New Roman" w:cs="Times New Roman" w:eastAsia="Times New Roman" w:hAnsi="Times New Roman"/>
          <w:sz w:val="18"/>
          <w:szCs w:val="18"/>
          <w:color w:val="auto"/>
        </w:rPr>
        <w:t>, to increase transparency in financial reporting by requiring business entities to disclose information about certain types of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they receive. The amendments require annual disclosures regarding the nature of any transactions with a government accounted for by applying a grant or contribution accounting model by analogy and the related accounting policy used, the effect of the assistance on the entity’s financial statements, and the significant terms and conditions of the transactions. The Company adopted the ASU as of January 1, 2022, which did not have a material impact on its financial statements or related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Not Yet Adopted</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The ASU provides temporary optional guidance to ease the potential burden in accounting for reference rate reform. It provides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expedients and exceptions for applying GAAP to contract modifications, subject to meeting certain criteria, that reference LIBOR or another reference rate expected to be discontinued. In January 2021, the FASB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which clarifies that certain optional expedients and exceptions in Topic 848 for contract modifications and hedge accounting apply to derivatives that are affected by the discounting transition. The amendments are effective as of March 12, 2020 through December 31, 2022, to help stakeholders during the global market-wide reference rate transition period.</w:t>
      </w:r>
    </w:p>
    <w:p>
      <w:pPr>
        <w:spacing w:after="0" w:line="184"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Under the terms of the 2021 Term Loan (as defined below) discussed in Note 7 below, in the event there is a benchmark transition away from LIBOR, a benchmark replacement rate has been defined in the 2021 Term Loan along with the mechanism for such a transition to take place. The Company does not anticipate this transition will have a material impact on its financial statements.</w:t>
      </w:r>
    </w:p>
    <w:p>
      <w:pPr>
        <w:spacing w:after="0" w:line="175"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 xml:space="preserve">On June 30,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The ASU clarifies that a contractual restriction on the sale of an equity security is not considered part of the unit of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equity security and, therefore, is not considered in measuring fair value. It also requires entities with investments in equity securities subject to contractual sale restrictions to disclose certain qualitative and quantitative information about such securities. The guidance is effective for fiscal years, including interim periods beginning after December 15, 2023. Early adoption is permitted. The Company is currently evaluating the impact of this standard on its financial statements.</w:t>
      </w:r>
    </w:p>
    <w:p>
      <w:pPr>
        <w:spacing w:after="0" w:line="286"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T2 Systems Acquisition</w:t>
      </w:r>
    </w:p>
    <w:p>
      <w:pPr>
        <w:spacing w:after="0" w:line="21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December 7, 2021, the Company acquired all of the outstanding shares of T2 Systems, which offers an integrated suite of parking software and hardware solutions to its customers. This acquisition supports the Company’s strategy to expand and diversify into new markets within the mobility sector. The Company has included the financial results of T2 Systems in the financial statements from the date of acquisition, and reported within the Parking Solutions segment.</w:t>
      </w:r>
    </w:p>
    <w:p>
      <w:pPr>
        <w:spacing w:after="0" w:line="17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paid a purchase price of $353.2 million. Transaction costs for T2 Systems were $3.3 million, which primarily related to professional fees and other expenses related to the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18"/>
          <w:szCs w:val="18"/>
          <w:color w:val="auto"/>
        </w:rPr>
        <w:t>The allocation of the preliminary purchase consideration is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9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Trademark</w:t>
            </w: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164,300</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91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9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91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72,989</w:t>
            </w:r>
          </w:p>
        </w:tc>
        <w:tc>
          <w:tcPr>
            <w:tcW w:w="100" w:type="dxa"/>
            <w:vAlign w:val="bottom"/>
          </w:tcPr>
          <w:p>
            <w:pPr>
              <w:spacing w:after="0"/>
              <w:rPr>
                <w:sz w:val="18"/>
                <w:szCs w:val="18"/>
                <w:color w:val="auto"/>
              </w:rPr>
            </w:pPr>
          </w:p>
        </w:tc>
      </w:tr>
      <w:tr>
        <w:trPr>
          <w:trHeight w:val="216"/>
        </w:trPr>
        <w:tc>
          <w:tcPr>
            <w:tcW w:w="91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353,237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Goodwill consists largely of the expected cash flows and future growth anticipated for the Company and was assigned to the Company’s Parking Solutions segment. The goodwill is not deductible for tax purposes. The preliminary customer relationships value was based on the multi-period excess earnings methodology utilizing projected cash flows. The significant assumptions used to value customer relationships included, among others, customer upsell and churn rates, forecasted revenue growth rates attributable to existing customers, forecasted EBITDA margins and the discount rate. The preliminary values for the trademark and the developed technology related assets were based on a relief-from-royalty method. The significant assumptions used to value these intangible assets included, among others, forecasted revenue growth rates, royalty rates and the expected obsolescence curve. The trademark, customer relationships and the developed technology related assets were assigned preliminary useful lives of 10.0 years, 10.0 years, and 6.1 years, respectively.</w:t>
      </w:r>
    </w:p>
    <w:p>
      <w:pPr>
        <w:spacing w:after="0" w:line="173"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As of June 30, 2022, the valuation of assets acquired and liabilities assumed is preliminary. The primary areas that remain preliminary relate to the fair values of unbilled receivables, intangible assets acquired, deferred revenue, legal and other contingencies as of the acquisition date, income and non-income based taxes and residual goodwill. The Company expects to finalize the valuation as soon as practicable, but not later than one year from the acquisition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NuPark Acquisition</w:t>
      </w:r>
    </w:p>
    <w:p>
      <w:pPr>
        <w:spacing w:after="0" w:line="212"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On December 13, 2021, the Company completed the acquisition of NuPark (“</w:t>
      </w:r>
      <w:r>
        <w:rPr>
          <w:rFonts w:ascii="Times New Roman" w:cs="Times New Roman" w:eastAsia="Times New Roman" w:hAnsi="Times New Roman"/>
          <w:sz w:val="18"/>
          <w:szCs w:val="18"/>
          <w:b w:val="1"/>
          <w:bCs w:val="1"/>
          <w:i w:val="1"/>
          <w:iCs w:val="1"/>
          <w:color w:val="auto"/>
        </w:rPr>
        <w:t>NuPark</w:t>
      </w:r>
      <w:r>
        <w:rPr>
          <w:rFonts w:ascii="Times New Roman" w:cs="Times New Roman" w:eastAsia="Times New Roman" w:hAnsi="Times New Roman"/>
          <w:sz w:val="18"/>
          <w:szCs w:val="18"/>
          <w:color w:val="auto"/>
        </w:rPr>
        <w:t>”), a provider of parking services and permit management product platform from Passport Labs, Inc., which expanded the Company’s presence in the United States in the Parking Solutions segment. The acquisition date fair value of the consideration transferred to Passport Labs, Inc. was approximately $7.0 million, which consisted primarily of $5.0 million of cash paid at closing and $1.5 million of contingent consideration payable. The Company recorded $0.3 million of tangible assets, $4.9 million of customer relationships intangible assets valued using a multi-period excess earnings methodology, with a preliminary estimated useful life of 10.0 years, and $1.3 million of assumed liabilities, which was primarily deferred revenue. Goodwill recorded was $3.2 million for future growth anticipated for the Company and is expected to be deductible for tax purposes. The fair values assigned to tangible and intangible assets acquired and liabilities assumed were preliminary estimates and the Company expects to finalize the valuation as soon as practicable, but not later than one year from the acquisition date. The Company has included the financial results of NuPark in the financial statements from the date of acquisition, which were not material. The transaction costs for the acquisition were not material.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tolls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computer maintenance</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FF0FC"/>
            </w:tcBorders>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77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34,615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00" w:type="dxa"/>
            <w:vAlign w:val="bottom"/>
          </w:tcPr>
          <w:p>
            <w:pPr>
              <w:spacing w:after="0"/>
              <w:rPr>
                <w:sz w:val="15"/>
                <w:szCs w:val="15"/>
                <w:color w:val="auto"/>
              </w:rPr>
            </w:pPr>
          </w:p>
        </w:tc>
        <w:tc>
          <w:tcPr>
            <w:tcW w:w="9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9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425,081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198,386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838,867</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(5,456 )</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(6,056 )</w:t>
            </w:r>
          </w:p>
        </w:tc>
      </w:tr>
      <w:tr>
        <w:trPr>
          <w:trHeight w:val="249"/>
        </w:trPr>
        <w:tc>
          <w:tcPr>
            <w:tcW w:w="56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419,625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214,800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198,386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832,811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27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0.5 years</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36,011</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2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0.5 years</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36,225</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 years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56,026</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100" w:type="dxa"/>
            <w:vAlign w:val="bottom"/>
          </w:tcPr>
          <w:p>
            <w:pPr>
              <w:spacing w:after="0"/>
              <w:rPr>
                <w:sz w:val="18"/>
                <w:szCs w:val="18"/>
                <w:color w:val="auto"/>
              </w:rPr>
            </w:pPr>
          </w:p>
        </w:tc>
      </w:tr>
      <w:tr>
        <w:trPr>
          <w:trHeight w:val="216"/>
        </w:trPr>
        <w:tc>
          <w:tcPr>
            <w:tcW w:w="3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 years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558,889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196,813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6.5 years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561,767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167,255</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 years</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201,122</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144,138</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 years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202,768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127,350</w:t>
            </w:r>
          </w:p>
        </w:tc>
        <w:tc>
          <w:tcPr>
            <w:tcW w:w="100" w:type="dxa"/>
            <w:vAlign w:val="bottom"/>
          </w:tcPr>
          <w:p>
            <w:pPr>
              <w:spacing w:after="0"/>
              <w:rPr>
                <w:sz w:val="18"/>
                <w:szCs w:val="18"/>
                <w:color w:val="auto"/>
              </w:rPr>
            </w:pPr>
          </w:p>
        </w:tc>
      </w:tr>
      <w:tr>
        <w:trPr>
          <w:trHeight w:val="250"/>
        </w:trPr>
        <w:tc>
          <w:tcPr>
            <w:tcW w:w="3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0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858,541</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428,728</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863,315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37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(428,728 )</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(376,016 )</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429,813</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487,299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-334010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-316865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Amortization expense was $27.1 million and $21.2 million for the three months ended June 30, 2022 and 2021, respectively, and was $54.4 million and $44.0 million for the six months ended June 30, 2022 and 2021,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66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77,410</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shd w:val="clear" w:color="auto" w:fill="CFF0FC"/>
          </w:tcPr>
          <w:p>
            <w:pPr>
              <w:spacing w:after="0"/>
              <w:rPr>
                <w:sz w:val="18"/>
                <w:szCs w:val="18"/>
                <w:color w:val="auto"/>
              </w:rPr>
            </w:pPr>
          </w:p>
        </w:tc>
        <w:tc>
          <w:tcPr>
            <w:tcW w:w="6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64,240</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80" w:type="dxa"/>
            <w:vAlign w:val="bottom"/>
            <w:shd w:val="clear" w:color="auto" w:fill="CFF0FC"/>
          </w:tcPr>
          <w:p>
            <w:pPr>
              <w:spacing w:after="0"/>
              <w:rPr>
                <w:sz w:val="18"/>
                <w:szCs w:val="18"/>
                <w:color w:val="auto"/>
              </w:rPr>
            </w:pPr>
          </w:p>
        </w:tc>
        <w:tc>
          <w:tcPr>
            <w:tcW w:w="6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57,183</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112,410</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0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8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60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5" w:name="page16"/>
    <w:bookmarkEnd w:id="15"/>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at: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15,981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deferred tax liabilities</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8"/>
                <w:szCs w:val="18"/>
                <w:color w:val="auto"/>
              </w:rPr>
            </w:pPr>
          </w:p>
        </w:tc>
      </w:tr>
      <w:tr>
        <w:trPr>
          <w:trHeight w:val="216"/>
        </w:trPr>
        <w:tc>
          <w:tcPr>
            <w:tcW w:w="7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Pr>
          <w:p>
            <w:pPr>
              <w:spacing w:after="0"/>
              <w:rPr>
                <w:sz w:val="18"/>
                <w:szCs w:val="18"/>
                <w:color w:val="auto"/>
              </w:rPr>
            </w:pPr>
          </w:p>
        </w:tc>
      </w:tr>
      <w:tr>
        <w:trPr>
          <w:trHeight w:val="216"/>
        </w:trPr>
        <w:tc>
          <w:tcPr>
            <w:tcW w:w="7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76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49,596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Company’s long-term debt at: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5"/>
                <w:szCs w:val="15"/>
                <w:color w:val="auto"/>
              </w:rPr>
            </w:pPr>
          </w:p>
        </w:tc>
        <w:tc>
          <w:tcPr>
            <w:tcW w:w="12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due 2028</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890,616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895,125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PPP Loan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3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(6,197 )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(6,753 )</w:t>
            </w: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3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(20,231 )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(22,551 )</w:t>
            </w:r>
          </w:p>
        </w:tc>
      </w:tr>
      <w:tr>
        <w:trPr>
          <w:trHeight w:val="209"/>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1,217,121</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1,243,754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(11,952 )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(36,952 )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77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1,205,169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1,206,802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Senior Notes</w:t>
      </w:r>
    </w:p>
    <w:p>
      <w:pPr>
        <w:spacing w:after="0" w:line="10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In March 2021, VM Consolidated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$650.0 million, maturing on March 26, 2028, and an accordion feature providing for an additional $250.0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7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addition, in March 2021, VM Consolidated issued an aggregate principal amount of $350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1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net proceeds from both the 2021 Term Loan and the Senior Notes were used in March 2021 to repay in full all outstanding debt which was represented by the First Lien Term Loan Credit Agreement (as amended, the “</w:t>
      </w:r>
      <w:r>
        <w:rPr>
          <w:rFonts w:ascii="Times New Roman" w:cs="Times New Roman" w:eastAsia="Times New Roman" w:hAnsi="Times New Roman"/>
          <w:sz w:val="18"/>
          <w:szCs w:val="18"/>
          <w:b w:val="1"/>
          <w:bCs w:val="1"/>
          <w:i w:val="1"/>
          <w:iCs w:val="1"/>
          <w:color w:val="auto"/>
        </w:rPr>
        <w:t>2018 Term Loan</w:t>
      </w:r>
      <w:r>
        <w:rPr>
          <w:rFonts w:ascii="Times New Roman" w:cs="Times New Roman" w:eastAsia="Times New Roman" w:hAnsi="Times New Roman"/>
          <w:sz w:val="18"/>
          <w:szCs w:val="18"/>
          <w:color w:val="auto"/>
        </w:rPr>
        <w:t>”) with a balance of $865.6 million.</w:t>
      </w:r>
    </w:p>
    <w:p>
      <w:pPr>
        <w:spacing w:after="0" w:line="162"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On December 7, 2021, VM Consolidated entered into an agreement to exercise the accordion feature under the 2021 Term Loan, borrowing $250.0 million in incremental term loans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The proceeds from the Incremental Term Loan were used, along with cash on hand, to fund the acquisition of T2 Systems, including repayment in full all outstanding debt for T2 Systems. In connection with the Incremental Term Loan, the Company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principal outstanding under the 2021 Term Loan, which includes the Incremental Term Loan, was $890.6 million at June 30, 2022.</w:t>
      </w:r>
    </w:p>
    <w:p>
      <w:pPr>
        <w:spacing w:after="0" w:line="225"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June 30, 2022, the interest rate on the 2021 Term Loan was 6.1%.</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Term Loan agreement) and the applicable prepayment percentages (calculated as of the last day of the fiscal year, beginning with the year ending</w:t>
      </w:r>
    </w:p>
    <w:p>
      <w:pPr>
        <w:spacing w:after="0"/>
        <w:rPr>
          <w:sz w:val="20"/>
          <w:szCs w:val="20"/>
          <w:color w:val="auto"/>
        </w:rPr>
      </w:pPr>
      <w:r>
        <w:rPr>
          <w:rFonts w:ascii="Times New Roman" w:cs="Times New Roman" w:eastAsia="Times New Roman" w:hAnsi="Times New Roman"/>
          <w:sz w:val="18"/>
          <w:szCs w:val="18"/>
          <w:color w:val="auto"/>
        </w:rPr>
        <w:t>December 31, 2022), as set forth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r>
      <w:tr>
        <w:trPr>
          <w:trHeight w:val="200"/>
        </w:trPr>
        <w:tc>
          <w:tcPr>
            <w:tcW w:w="8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175"/>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6"/>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On or after April 15, 2024,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all or a portion of the Senior Notes at the redemption prices set forth below in percentages by year, plus accrued and unpaid interest: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102.750%</w:t>
            </w:r>
          </w:p>
        </w:tc>
      </w:tr>
      <w:tr>
        <w:trPr>
          <w:trHeight w:val="216"/>
        </w:trPr>
        <w:tc>
          <w:tcPr>
            <w:tcW w:w="8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101.375%</w:t>
            </w:r>
          </w:p>
        </w:tc>
      </w:tr>
      <w:tr>
        <w:trPr>
          <w:trHeight w:val="216"/>
        </w:trPr>
        <w:tc>
          <w:tcPr>
            <w:tcW w:w="8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the Company may redeem up to 40% of the Senior Notes before April 15, 2024, with the net cash proceeds from certain equity offerings.</w:t>
      </w:r>
    </w:p>
    <w:p>
      <w:pPr>
        <w:spacing w:after="0" w:line="21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evaluated the March 2021 refinancing transactions on a lender-by-lender basis and accounted for the portion of the transaction that did not meet the accounting criteria for debt extinguishment as a debt modification. Accordingly, the Company recognized a loss on extinguishment of debt of $5.3 million on the 2018 Term Loan during the six months ended June 30, 2021 consisting of a $4.0 million write-off of pre-existing deferred financing costs and discounts and $1.3 million of lender and third-party costs associated with the issuance of the 2021 Term Loan.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102"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During fiscal year 2020, Redflex received a loan from the U.S. Small Business Administration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as part of the Paycheck Protection Program (“</w:t>
      </w:r>
      <w:r>
        <w:rPr>
          <w:rFonts w:ascii="Times New Roman" w:cs="Times New Roman" w:eastAsia="Times New Roman" w:hAnsi="Times New Roman"/>
          <w:sz w:val="18"/>
          <w:szCs w:val="18"/>
          <w:b w:val="1"/>
          <w:bCs w:val="1"/>
          <w:i w:val="1"/>
          <w:iCs w:val="1"/>
          <w:color w:val="auto"/>
        </w:rPr>
        <w:t>PPP Loan</w:t>
      </w:r>
      <w:r>
        <w:rPr>
          <w:rFonts w:ascii="Times New Roman" w:cs="Times New Roman" w:eastAsia="Times New Roman" w:hAnsi="Times New Roman"/>
          <w:sz w:val="18"/>
          <w:szCs w:val="18"/>
          <w:color w:val="auto"/>
        </w:rPr>
        <w:t>”) to offset certain employment and other allowable costs incurred as a result of the COVID-19 pandemic. At June 30, 2022, the loan amount outstanding was $2.9 million and was included in the current portion of long-term debt. In early 2021, Redflex applied for forgiveness of this loan and, as of June 30, 2022, was still awaiting approval from the SBA for loan forgiveness. In April 2022, the original maturity as of April 2022 was extended to September 2022 by the lender.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December 31, 2021, the Company had $25.0 million in outstanding borrowings on the Revolver, which was repaid in full in January 2022. At June 30, 2022, the availability to borrow was $68.8 million, net of $6.2 million of outstanding letters of credit.</w:t>
      </w:r>
    </w:p>
    <w:p>
      <w:pPr>
        <w:spacing w:after="0" w:line="1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$6.2 million of outstanding letters of credit as of June 30,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jc w:val="both"/>
        <w:ind w:right="60" w:firstLine="374"/>
        <w:spacing w:after="0" w:line="25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June 30, 2022, the Company was compliant with all debt covenants.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$14.5 million and $11.7 million for the three months ended June 30, 2022 and 2021, respectively, and $28.8 million and $20.8 million for the six months ended June 30, 2022 and 2021, respectively.</w:t>
      </w:r>
    </w:p>
    <w:p>
      <w:pPr>
        <w:spacing w:after="0" w:line="169"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weighted average effective interest rates on the Company’s outstanding borrowings were 5.9% and 4.1% at June 30, 2022 and December 31, 2021, respectively.</w:t>
      </w:r>
    </w:p>
    <w:p>
      <w:pPr>
        <w:spacing w:after="0" w:line="266"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right="60" w:firstLine="374"/>
        <w:spacing w:after="0" w:line="25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85" w:lineRule="exact"/>
        <w:rPr>
          <w:sz w:val="20"/>
          <w:szCs w:val="20"/>
          <w:color w:val="auto"/>
        </w:rPr>
      </w:pPr>
    </w:p>
    <w:p>
      <w:pPr>
        <w:ind w:left="760"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inputs other than quoted prices that are directly or indirectly observable.</w:t>
      </w:r>
    </w:p>
    <w:p>
      <w:pPr>
        <w:spacing w:after="0" w:line="132" w:lineRule="exact"/>
        <w:rPr>
          <w:sz w:val="20"/>
          <w:szCs w:val="20"/>
          <w:color w:val="auto"/>
        </w:rPr>
      </w:pPr>
    </w:p>
    <w:p>
      <w:pPr>
        <w:ind w:left="760"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161"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accrued expenses and the PPP Loan approximate fair value due to the immediate to short-term maturity of these financial instruments. The estimated fair value of the Company’s long-term debt was calculated based upon available market information. The carrying value and the estimated fair value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8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140" w:type="dxa"/>
            <w:vAlign w:val="bottom"/>
          </w:tcPr>
          <w:p>
            <w:pPr>
              <w:jc w:val="right"/>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321"/>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29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31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40" w:type="dxa"/>
            <w:vAlign w:val="bottom"/>
          </w:tcPr>
          <w:p>
            <w:pPr>
              <w:spacing w:after="0"/>
              <w:rPr>
                <w:sz w:val="15"/>
                <w:szCs w:val="15"/>
                <w:color w:val="auto"/>
              </w:rPr>
            </w:pPr>
          </w:p>
        </w:tc>
        <w:tc>
          <w:tcPr>
            <w:tcW w:w="11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4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868,926</w:t>
            </w:r>
          </w:p>
        </w:tc>
        <w:tc>
          <w:tcPr>
            <w:tcW w:w="6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852,764</w:t>
            </w:r>
          </w:p>
        </w:tc>
        <w:tc>
          <w:tcPr>
            <w:tcW w:w="5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871,467</w:t>
            </w:r>
          </w:p>
        </w:tc>
        <w:tc>
          <w:tcPr>
            <w:tcW w:w="5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2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200" w:type="dxa"/>
            <w:vAlign w:val="bottom"/>
            <w:shd w:val="clear" w:color="auto" w:fill="CFF0FC"/>
          </w:tcPr>
          <w:p>
            <w:pPr>
              <w:spacing w:after="0"/>
              <w:rPr>
                <w:sz w:val="6"/>
                <w:szCs w:val="6"/>
                <w:color w:val="auto"/>
              </w:rPr>
            </w:pPr>
          </w:p>
        </w:tc>
        <w:tc>
          <w:tcPr>
            <w:tcW w:w="1420" w:type="dxa"/>
            <w:vAlign w:val="bottom"/>
            <w:vMerge w:val="continue"/>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240" w:type="dxa"/>
            <w:vAlign w:val="bottom"/>
            <w:vMerge w:val="continue"/>
            <w:shd w:val="clear" w:color="auto" w:fill="CFF0FC"/>
          </w:tcPr>
          <w:p>
            <w:pPr>
              <w:spacing w:after="0"/>
              <w:rPr>
                <w:sz w:val="6"/>
                <w:szCs w:val="6"/>
                <w:color w:val="auto"/>
              </w:rPr>
            </w:pPr>
          </w:p>
        </w:tc>
        <w:tc>
          <w:tcPr>
            <w:tcW w:w="1140" w:type="dxa"/>
            <w:vAlign w:val="bottom"/>
            <w:vMerge w:val="continue"/>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1080" w:type="dxa"/>
            <w:vAlign w:val="bottom"/>
            <w:vMerge w:val="continue"/>
            <w:shd w:val="clear" w:color="auto" w:fill="CFF0FC"/>
          </w:tcPr>
          <w:p>
            <w:pPr>
              <w:spacing w:after="0"/>
              <w:rPr>
                <w:sz w:val="6"/>
                <w:szCs w:val="6"/>
                <w:color w:val="auto"/>
              </w:rPr>
            </w:pPr>
          </w:p>
        </w:tc>
        <w:tc>
          <w:tcPr>
            <w:tcW w:w="540" w:type="dxa"/>
            <w:vAlign w:val="bottom"/>
            <w:gridSpan w:val="2"/>
            <w:vMerge w:val="continue"/>
            <w:shd w:val="clear" w:color="auto" w:fill="CFF0FC"/>
          </w:tcPr>
          <w:p>
            <w:pPr>
              <w:spacing w:after="0"/>
              <w:rPr>
                <w:sz w:val="6"/>
                <w:szCs w:val="6"/>
                <w:color w:val="auto"/>
              </w:rPr>
            </w:pPr>
          </w:p>
        </w:tc>
        <w:tc>
          <w:tcPr>
            <w:tcW w:w="1080" w:type="dxa"/>
            <w:vAlign w:val="bottom"/>
            <w:vMerge w:val="continue"/>
            <w:shd w:val="clear" w:color="auto" w:fill="CFF0FC"/>
          </w:tcPr>
          <w:p>
            <w:pPr>
              <w:spacing w:after="0"/>
              <w:rPr>
                <w:sz w:val="6"/>
                <w:szCs w:val="6"/>
                <w:color w:val="auto"/>
              </w:rPr>
            </w:pPr>
          </w:p>
        </w:tc>
        <w:tc>
          <w:tcPr>
            <w:tcW w:w="500" w:type="dxa"/>
            <w:vAlign w:val="bottom"/>
            <w:gridSpan w:val="2"/>
            <w:vMerge w:val="continue"/>
            <w:shd w:val="clear" w:color="auto" w:fill="CFF0FC"/>
          </w:tcPr>
          <w:p>
            <w:pPr>
              <w:spacing w:after="0"/>
              <w:rPr>
                <w:sz w:val="6"/>
                <w:szCs w:val="6"/>
                <w:color w:val="auto"/>
              </w:rPr>
            </w:pPr>
          </w:p>
        </w:tc>
        <w:tc>
          <w:tcPr>
            <w:tcW w:w="11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0" w:type="dxa"/>
            <w:vAlign w:val="bottom"/>
            <w:shd w:val="clear" w:color="auto" w:fill="CFF0FC"/>
          </w:tcPr>
          <w:p>
            <w:pPr>
              <w:spacing w:after="0"/>
              <w:rPr>
                <w:sz w:val="8"/>
                <w:szCs w:val="8"/>
                <w:color w:val="auto"/>
              </w:rPr>
            </w:pPr>
          </w:p>
        </w:tc>
        <w:tc>
          <w:tcPr>
            <w:tcW w:w="14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40" w:type="dxa"/>
            <w:vAlign w:val="bottom"/>
            <w:vMerge w:val="continue"/>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6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345,262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60" w:firstLine="374"/>
        <w:spacing w:after="0" w:line="250" w:lineRule="auto"/>
        <w:rPr>
          <w:sz w:val="20"/>
          <w:szCs w:val="20"/>
          <w:color w:val="auto"/>
        </w:rPr>
      </w:pPr>
      <w:r>
        <w:rPr>
          <w:rFonts w:ascii="Times New Roman" w:cs="Times New Roman" w:eastAsia="Times New Roman" w:hAnsi="Times New Roman"/>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560" w:type="dxa"/>
            <w:vAlign w:val="bottom"/>
            <w:tcBorders>
              <w:top w:val="single" w:sz="8" w:color="auto"/>
            </w:tcBorders>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39.0 %</w:t>
            </w:r>
          </w:p>
        </w:tc>
        <w:tc>
          <w:tcPr>
            <w:tcW w:w="3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life (in years)</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2.84 %</w:t>
            </w:r>
          </w:p>
        </w:tc>
        <w:tc>
          <w:tcPr>
            <w:tcW w:w="3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0.66 %</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3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1560" w:type="dxa"/>
            <w:vAlign w:val="bottom"/>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Company is exposed to valuation risk on these Level 3 financial instruments. The risk of exposure is estimated using a sensitivity analysis of potential changes in the significant unobservable inputs, primarily the volatility input that is the most susceptible to valuation risk. A 5.0% increase to the volatility input at June 30, 2022 would increase the estimated fair value</w:t>
      </w:r>
    </w:p>
    <w:p>
      <w:pPr>
        <w:spacing w:after="0" w:line="1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0" w:right="27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by $0.22 per unit. A 5.0% decrease to the volatility input at June 30, 2022 would decrease the estimated fair value by $0.21 per unit. The following summarizes the changes in fair value of private placement warrant liabilities included in net income (loss) for the respective periods: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32,933</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8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(6,600 )</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(2,866 )</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0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has an equity investment measured at cost of $3.5 million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as of June 30, 2022.</w:t>
      </w:r>
    </w:p>
    <w:p>
      <w:pPr>
        <w:spacing w:after="0" w:line="177"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The fair value of the contingent consideration payable in connection with the NuPark acquisition was $1.5 million at December 13, 2021 acquisition date and was classified within level 3 of the fair value hierarchy. The valuation of the contingent consideration was measured using a discounted cash flow model and the significant unobservable inputs used in the measurement relate to forecasts of annualized revenue developed by the Company. During the six months ended June 30, 2022, the Company made a payment of approximately $0.6 million and as a result, the contingent consideration payable was $0.9 million as of June 30, 2022.</w:t>
      </w:r>
    </w:p>
    <w:p>
      <w:pPr>
        <w:spacing w:after="0" w:line="110"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0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basic and diluted net income (loss) per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3"/>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3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(4,923 )</w:t>
            </w: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154,694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162,338</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Borders>
              <w:top w:val="single" w:sz="8" w:color="CFF0FC"/>
            </w:tcBorders>
          </w:tcPr>
          <w:p>
            <w:pPr>
              <w:spacing w:after="0"/>
              <w:rPr>
                <w:sz w:val="18"/>
                <w:szCs w:val="18"/>
                <w:color w:val="auto"/>
              </w:rPr>
            </w:pPr>
          </w:p>
        </w:tc>
        <w:tc>
          <w:tcPr>
            <w:tcW w:w="460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160,344</w:t>
            </w:r>
          </w:p>
        </w:tc>
        <w:tc>
          <w:tcPr>
            <w:tcW w:w="3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166,028</w:t>
            </w:r>
          </w:p>
        </w:tc>
        <w:tc>
          <w:tcPr>
            <w:tcW w:w="4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161,507</w:t>
            </w:r>
          </w:p>
        </w:tc>
        <w:tc>
          <w:tcPr>
            <w:tcW w:w="3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162,338</w:t>
            </w:r>
          </w:p>
        </w:tc>
        <w:tc>
          <w:tcPr>
            <w:tcW w:w="100" w:type="dxa"/>
            <w:vAlign w:val="bottom"/>
            <w:tcBorders>
              <w:top w:val="single" w:sz="8" w:color="CFF0FC"/>
            </w:tcBorders>
          </w:tcPr>
          <w:p>
            <w:pPr>
              <w:spacing w:after="0"/>
              <w:rPr>
                <w:sz w:val="18"/>
                <w:szCs w:val="18"/>
                <w:color w:val="auto"/>
              </w:rPr>
            </w:pPr>
          </w:p>
        </w:tc>
      </w:tr>
      <w:tr>
        <w:trPr>
          <w:trHeight w:val="216"/>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r>
      <w:tr>
        <w:trPr>
          <w:trHeight w:val="216"/>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r>
      <w:tr>
        <w:trPr>
          <w:trHeight w:val="171"/>
        </w:trPr>
        <w:tc>
          <w:tcPr>
            <w:tcW w:w="4620" w:type="dxa"/>
            <w:vAlign w:val="bottom"/>
            <w:gridSpan w:val="3"/>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Antidilutive shares excluded from diluted net income</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4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Contingently issuable shares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6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-1670685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-1670685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-1670685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-170815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ind w:left="700" w:hanging="305"/>
        <w:spacing w:after="0"/>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Contingently issuable shares relate to the earn-out agreement as discussed in Note 13, </w:t>
      </w:r>
      <w:r>
        <w:rPr>
          <w:rFonts w:ascii="Times New Roman" w:cs="Times New Roman" w:eastAsia="Times New Roman" w:hAnsi="Times New Roman"/>
          <w:sz w:val="18"/>
          <w:szCs w:val="18"/>
          <w:i w:val="1"/>
          <w:iCs w:val="1"/>
          <w:color w:val="auto"/>
        </w:rPr>
        <w:t>Other Significant Transactions</w:t>
      </w:r>
      <w:r>
        <w:rPr>
          <w:rFonts w:ascii="Times New Roman" w:cs="Times New Roman" w:eastAsia="Times New Roman" w:hAnsi="Times New Roman"/>
          <w:sz w:val="18"/>
          <w:szCs w:val="18"/>
          <w:color w:val="auto"/>
        </w:rPr>
        <w:t>.</w:t>
      </w:r>
    </w:p>
    <w:p>
      <w:pPr>
        <w:spacing w:after="0" w:line="33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The estimated annual effective tax rate requires judgment and is dependent upon several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48"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77"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Company’s effective income tax rate was 29.9% and 69.0% for the three months ended June 30, 2022 and 2021, respectively, and 32.9% and 549.6% for the six months ended June 30, 2022 and 2021, respectively. The primary driver for the effective tax rate variance is due to the permanent differences related to the mark-to-market adjustment on the private placement warrants and the increase in pre-tax income for 2022 compared to 2021, resulting in the Company’s permanent book and tax differences having a proportionately lesser impact on the effective tax rate for 2022.</w:t>
      </w:r>
    </w:p>
    <w:p>
      <w:pPr>
        <w:spacing w:after="0" w:line="177"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total amount of unrecognized tax benefits increased by $8.3 million during the six months ended June 30, 2022 primarily due to prior year tax positions associated with the Redflex acquisition. As of June 30, 2022, the total amount of unrecognized tax benefits was $11.1 million, of which $2.5 million would affect our effective tax rate if recognized. The Company recognizes interest and penalties related to unrecognized tax benefits through income tax expense. As of June 30, 2022, the Company had $0.1 million accrued for the payment of interest and penalties. The Company believes that it is reasonably possible that a decrease of up to $8.0 million in unrecognized tax benefits related to the Redflex acquisition may be necessary within the coming year, which will not have an impact to the statements of operations.</w:t>
      </w:r>
    </w:p>
    <w:p>
      <w:pPr>
        <w:spacing w:after="0" w:line="180"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Effective January 1, 2022, the Tax Cuts and Jobs Act of 2017 requires taxpayers to capitalize, and subsequently amortize R&amp;D expenses over five years for research activities conducted in the U.S. and over fifteen years for research activities conducted outside of the U.S. This will result in an increase to our U.S. income tax liability and net deferred tax assets. The actual impact will depend on multiple factors, including the amount of R&amp;D expenses incurred and whether the research activities are performed within or outside of the U.S. The Company is currently evaluating the impacts of this change to the financial statements but does not expect them to be material.</w:t>
      </w:r>
    </w:p>
    <w:p>
      <w:pPr>
        <w:spacing w:after="0" w:line="177"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2018; however, the Company’s net operating loss carryforwards and research credit carryforwards arising prior to that year are subject to adjustment. The Company is currently under audit by various state tax jurisdictions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285" w:lineRule="exact"/>
        <w:rPr>
          <w:sz w:val="20"/>
          <w:szCs w:val="20"/>
          <w:color w:val="auto"/>
        </w:rPr>
      </w:pPr>
    </w:p>
    <w:p>
      <w:pPr>
        <w:ind w:right="8720" w:firstLine="8"/>
        <w:spacing w:after="0" w:line="433" w:lineRule="auto"/>
        <w:tabs>
          <w:tab w:leader="none" w:pos="495"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i w:val="1"/>
          <w:iCs w:val="1"/>
          <w:color w:val="auto"/>
        </w:rPr>
        <w:t>Share Repurchases and Retirement</w:t>
      </w:r>
    </w:p>
    <w:p>
      <w:pPr>
        <w:spacing w:after="0" w:line="28" w:lineRule="exact"/>
        <w:rPr>
          <w:sz w:val="20"/>
          <w:szCs w:val="20"/>
          <w:color w:val="auto"/>
        </w:rPr>
      </w:pPr>
    </w:p>
    <w:p>
      <w:pPr>
        <w:ind w:right="100" w:firstLine="374"/>
        <w:spacing w:after="0" w:line="250" w:lineRule="auto"/>
        <w:rPr>
          <w:sz w:val="20"/>
          <w:szCs w:val="20"/>
          <w:color w:val="auto"/>
        </w:rPr>
      </w:pPr>
      <w:r>
        <w:rPr>
          <w:rFonts w:ascii="Times New Roman" w:cs="Times New Roman" w:eastAsia="Times New Roman" w:hAnsi="Times New Roman"/>
          <w:sz w:val="18"/>
          <w:szCs w:val="18"/>
          <w:color w:val="auto"/>
        </w:rPr>
        <w:t>On May 7, 2022, the Company’s Board of Directors authorized a share repurchase program for up to an aggregate amount of $125.0 million of its outstanding shares of Class A Common Stock over the next twelve months from time to time in open market transactions, accelerated share repurchases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or in privately negotiated transactions, each as permitted under applicable rules and regulations, any of which may use pre-arranged trading plans that are designed to meet the requirements of Rule 10b5-1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180" w:firstLine="374"/>
        <w:spacing w:after="0" w:line="244" w:lineRule="auto"/>
        <w:rPr>
          <w:sz w:val="20"/>
          <w:szCs w:val="20"/>
          <w:color w:val="auto"/>
        </w:rPr>
      </w:pPr>
      <w:r>
        <w:rPr>
          <w:rFonts w:ascii="Times New Roman" w:cs="Times New Roman" w:eastAsia="Times New Roman" w:hAnsi="Times New Roman"/>
          <w:sz w:val="18"/>
          <w:szCs w:val="18"/>
          <w:color w:val="auto"/>
        </w:rPr>
        <w:t>On May 12, 2022, the Company paid $50.0 million, which represented the aggregate amount authorized for an ASR, and received an initial delivery of 2,739,726 shares of its Class A Common Stock in accordance with an ASR agreement with a third-party financial institution. The final settlement is expected to occur during the third quarter of fiscal year 2022, at which time, a volume-weighted average price calculation over the term of the ASR agreement will be used to determine the final number and the average price of shares repurchased and retired. The Company accounted for the ASR as a common stock repurchase and a forward contract indexed to its own common stock. The Company determined that the equity classification criteria was met for the forward contract, therefore, it did not account for it as a derivative instrument.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ind w:right="40" w:firstLine="374"/>
        <w:spacing w:after="0" w:line="250" w:lineRule="auto"/>
        <w:rPr>
          <w:sz w:val="20"/>
          <w:szCs w:val="20"/>
          <w:color w:val="auto"/>
        </w:rPr>
      </w:pPr>
      <w:r>
        <w:rPr>
          <w:rFonts w:ascii="Times New Roman" w:cs="Times New Roman" w:eastAsia="Times New Roman" w:hAnsi="Times New Roman"/>
          <w:sz w:val="18"/>
          <w:szCs w:val="18"/>
          <w:color w:val="auto"/>
        </w:rPr>
        <w:t>In addition, the Company paid $5.2 million to repurchase 336,153 shares of its Class A Common Stock through open market transactions during the second quarter of fiscal year 2022, which it subsequently retired. The Company authorized an aggregate purchase amount of $75.0 million related to the open market repurchases, of which $69.8 million is available for future repurchases as of June 30, 2022. The Company incurred $0.1 million of direct costs in connection with both share repurchase transactions during the second quarter of fiscal year 2022, which it included in the cost of the shares acquired.</w:t>
      </w:r>
    </w:p>
    <w:p>
      <w:pPr>
        <w:spacing w:after="0" w:line="177"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Company paid a total of $55.3 million for shares repurchases during the quarter, which was accounted by deducting the par value from the common stock account, reducing $6.2 million from additional paid-in capital calculated using an average share price, and by increasing accumulated deficit for the remaining cost of $49.1 million.</w:t>
      </w:r>
    </w:p>
    <w:p>
      <w:pPr>
        <w:spacing w:after="0" w:line="273"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3"/>
                <w:szCs w:val="13"/>
                <w:color w:val="auto"/>
              </w:rPr>
            </w:pPr>
          </w:p>
        </w:tc>
        <w:tc>
          <w:tcPr>
            <w:tcW w:w="1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5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-25400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increase in stock-based compensation expense of $1.0 million and $2.5 million during the three and six months ended June 30, 2022 is primarily due to the accelerated vesting of RSUs granted to an executive officer as part of a separation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ind w:right="8500" w:firstLine="8"/>
        <w:spacing w:after="0" w:line="381" w:lineRule="auto"/>
        <w:tabs>
          <w:tab w:leader="none" w:pos="36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Significant Transactions </w:t>
      </w:r>
      <w:r>
        <w:rPr>
          <w:rFonts w:ascii="Times New Roman" w:cs="Times New Roman" w:eastAsia="Times New Roman" w:hAnsi="Times New Roman"/>
          <w:sz w:val="17"/>
          <w:szCs w:val="17"/>
          <w:b w:val="1"/>
          <w:bCs w:val="1"/>
          <w:i w:val="1"/>
          <w:iCs w:val="1"/>
          <w:color w:val="auto"/>
        </w:rPr>
        <w:t>Tax Receivable Agreement</w:t>
      </w:r>
    </w:p>
    <w:p>
      <w:pPr>
        <w:jc w:val="both"/>
        <w:ind w:firstLine="374"/>
        <w:spacing w:after="0" w:line="233" w:lineRule="auto"/>
        <w:rPr>
          <w:sz w:val="20"/>
          <w:szCs w:val="20"/>
          <w:color w:val="auto"/>
        </w:rPr>
      </w:pPr>
      <w:r>
        <w:rPr>
          <w:rFonts w:ascii="Times New Roman" w:cs="Times New Roman" w:eastAsia="Times New Roman" w:hAnsi="Times New Roman"/>
          <w:sz w:val="18"/>
          <w:szCs w:val="18"/>
          <w:color w:val="auto"/>
        </w:rPr>
        <w:t>At the closing of the Business Combination,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the Platinum Stockholder. The TRA generally provides for the payment to the Platinum Stockholder of 50.0%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 Business Combination. The Company generally retains the benefit of the remaining 50.0% of these cash savings. The Company estimated the potential maximum benefit to be paid will be approximately $70.0 million, and recorded an initial liability and corresponding charge to equity at the closing of the Business Combination. Subsequently, the Company made adjustments to this amount.</w:t>
      </w:r>
    </w:p>
    <w:p>
      <w:pPr>
        <w:spacing w:after="0" w:line="1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June 30, 2022, the TRA liability was approximately $60.8 million of which $5.1 million was the current portion and $55.7 million was the non-current portion, both of which are included in the respective tax receivable agreement liability line items on the condensed consolidated balance sheet.</w:t>
      </w:r>
    </w:p>
    <w:p>
      <w:pPr>
        <w:spacing w:after="0" w:line="149"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The Company recorded a $1.0 million benefit for the three and six months ended June 30, 2022 and a $1.7 million charge for the three and six months ended June 30, 2021. The TRA liability adjustment in 2022 is arising from lower estimated state tax rates due to changes in apportionment, whereas in 2021 it is arising from higher estimated state tax rates due to changes in statutory rates.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17"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Under the Merger Agreement, the Platinum Stockholder is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Earn-Out Shares are issued by the Company to the Platinum Stockholder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Price Thresholds</w:t>
            </w:r>
          </w:p>
        </w:tc>
        <w:tc>
          <w:tcPr>
            <w:tcW w:w="54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One-time Issuance of Shares</w:t>
            </w:r>
          </w:p>
        </w:tc>
      </w:tr>
      <w:tr>
        <w:trPr>
          <w:trHeight w:val="210"/>
        </w:trPr>
        <w:tc>
          <w:tcPr>
            <w:tcW w:w="6460" w:type="dxa"/>
            <w:vAlign w:val="bottom"/>
            <w:shd w:val="clear" w:color="auto" w:fill="CFF0FC"/>
          </w:tcPr>
          <w:p>
            <w:pPr>
              <w:jc w:val="center"/>
              <w:spacing w:after="0" w:line="210" w:lineRule="exact"/>
              <w:rPr>
                <w:sz w:val="20"/>
                <w:szCs w:val="20"/>
                <w:color w:val="auto"/>
              </w:rPr>
            </w:pPr>
            <w:r>
              <w:rPr>
                <w:rFonts w:ascii="Times New Roman" w:cs="Times New Roman" w:eastAsia="Times New Roman" w:hAnsi="Times New Roman"/>
                <w:sz w:val="18"/>
                <w:szCs w:val="18"/>
                <w:color w:val="auto"/>
                <w:w w:val="94"/>
              </w:rPr>
              <w:t xml:space="preserve">&gt; $13.00 </w:t>
            </w:r>
            <w:r>
              <w:rPr>
                <w:rFonts w:ascii="Times New Roman" w:cs="Times New Roman" w:eastAsia="Times New Roman" w:hAnsi="Times New Roman"/>
                <w:sz w:val="24"/>
                <w:szCs w:val="24"/>
                <w:color w:val="auto"/>
                <w:w w:val="94"/>
                <w:vertAlign w:val="superscript"/>
              </w:rPr>
              <w:t>(a)</w:t>
            </w:r>
          </w:p>
        </w:tc>
        <w:tc>
          <w:tcPr>
            <w:tcW w:w="540" w:type="dxa"/>
            <w:vAlign w:val="bottom"/>
            <w:shd w:val="clear" w:color="auto" w:fill="CFF0FC"/>
          </w:tcPr>
          <w:p>
            <w:pPr>
              <w:spacing w:after="0"/>
              <w:rPr>
                <w:sz w:val="18"/>
                <w:szCs w:val="18"/>
                <w:color w:val="auto"/>
              </w:rPr>
            </w:pPr>
          </w:p>
        </w:tc>
        <w:tc>
          <w:tcPr>
            <w:tcW w:w="4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16"/>
        </w:trPr>
        <w:tc>
          <w:tcPr>
            <w:tcW w:w="64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&gt; $15.50 </w:t>
            </w:r>
            <w:r>
              <w:rPr>
                <w:rFonts w:ascii="Times New Roman" w:cs="Times New Roman" w:eastAsia="Times New Roman" w:hAnsi="Times New Roman"/>
                <w:sz w:val="24"/>
                <w:szCs w:val="24"/>
                <w:color w:val="auto"/>
                <w:w w:val="94"/>
                <w:vertAlign w:val="superscript"/>
              </w:rPr>
              <w:t>(a)</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16"/>
        </w:trPr>
        <w:tc>
          <w:tcPr>
            <w:tcW w:w="6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$18.00</w:t>
            </w:r>
          </w:p>
        </w:tc>
        <w:tc>
          <w:tcPr>
            <w:tcW w:w="478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34"/>
        </w:trPr>
        <w:tc>
          <w:tcPr>
            <w:tcW w:w="6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$20.50</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bl>
    <w:p>
      <w:pPr>
        <w:spacing w:after="0" w:line="179" w:lineRule="exact"/>
        <w:rPr>
          <w:sz w:val="20"/>
          <w:szCs w:val="20"/>
          <w:color w:val="auto"/>
        </w:rPr>
      </w:pPr>
    </w:p>
    <w:p>
      <w:pPr>
        <w:ind w:left="760"/>
        <w:spacing w:after="0"/>
        <w:tabs>
          <w:tab w:leader="none" w:pos="11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first and second tranches of Earn-Out Shares have been issued, as discussed below.</w:t>
      </w:r>
    </w:p>
    <w:p>
      <w:pPr>
        <w:spacing w:after="0" w:line="23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If any of the Common Stock Price thresholds above (each, a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68"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If, during the earn-out period, there is a change of control (as defined in the Merger Agreement) that will result in the holders of the Company’s Class A Common Stock receiving a per share price equal to or in excess of the applicable Common Stock Price required in connection with any Triggering Event,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8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The Company estimated the original fair value of the contingently issuable shares to be $73.15 million, of which $36.6 million remains contingently issuable as of June 30, 2022.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paid-in capital accounts. Any contingently issuable shares not issued as a result of a Triggering Event not being attained by the end of the earn-out period will be canceled.</w:t>
      </w:r>
    </w:p>
    <w:p>
      <w:pPr>
        <w:spacing w:after="0" w:line="148"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June 30, 2022, the potential future Earn-Out Shares issuable are between zero and 5.0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Equity Investment</w:t>
      </w:r>
    </w:p>
    <w:p>
      <w:pPr>
        <w:spacing w:after="0" w:line="216"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Redflex Irish Investments Pty Ltd, a wholly owned indirect subsidiary of the Company, owns a 16% non-voting equity interest in Road Safety Operations Holdings Unlimited, which has a subsidiary, Road Safety Operations Holdings T/A Go Safe Ireland (“</w:t>
      </w:r>
      <w:r>
        <w:rPr>
          <w:rFonts w:ascii="Times New Roman" w:cs="Times New Roman" w:eastAsia="Times New Roman" w:hAnsi="Times New Roman"/>
          <w:sz w:val="18"/>
          <w:szCs w:val="18"/>
          <w:b w:val="1"/>
          <w:bCs w:val="1"/>
          <w:i w:val="1"/>
          <w:iCs w:val="1"/>
          <w:color w:val="auto"/>
        </w:rPr>
        <w:t>Go Safe</w:t>
      </w:r>
      <w:r>
        <w:rPr>
          <w:rFonts w:ascii="Times New Roman" w:cs="Times New Roman" w:eastAsia="Times New Roman" w:hAnsi="Times New Roman"/>
          <w:sz w:val="18"/>
          <w:szCs w:val="18"/>
          <w:color w:val="auto"/>
        </w:rPr>
        <w:t>”), which provides speed and traffic enforcement services and related equipment to its customers in Ireland. This investment was approximately $3.5 million and $3.7 million as of June 30, 2022 and December 31, 2021, respectively, and is presented within other non-current assets on the condensed consolidated balance sheets. The Company is engaged as a vendor to supply equipment and services to Go Safe and related revenues earned were approximately $0.2 million and $0.5 million for the three and six months ended June 30, 2022.</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has issued various letters of credit under contractual arrangements with certain of its domestic vendors and customers. Outstanding letters of credit under these arrangements totaled $6.2 million at both June 30, 2022 and December 31, 2021. In addition, the Company has $1.9 million of bank guarantees at June 30, 2022 required to support bids and contracts with certain international customers.</w:t>
      </w:r>
    </w:p>
    <w:p>
      <w:pPr>
        <w:spacing w:after="0" w:line="190"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has non-cancelable purchase commitments to certain vendors. The aggregate non-cancelable purchase commitments outstanding at June 30, 2022 were $46.4 million. The majority of these outstanding commitments are expected to be incurred during the remainder of 2022 and approximately $5.9 million is expected to be incurred between 2023 and 2025.</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212"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93"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have appealed the trial court’s ruling granting class certification, which remains pending. Based on the information available to the Company at present, it cannot reasonably estimate a range of loss for this action and, accordingly, it has not accrued any liability associated with this action.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08"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Company’s Chief Operating Decision Maker function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is comprised of the Company’s CEO and certain defined representatives of the Company’s executive management team. The Company’s CODM monitors operating performance, allocates resources and deploys capital based on these three segments.</w:t>
      </w:r>
    </w:p>
    <w:p>
      <w:pPr>
        <w:spacing w:after="0" w:line="18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(gain) loss on disposal of assets, net, and stock-based compensation. The measure also excludes interest expense, net, income taxes and certain other transactions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transactions and is therefore included in segment profit (loss).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8"/>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124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800" w:type="dxa"/>
            <w:vAlign w:val="bottom"/>
          </w:tcPr>
          <w:p>
            <w:pPr>
              <w:jc w:val="right"/>
              <w:ind w:right="152"/>
              <w:spacing w:after="0" w:line="158"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1"/>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174,502</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84,888</w:t>
            </w: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187,487</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8"/>
                <w:szCs w:val="18"/>
                <w:color w:val="auto"/>
              </w:rPr>
            </w:pP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54,912</w:t>
            </w:r>
          </w:p>
        </w:tc>
        <w:tc>
          <w:tcPr>
            <w:tcW w:w="100" w:type="dxa"/>
            <w:vAlign w:val="bottom"/>
          </w:tcPr>
          <w:p>
            <w:pPr>
              <w:spacing w:after="0"/>
              <w:rPr>
                <w:sz w:val="18"/>
                <w:szCs w:val="18"/>
                <w:color w:val="auto"/>
              </w:rPr>
            </w:pP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35,870</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(3,840 )</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(4,039 )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7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56,446</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29,456</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7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56,446</w:t>
            </w:r>
          </w:p>
        </w:tc>
        <w:tc>
          <w:tcPr>
            <w:tcW w:w="3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29,456</w:t>
            </w:r>
          </w:p>
        </w:tc>
        <w:tc>
          <w:tcPr>
            <w:tcW w:w="3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2,803</w:t>
            </w: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1"/>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88,705</w:t>
            </w:r>
          </w:p>
        </w:tc>
        <w:tc>
          <w:tcPr>
            <w:tcW w:w="100" w:type="dxa"/>
            <w:vAlign w:val="bottom"/>
          </w:tcPr>
          <w:p>
            <w:pPr>
              <w:spacing w:after="0"/>
              <w:rPr>
                <w:sz w:val="17"/>
                <w:szCs w:val="17"/>
                <w:color w:val="auto"/>
              </w:rPr>
            </w:pP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34,540</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(6,600 )</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(6,600 )</w:t>
            </w: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(965 )</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(965 )</w:t>
            </w: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tcPr>
          <w:p>
            <w:pPr>
              <w:spacing w:after="0"/>
              <w:rPr>
                <w:sz w:val="18"/>
                <w:szCs w:val="18"/>
                <w:color w:val="auto"/>
              </w:rPr>
            </w:pPr>
          </w:p>
        </w:tc>
      </w:tr>
      <w:tr>
        <w:trPr>
          <w:trHeight w:val="250"/>
        </w:trPr>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476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56,446</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(46,026</w:t>
            </w:r>
          </w:p>
        </w:tc>
        <w:tc>
          <w:tcPr>
            <w:tcW w:w="28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-1156970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-1139190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-1156970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-1139190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-1156970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-1139190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-1156970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-1139190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-170815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200" w:type="dxa"/>
            <w:vAlign w:val="bottom"/>
          </w:tcPr>
          <w:p>
            <w:pPr>
              <w:spacing w:after="0"/>
              <w:rPr>
                <w:sz w:val="13"/>
                <w:szCs w:val="13"/>
                <w:color w:val="auto"/>
              </w:rPr>
            </w:pPr>
          </w:p>
        </w:tc>
        <w:tc>
          <w:tcPr>
            <w:tcW w:w="1360" w:type="dxa"/>
            <w:vAlign w:val="bottom"/>
            <w:gridSpan w:val="2"/>
          </w:tcPr>
          <w:p>
            <w:pPr>
              <w:jc w:val="right"/>
              <w:ind w:right="510"/>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3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116,426</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10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5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62,177</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128,657</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36,186</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(204 )</w:t>
            </w:r>
          </w:p>
        </w:tc>
        <w:tc>
          <w:tcPr>
            <w:tcW w:w="20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(2,798 )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4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5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 (loss)</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42,700</w:t>
            </w:r>
          </w:p>
        </w:tc>
        <w:tc>
          <w:tcPr>
            <w:tcW w:w="200" w:type="dxa"/>
            <w:vAlign w:val="bottom"/>
          </w:tcPr>
          <w:p>
            <w:pPr>
              <w:spacing w:after="0"/>
              <w:rPr>
                <w:sz w:val="17"/>
                <w:szCs w:val="17"/>
                <w:color w:val="auto"/>
              </w:rPr>
            </w:pPr>
          </w:p>
        </w:tc>
        <w:tc>
          <w:tcPr>
            <w:tcW w:w="2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25,495</w:t>
            </w:r>
          </w:p>
        </w:tc>
        <w:tc>
          <w:tcPr>
            <w:tcW w:w="3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(3,306 )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64,889</w:t>
            </w:r>
          </w:p>
        </w:tc>
        <w:tc>
          <w:tcPr>
            <w:tcW w:w="100" w:type="dxa"/>
            <w:vAlign w:val="bottom"/>
          </w:tcPr>
          <w:p>
            <w:pPr>
              <w:spacing w:after="0"/>
              <w:rPr>
                <w:sz w:val="17"/>
                <w:szCs w:val="17"/>
                <w:color w:val="auto"/>
              </w:rPr>
            </w:pPr>
          </w:p>
        </w:tc>
      </w:tr>
      <w:tr>
        <w:trPr>
          <w:trHeight w:val="216"/>
        </w:trPr>
        <w:tc>
          <w:tcPr>
            <w:tcW w:w="5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on disposal of assets, net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5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8"/>
                <w:szCs w:val="18"/>
                <w:color w:val="auto"/>
              </w:rPr>
            </w:pPr>
          </w:p>
        </w:tc>
      </w:tr>
      <w:tr>
        <w:trPr>
          <w:trHeight w:val="216"/>
        </w:trPr>
        <w:tc>
          <w:tcPr>
            <w:tcW w:w="5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tcPr>
          <w:p>
            <w:pPr>
              <w:spacing w:after="0"/>
              <w:rPr>
                <w:sz w:val="18"/>
                <w:szCs w:val="18"/>
                <w:color w:val="auto"/>
              </w:rPr>
            </w:pPr>
          </w:p>
        </w:tc>
      </w:tr>
      <w:tr>
        <w:trPr>
          <w:trHeight w:val="250"/>
        </w:trPr>
        <w:tc>
          <w:tcPr>
            <w:tcW w:w="5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5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-1636395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-1619885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-1636395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-1619885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-1636395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-1619885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-505460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-488315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-505460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-488315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-505460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-488315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124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820" w:type="dxa"/>
            <w:vAlign w:val="bottom"/>
          </w:tcPr>
          <w:p>
            <w:pPr>
              <w:jc w:val="right"/>
              <w:ind w:right="152"/>
              <w:spacing w:after="0" w:line="158"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381"/>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147,896</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335,636</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10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4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158,353</w:t>
            </w: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162,356</w:t>
            </w: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357,872</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tcPr>
          <w:p>
            <w:pPr>
              <w:spacing w:after="0"/>
              <w:rPr>
                <w:sz w:val="18"/>
                <w:szCs w:val="18"/>
                <w:color w:val="auto"/>
              </w:rPr>
            </w:pP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105,761</w:t>
            </w:r>
          </w:p>
        </w:tc>
        <w:tc>
          <w:tcPr>
            <w:tcW w:w="100" w:type="dxa"/>
            <w:vAlign w:val="bottom"/>
          </w:tcPr>
          <w:p>
            <w:pPr>
              <w:spacing w:after="0"/>
              <w:rPr>
                <w:sz w:val="18"/>
                <w:szCs w:val="18"/>
                <w:color w:val="auto"/>
              </w:rPr>
            </w:pP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30,888</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73,273</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(6,795 )</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(6,905 )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7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103,041</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55,166</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7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103,041</w:t>
            </w:r>
          </w:p>
        </w:tc>
        <w:tc>
          <w:tcPr>
            <w:tcW w:w="3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55,166</w:t>
            </w:r>
          </w:p>
        </w:tc>
        <w:tc>
          <w:tcPr>
            <w:tcW w:w="3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5,723</w:t>
            </w: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1"/>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163,930</w:t>
            </w:r>
          </w:p>
        </w:tc>
        <w:tc>
          <w:tcPr>
            <w:tcW w:w="100" w:type="dxa"/>
            <w:vAlign w:val="bottom"/>
          </w:tcPr>
          <w:p>
            <w:pPr>
              <w:spacing w:after="0"/>
              <w:rPr>
                <w:sz w:val="17"/>
                <w:szCs w:val="17"/>
                <w:color w:val="auto"/>
              </w:rPr>
            </w:pP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(2,866 )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(2,866 )</w:t>
            </w: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(965 )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(965 )</w:t>
            </w:r>
          </w:p>
        </w:tc>
      </w:tr>
      <w:tr>
        <w:trPr>
          <w:trHeight w:val="216"/>
        </w:trPr>
        <w:tc>
          <w:tcPr>
            <w:tcW w:w="4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tcPr>
          <w:p>
            <w:pPr>
              <w:spacing w:after="0"/>
              <w:rPr>
                <w:sz w:val="18"/>
                <w:szCs w:val="18"/>
                <w:color w:val="auto"/>
              </w:rPr>
            </w:pPr>
          </w:p>
        </w:tc>
      </w:tr>
      <w:tr>
        <w:trPr>
          <w:trHeight w:val="249"/>
        </w:trPr>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476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103,041</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54,540</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(104,160</w:t>
            </w:r>
          </w:p>
        </w:tc>
        <w:tc>
          <w:tcPr>
            <w:tcW w:w="28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59,139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-1156970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-1139190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-1156970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-1139190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-1156970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-1139190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-1156970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-1139190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-170815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54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3"/>
                <w:szCs w:val="13"/>
                <w:color w:val="auto"/>
              </w:rPr>
            </w:pPr>
          </w:p>
        </w:tc>
        <w:tc>
          <w:tcPr>
            <w:tcW w:w="1340" w:type="dxa"/>
            <w:vAlign w:val="bottom"/>
            <w:gridSpan w:val="2"/>
          </w:tcPr>
          <w:p>
            <w:pPr>
              <w:jc w:val="right"/>
              <w:ind w:right="52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260" w:type="dxa"/>
            <w:vAlign w:val="bottom"/>
            <w:gridSpan w:val="2"/>
          </w:tcPr>
          <w:p>
            <w:pPr>
              <w:jc w:val="right"/>
              <w:ind w:right="461"/>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6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112,169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206,189</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10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5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112,169</w:t>
            </w: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106,346</w:t>
            </w: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218,515</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18"/>
                <w:szCs w:val="18"/>
                <w:color w:val="auto"/>
              </w:rPr>
            </w:pPr>
          </w:p>
        </w:tc>
      </w:tr>
      <w:tr>
        <w:trPr>
          <w:trHeight w:val="216"/>
        </w:trPr>
        <w:tc>
          <w:tcPr>
            <w:tcW w:w="5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66,484</w:t>
            </w:r>
          </w:p>
        </w:tc>
        <w:tc>
          <w:tcPr>
            <w:tcW w:w="100" w:type="dxa"/>
            <w:vAlign w:val="bottom"/>
          </w:tcPr>
          <w:p>
            <w:pPr>
              <w:spacing w:after="0"/>
              <w:rPr>
                <w:sz w:val="18"/>
                <w:szCs w:val="18"/>
                <w:color w:val="auto"/>
              </w:rPr>
            </w:pPr>
          </w:p>
        </w:tc>
      </w:tr>
      <w:tr>
        <w:trPr>
          <w:trHeight w:val="216"/>
        </w:trPr>
        <w:tc>
          <w:tcPr>
            <w:tcW w:w="5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48,633</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(4,664 )</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(1,147 )</w:t>
            </w: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(5,811 )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55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64,930</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43,328</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 (loss)</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64,930</w:t>
            </w:r>
          </w:p>
        </w:tc>
        <w:tc>
          <w:tcPr>
            <w:tcW w:w="320" w:type="dxa"/>
            <w:vAlign w:val="bottom"/>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43,328</w:t>
            </w:r>
          </w:p>
        </w:tc>
        <w:tc>
          <w:tcPr>
            <w:tcW w:w="3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1"/>
              <w:spacing w:after="0" w:line="196" w:lineRule="exact"/>
              <w:rPr>
                <w:sz w:val="20"/>
                <w:szCs w:val="20"/>
                <w:color w:val="auto"/>
              </w:rPr>
            </w:pPr>
            <w:r>
              <w:rPr>
                <w:rFonts w:ascii="Times New Roman" w:cs="Times New Roman" w:eastAsia="Times New Roman" w:hAnsi="Times New Roman"/>
                <w:sz w:val="18"/>
                <w:szCs w:val="18"/>
                <w:color w:val="auto"/>
              </w:rPr>
              <w:t>(7,432 )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100,826</w:t>
            </w:r>
          </w:p>
        </w:tc>
        <w:tc>
          <w:tcPr>
            <w:tcW w:w="100" w:type="dxa"/>
            <w:vAlign w:val="bottom"/>
          </w:tcPr>
          <w:p>
            <w:pPr>
              <w:spacing w:after="0"/>
              <w:rPr>
                <w:sz w:val="17"/>
                <w:szCs w:val="17"/>
                <w:color w:val="auto"/>
              </w:rPr>
            </w:pPr>
          </w:p>
        </w:tc>
      </w:tr>
      <w:tr>
        <w:trPr>
          <w:trHeight w:val="216"/>
        </w:trPr>
        <w:tc>
          <w:tcPr>
            <w:tcW w:w="5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5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8"/>
                <w:szCs w:val="18"/>
                <w:color w:val="auto"/>
              </w:rPr>
            </w:pPr>
          </w:p>
        </w:tc>
      </w:tr>
      <w:tr>
        <w:trPr>
          <w:trHeight w:val="216"/>
        </w:trPr>
        <w:tc>
          <w:tcPr>
            <w:tcW w:w="5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64,930</w:t>
            </w:r>
          </w:p>
        </w:tc>
        <w:tc>
          <w:tcPr>
            <w:tcW w:w="3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(107,113 )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-1293495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-1276985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-1293495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-1276985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-1293495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-1276985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-170815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 Revenues earned from goods transferred to customers at a point in time were approximately $13.0 million and $12.2 million for the three months ended June 30, 2022 and 2021, respectively and were $22.2 million and $12.3 million for the six months ended June 30, 2022 and 2021, respectively.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8"/>
          <w:szCs w:val="18"/>
          <w:color w:val="auto"/>
        </w:rPr>
        <w:t>The following table details the revenues from international customers for the respective periods: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3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4"/>
                <w:szCs w:val="14"/>
                <w:color w:val="auto"/>
              </w:rPr>
            </w:pPr>
          </w:p>
        </w:tc>
        <w:tc>
          <w:tcPr>
            <w:tcW w:w="140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28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3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16,218</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3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8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21,884</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44,230</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-25400</wp:posOffset>
            </wp:positionV>
            <wp:extent cx="768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Guarantor/Non-Guarantor Financial Information</w:t>
      </w:r>
    </w:p>
    <w:p>
      <w:pPr>
        <w:spacing w:after="0" w:line="108"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VM Consolidated is the lead borrower of the 2021 Term Loan, Senior Notes and the Revolver. VM Consolidated is owned by the Company through a series of holding companies that ultimately end with the Company. VM Consolidated is wholly owned by Greenlight Acquisition Corporation, which is wholly owned by Greenlight Intermediate Holding Corporation, which is wholly owned by Greenlight Holding Corporation, which is wholly owned by Verra Mobility Holdings, LLC, which is wholly owned by Verra Mobility Corporation. The principal elimination entries relate to investments in subsidiaries and intercompany balances and transactions, including transactions with the Company’s wholly owned guarantor subsidiaries and non-guarantor subsidiaries.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financial information presents the condensed consolidated balance sheets as of June 30, 2022 and the related condensed consolidated statements of operations and comprehensive income for the three and six months ended June 30, 2022 and the condensed consolidated statement of cash flows for the six months ended June 30, 2022 for the Company, the combined guarantor subsidiaries and the combined non-guarantor subsidiaries.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at 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5"/>
                <w:szCs w:val="15"/>
                <w:color w:val="auto"/>
              </w:rPr>
            </w:pPr>
          </w:p>
        </w:tc>
        <w:tc>
          <w:tcPr>
            <w:tcW w:w="14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54,934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31,458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3880" w:type="dxa"/>
            <w:vAlign w:val="bottom"/>
            <w:gridSpan w:val="2"/>
            <w:shd w:val="clear" w:color="auto" w:fill="CFF0FC"/>
          </w:tcPr>
          <w:p>
            <w:pPr>
              <w:ind w:left="180"/>
              <w:spacing w:after="0" w:line="13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w:t>
            </w:r>
          </w:p>
        </w:tc>
        <w:tc>
          <w:tcPr>
            <w:tcW w:w="180" w:type="dxa"/>
            <w:vAlign w:val="bottom"/>
            <w:shd w:val="clear" w:color="auto" w:fill="CFF0FC"/>
          </w:tcPr>
          <w:p>
            <w:pPr>
              <w:spacing w:after="0"/>
              <w:rPr>
                <w:sz w:val="12"/>
                <w:szCs w:val="12"/>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162,855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9,961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172,816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$17.1 million)</w:t>
            </w:r>
          </w:p>
        </w:tc>
        <w:tc>
          <w:tcPr>
            <w:tcW w:w="180" w:type="dxa"/>
            <w:vAlign w:val="bottom"/>
            <w:shd w:val="clear" w:color="auto" w:fill="CFF0FC"/>
          </w:tcPr>
          <w:p>
            <w:pPr>
              <w:spacing w:after="0"/>
              <w:rPr>
                <w:sz w:val="16"/>
                <w:szCs w:val="16"/>
                <w:color w:val="auto"/>
              </w:rPr>
            </w:pPr>
          </w:p>
        </w:tc>
        <w:tc>
          <w:tcPr>
            <w:tcW w:w="14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Unbilled receivables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29,222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Investment in subsidiary</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74,964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141,993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(216,957 )</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38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26,154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74,964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(216,957 )</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Installation and service parts, net</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Operating lease assets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30,854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321,251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689,501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143,310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832,811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Due from affiliates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169,259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(169,259 )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38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8,306</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244,223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1,571,517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350,336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(386,216 )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1,779,860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gridSpan w:val="3"/>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54,932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38,210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Tax receivable agreement liability, current portion</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8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1,205,169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1,205,169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Tax receivable agreement liability, net of current portion</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55,650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Private placement warrant liabilities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Due to affiliates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24,982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144,277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(169,259 )</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1,496,553</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208,343</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(169,259</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1,535,637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244,223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74,964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141,993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(216,957 )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244,223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1,571,517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350,336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(386,216</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1,779,860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-3213735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-3213735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-3213735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-3213735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-2313940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-2313940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-2313940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-2313940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-1388110</wp:posOffset>
            </wp:positionV>
            <wp:extent cx="768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-1388110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-1388110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-1388110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8" w:name="page29"/>
    <w:bookmarkEnd w:id="28"/>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Three Months Ended 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13"/>
                <w:szCs w:val="13"/>
                <w:color w:val="auto"/>
              </w:rPr>
            </w:pPr>
          </w:p>
        </w:tc>
        <w:tc>
          <w:tcPr>
            <w:tcW w:w="124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2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6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4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6"/>
        </w:trPr>
        <w:tc>
          <w:tcPr>
            <w:tcW w:w="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3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157,137</w:t>
            </w: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17,365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174,502</w:t>
            </w:r>
          </w:p>
        </w:tc>
        <w:tc>
          <w:tcPr>
            <w:tcW w:w="100" w:type="dxa"/>
            <w:vAlign w:val="bottom"/>
            <w:shd w:val="clear" w:color="auto" w:fill="CFF0FC"/>
          </w:tcPr>
          <w:p>
            <w:pPr>
              <w:spacing w:after="0"/>
              <w:rPr>
                <w:sz w:val="15"/>
                <w:szCs w:val="15"/>
                <w:color w:val="auto"/>
              </w:rPr>
            </w:pPr>
          </w:p>
        </w:tc>
      </w:tr>
      <w:tr>
        <w:trPr>
          <w:trHeight w:val="175"/>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12,985</w:t>
            </w:r>
          </w:p>
        </w:tc>
        <w:tc>
          <w:tcPr>
            <w:tcW w:w="100" w:type="dxa"/>
            <w:vAlign w:val="bottom"/>
          </w:tcPr>
          <w:p>
            <w:pPr>
              <w:spacing w:after="0"/>
              <w:rPr>
                <w:sz w:val="15"/>
                <w:szCs w:val="15"/>
                <w:color w:val="auto"/>
              </w:rPr>
            </w:pP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to affiliates</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(348 )</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0" w:type="dxa"/>
            <w:vAlign w:val="bottom"/>
            <w:tcBorders>
              <w:top w:val="single" w:sz="8" w:color="CFF0FC"/>
            </w:tcBorders>
          </w:tcPr>
          <w:p>
            <w:pPr>
              <w:spacing w:after="0"/>
              <w:rPr>
                <w:sz w:val="14"/>
                <w:szCs w:val="14"/>
                <w:color w:val="auto"/>
              </w:rPr>
            </w:pPr>
          </w:p>
        </w:tc>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165,255</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22,232</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187,487</w:t>
            </w:r>
          </w:p>
        </w:tc>
        <w:tc>
          <w:tcPr>
            <w:tcW w:w="100" w:type="dxa"/>
            <w:vAlign w:val="bottom"/>
            <w:tcBorders>
              <w:top w:val="single" w:sz="8" w:color="CFF0FC"/>
            </w:tcBorders>
          </w:tcPr>
          <w:p>
            <w:pPr>
              <w:spacing w:after="0"/>
              <w:rPr>
                <w:sz w:val="14"/>
                <w:szCs w:val="14"/>
                <w:color w:val="auto"/>
              </w:rPr>
            </w:pPr>
          </w:p>
        </w:tc>
      </w:tr>
      <w:tr>
        <w:trPr>
          <w:trHeight w:val="175"/>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service revenue</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shd w:val="clear" w:color="auto" w:fill="CFF0FC"/>
          </w:tcPr>
          <w:p>
            <w:pPr>
              <w:spacing w:after="0"/>
              <w:rPr>
                <w:sz w:val="15"/>
                <w:szCs w:val="15"/>
                <w:color w:val="auto"/>
              </w:rPr>
            </w:pPr>
          </w:p>
        </w:tc>
      </w:tr>
      <w:tr>
        <w:trPr>
          <w:trHeight w:val="17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Cost of product sales</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w:t>
            </w:r>
          </w:p>
        </w:tc>
        <w:tc>
          <w:tcPr>
            <w:tcW w:w="100" w:type="dxa"/>
            <w:vAlign w:val="bottom"/>
          </w:tcPr>
          <w:p>
            <w:pPr>
              <w:spacing w:after="0"/>
              <w:rPr>
                <w:sz w:val="15"/>
                <w:szCs w:val="15"/>
                <w:color w:val="auto"/>
              </w:rPr>
            </w:pPr>
          </w:p>
        </w:tc>
      </w:tr>
      <w:tr>
        <w:trPr>
          <w:trHeight w:val="175"/>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sales to affiliates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55,196</w:t>
            </w:r>
          </w:p>
        </w:tc>
        <w:tc>
          <w:tcPr>
            <w:tcW w:w="100" w:type="dxa"/>
            <w:vAlign w:val="bottom"/>
          </w:tcPr>
          <w:p>
            <w:pPr>
              <w:spacing w:after="0"/>
              <w:rPr>
                <w:sz w:val="15"/>
                <w:szCs w:val="15"/>
                <w:color w:val="auto"/>
              </w:rPr>
            </w:pP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32,465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40,152</w:t>
            </w:r>
          </w:p>
        </w:tc>
        <w:tc>
          <w:tcPr>
            <w:tcW w:w="100" w:type="dxa"/>
            <w:vAlign w:val="bottom"/>
            <w:shd w:val="clear" w:color="auto" w:fill="CFF0FC"/>
          </w:tcPr>
          <w:p>
            <w:pPr>
              <w:spacing w:after="0"/>
              <w:rPr>
                <w:sz w:val="15"/>
                <w:szCs w:val="15"/>
                <w:color w:val="auto"/>
              </w:rPr>
            </w:pPr>
          </w:p>
        </w:tc>
      </w:tr>
      <w:tr>
        <w:trPr>
          <w:trHeight w:val="175"/>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(gain) loss on disposal of assets, net</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34,939</w:t>
            </w:r>
          </w:p>
        </w:tc>
        <w:tc>
          <w:tcPr>
            <w:tcW w:w="100" w:type="dxa"/>
            <w:vAlign w:val="bottom"/>
          </w:tcPr>
          <w:p>
            <w:pPr>
              <w:spacing w:after="0"/>
              <w:rPr>
                <w:sz w:val="15"/>
                <w:szCs w:val="15"/>
                <w:color w:val="auto"/>
              </w:rPr>
            </w:pPr>
          </w:p>
        </w:tc>
      </w:tr>
      <w:tr>
        <w:trPr>
          <w:trHeight w:val="169"/>
        </w:trPr>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416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115,409</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142,326</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14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49,846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(4,685 )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45,161</w:t>
            </w:r>
          </w:p>
        </w:tc>
        <w:tc>
          <w:tcPr>
            <w:tcW w:w="100" w:type="dxa"/>
            <w:vAlign w:val="bottom"/>
          </w:tcPr>
          <w:p>
            <w:pPr>
              <w:spacing w:after="0"/>
              <w:rPr>
                <w:sz w:val="14"/>
                <w:szCs w:val="14"/>
                <w:color w:val="auto"/>
              </w:rPr>
            </w:pPr>
          </w:p>
        </w:tc>
      </w:tr>
      <w:tr>
        <w:trPr>
          <w:trHeight w:val="175"/>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equity investment</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(29,641 )</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25,699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14,485</w:t>
            </w:r>
          </w:p>
        </w:tc>
        <w:tc>
          <w:tcPr>
            <w:tcW w:w="100" w:type="dxa"/>
            <w:vAlign w:val="bottom"/>
          </w:tcPr>
          <w:p>
            <w:pPr>
              <w:spacing w:after="0"/>
              <w:rPr>
                <w:sz w:val="15"/>
                <w:szCs w:val="15"/>
                <w:color w:val="auto"/>
              </w:rPr>
            </w:pP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(6,600 )</w:t>
            </w: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(6,600 )</w:t>
            </w:r>
          </w:p>
        </w:tc>
      </w:tr>
      <w:tr>
        <w:trPr>
          <w:trHeight w:val="175"/>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(965 )</w:t>
            </w: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(965 )</w:t>
            </w: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(3,186 )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(4,039 )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14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(29,641 )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100" w:type="dxa"/>
            <w:vAlign w:val="bottom"/>
          </w:tcPr>
          <w:p>
            <w:pPr>
              <w:spacing w:after="0"/>
              <w:rPr>
                <w:sz w:val="14"/>
                <w:szCs w:val="14"/>
                <w:color w:val="auto"/>
              </w:rPr>
            </w:pPr>
          </w:p>
        </w:tc>
      </w:tr>
      <w:tr>
        <w:trPr>
          <w:trHeight w:val="169"/>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4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29,641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42,173</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(25,699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42,280</w:t>
            </w:r>
          </w:p>
        </w:tc>
        <w:tc>
          <w:tcPr>
            <w:tcW w:w="100" w:type="dxa"/>
            <w:vAlign w:val="bottom"/>
            <w:shd w:val="clear" w:color="auto" w:fill="CFF0FC"/>
          </w:tcPr>
          <w:p>
            <w:pPr>
              <w:spacing w:after="0"/>
              <w:rPr>
                <w:sz w:val="14"/>
                <w:szCs w:val="14"/>
                <w:color w:val="auto"/>
              </w:rPr>
            </w:pPr>
          </w:p>
        </w:tc>
      </w:tr>
      <w:tr>
        <w:trPr>
          <w:trHeight w:val="17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12,639</w:t>
            </w:r>
          </w:p>
        </w:tc>
        <w:tc>
          <w:tcPr>
            <w:tcW w:w="100" w:type="dxa"/>
            <w:vAlign w:val="bottom"/>
          </w:tcPr>
          <w:p>
            <w:pPr>
              <w:spacing w:after="0"/>
              <w:rPr>
                <w:sz w:val="15"/>
                <w:szCs w:val="15"/>
                <w:color w:val="auto"/>
              </w:rPr>
            </w:pPr>
          </w:p>
        </w:tc>
      </w:tr>
      <w:tr>
        <w:trPr>
          <w:trHeight w:val="209"/>
        </w:trPr>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16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29,641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29,641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(3,942</w:t>
            </w:r>
          </w:p>
        </w:tc>
        <w:tc>
          <w:tcPr>
            <w:tcW w:w="12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(25,699</w:t>
            </w:r>
          </w:p>
        </w:tc>
        <w:tc>
          <w:tcPr>
            <w:tcW w:w="10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29,641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156"/>
        </w:trPr>
        <w:tc>
          <w:tcPr>
            <w:tcW w:w="418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(10,381 )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(10,381 )</w:t>
            </w:r>
          </w:p>
        </w:tc>
      </w:tr>
      <w:tr>
        <w:trPr>
          <w:trHeight w:val="169"/>
        </w:trPr>
        <w:tc>
          <w:tcPr>
            <w:tcW w:w="20" w:type="dxa"/>
            <w:vAlign w:val="bottom"/>
          </w:tcPr>
          <w:p>
            <w:pPr>
              <w:spacing w:after="0"/>
              <w:rPr>
                <w:sz w:val="14"/>
                <w:szCs w:val="14"/>
                <w:color w:val="auto"/>
              </w:rPr>
            </w:pPr>
          </w:p>
        </w:tc>
        <w:tc>
          <w:tcPr>
            <w:tcW w:w="41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Total comprehensive income (loss)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29,641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29,641</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(14,323</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(25,699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19,260</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-2451100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-2451100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-2451100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-2451100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-1675130</wp:posOffset>
            </wp:positionV>
            <wp:extent cx="10223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-1675130</wp:posOffset>
            </wp:positionV>
            <wp:extent cx="10287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-1675130</wp:posOffset>
            </wp:positionV>
            <wp:extent cx="9398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-1675130</wp:posOffset>
            </wp:positionV>
            <wp:extent cx="9398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-1675130</wp:posOffset>
            </wp:positionV>
            <wp:extent cx="9398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-864870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-864870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-864870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-864870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-393700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-376555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-513715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-393700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-376555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-513715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-393700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-376555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-393700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-376555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-513715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Six Months Ended 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13"/>
                <w:szCs w:val="13"/>
                <w:color w:val="auto"/>
              </w:rPr>
            </w:pPr>
          </w:p>
        </w:tc>
        <w:tc>
          <w:tcPr>
            <w:tcW w:w="124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2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6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4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6"/>
        </w:trPr>
        <w:tc>
          <w:tcPr>
            <w:tcW w:w="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3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300,301</w:t>
            </w: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35,335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335,636</w:t>
            </w:r>
          </w:p>
        </w:tc>
        <w:tc>
          <w:tcPr>
            <w:tcW w:w="100" w:type="dxa"/>
            <w:vAlign w:val="bottom"/>
            <w:shd w:val="clear" w:color="auto" w:fill="CFF0FC"/>
          </w:tcPr>
          <w:p>
            <w:pPr>
              <w:spacing w:after="0"/>
              <w:rPr>
                <w:sz w:val="15"/>
                <w:szCs w:val="15"/>
                <w:color w:val="auto"/>
              </w:rPr>
            </w:pPr>
          </w:p>
        </w:tc>
      </w:tr>
      <w:tr>
        <w:trPr>
          <w:trHeight w:val="175"/>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22,236</w:t>
            </w:r>
          </w:p>
        </w:tc>
        <w:tc>
          <w:tcPr>
            <w:tcW w:w="100" w:type="dxa"/>
            <w:vAlign w:val="bottom"/>
          </w:tcPr>
          <w:p>
            <w:pPr>
              <w:spacing w:after="0"/>
              <w:rPr>
                <w:sz w:val="15"/>
                <w:szCs w:val="15"/>
                <w:color w:val="auto"/>
              </w:rPr>
            </w:pP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to affiliates</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(348 )</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0" w:type="dxa"/>
            <w:vAlign w:val="bottom"/>
            <w:tcBorders>
              <w:top w:val="single" w:sz="8" w:color="CFF0FC"/>
            </w:tcBorders>
          </w:tcPr>
          <w:p>
            <w:pPr>
              <w:spacing w:after="0"/>
              <w:rPr>
                <w:sz w:val="14"/>
                <w:szCs w:val="14"/>
                <w:color w:val="auto"/>
              </w:rPr>
            </w:pPr>
          </w:p>
        </w:tc>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313,294</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44,578</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357,872</w:t>
            </w:r>
          </w:p>
        </w:tc>
        <w:tc>
          <w:tcPr>
            <w:tcW w:w="100" w:type="dxa"/>
            <w:vAlign w:val="bottom"/>
            <w:tcBorders>
              <w:top w:val="single" w:sz="8" w:color="CFF0FC"/>
            </w:tcBorders>
          </w:tcPr>
          <w:p>
            <w:pPr>
              <w:spacing w:after="0"/>
              <w:rPr>
                <w:sz w:val="14"/>
                <w:szCs w:val="14"/>
                <w:color w:val="auto"/>
              </w:rPr>
            </w:pPr>
          </w:p>
        </w:tc>
      </w:tr>
      <w:tr>
        <w:trPr>
          <w:trHeight w:val="175"/>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service revenue</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100" w:type="dxa"/>
            <w:vAlign w:val="bottom"/>
            <w:shd w:val="clear" w:color="auto" w:fill="CFF0FC"/>
          </w:tcPr>
          <w:p>
            <w:pPr>
              <w:spacing w:after="0"/>
              <w:rPr>
                <w:sz w:val="15"/>
                <w:szCs w:val="15"/>
                <w:color w:val="auto"/>
              </w:rPr>
            </w:pPr>
          </w:p>
        </w:tc>
      </w:tr>
      <w:tr>
        <w:trPr>
          <w:trHeight w:val="17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Cost of product sales</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14,321</w:t>
            </w:r>
          </w:p>
        </w:tc>
        <w:tc>
          <w:tcPr>
            <w:tcW w:w="100" w:type="dxa"/>
            <w:vAlign w:val="bottom"/>
          </w:tcPr>
          <w:p>
            <w:pPr>
              <w:spacing w:after="0"/>
              <w:rPr>
                <w:sz w:val="15"/>
                <w:szCs w:val="15"/>
                <w:color w:val="auto"/>
              </w:rPr>
            </w:pP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sales to affiliates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106,259</w:t>
            </w:r>
          </w:p>
        </w:tc>
        <w:tc>
          <w:tcPr>
            <w:tcW w:w="100" w:type="dxa"/>
            <w:vAlign w:val="bottom"/>
          </w:tcPr>
          <w:p>
            <w:pPr>
              <w:spacing w:after="0"/>
              <w:rPr>
                <w:sz w:val="15"/>
                <w:szCs w:val="15"/>
                <w:color w:val="auto"/>
              </w:rPr>
            </w:pP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68,068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13,719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81,787</w:t>
            </w:r>
          </w:p>
        </w:tc>
        <w:tc>
          <w:tcPr>
            <w:tcW w:w="100" w:type="dxa"/>
            <w:vAlign w:val="bottom"/>
            <w:shd w:val="clear" w:color="auto" w:fill="CFF0FC"/>
          </w:tcPr>
          <w:p>
            <w:pPr>
              <w:spacing w:after="0"/>
              <w:rPr>
                <w:sz w:val="15"/>
                <w:szCs w:val="15"/>
                <w:color w:val="auto"/>
              </w:rPr>
            </w:pPr>
          </w:p>
        </w:tc>
      </w:tr>
      <w:tr>
        <w:trPr>
          <w:trHeight w:val="175"/>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(gain) loss on disposal of assets, net</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70,846</w:t>
            </w:r>
          </w:p>
        </w:tc>
        <w:tc>
          <w:tcPr>
            <w:tcW w:w="100" w:type="dxa"/>
            <w:vAlign w:val="bottom"/>
          </w:tcPr>
          <w:p>
            <w:pPr>
              <w:spacing w:after="0"/>
              <w:rPr>
                <w:sz w:val="15"/>
                <w:szCs w:val="15"/>
                <w:color w:val="auto"/>
              </w:rPr>
            </w:pPr>
          </w:p>
        </w:tc>
      </w:tr>
      <w:tr>
        <w:trPr>
          <w:trHeight w:val="169"/>
        </w:trPr>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416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229,016</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51,689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280,705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14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84,278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(7,111 )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77,167</w:t>
            </w:r>
          </w:p>
        </w:tc>
        <w:tc>
          <w:tcPr>
            <w:tcW w:w="100" w:type="dxa"/>
            <w:vAlign w:val="bottom"/>
          </w:tcPr>
          <w:p>
            <w:pPr>
              <w:spacing w:after="0"/>
              <w:rPr>
                <w:sz w:val="14"/>
                <w:szCs w:val="14"/>
                <w:color w:val="auto"/>
              </w:rPr>
            </w:pPr>
          </w:p>
        </w:tc>
      </w:tr>
      <w:tr>
        <w:trPr>
          <w:trHeight w:val="175"/>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equity investment</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(39,681 )</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34,427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100" w:type="dxa"/>
            <w:vAlign w:val="bottom"/>
          </w:tcPr>
          <w:p>
            <w:pPr>
              <w:spacing w:after="0"/>
              <w:rPr>
                <w:sz w:val="15"/>
                <w:szCs w:val="15"/>
                <w:color w:val="auto"/>
              </w:rPr>
            </w:pP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(2,866 )</w:t>
            </w: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(2,866 )</w:t>
            </w:r>
          </w:p>
        </w:tc>
      </w:tr>
      <w:tr>
        <w:trPr>
          <w:trHeight w:val="175"/>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(965 )</w:t>
            </w:r>
          </w:p>
        </w:tc>
        <w:tc>
          <w:tcPr>
            <w:tcW w:w="1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(965 )</w:t>
            </w:r>
          </w:p>
        </w:tc>
      </w:tr>
      <w:tr>
        <w:trPr>
          <w:trHeight w:val="176"/>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(5,874 )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(6,905 )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14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(39,681 )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(1,028 )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18,028</w:t>
            </w:r>
          </w:p>
        </w:tc>
        <w:tc>
          <w:tcPr>
            <w:tcW w:w="100" w:type="dxa"/>
            <w:vAlign w:val="bottom"/>
          </w:tcPr>
          <w:p>
            <w:pPr>
              <w:spacing w:after="0"/>
              <w:rPr>
                <w:sz w:val="14"/>
                <w:szCs w:val="14"/>
                <w:color w:val="auto"/>
              </w:rPr>
            </w:pPr>
          </w:p>
        </w:tc>
      </w:tr>
      <w:tr>
        <w:trPr>
          <w:trHeight w:val="169"/>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4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39,681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59,968</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(34,427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59,139</w:t>
            </w:r>
          </w:p>
        </w:tc>
        <w:tc>
          <w:tcPr>
            <w:tcW w:w="100" w:type="dxa"/>
            <w:vAlign w:val="bottom"/>
            <w:shd w:val="clear" w:color="auto" w:fill="CFF0FC"/>
          </w:tcPr>
          <w:p>
            <w:pPr>
              <w:spacing w:after="0"/>
              <w:rPr>
                <w:sz w:val="14"/>
                <w:szCs w:val="14"/>
                <w:color w:val="auto"/>
              </w:rPr>
            </w:pPr>
          </w:p>
        </w:tc>
      </w:tr>
      <w:tr>
        <w:trPr>
          <w:trHeight w:val="17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4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(829 )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19,458</w:t>
            </w:r>
          </w:p>
        </w:tc>
        <w:tc>
          <w:tcPr>
            <w:tcW w:w="100" w:type="dxa"/>
            <w:vAlign w:val="bottom"/>
          </w:tcPr>
          <w:p>
            <w:pPr>
              <w:spacing w:after="0"/>
              <w:rPr>
                <w:sz w:val="15"/>
                <w:szCs w:val="15"/>
                <w:color w:val="auto"/>
              </w:rPr>
            </w:pPr>
          </w:p>
        </w:tc>
      </w:tr>
      <w:tr>
        <w:trPr>
          <w:trHeight w:val="209"/>
        </w:trPr>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16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39,681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39,681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(5,254</w:t>
            </w:r>
          </w:p>
        </w:tc>
        <w:tc>
          <w:tcPr>
            <w:tcW w:w="12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(34,427</w:t>
            </w:r>
          </w:p>
        </w:tc>
        <w:tc>
          <w:tcPr>
            <w:tcW w:w="100" w:type="dxa"/>
            <w:vAlign w:val="bottom"/>
            <w:tcBorders>
              <w:top w:val="single" w:sz="8" w:color="CFF0FC"/>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39,681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156"/>
        </w:trPr>
        <w:tc>
          <w:tcPr>
            <w:tcW w:w="418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(7,673 )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(7,673 )</w:t>
            </w:r>
          </w:p>
        </w:tc>
      </w:tr>
      <w:tr>
        <w:trPr>
          <w:trHeight w:val="169"/>
        </w:trPr>
        <w:tc>
          <w:tcPr>
            <w:tcW w:w="20" w:type="dxa"/>
            <w:vAlign w:val="bottom"/>
          </w:tcPr>
          <w:p>
            <w:pPr>
              <w:spacing w:after="0"/>
              <w:rPr>
                <w:sz w:val="14"/>
                <w:szCs w:val="14"/>
                <w:color w:val="auto"/>
              </w:rPr>
            </w:pPr>
          </w:p>
        </w:tc>
        <w:tc>
          <w:tcPr>
            <w:tcW w:w="41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Total comprehensive income (loss)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39,681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39,681</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(12,927</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(34,427</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32,008</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-2451100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-2451100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-2451100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-2451100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-1675130</wp:posOffset>
            </wp:positionV>
            <wp:extent cx="102235"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-1675130</wp:posOffset>
            </wp:positionV>
            <wp:extent cx="10287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-1675130</wp:posOffset>
            </wp:positionV>
            <wp:extent cx="9398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-1675130</wp:posOffset>
            </wp:positionV>
            <wp:extent cx="9398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-1675130</wp:posOffset>
            </wp:positionV>
            <wp:extent cx="9398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-864870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-864870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-864870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-864870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-393700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-376555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-513715</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-393700</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-376555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-513715</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-393700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-376555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-393700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-376555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-513715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Six Months Ended 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13"/>
                <w:szCs w:val="13"/>
                <w:color w:val="auto"/>
              </w:rPr>
            </w:pPr>
          </w:p>
        </w:tc>
        <w:tc>
          <w:tcPr>
            <w:tcW w:w="1240" w:type="dxa"/>
            <w:vAlign w:val="bottom"/>
            <w:gridSpan w:val="2"/>
          </w:tcPr>
          <w:p>
            <w:pPr>
              <w:jc w:val="right"/>
              <w:ind w:right="42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20" w:type="dxa"/>
            <w:vAlign w:val="bottom"/>
            <w:gridSpan w:val="2"/>
          </w:tcPr>
          <w:p>
            <w:pPr>
              <w:jc w:val="center"/>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40" w:type="dxa"/>
            <w:vAlign w:val="bottom"/>
          </w:tcPr>
          <w:p>
            <w:pPr>
              <w:spacing w:after="0"/>
              <w:rPr>
                <w:sz w:val="15"/>
                <w:szCs w:val="15"/>
                <w:color w:val="auto"/>
              </w:rPr>
            </w:pPr>
          </w:p>
        </w:tc>
        <w:tc>
          <w:tcPr>
            <w:tcW w:w="124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2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39,681</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39,681</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(5,254 )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(34,427 )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1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Amortization of deferred financing costs and discounts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(2,866 )</w:t>
            </w: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(2,866 )</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(965 )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Credit loss expense</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(14,483 )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(1,217 )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(15,700 )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from equity investment</w:t>
            </w:r>
          </w:p>
        </w:tc>
        <w:tc>
          <w:tcPr>
            <w:tcW w:w="140" w:type="dxa"/>
            <w:vAlign w:val="bottom"/>
          </w:tcPr>
          <w:p>
            <w:pPr>
              <w:spacing w:after="0"/>
              <w:rPr>
                <w:sz w:val="15"/>
                <w:szCs w:val="15"/>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(39,681 )</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(19,443 )</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(19,112 )</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Unbilled receivables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(5,003 )</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(4,918 )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(2,918 )</w:t>
            </w:r>
          </w:p>
        </w:tc>
        <w:tc>
          <w:tcPr>
            <w:tcW w:w="14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(4,479 )</w:t>
            </w: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(7,397 )</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(3,077 )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Due to affiliates</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(3,497 )</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0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4,342</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Pr>
          <w:p>
            <w:pPr>
              <w:spacing w:after="0"/>
              <w:rPr>
                <w:sz w:val="14"/>
                <w:szCs w:val="14"/>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94,346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(647 )</w:t>
            </w: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(647 )</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4080" w:type="dxa"/>
            <w:vAlign w:val="bottom"/>
            <w:gridSpan w:val="2"/>
            <w:shd w:val="clear" w:color="auto" w:fill="CFF0FC"/>
          </w:tcPr>
          <w:p>
            <w:pPr>
              <w:ind w:left="180"/>
              <w:spacing w:after="0" w:line="139" w:lineRule="exact"/>
              <w:rPr>
                <w:sz w:val="20"/>
                <w:szCs w:val="20"/>
                <w:color w:val="auto"/>
              </w:rPr>
            </w:pPr>
            <w:r>
              <w:rPr>
                <w:rFonts w:ascii="Times New Roman" w:cs="Times New Roman" w:eastAsia="Times New Roman" w:hAnsi="Times New Roman"/>
                <w:sz w:val="14"/>
                <w:szCs w:val="14"/>
                <w:color w:val="auto"/>
              </w:rPr>
              <w:t>Purchases of installation and service parts and property and</w:t>
            </w:r>
          </w:p>
        </w:tc>
        <w:tc>
          <w:tcPr>
            <w:tcW w:w="140" w:type="dxa"/>
            <w:vAlign w:val="bottom"/>
            <w:shd w:val="clear" w:color="auto" w:fill="CFF0FC"/>
          </w:tcPr>
          <w:p>
            <w:pPr>
              <w:spacing w:after="0"/>
              <w:rPr>
                <w:sz w:val="12"/>
                <w:szCs w:val="12"/>
                <w:color w:val="auto"/>
              </w:rPr>
            </w:pPr>
          </w:p>
        </w:tc>
        <w:tc>
          <w:tcPr>
            <w:tcW w:w="16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(17,179 )</w:t>
            </w:r>
          </w:p>
        </w:tc>
        <w:tc>
          <w:tcPr>
            <w:tcW w:w="14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(5,545 )</w:t>
            </w:r>
          </w:p>
        </w:tc>
        <w:tc>
          <w:tcPr>
            <w:tcW w:w="12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(22,724 )</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140" w:type="dxa"/>
            <w:vAlign w:val="bottom"/>
            <w:shd w:val="clear" w:color="auto" w:fill="CFF0FC"/>
          </w:tcPr>
          <w:p>
            <w:pPr>
              <w:spacing w:after="0"/>
              <w:rPr>
                <w:sz w:val="16"/>
                <w:szCs w:val="16"/>
                <w:color w:val="auto"/>
              </w:rPr>
            </w:pPr>
          </w:p>
        </w:tc>
        <w:tc>
          <w:tcPr>
            <w:tcW w:w="16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Cash proceeds from the sale of assets</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00" w:type="dxa"/>
            <w:vAlign w:val="bottom"/>
            <w:tcBorders>
              <w:top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(17,754</w:t>
            </w:r>
          </w:p>
        </w:tc>
        <w:tc>
          <w:tcPr>
            <w:tcW w:w="240" w:type="dxa"/>
            <w:vAlign w:val="bottom"/>
            <w:tcBorders>
              <w:top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(5,545</w:t>
            </w:r>
          </w:p>
        </w:tc>
        <w:tc>
          <w:tcPr>
            <w:tcW w:w="220" w:type="dxa"/>
            <w:vAlign w:val="bottom"/>
            <w:tcBorders>
              <w:top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(23,299</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6"/>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Repayment on the revolver</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(25,000 )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(4,510 )</w:t>
            </w: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(4,510 )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(246 )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 repurchases and retirement</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(55,281 )</w:t>
            </w: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(55,281 )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0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 of employee tax withholding related to RSUs vesting</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(1,639 )</w:t>
            </w: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(1,639 )</w:t>
            </w:r>
          </w:p>
        </w:tc>
        <w:tc>
          <w:tcPr>
            <w:tcW w:w="0" w:type="dxa"/>
            <w:vAlign w:val="bottom"/>
          </w:tcPr>
          <w:p>
            <w:pPr>
              <w:spacing w:after="0"/>
              <w:rPr>
                <w:sz w:val="1"/>
                <w:szCs w:val="1"/>
                <w:color w:val="auto"/>
              </w:rPr>
            </w:pPr>
          </w:p>
        </w:tc>
      </w:tr>
      <w:tr>
        <w:trPr>
          <w:trHeight w:val="169"/>
        </w:trPr>
        <w:tc>
          <w:tcPr>
            <w:tcW w:w="41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(86,517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(430 )</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00" w:type="dxa"/>
            <w:vAlign w:val="bottom"/>
            <w:tcBorders>
              <w:top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40" w:type="dxa"/>
            <w:vAlign w:val="bottom"/>
            <w:tcBorders>
              <w:top w:val="single" w:sz="8" w:color="CFF0FC"/>
            </w:tcBorders>
            <w:shd w:val="clear" w:color="auto" w:fill="CFF0FC"/>
          </w:tcPr>
          <w:p>
            <w:pPr>
              <w:spacing w:after="0"/>
              <w:rPr>
                <w:sz w:val="14"/>
                <w:szCs w:val="14"/>
                <w:color w:val="auto"/>
              </w:rPr>
            </w:pPr>
          </w:p>
        </w:tc>
        <w:tc>
          <w:tcPr>
            <w:tcW w:w="13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(9,925</w:t>
            </w:r>
          </w:p>
        </w:tc>
        <w:tc>
          <w:tcPr>
            <w:tcW w:w="240" w:type="dxa"/>
            <w:vAlign w:val="bottom"/>
            <w:tcBorders>
              <w:top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CFF0FC"/>
            </w:tcBorders>
            <w:shd w:val="clear" w:color="auto" w:fill="CFF0FC"/>
          </w:tcPr>
          <w:p>
            <w:pPr>
              <w:spacing w:after="0"/>
              <w:rPr>
                <w:sz w:val="14"/>
                <w:szCs w:val="14"/>
                <w:color w:val="auto"/>
              </w:rPr>
            </w:pPr>
          </w:p>
        </w:tc>
        <w:tc>
          <w:tcPr>
            <w:tcW w:w="1220" w:type="dxa"/>
            <w:vAlign w:val="bottom"/>
            <w:tcBorders>
              <w:top w:val="single" w:sz="8" w:color="CFF0FC"/>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(3,946 )</w:t>
            </w:r>
          </w:p>
        </w:tc>
        <w:tc>
          <w:tcPr>
            <w:tcW w:w="120" w:type="dxa"/>
            <w:vAlign w:val="bottom"/>
            <w:tcBorders>
              <w:top w:val="single" w:sz="8" w:color="CFF0FC"/>
            </w:tcBorders>
            <w:shd w:val="clear" w:color="auto" w:fill="CFF0FC"/>
          </w:tcPr>
          <w:p>
            <w:pPr>
              <w:spacing w:after="0"/>
              <w:rPr>
                <w:sz w:val="14"/>
                <w:szCs w:val="14"/>
                <w:color w:val="auto"/>
              </w:rPr>
            </w:pPr>
          </w:p>
        </w:tc>
        <w:tc>
          <w:tcPr>
            <w:tcW w:w="1220" w:type="dxa"/>
            <w:vAlign w:val="bottom"/>
            <w:tcBorders>
              <w:top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shd w:val="clear" w:color="auto" w:fill="CFF0FC"/>
          </w:tcPr>
          <w:p>
            <w:pPr>
              <w:spacing w:after="0"/>
              <w:rPr>
                <w:sz w:val="14"/>
                <w:szCs w:val="14"/>
                <w:color w:val="auto"/>
              </w:rPr>
            </w:pPr>
          </w:p>
        </w:tc>
        <w:tc>
          <w:tcPr>
            <w:tcW w:w="116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(13,871 )</w:t>
            </w:r>
          </w:p>
        </w:tc>
        <w:tc>
          <w:tcPr>
            <w:tcW w:w="0" w:type="dxa"/>
            <w:vAlign w:val="bottom"/>
          </w:tcPr>
          <w:p>
            <w:pPr>
              <w:spacing w:after="0"/>
              <w:rPr>
                <w:sz w:val="1"/>
                <w:szCs w:val="1"/>
                <w:color w:val="auto"/>
              </w:rPr>
            </w:pPr>
          </w:p>
        </w:tc>
      </w:tr>
      <w:tr>
        <w:trPr>
          <w:trHeight w:val="175"/>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140" w:type="dxa"/>
            <w:vAlign w:val="bottom"/>
          </w:tcPr>
          <w:p>
            <w:pPr>
              <w:spacing w:after="0"/>
              <w:rPr>
                <w:sz w:val="15"/>
                <w:szCs w:val="15"/>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FF0FC"/>
            </w:tcBorders>
            <w:gridSpan w:val="3"/>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59,064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31,497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90,561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-2185670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-2185670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-2185670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-2185670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-1525270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-1525270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-1525270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-1525270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-505460</wp:posOffset>
            </wp:positionV>
            <wp:extent cx="768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-505460</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-505460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-505460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-376555</wp:posOffset>
            </wp:positionV>
            <wp:extent cx="774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-25400</wp:posOffset>
            </wp:positionV>
            <wp:extent cx="768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-8255</wp:posOffset>
            </wp:positionV>
            <wp:extent cx="768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774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Six Months Ended 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4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tcPr>
          <w:p>
            <w:pPr>
              <w:spacing w:after="0"/>
              <w:rPr>
                <w:sz w:val="13"/>
                <w:szCs w:val="13"/>
                <w:color w:val="auto"/>
              </w:rPr>
            </w:pPr>
          </w:p>
        </w:tc>
        <w:tc>
          <w:tcPr>
            <w:tcW w:w="1460" w:type="dxa"/>
            <w:vAlign w:val="bottom"/>
          </w:tcPr>
          <w:p>
            <w:pPr>
              <w:jc w:val="center"/>
              <w:ind w:left="148"/>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46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2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1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paid</w:t>
            </w:r>
          </w:p>
        </w:tc>
        <w:tc>
          <w:tcPr>
            <w:tcW w:w="1460" w:type="dxa"/>
            <w:vAlign w:val="bottom"/>
          </w:tcPr>
          <w:p>
            <w:pPr>
              <w:jc w:val="right"/>
              <w:ind w:right="13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1460" w:type="dxa"/>
            <w:vAlign w:val="bottom"/>
            <w:shd w:val="clear" w:color="auto" w:fill="CFF0FC"/>
          </w:tcPr>
          <w:p>
            <w:pPr>
              <w:spacing w:after="0"/>
              <w:rPr>
                <w:sz w:val="15"/>
                <w:szCs w:val="15"/>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25,764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Supplemental non-cash investing and financing</w:t>
            </w: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activities:</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Purchases of installation and service parts and</w:t>
            </w:r>
          </w:p>
        </w:tc>
        <w:tc>
          <w:tcPr>
            <w:tcW w:w="1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and equipment in accounts payable and</w:t>
            </w:r>
          </w:p>
        </w:tc>
        <w:tc>
          <w:tcPr>
            <w:tcW w:w="1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liabilities at period-end</w:t>
            </w: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together with our Annual Report on Form 10-K for the year ended December 31, 2021,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II, Item 1A. “Risk Factors” in this Quarterly Report on Form 10-Q and in Part I, Item 1A. “Risk Factors” in our Annual Report on Form 10-K for the year ended December 31, 2021. Please also refer to the section entitled “Cautionary Note Regarding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08"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and services throughout the United States, Australia, Europe and Canada. These solutions and services include toll and violations management, title and registration, automated safety solutions, parking enforcement and citation, and other data-driven solutions, to our customers, which include rental car companies (“</w:t>
      </w:r>
      <w:r>
        <w:rPr>
          <w:rFonts w:ascii="Times New Roman" w:cs="Times New Roman" w:eastAsia="Times New Roman" w:hAnsi="Times New Roman"/>
          <w:sz w:val="18"/>
          <w:szCs w:val="18"/>
          <w:b w:val="1"/>
          <w:bCs w:val="1"/>
          <w:i w:val="1"/>
          <w:iCs w:val="1"/>
          <w:color w:val="auto"/>
        </w:rPr>
        <w:t>RAC</w:t>
      </w:r>
      <w:r>
        <w:rPr>
          <w:rFonts w:ascii="Times New Roman" w:cs="Times New Roman" w:eastAsia="Times New Roman" w:hAnsi="Times New Roman"/>
          <w:sz w:val="18"/>
          <w:szCs w:val="18"/>
          <w:color w:val="auto"/>
        </w:rPr>
        <w:t>s”),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other large fleet owners, municipalities, school districts, universities, parking operators, healthcare facilities and transportation hubs and other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automated safety and parking solutions for hundreds of agencies and millions of end users annually, while also making cities and roadways safer for everyone.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operate under long-term contracts and have a highly reoccurring service revenue model. We continue to execute our strategy to grow revenue organically and expand offerings into adjacent markets through innovation or acquisition. During the periods presented, we:</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growth as a result of strategic acquisitions completed in 2021:</w:t>
      </w:r>
    </w:p>
    <w:p>
      <w:pPr>
        <w:spacing w:after="0" w:line="113" w:lineRule="exact"/>
        <w:rPr>
          <w:rFonts w:ascii="Times New Roman" w:cs="Times New Roman" w:eastAsia="Times New Roman" w:hAnsi="Times New Roman"/>
          <w:sz w:val="18"/>
          <w:szCs w:val="18"/>
          <w:color w:val="auto"/>
        </w:rPr>
      </w:pPr>
    </w:p>
    <w:p>
      <w:pPr>
        <w:jc w:val="both"/>
        <w:ind w:left="10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Redflex </w:t>
      </w:r>
      <w:r>
        <w:rPr>
          <w:rFonts w:ascii="Times New Roman" w:cs="Times New Roman" w:eastAsia="Times New Roman" w:hAnsi="Times New Roman"/>
          <w:sz w:val="18"/>
          <w:szCs w:val="18"/>
          <w:color w:val="auto"/>
        </w:rPr>
        <w:t>– During the second quarter of 2021, we acquired Redflex Holdings Limited (“</w:t>
      </w:r>
      <w:r>
        <w:rPr>
          <w:rFonts w:ascii="Times New Roman" w:cs="Times New Roman" w:eastAsia="Times New Roman" w:hAnsi="Times New Roman"/>
          <w:sz w:val="18"/>
          <w:szCs w:val="18"/>
          <w:b w:val="1"/>
          <w:bCs w:val="1"/>
          <w:i w:val="1"/>
          <w:iCs w:val="1"/>
          <w:color w:val="auto"/>
        </w:rPr>
        <w:t>Redflex</w:t>
      </w:r>
      <w:r>
        <w:rPr>
          <w:rFonts w:ascii="Times New Roman" w:cs="Times New Roman" w:eastAsia="Times New Roman" w:hAnsi="Times New Roman"/>
          <w:sz w:val="18"/>
          <w:szCs w:val="18"/>
          <w:color w:val="auto"/>
        </w:rPr>
        <w:t>”), which provides intelligent traffic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products and services to its customers. Through our acquisition of Redflex, we expanded our current footprint in the United States and gained access to international markets.</w:t>
      </w:r>
    </w:p>
    <w:p>
      <w:pPr>
        <w:spacing w:after="0" w:line="171" w:lineRule="exact"/>
        <w:rPr>
          <w:rFonts w:ascii="Times New Roman" w:cs="Times New Roman" w:eastAsia="Times New Roman" w:hAnsi="Times New Roman"/>
          <w:sz w:val="18"/>
          <w:szCs w:val="18"/>
          <w:color w:val="auto"/>
        </w:rPr>
      </w:pPr>
    </w:p>
    <w:p>
      <w:pPr>
        <w:jc w:val="both"/>
        <w:ind w:left="10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T2 Systems </w:t>
      </w:r>
      <w:r>
        <w:rPr>
          <w:rFonts w:ascii="Times New Roman" w:cs="Times New Roman" w:eastAsia="Times New Roman" w:hAnsi="Times New Roman"/>
          <w:sz w:val="18"/>
          <w:szCs w:val="18"/>
          <w:color w:val="auto"/>
        </w:rPr>
        <w:t>– During the fourth quarter of 2021, we acquired T2 Systems Parent Corporation (“</w:t>
      </w:r>
      <w:r>
        <w:rPr>
          <w:rFonts w:ascii="Times New Roman" w:cs="Times New Roman" w:eastAsia="Times New Roman" w:hAnsi="Times New Roman"/>
          <w:sz w:val="18"/>
          <w:szCs w:val="18"/>
          <w:b w:val="1"/>
          <w:bCs w:val="1"/>
          <w:i w:val="1"/>
          <w:iCs w:val="1"/>
          <w:color w:val="auto"/>
        </w:rPr>
        <w:t>T2 Systems</w:t>
      </w:r>
      <w:r>
        <w:rPr>
          <w:rFonts w:ascii="Times New Roman" w:cs="Times New Roman" w:eastAsia="Times New Roman" w:hAnsi="Times New Roman"/>
          <w:sz w:val="18"/>
          <w:szCs w:val="18"/>
          <w:color w:val="auto"/>
        </w:rPr>
        <w:t>”), which provides an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suite of parking software and hardware solutions and supports our strategy to diversify into new markets and increase opportunities to cross sell to customers within our overall portfolio.</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$139.4 million from $218.5 million for the six months ended June 30, 2021 to $357.9 million for the six months ended June 30, 2022. Redflex and T2 Systems contributed approximately $72.6 million to the overall revenue growth, and the remaining increase was mainly due to service revenue resulting from increased travel volume and tolling activity in 2022 in the Commercial Services segment; and</w:t>
      </w:r>
    </w:p>
    <w:p>
      <w:pPr>
        <w:spacing w:after="0" w:line="6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operations of $96.4 million and $37.5 million for the six months ended June 30, 2022 and 2021, respectively. Our cash on hand was $86.4 million as of June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14"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May 7, 2022, our Board of Directors authorized a share repurchase program for up to an aggregate amount of $125.0 million of our outstanding shares of Class A Common Stock over the next 12 months from time to time in open market transactions, accelerated share repurchases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or in privately negotiated transactions, each as permitted under applicable rules and regulations, any of which may use pre-arranged trading plans that are designed to meet the requirements of Rule 10b5-1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May 12, 2022, we paid $50.0 million, which represented the aggregate amount authorized for an ASR, and received an initial delivery of 2,739,726 shares of our Class A Common Stock in accordance with an ASR agreement with a third-party financial institution. The final settlement is expected to occur during the third quarter of fiscal year 2022, at which time, a volume-weighted average price calculation over the term of the ASR agreement will be used to determine the final number and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price of shares repurchased and retired. In addition, we paid $5.2 million and repurchased 336,153 shares of our Class A Common Stock through open market transactions during the second quarter of fiscal year 2022. Our Board of Directors authorized an aggregate purchase amount of $75 million related to the open market repurchases, of which $69.8 million is available for future repurchases as of June 30, 2022.</w:t>
      </w:r>
    </w:p>
    <w:p>
      <w:pPr>
        <w:spacing w:after="0" w:line="169"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Company’s repurchase of shares of its Class A Common Stock in the future depends on a number of factors, including our financial condition, capital requirements, cash flows, results of operations, future business prospects and other factors our management may deem relevant. The timing, volume and nature of such repurchases are subject to market conditions, applicable securities laws and other factors and may be amended, suspended or discontinued at any time.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Services segment offers toll and violation management solutions and title and registration services for RACs and FMCs in North America. In Europe, we provide toll and violations processing services.</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Solutions segment offers photo enforcement solutions and services to its customers. We provide complete end-to-end speed, red-light, school bus stop arm and bus lane enforcement solutions within the United States and Canada. The international operations through Redflex primarily involve the sale of traffic enforcement products and related maintenance services.</w:t>
      </w:r>
    </w:p>
    <w:p>
      <w:pPr>
        <w:spacing w:after="0" w:line="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Solutions segment provides an integrated suite of parking software and hardware solutions to universities, municipalities, parking operators, healthcare facilities and transportation hubs in the United States and Canada.</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(gain) loss on disposal of assets, net, and</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stock-based compensation. The measure also excludes interest expense, net, income taxes and certain other transactions and is inclusive of other income, net.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97"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9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subscription fees, professional services and citation processing services related to parking management solutions to its customers.</w:t>
      </w:r>
    </w:p>
    <w:p>
      <w:pPr>
        <w:spacing w:after="0" w:line="160"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06"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consists of collection and other professional services provided by third parties and certain 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costs in our segments.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and install hardware sold to Parking Solutions customers.</w:t>
      </w:r>
    </w:p>
    <w:p>
      <w:pPr>
        <w:spacing w:after="0" w:line="14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72"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 compensation), real estate lease expense, insurance costs, professional services fees, acquisition costs and general corporate expenses.</w:t>
      </w:r>
    </w:p>
    <w:p>
      <w:pPr>
        <w:spacing w:after="0" w:line="159"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212"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Change in fair value of private placement warrants consists of liability adjustments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6,666,666 Private Placement Warrants originally issued to Gores Sponsor II, LLC re-measured to fair value at the end of each reporting period.</w:t>
      </w:r>
    </w:p>
    <w:p>
      <w:pPr>
        <w:spacing w:after="0" w:line="14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Tax receivable agreement liability adjustment consists of adjustments made to our Tax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due to changes in estimates.</w:t>
      </w:r>
    </w:p>
    <w:p>
      <w:pPr>
        <w:spacing w:after="0" w:line="172"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generally consists of early payment penalties, the write-off of original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and deferred financing costs associated with debt extinguishment.</w:t>
      </w:r>
    </w:p>
    <w:p>
      <w:pPr>
        <w:spacing w:after="0" w:line="15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purchasing cards and gain or loss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108"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gridSpan w:val="4"/>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gridSpan w:val="2"/>
          </w:tcPr>
          <w:p>
            <w:pPr>
              <w:spacing w:after="0" w:line="167" w:lineRule="exact"/>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tcPr>
          <w:p>
            <w:pPr>
              <w:jc w:val="right"/>
              <w:ind w:right="5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174,502</w:t>
            </w:r>
          </w:p>
        </w:tc>
        <w:tc>
          <w:tcPr>
            <w:tcW w:w="280" w:type="dxa"/>
            <w:vAlign w:val="bottom"/>
          </w:tcPr>
          <w:p>
            <w:pPr>
              <w:spacing w:after="0"/>
              <w:rPr>
                <w:sz w:val="14"/>
                <w:szCs w:val="14"/>
                <w:color w:val="auto"/>
              </w:rPr>
            </w:pPr>
          </w:p>
        </w:tc>
        <w:tc>
          <w:tcPr>
            <w:tcW w:w="240" w:type="dxa"/>
            <w:vAlign w:val="bottom"/>
          </w:tcPr>
          <w:p>
            <w:pPr>
              <w:jc w:val="right"/>
              <w:ind w:right="5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116,426</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93.1</w:t>
            </w:r>
          </w:p>
        </w:tc>
        <w:tc>
          <w:tcPr>
            <w:tcW w:w="28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Pr>
          <w:p>
            <w:pPr>
              <w:spacing w:after="0"/>
              <w:rPr>
                <w:sz w:val="14"/>
                <w:szCs w:val="14"/>
                <w:color w:val="auto"/>
              </w:rPr>
            </w:pPr>
          </w:p>
        </w:tc>
        <w:tc>
          <w:tcPr>
            <w:tcW w:w="4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90.5</w:t>
            </w:r>
          </w:p>
        </w:tc>
        <w:tc>
          <w:tcPr>
            <w:tcW w:w="240" w:type="dxa"/>
            <w:vAlign w:val="bottom"/>
          </w:tcPr>
          <w:p>
            <w:pPr>
              <w:jc w:val="right"/>
              <w:ind w:right="15"/>
              <w:spacing w:after="0" w:line="167" w:lineRule="exact"/>
              <w:rPr>
                <w:sz w:val="20"/>
                <w:szCs w:val="20"/>
                <w:color w:val="auto"/>
              </w:rPr>
            </w:pPr>
            <w:r>
              <w:rPr>
                <w:rFonts w:ascii="Times New Roman" w:cs="Times New Roman" w:eastAsia="Times New Roman" w:hAnsi="Times New Roman"/>
                <w:sz w:val="17"/>
                <w:szCs w:val="17"/>
                <w:color w:val="auto"/>
                <w:w w:val="84"/>
              </w:rPr>
              <w:t>%</w:t>
            </w:r>
          </w:p>
        </w:tc>
        <w:tc>
          <w:tcPr>
            <w:tcW w:w="240" w:type="dxa"/>
            <w:vAlign w:val="bottom"/>
          </w:tcPr>
          <w:p>
            <w:pPr>
              <w:jc w:val="right"/>
              <w:ind w:right="5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58,076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49.9</w:t>
            </w:r>
          </w:p>
        </w:tc>
        <w:tc>
          <w:tcPr>
            <w:tcW w:w="2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24"/>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12,231</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6.9 %</w:t>
            </w:r>
          </w:p>
        </w:tc>
        <w:tc>
          <w:tcPr>
            <w:tcW w:w="700" w:type="dxa"/>
            <w:vAlign w:val="bottom"/>
          </w:tcPr>
          <w:p>
            <w:pPr>
              <w:spacing w:after="0"/>
              <w:rPr>
                <w:sz w:val="19"/>
                <w:szCs w:val="19"/>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9.5 %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187,487</w:t>
            </w: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128,657</w:t>
            </w:r>
          </w:p>
        </w:tc>
        <w:tc>
          <w:tcPr>
            <w:tcW w:w="2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93"/>
              </w:rPr>
              <w:t>100.0</w:t>
            </w:r>
          </w:p>
        </w:tc>
        <w:tc>
          <w:tcPr>
            <w:tcW w:w="280" w:type="dxa"/>
            <w:vAlign w:val="bottom"/>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99"/>
              </w:rPr>
              <w:t>100.0</w:t>
            </w:r>
          </w:p>
        </w:tc>
        <w:tc>
          <w:tcPr>
            <w:tcW w:w="240" w:type="dxa"/>
            <w:vAlign w:val="bottom"/>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w w:val="84"/>
              </w:rPr>
              <w:t>%</w:t>
            </w: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58,830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45.7 %</w:t>
            </w:r>
          </w:p>
        </w:tc>
        <w:tc>
          <w:tcPr>
            <w:tcW w:w="0" w:type="dxa"/>
            <w:vAlign w:val="bottom"/>
          </w:tcPr>
          <w:p>
            <w:pPr>
              <w:spacing w:after="0"/>
              <w:rPr>
                <w:sz w:val="1"/>
                <w:szCs w:val="1"/>
                <w:color w:val="auto"/>
              </w:rPr>
            </w:pPr>
          </w:p>
        </w:tc>
      </w:tr>
      <w:tr>
        <w:trPr>
          <w:trHeight w:val="20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2.0 %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1.0 %</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178.8 %</w:t>
            </w:r>
          </w:p>
        </w:tc>
        <w:tc>
          <w:tcPr>
            <w:tcW w:w="0" w:type="dxa"/>
            <w:vAlign w:val="bottom"/>
          </w:tcPr>
          <w:p>
            <w:pPr>
              <w:spacing w:after="0"/>
              <w:rPr>
                <w:sz w:val="1"/>
                <w:szCs w:val="1"/>
                <w:color w:val="auto"/>
              </w:rPr>
            </w:pPr>
          </w:p>
        </w:tc>
      </w:tr>
      <w:tr>
        <w:trPr>
          <w:trHeight w:val="20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6,144</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4.5 %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4.8 %</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35.5 %</w:t>
            </w:r>
          </w:p>
        </w:tc>
        <w:tc>
          <w:tcPr>
            <w:tcW w:w="0" w:type="dxa"/>
            <w:vAlign w:val="bottom"/>
          </w:tcPr>
          <w:p>
            <w:pPr>
              <w:spacing w:after="0"/>
              <w:rPr>
                <w:sz w:val="1"/>
                <w:szCs w:val="1"/>
                <w:color w:val="auto"/>
              </w:rPr>
            </w:pPr>
          </w:p>
        </w:tc>
      </w:tr>
      <w:tr>
        <w:trPr>
          <w:trHeight w:val="20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36,434</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29.4 %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28.3 %</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51.5 %</w:t>
            </w:r>
          </w:p>
        </w:tc>
        <w:tc>
          <w:tcPr>
            <w:tcW w:w="0" w:type="dxa"/>
            <w:vAlign w:val="bottom"/>
          </w:tcPr>
          <w:p>
            <w:pPr>
              <w:spacing w:after="0"/>
              <w:rPr>
                <w:sz w:val="1"/>
                <w:szCs w:val="1"/>
                <w:color w:val="auto"/>
              </w:rPr>
            </w:pPr>
          </w:p>
        </w:tc>
      </w:tr>
      <w:tr>
        <w:trPr>
          <w:trHeight w:val="20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40,152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26,229</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21.4 %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20.4 %</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53.1 %</w:t>
            </w:r>
          </w:p>
        </w:tc>
        <w:tc>
          <w:tcPr>
            <w:tcW w:w="0" w:type="dxa"/>
            <w:vAlign w:val="bottom"/>
          </w:tcPr>
          <w:p>
            <w:pPr>
              <w:spacing w:after="0"/>
              <w:rPr>
                <w:sz w:val="1"/>
                <w:szCs w:val="1"/>
                <w:color w:val="auto"/>
              </w:rPr>
            </w:pPr>
          </w:p>
        </w:tc>
      </w:tr>
      <w:tr>
        <w:trPr>
          <w:trHeight w:val="175"/>
        </w:trPr>
        <w:tc>
          <w:tcPr>
            <w:tcW w:w="37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disposal of assets,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27,012</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18.6 %</w:t>
            </w:r>
          </w:p>
        </w:tc>
        <w:tc>
          <w:tcPr>
            <w:tcW w:w="700" w:type="dxa"/>
            <w:vAlign w:val="bottom"/>
          </w:tcPr>
          <w:p>
            <w:pPr>
              <w:spacing w:after="0"/>
              <w:rPr>
                <w:sz w:val="19"/>
                <w:szCs w:val="19"/>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21.0 %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142,326</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97,151</w:t>
            </w:r>
          </w:p>
        </w:tc>
        <w:tc>
          <w:tcPr>
            <w:tcW w:w="280" w:type="dxa"/>
            <w:vAlign w:val="bottom"/>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45,175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46.5 %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tcPr>
          <w:p>
            <w:pPr>
              <w:spacing w:after="0"/>
              <w:rPr>
                <w:sz w:val="15"/>
                <w:szCs w:val="15"/>
                <w:color w:val="auto"/>
              </w:rPr>
            </w:pPr>
          </w:p>
        </w:tc>
        <w:tc>
          <w:tcPr>
            <w:tcW w:w="8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45,161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31,506</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gridSpan w:val="2"/>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rPr>
              <w:t xml:space="preserve">24.1 </w:t>
            </w:r>
            <w:r>
              <w:rPr>
                <w:rFonts w:ascii="Times New Roman" w:cs="Times New Roman" w:eastAsia="Times New Roman" w:hAnsi="Times New Roman"/>
                <w:sz w:val="17"/>
                <w:szCs w:val="17"/>
                <w:color w:val="auto"/>
                <w:highlight w:val="white"/>
              </w:rPr>
              <w:t>%</w:t>
            </w:r>
          </w:p>
        </w:tc>
        <w:tc>
          <w:tcPr>
            <w:tcW w:w="700" w:type="dxa"/>
            <w:vAlign w:val="bottom"/>
          </w:tcPr>
          <w:p>
            <w:pPr>
              <w:spacing w:after="0"/>
              <w:rPr>
                <w:sz w:val="15"/>
                <w:szCs w:val="15"/>
                <w:color w:val="auto"/>
              </w:rPr>
            </w:pPr>
          </w:p>
        </w:tc>
        <w:tc>
          <w:tcPr>
            <w:tcW w:w="660" w:type="dxa"/>
            <w:vAlign w:val="bottom"/>
            <w:gridSpan w:val="2"/>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rPr>
              <w:t xml:space="preserve">24.5 </w:t>
            </w:r>
            <w:r>
              <w:rPr>
                <w:rFonts w:ascii="Times New Roman" w:cs="Times New Roman" w:eastAsia="Times New Roman" w:hAnsi="Times New Roman"/>
                <w:sz w:val="17"/>
                <w:szCs w:val="17"/>
                <w:color w:val="auto"/>
                <w:highlight w:val="white"/>
              </w:rPr>
              <w:t>%</w:t>
            </w:r>
          </w:p>
        </w:tc>
        <w:tc>
          <w:tcPr>
            <w:tcW w:w="24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13,655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43.3 %</w:t>
            </w:r>
          </w:p>
        </w:tc>
        <w:tc>
          <w:tcPr>
            <w:tcW w:w="0" w:type="dxa"/>
            <w:vAlign w:val="bottom"/>
          </w:tcPr>
          <w:p>
            <w:pPr>
              <w:spacing w:after="0"/>
              <w:rPr>
                <w:sz w:val="1"/>
                <w:szCs w:val="1"/>
                <w:color w:val="auto"/>
              </w:rPr>
            </w:pPr>
          </w:p>
        </w:tc>
      </w:tr>
      <w:tr>
        <w:trPr>
          <w:trHeight w:val="20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11,680</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7.7 %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9.1 %</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24.0 %</w:t>
            </w:r>
          </w:p>
        </w:tc>
        <w:tc>
          <w:tcPr>
            <w:tcW w:w="0" w:type="dxa"/>
            <w:vAlign w:val="bottom"/>
          </w:tcPr>
          <w:p>
            <w:pPr>
              <w:spacing w:after="0"/>
              <w:rPr>
                <w:sz w:val="1"/>
                <w:szCs w:val="1"/>
                <w:color w:val="auto"/>
              </w:rPr>
            </w:pPr>
          </w:p>
        </w:tc>
      </w:tr>
      <w:tr>
        <w:trPr>
          <w:trHeight w:val="20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(6,600 )</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6.3 %</w:t>
            </w:r>
          </w:p>
        </w:tc>
        <w:tc>
          <w:tcPr>
            <w:tcW w:w="240" w:type="dxa"/>
            <w:vAlign w:val="bottom"/>
          </w:tcPr>
          <w:p>
            <w:pPr>
              <w:spacing w:after="0"/>
              <w:rPr>
                <w:sz w:val="17"/>
                <w:szCs w:val="17"/>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(14,667 )</w:t>
            </w: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(181.8 )%</w:t>
            </w:r>
          </w:p>
        </w:tc>
        <w:tc>
          <w:tcPr>
            <w:tcW w:w="0" w:type="dxa"/>
            <w:vAlign w:val="bottom"/>
          </w:tcPr>
          <w:p>
            <w:pPr>
              <w:spacing w:after="0"/>
              <w:rPr>
                <w:sz w:val="1"/>
                <w:szCs w:val="1"/>
                <w:color w:val="auto"/>
              </w:rPr>
            </w:pPr>
          </w:p>
        </w:tc>
      </w:tr>
      <w:tr>
        <w:trPr>
          <w:trHeight w:val="203"/>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adjustment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(965 )</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1.3 %</w:t>
            </w:r>
          </w:p>
        </w:tc>
        <w:tc>
          <w:tcPr>
            <w:tcW w:w="240" w:type="dxa"/>
            <w:vAlign w:val="bottom"/>
          </w:tcPr>
          <w:p>
            <w:pPr>
              <w:spacing w:after="0"/>
              <w:rPr>
                <w:sz w:val="17"/>
                <w:szCs w:val="17"/>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(2,626 )</w:t>
            </w: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(158.1 )%</w:t>
            </w:r>
          </w:p>
        </w:tc>
        <w:tc>
          <w:tcPr>
            <w:tcW w:w="0" w:type="dxa"/>
            <w:vAlign w:val="bottom"/>
          </w:tcPr>
          <w:p>
            <w:pPr>
              <w:spacing w:after="0"/>
              <w:rPr>
                <w:sz w:val="1"/>
                <w:szCs w:val="1"/>
                <w:color w:val="auto"/>
              </w:rPr>
            </w:pPr>
          </w:p>
        </w:tc>
      </w:tr>
      <w:tr>
        <w:trPr>
          <w:trHeight w:val="224"/>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(4,039 )</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(2,798 )</w:t>
            </w:r>
          </w:p>
        </w:tc>
        <w:tc>
          <w:tcPr>
            <w:tcW w:w="7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7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240" w:type="dxa"/>
            <w:vAlign w:val="bottom"/>
          </w:tcPr>
          <w:p>
            <w:pPr>
              <w:spacing w:after="0"/>
              <w:rPr>
                <w:sz w:val="19"/>
                <w:szCs w:val="19"/>
                <w:color w:val="auto"/>
              </w:rPr>
            </w:pPr>
          </w:p>
        </w:tc>
        <w:tc>
          <w:tcPr>
            <w:tcW w:w="9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(1,241 )</w:t>
            </w: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44.4 %</w:t>
            </w:r>
          </w:p>
        </w:tc>
        <w:tc>
          <w:tcPr>
            <w:tcW w:w="0" w:type="dxa"/>
            <w:vAlign w:val="bottom"/>
          </w:tcPr>
          <w:p>
            <w:pPr>
              <w:spacing w:after="0"/>
              <w:rPr>
                <w:sz w:val="1"/>
                <w:szCs w:val="1"/>
                <w:color w:val="auto"/>
              </w:rPr>
            </w:pPr>
          </w:p>
        </w:tc>
      </w:tr>
      <w:tr>
        <w:trPr>
          <w:trHeight w:val="196"/>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18,610</w:t>
            </w:r>
          </w:p>
        </w:tc>
        <w:tc>
          <w:tcPr>
            <w:tcW w:w="280" w:type="dxa"/>
            <w:vAlign w:val="bottom"/>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(84.5 )%</w:t>
            </w:r>
          </w:p>
        </w:tc>
        <w:tc>
          <w:tcPr>
            <w:tcW w:w="0" w:type="dxa"/>
            <w:vAlign w:val="bottom"/>
          </w:tcPr>
          <w:p>
            <w:pPr>
              <w:spacing w:after="0"/>
              <w:rPr>
                <w:sz w:val="1"/>
                <w:szCs w:val="1"/>
                <w:color w:val="auto"/>
              </w:rPr>
            </w:pPr>
          </w:p>
        </w:tc>
      </w:tr>
      <w:tr>
        <w:trPr>
          <w:trHeight w:val="174"/>
        </w:trPr>
        <w:tc>
          <w:tcPr>
            <w:tcW w:w="374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tcPr>
          <w:p>
            <w:pPr>
              <w:spacing w:after="0"/>
              <w:rPr>
                <w:sz w:val="15"/>
                <w:szCs w:val="15"/>
                <w:color w:val="auto"/>
              </w:rPr>
            </w:pPr>
          </w:p>
        </w:tc>
        <w:tc>
          <w:tcPr>
            <w:tcW w:w="8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42,280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12,896</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gridSpan w:val="2"/>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rPr>
              <w:t xml:space="preserve">22.6 </w:t>
            </w:r>
            <w:r>
              <w:rPr>
                <w:rFonts w:ascii="Times New Roman" w:cs="Times New Roman" w:eastAsia="Times New Roman" w:hAnsi="Times New Roman"/>
                <w:sz w:val="17"/>
                <w:szCs w:val="17"/>
                <w:color w:val="auto"/>
                <w:highlight w:val="white"/>
              </w:rPr>
              <w:t>%</w:t>
            </w:r>
          </w:p>
        </w:tc>
        <w:tc>
          <w:tcPr>
            <w:tcW w:w="700" w:type="dxa"/>
            <w:vAlign w:val="bottom"/>
          </w:tcPr>
          <w:p>
            <w:pPr>
              <w:spacing w:after="0"/>
              <w:rPr>
                <w:sz w:val="15"/>
                <w:szCs w:val="15"/>
                <w:color w:val="auto"/>
              </w:rPr>
            </w:pPr>
          </w:p>
        </w:tc>
        <w:tc>
          <w:tcPr>
            <w:tcW w:w="660" w:type="dxa"/>
            <w:vAlign w:val="bottom"/>
            <w:gridSpan w:val="2"/>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rPr>
              <w:t xml:space="preserve">10.0 </w:t>
            </w:r>
            <w:r>
              <w:rPr>
                <w:rFonts w:ascii="Times New Roman" w:cs="Times New Roman" w:eastAsia="Times New Roman" w:hAnsi="Times New Roman"/>
                <w:sz w:val="17"/>
                <w:szCs w:val="17"/>
                <w:color w:val="auto"/>
                <w:highlight w:val="white"/>
              </w:rPr>
              <w:t>%</w:t>
            </w:r>
          </w:p>
        </w:tc>
        <w:tc>
          <w:tcPr>
            <w:tcW w:w="24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29,384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227.9 %</w:t>
            </w:r>
          </w:p>
        </w:tc>
        <w:tc>
          <w:tcPr>
            <w:tcW w:w="0" w:type="dxa"/>
            <w:vAlign w:val="bottom"/>
          </w:tcPr>
          <w:p>
            <w:pPr>
              <w:spacing w:after="0"/>
              <w:rPr>
                <w:sz w:val="1"/>
                <w:szCs w:val="1"/>
                <w:color w:val="auto"/>
              </w:rPr>
            </w:pPr>
          </w:p>
        </w:tc>
      </w:tr>
      <w:tr>
        <w:trPr>
          <w:trHeight w:val="224"/>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8,904</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6.8 %</w:t>
            </w:r>
          </w:p>
        </w:tc>
        <w:tc>
          <w:tcPr>
            <w:tcW w:w="700" w:type="dxa"/>
            <w:vAlign w:val="bottom"/>
          </w:tcPr>
          <w:p>
            <w:pPr>
              <w:spacing w:after="0"/>
              <w:rPr>
                <w:sz w:val="19"/>
                <w:szCs w:val="19"/>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6.9 %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29,641</w:t>
            </w:r>
          </w:p>
        </w:tc>
        <w:tc>
          <w:tcPr>
            <w:tcW w:w="28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 xml:space="preserve">15.8 </w:t>
            </w:r>
            <w:r>
              <w:rPr>
                <w:rFonts w:ascii="Times New Roman" w:cs="Times New Roman" w:eastAsia="Times New Roman" w:hAnsi="Times New Roman"/>
                <w:sz w:val="17"/>
                <w:szCs w:val="17"/>
                <w:color w:val="auto"/>
                <w:highlight w:val="white"/>
              </w:rPr>
              <w:t>%</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color w:val="auto"/>
                <w:highlight w:val="white"/>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25,649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642.5 %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1289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289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1289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3943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289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5575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392"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$58.1 million, or 49.9%, to $174.5 million for the three months ended June 30, 2022 from $116.4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2021, representing 93.1% and 90.5% of total revenue, respectively. The following table depicts service revenue by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20" w:type="dxa"/>
            <w:vAlign w:val="bottom"/>
            <w:gridSpan w:val="4"/>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80" w:type="dxa"/>
            <w:vAlign w:val="bottom"/>
          </w:tcPr>
          <w:p>
            <w:pPr>
              <w:spacing w:after="0"/>
              <w:rPr>
                <w:sz w:val="11"/>
                <w:szCs w:val="11"/>
                <w:color w:val="auto"/>
              </w:rPr>
            </w:pPr>
          </w:p>
        </w:tc>
        <w:tc>
          <w:tcPr>
            <w:tcW w:w="2020" w:type="dxa"/>
            <w:vAlign w:val="bottom"/>
            <w:gridSpan w:val="4"/>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26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Borders>
              <w:top w:val="single" w:sz="8" w:color="auto"/>
            </w:tcBorders>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Commercial Services</w:t>
            </w:r>
          </w:p>
        </w:tc>
        <w:tc>
          <w:tcPr>
            <w:tcW w:w="240" w:type="dxa"/>
            <w:vAlign w:val="bottom"/>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84,888</w:t>
            </w:r>
          </w:p>
        </w:tc>
        <w:tc>
          <w:tcPr>
            <w:tcW w:w="520" w:type="dxa"/>
            <w:vAlign w:val="bottom"/>
            <w:gridSpan w:val="2"/>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66,480</w:t>
            </w:r>
          </w:p>
        </w:tc>
        <w:tc>
          <w:tcPr>
            <w:tcW w:w="280" w:type="dxa"/>
            <w:vAlign w:val="bottom"/>
          </w:tcPr>
          <w:p>
            <w:pPr>
              <w:spacing w:after="0"/>
              <w:rPr>
                <w:sz w:val="15"/>
                <w:szCs w:val="15"/>
                <w:color w:val="auto"/>
              </w:rPr>
            </w:pPr>
          </w:p>
        </w:tc>
        <w:tc>
          <w:tcPr>
            <w:tcW w:w="130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45.3 %</w:t>
            </w:r>
          </w:p>
        </w:tc>
        <w:tc>
          <w:tcPr>
            <w:tcW w:w="132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51.7 %</w:t>
            </w:r>
          </w:p>
        </w:tc>
        <w:tc>
          <w:tcPr>
            <w:tcW w:w="280" w:type="dxa"/>
            <w:vAlign w:val="bottom"/>
          </w:tcPr>
          <w:p>
            <w:pPr>
              <w:jc w:val="right"/>
              <w:ind w:right="9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18,408</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auto"/>
              </w:rPr>
              <w:t>27.7 %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74,672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49,946</w:t>
            </w:r>
          </w:p>
        </w:tc>
        <w:tc>
          <w:tcPr>
            <w:tcW w:w="280" w:type="dxa"/>
            <w:vAlign w:val="bottom"/>
          </w:tcPr>
          <w:p>
            <w:pPr>
              <w:spacing w:after="0"/>
              <w:rPr>
                <w:sz w:val="17"/>
                <w:szCs w:val="17"/>
                <w:color w:val="auto"/>
              </w:rPr>
            </w:pPr>
          </w:p>
        </w:tc>
        <w:tc>
          <w:tcPr>
            <w:tcW w:w="1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39.8 %</w:t>
            </w:r>
          </w:p>
        </w:tc>
        <w:tc>
          <w:tcPr>
            <w:tcW w:w="13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38.8 %</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24,726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49.5 %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8.0 %</w:t>
            </w:r>
          </w:p>
        </w:tc>
        <w:tc>
          <w:tcPr>
            <w:tcW w:w="132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9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service revenue</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174,502</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116,426</w:t>
            </w:r>
          </w:p>
        </w:tc>
        <w:tc>
          <w:tcPr>
            <w:tcW w:w="2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58,076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ind w:right="100" w:firstLine="374"/>
        <w:spacing w:after="0" w:line="244" w:lineRule="auto"/>
        <w:rPr>
          <w:sz w:val="20"/>
          <w:szCs w:val="20"/>
          <w:color w:val="auto"/>
        </w:rPr>
      </w:pPr>
      <w:r>
        <w:rPr>
          <w:rFonts w:ascii="Times New Roman" w:cs="Times New Roman" w:eastAsia="Times New Roman" w:hAnsi="Times New Roman"/>
          <w:sz w:val="18"/>
          <w:szCs w:val="18"/>
          <w:color w:val="auto"/>
        </w:rPr>
        <w:t>Commercial Services service revenue increased by $18.4 million, or 27.7%, from $66.5 million for the three months ended June 30, 2021 to $84.9 million for the three months ended June 30, 2022. The increase was primarily due to the increase in travel volume and related tolling activity in 2022 compared to 2021, which was negatively impacted by the COVID-19 pandemic. The volume of tolls incurred by RAC vehicles increased along with a shift towards an all-inclusive fee structure from an incidental or daily usage rate and higher pricing for certain products contributed to a $13.2 million increase, and the volume of tolls incurred by our FMC customers contributed to a $3.1 million increase in revenue during the three months ended June 30, 2022 compared to the same period in 2021.</w:t>
      </w:r>
    </w:p>
    <w:p>
      <w:pPr>
        <w:spacing w:after="0" w:line="195" w:lineRule="exact"/>
        <w:rPr>
          <w:sz w:val="20"/>
          <w:szCs w:val="20"/>
          <w:color w:val="auto"/>
        </w:rPr>
      </w:pPr>
    </w:p>
    <w:p>
      <w:pPr>
        <w:jc w:val="both"/>
        <w:ind w:right="100" w:firstLine="374"/>
        <w:spacing w:after="0" w:line="250" w:lineRule="auto"/>
        <w:rPr>
          <w:sz w:val="20"/>
          <w:szCs w:val="20"/>
          <w:color w:val="auto"/>
        </w:rPr>
      </w:pPr>
      <w:r>
        <w:rPr>
          <w:rFonts w:ascii="Times New Roman" w:cs="Times New Roman" w:eastAsia="Times New Roman" w:hAnsi="Times New Roman"/>
          <w:sz w:val="18"/>
          <w:szCs w:val="18"/>
          <w:color w:val="auto"/>
        </w:rPr>
        <w:t>Government Solutions service revenue includes revenue from speed, red-light, school bus stop arm and bus lane photo enforcement systems. Service revenue increased by $24.7 million to $74.7 million for the three months ended June 30, 2022 compared to $49.9 million in the same period in 2021. The Redflex acquisition contributed approximately $13.9 million to our</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4" w:right="239" w:bottom="1440" w:gutter="0" w:footer="0" w:header="0"/>
        </w:sectPr>
      </w:pPr>
    </w:p>
    <w:bookmarkStart w:id="36" w:name="page37"/>
    <w:bookmarkEnd w:id="36"/>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growth. Organic growth excluding Redflex was approximately $10.8 million, which was primarily driven by the expansion of school zone speed programs, and speed is the largest product in this segment. We added 752 speed cameras in 2021, excluding Redflex, which provided growth in 2022, and 268 speed cameras for the three months ended June 30, 2022 which provided growth in the current quarter and will continue to provide growth for the remainder of 2022. The remaining growth is attributable to other expansions and improvement in variable rate programs that recovered from COVID-19 to more normalized volumes.</w:t>
      </w:r>
    </w:p>
    <w:p>
      <w:pPr>
        <w:spacing w:after="0" w:line="177"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of $14.9 million resulted from the acquisition of T2 systems in December 2021 with no revenue in the comparable period.</w:t>
      </w:r>
    </w:p>
    <w:p>
      <w:pPr>
        <w:spacing w:after="0" w:line="174" w:lineRule="exact"/>
        <w:rPr>
          <w:sz w:val="20"/>
          <w:szCs w:val="20"/>
          <w:color w:val="auto"/>
        </w:rPr>
      </w:pPr>
    </w:p>
    <w:p>
      <w:pPr>
        <w:jc w:val="both"/>
        <w:ind w:right="4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$13.0 million and $12.2 million for the three months ended June 30, 2022 and 2021, respectively.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approximately $0.8 million, which was mainly due to $4.1 million of product revenue from the inclusion of T2 Systems for which there was no revenue in the comparable 2021 period, offset by a $3.3 million decrease in product sales to Government Solutions customers including Redflex.</w:t>
      </w:r>
    </w:p>
    <w:p>
      <w:pPr>
        <w:spacing w:after="0" w:line="174" w:lineRule="exact"/>
        <w:rPr>
          <w:sz w:val="20"/>
          <w:szCs w:val="20"/>
          <w:color w:val="auto"/>
        </w:rPr>
      </w:pPr>
    </w:p>
    <w:p>
      <w:pPr>
        <w:jc w:val="both"/>
        <w:ind w:right="4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increased from $1.3 million for the three months ended June 30, 2021 to $3.7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The $2.4 million increase was mainly attributable to the inclusion of costs in the Parking Solutions segment with no comparable amounts in the prior year.</w:t>
      </w:r>
    </w:p>
    <w:p>
      <w:pPr>
        <w:spacing w:after="0" w:line="167" w:lineRule="exact"/>
        <w:rPr>
          <w:sz w:val="20"/>
          <w:szCs w:val="20"/>
          <w:color w:val="auto"/>
        </w:rPr>
      </w:pPr>
    </w:p>
    <w:p>
      <w:pPr>
        <w:jc w:val="both"/>
        <w:ind w:right="4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$2.2 million from $6.1 million in the three months ended June 30, 2021 to $8.3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2022, which was mainly due to a $3.4 million increase in costs from the inclusion of T2 Systems for which there was no comparable amount in the prior year offset by a $1.3 million decrease in costs in the Government Solutions segment.</w:t>
      </w:r>
    </w:p>
    <w:p>
      <w:pPr>
        <w:spacing w:after="0" w:line="167" w:lineRule="exact"/>
        <w:rPr>
          <w:sz w:val="20"/>
          <w:szCs w:val="20"/>
          <w:color w:val="auto"/>
        </w:rPr>
      </w:pPr>
    </w:p>
    <w:p>
      <w:pPr>
        <w:jc w:val="both"/>
        <w:ind w:right="40" w:firstLine="374"/>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$18.8 million, or 51.5%, from $36.4 million for the three months ended June 30,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$55.2 million for the three months ended June 30, 2022. The increase in 2022 was primarily attributable to increase in wages expense, recurring services, subcontractor expenses and information technology costs resulting from the inclusion of Redflex for the full three-month period as compared to 12 days in 2021 and the inclusion of T2 Systems operations with no comparable amounts in the prior period. Operating expenses as a percentage of total revenue increased from 28.3% to 29.4% for the three months ended June 30, 2021 and 2022, respectively. This increase mainly represents improved operating leverage corresponding to the increased revenue in the Commercial Services segment and decreased operating leverage for the Government Solutions business with the addition of Redflex, which historically had lower margins than the Verra Mobility business. The following table presents operating</w:t>
      </w:r>
    </w:p>
    <w:p>
      <w:pPr>
        <w:sectPr>
          <w:pgSz w:w="11900" w:h="16838" w:orient="portrait"/>
          <w:cols w:equalWidth="0" w:num="1">
            <w:col w:w="11280"/>
          </w:cols>
          <w:pgMar w:left="320" w:top="540" w:right="29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by segment: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Commercial Services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Government Solutions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Parking Solutions</w:t>
      </w:r>
    </w:p>
    <w:p>
      <w:pPr>
        <w:spacing w:after="0" w:line="9" w:lineRule="exact"/>
        <w:rPr>
          <w:sz w:val="20"/>
          <w:szCs w:val="20"/>
          <w:color w:val="auto"/>
        </w:rPr>
      </w:pPr>
    </w:p>
    <w:p>
      <w:pPr>
        <w:ind w:left="20" w:right="400"/>
        <w:spacing w:after="0"/>
        <w:rPr>
          <w:sz w:val="20"/>
          <w:szCs w:val="20"/>
          <w:color w:val="auto"/>
        </w:rPr>
      </w:pPr>
      <w:r>
        <w:rPr>
          <w:rFonts w:ascii="Times New Roman" w:cs="Times New Roman" w:eastAsia="Times New Roman" w:hAnsi="Times New Roman"/>
          <w:sz w:val="17"/>
          <w:szCs w:val="17"/>
          <w:color w:val="auto"/>
        </w:rPr>
        <w:t>Total operating expenses before stock-based compensation</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Stock-based compensation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operating expenses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860" w:type="dxa"/>
            <w:vAlign w:val="bottom"/>
            <w:tcBorders>
              <w:bottom w:val="single" w:sz="8" w:color="auto"/>
            </w:tcBorders>
            <w:gridSpan w:val="4"/>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18,105</w:t>
            </w:r>
          </w:p>
        </w:tc>
        <w:tc>
          <w:tcPr>
            <w:tcW w:w="4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15,990</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660" w:type="dxa"/>
            <w:vAlign w:val="bottom"/>
          </w:tcPr>
          <w:p>
            <w:pPr>
              <w:spacing w:after="0"/>
              <w:rPr>
                <w:sz w:val="24"/>
                <w:szCs w:val="24"/>
                <w:color w:val="auto"/>
              </w:rPr>
            </w:pP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5"/>
              </w:rPr>
              <w:t>12.4 %</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13.2 %</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34,401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20,196</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5"/>
              </w:rPr>
              <w:t>18.3 %</w:t>
            </w:r>
          </w:p>
        </w:tc>
        <w:tc>
          <w:tcPr>
            <w:tcW w:w="660" w:type="dxa"/>
            <w:vAlign w:val="bottom"/>
          </w:tcPr>
          <w:p>
            <w:pPr>
              <w:spacing w:after="0"/>
              <w:rPr>
                <w:sz w:val="17"/>
                <w:szCs w:val="17"/>
                <w:color w:val="auto"/>
              </w:rPr>
            </w:pP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5"/>
              </w:rPr>
              <w:t>15.7 %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14,205</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70.3 %</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660" w:type="dxa"/>
            <w:vAlign w:val="bottom"/>
          </w:tcPr>
          <w:p>
            <w:pPr>
              <w:spacing w:after="0"/>
              <w:rPr>
                <w:sz w:val="19"/>
                <w:szCs w:val="19"/>
                <w:color w:val="auto"/>
              </w:rPr>
            </w:pPr>
          </w:p>
        </w:tc>
        <w:tc>
          <w:tcPr>
            <w:tcW w:w="5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54,912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36,186</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5"/>
              </w:rPr>
              <w:t>29.2 %</w:t>
            </w:r>
          </w:p>
        </w:tc>
        <w:tc>
          <w:tcPr>
            <w:tcW w:w="660" w:type="dxa"/>
            <w:vAlign w:val="bottom"/>
          </w:tcPr>
          <w:p>
            <w:pPr>
              <w:spacing w:after="0"/>
              <w:rPr>
                <w:sz w:val="24"/>
                <w:szCs w:val="24"/>
                <w:color w:val="auto"/>
              </w:rPr>
            </w:pP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5"/>
              </w:rPr>
              <w:t>28.1 %</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18,726</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51.7 %</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660" w:type="dxa"/>
            <w:vAlign w:val="bottom"/>
          </w:tcPr>
          <w:p>
            <w:pPr>
              <w:spacing w:after="0"/>
              <w:rPr>
                <w:sz w:val="19"/>
                <w:szCs w:val="19"/>
                <w:color w:val="auto"/>
              </w:rPr>
            </w:pPr>
          </w:p>
        </w:tc>
        <w:tc>
          <w:tcPr>
            <w:tcW w:w="5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0.2 %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0" w:type="dxa"/>
            <w:vAlign w:val="bottom"/>
          </w:tcPr>
          <w:p>
            <w:pPr>
              <w:spacing w:after="0"/>
              <w:rPr>
                <w:sz w:val="1"/>
                <w:szCs w:val="1"/>
                <w:color w:val="auto"/>
              </w:rPr>
            </w:pPr>
          </w:p>
        </w:tc>
      </w:tr>
      <w:tr>
        <w:trPr>
          <w:trHeight w:val="196"/>
        </w:trPr>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55,196</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36,434</w:t>
            </w:r>
          </w:p>
        </w:tc>
        <w:tc>
          <w:tcPr>
            <w:tcW w:w="260" w:type="dxa"/>
            <w:vAlign w:val="bottom"/>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29.4</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6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18,762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51.5 %</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-1062355</wp:posOffset>
            </wp:positionV>
            <wp:extent cx="7132320" cy="1289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-805180</wp:posOffset>
            </wp:positionV>
            <wp:extent cx="7132320" cy="1289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-539115</wp:posOffset>
            </wp:positionV>
            <wp:extent cx="7132320" cy="2489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-153670</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7120"/>
          </w:cols>
          <w:pgMar w:left="320" w:top="540" w:right="299" w:bottom="1440" w:gutter="0" w:footer="0" w:header="0"/>
          <w:type w:val="continuous"/>
        </w:sectPr>
      </w:pP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40" w:right="299" w:bottom="1440" w:gutter="0" w:footer="0" w:header="0"/>
          <w:type w:val="continuous"/>
        </w:sectPr>
      </w:pPr>
    </w:p>
    <w:bookmarkStart w:id="37" w:name="page38"/>
    <w:bookmarkEnd w:id="37"/>
    <w:p>
      <w:pPr>
        <w:jc w:val="both"/>
        <w:ind w:right="100" w:firstLine="37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$40.2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compared to $26.2 million for the same period in 2021. The increase is primarily due to increased wages and other general expenses from the inclusion of Redflex for the full three-month period as compared to 12 days in 2021 and the inclusion of T2 Systems with no comparable amounts in the prior year. In addition, we had increases of $3.6 million of professional services costs, $2.1 million related to credit loss expense and $1.0 million of stock-based compensation expense, which were partially offset by a $3.0 million decrease in transaction costs compared to the prior year. Selling, general and administrative expenses as a percentage of total revenue increased from 20.4% to 21.4% for the three months ended June 30, 2021 and 2022, respectively. The following table presents selling, general and administrative expenses by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880" w:type="dxa"/>
            <w:vAlign w:val="bottom"/>
            <w:gridSpan w:val="4"/>
          </w:tcPr>
          <w:p>
            <w:pPr>
              <w:jc w:val="center"/>
              <w:ind w:right="196"/>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5"/>
                <w:szCs w:val="15"/>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2680" w:type="dxa"/>
            <w:vAlign w:val="bottom"/>
            <w:gridSpan w:val="5"/>
            <w:vMerge w:val="continue"/>
          </w:tcPr>
          <w:p>
            <w:pPr>
              <w:spacing w:after="0"/>
              <w:rPr>
                <w:sz w:val="15"/>
                <w:szCs w:val="15"/>
                <w:color w:val="auto"/>
              </w:rPr>
            </w:pPr>
          </w:p>
        </w:tc>
        <w:tc>
          <w:tcPr>
            <w:tcW w:w="1260" w:type="dxa"/>
            <w:vAlign w:val="bottom"/>
            <w:gridSpan w:val="3"/>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4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Commercial Services</w:t>
            </w:r>
          </w:p>
        </w:tc>
        <w:tc>
          <w:tcPr>
            <w:tcW w:w="200" w:type="dxa"/>
            <w:vAlign w:val="bottom"/>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13,681</w:t>
            </w:r>
          </w:p>
        </w:tc>
        <w:tc>
          <w:tcPr>
            <w:tcW w:w="46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9,479</w:t>
            </w:r>
          </w:p>
        </w:tc>
        <w:tc>
          <w:tcPr>
            <w:tcW w:w="240" w:type="dxa"/>
            <w:vAlign w:val="bottom"/>
          </w:tcPr>
          <w:p>
            <w:pPr>
              <w:spacing w:after="0"/>
              <w:rPr>
                <w:sz w:val="15"/>
                <w:szCs w:val="15"/>
                <w:color w:val="auto"/>
              </w:rPr>
            </w:pPr>
          </w:p>
        </w:tc>
        <w:tc>
          <w:tcPr>
            <w:tcW w:w="118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7"/>
                <w:szCs w:val="17"/>
                <w:color w:val="auto"/>
              </w:rPr>
              <w:t>7.3 %</w:t>
            </w:r>
          </w:p>
        </w:tc>
        <w:tc>
          <w:tcPr>
            <w:tcW w:w="1500" w:type="dxa"/>
            <w:vAlign w:val="bottom"/>
            <w:gridSpan w:val="3"/>
          </w:tcPr>
          <w:p>
            <w:pPr>
              <w:jc w:val="right"/>
              <w:ind w:right="180"/>
              <w:spacing w:after="0" w:line="181" w:lineRule="exact"/>
              <w:rPr>
                <w:sz w:val="20"/>
                <w:szCs w:val="20"/>
                <w:color w:val="auto"/>
              </w:rPr>
            </w:pPr>
            <w:r>
              <w:rPr>
                <w:rFonts w:ascii="Times New Roman" w:cs="Times New Roman" w:eastAsia="Times New Roman" w:hAnsi="Times New Roman"/>
                <w:sz w:val="17"/>
                <w:szCs w:val="17"/>
                <w:color w:val="auto"/>
              </w:rPr>
              <w:t>7.4 % $</w:t>
            </w:r>
          </w:p>
        </w:tc>
        <w:tc>
          <w:tcPr>
            <w:tcW w:w="6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4,202</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3"/>
          </w:tcPr>
          <w:p>
            <w:pPr>
              <w:jc w:val="right"/>
              <w:ind w:right="60"/>
              <w:spacing w:after="0" w:line="181" w:lineRule="exact"/>
              <w:rPr>
                <w:sz w:val="20"/>
                <w:szCs w:val="20"/>
                <w:color w:val="auto"/>
              </w:rPr>
            </w:pPr>
            <w:r>
              <w:rPr>
                <w:rFonts w:ascii="Times New Roman" w:cs="Times New Roman" w:eastAsia="Times New Roman" w:hAnsi="Times New Roman"/>
                <w:sz w:val="17"/>
                <w:szCs w:val="17"/>
                <w:color w:val="auto"/>
              </w:rPr>
              <w:t>44.3 %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10,119</w:t>
            </w:r>
          </w:p>
        </w:tc>
        <w:tc>
          <w:tcPr>
            <w:tcW w:w="24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7.7 %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7.8 %</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42.6 %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4.1 %</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Corporate and other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3,306</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2.6 %</w:t>
            </w:r>
          </w:p>
        </w:tc>
        <w:tc>
          <w:tcPr>
            <w:tcW w:w="2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(3,306 )</w:t>
            </w:r>
          </w:p>
        </w:tc>
        <w:tc>
          <w:tcPr>
            <w:tcW w:w="3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61"/>
        </w:trPr>
        <w:tc>
          <w:tcPr>
            <w:tcW w:w="420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7"/>
                <w:szCs w:val="17"/>
                <w:color w:val="auto"/>
              </w:rPr>
              <w:t>Total selling, general and administrative expenses before</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35,870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22,904</w:t>
            </w:r>
          </w:p>
        </w:tc>
        <w:tc>
          <w:tcPr>
            <w:tcW w:w="24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19.1 %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17.8 %</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56.6 %</w:t>
            </w:r>
          </w:p>
        </w:tc>
        <w:tc>
          <w:tcPr>
            <w:tcW w:w="0" w:type="dxa"/>
            <w:vAlign w:val="bottom"/>
          </w:tcPr>
          <w:p>
            <w:pPr>
              <w:spacing w:after="0"/>
              <w:rPr>
                <w:sz w:val="1"/>
                <w:szCs w:val="1"/>
                <w:color w:val="auto"/>
              </w:rPr>
            </w:pPr>
          </w:p>
        </w:tc>
      </w:tr>
      <w:tr>
        <w:trPr>
          <w:trHeight w:val="224"/>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2.6 %</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28.8 %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selling, general and administrative expenses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40,152</w:t>
            </w:r>
          </w:p>
        </w:tc>
        <w:tc>
          <w:tcPr>
            <w:tcW w:w="26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26,229</w:t>
            </w:r>
          </w:p>
        </w:tc>
        <w:tc>
          <w:tcPr>
            <w:tcW w:w="24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21.4 %</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20.4 % $</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53.1 %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289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5226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203" w:lineRule="exact"/>
        <w:rPr>
          <w:sz w:val="20"/>
          <w:szCs w:val="20"/>
          <w:color w:val="auto"/>
        </w:rPr>
      </w:pPr>
    </w:p>
    <w:p>
      <w:pPr>
        <w:ind w:left="380"/>
        <w:spacing w:after="0"/>
        <w:tabs>
          <w:tab w:leader="none" w:pos="6060" w:val="left"/>
        </w:tabs>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sz w:val="20"/>
          <w:szCs w:val="20"/>
          <w:color w:val="auto"/>
        </w:rPr>
        <w:tab/>
      </w:r>
      <w:r>
        <w:rPr>
          <w:rFonts w:ascii="Times New Roman" w:cs="Times New Roman" w:eastAsia="Times New Roman" w:hAnsi="Times New Roman"/>
          <w:sz w:val="18"/>
          <w:szCs w:val="18"/>
          <w:color w:val="auto"/>
        </w:rPr>
        <w:t>Depreciation, amortization and (gain) loss on disposal of assets, net,</w:t>
      </w:r>
    </w:p>
    <w:p>
      <w:pPr>
        <w:spacing w:after="0" w:line="29" w:lineRule="exact"/>
        <w:rPr>
          <w:sz w:val="20"/>
          <w:szCs w:val="20"/>
          <w:color w:val="auto"/>
        </w:rPr>
      </w:pPr>
    </w:p>
    <w:p>
      <w:pPr>
        <w:jc w:val="both"/>
        <w:ind w:right="100"/>
        <w:spacing w:after="0"/>
        <w:rPr>
          <w:sz w:val="20"/>
          <w:szCs w:val="20"/>
          <w:color w:val="auto"/>
        </w:rPr>
      </w:pPr>
      <w:r>
        <w:rPr>
          <w:rFonts w:ascii="Times New Roman" w:cs="Times New Roman" w:eastAsia="Times New Roman" w:hAnsi="Times New Roman"/>
          <w:sz w:val="18"/>
          <w:szCs w:val="18"/>
          <w:color w:val="auto"/>
        </w:rPr>
        <w:t>increased by $7.9 million to $34.9 million for the three months ended June 30, 2022 from $27.0 million for the same period in 2021. This was mainly due to increased amortization and depreciation expense resulting from the inclusion of Redflex for the full three-month period as compared to 12 days in 2021 and the inclusion of T2 Systems with no comparable amounts in the prior year.</w:t>
      </w:r>
    </w:p>
    <w:p>
      <w:pPr>
        <w:spacing w:after="0" w:line="196" w:lineRule="exact"/>
        <w:rPr>
          <w:sz w:val="20"/>
          <w:szCs w:val="20"/>
          <w:color w:val="auto"/>
        </w:rPr>
      </w:pPr>
    </w:p>
    <w:p>
      <w:pPr>
        <w:jc w:val="both"/>
        <w:ind w:right="100" w:firstLine="37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increased by $2.8 million from $11.7 million for the three months ended June 30, 2021 to $14.5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2022. This increase is primarily attributable to $1.2 billion in average outstanding debt during the three months ended June 30, 2022, which included the $250.0 million of incremental term loan borrowing, compared to $1.0 billion in average outstanding debt for the same period in 2021.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a gain of $6.6 million and a loss of $8.1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and 2021, respectively, related to the changes in fair value of our Private Placement Warrants which are accounted for as liabilities on our condensed consolidated balance sheets. The change in fair value is the result of re-measurement of the liability at the end of each reporting period.</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We recorded a $1.0 million benefit and a $1.7 million charge for the three months ended June 30,</w:t>
      </w:r>
    </w:p>
    <w:p>
      <w:pPr>
        <w:spacing w:after="0" w:line="1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2022 and 2021, respectively. The TRA liability adjustment in 2022 is arising from lower estimated state tax rates due to changes in apportionment, whereas in 2021 it is arising from higher estimated state tax rates due to changes in statutory rates.</w:t>
      </w:r>
    </w:p>
    <w:p>
      <w:pPr>
        <w:spacing w:after="0" w:line="167"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We pay a high volume of tolls on behalf of our customers with purchasing cards, which generate rebates based on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terms and rebate frequency. Other income, net was $4.0 million for the three months ended June 30, 2022, compared to $2.8 million for the three months ended June 30, 2021. The increase of $1.2 million is primarily attributable to increased tolling activity due to increased travel, especially in the RAC industry.</w:t>
      </w:r>
    </w:p>
    <w:p>
      <w:pPr>
        <w:spacing w:after="0" w:line="174" w:lineRule="exact"/>
        <w:rPr>
          <w:sz w:val="20"/>
          <w:szCs w:val="20"/>
          <w:color w:val="auto"/>
        </w:rPr>
      </w:pPr>
    </w:p>
    <w:p>
      <w:pPr>
        <w:jc w:val="both"/>
        <w:ind w:right="100" w:firstLine="37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$12.6 million representing an effective tax rate of 29.9% for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provision of $8.9 million, representing an effective tax rate of 69.0% for the same period in 2021. The primary driver for the effective tax rate variance is due to the permanent differences related to the mark-to-market adjustment on the private placement warrants and the increase in pre-tax income for 2022 compared to 2021, resulting in the Company’s permanent book and tax differences having a proportionately lesser impact on the effective tax rate for 2022.</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62" w:right="239" w:bottom="1440" w:gutter="0" w:footer="0" w:header="0"/>
        </w:sectPr>
      </w:pPr>
    </w:p>
    <w:bookmarkStart w:id="38" w:name="page39"/>
    <w:bookmarkEnd w:id="38"/>
    <w:p>
      <w:pPr>
        <w:jc w:val="both"/>
        <w:ind w:right="10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$29.6 million for the three months ended June 30, 2022, as compared to a net income of $4.0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The $25.6 million increase in net income was primarily due to increases in service revenue across all business segments, the change in the fair value of the private placement warrants and the other statement of operations activity discussed above.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121" w:lineRule="exact"/>
        <w:rPr>
          <w:sz w:val="20"/>
          <w:szCs w:val="20"/>
          <w:color w:val="auto"/>
        </w:rPr>
      </w:pPr>
    </w:p>
    <w:p>
      <w:pPr>
        <w:jc w:val="both"/>
        <w:ind w:right="120" w:firstLine="374"/>
        <w:spacing w:after="0" w:line="250"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4"/>
          </w:tcPr>
          <w:p>
            <w:pPr>
              <w:jc w:val="center"/>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gridSpan w:val="2"/>
          </w:tcPr>
          <w:p>
            <w:pPr>
              <w:spacing w:after="0" w:line="167" w:lineRule="exact"/>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tcPr>
          <w:p>
            <w:pPr>
              <w:jc w:val="right"/>
              <w:ind w:right="5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335,636</w:t>
            </w:r>
          </w:p>
        </w:tc>
        <w:tc>
          <w:tcPr>
            <w:tcW w:w="280" w:type="dxa"/>
            <w:vAlign w:val="bottom"/>
          </w:tcPr>
          <w:p>
            <w:pPr>
              <w:spacing w:after="0"/>
              <w:rPr>
                <w:sz w:val="14"/>
                <w:szCs w:val="14"/>
                <w:color w:val="auto"/>
              </w:rPr>
            </w:pPr>
          </w:p>
        </w:tc>
        <w:tc>
          <w:tcPr>
            <w:tcW w:w="22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206,189</w:t>
            </w:r>
          </w:p>
        </w:tc>
        <w:tc>
          <w:tcPr>
            <w:tcW w:w="300" w:type="dxa"/>
            <w:vAlign w:val="bottom"/>
          </w:tcPr>
          <w:p>
            <w:pPr>
              <w:spacing w:after="0"/>
              <w:rPr>
                <w:sz w:val="14"/>
                <w:szCs w:val="14"/>
                <w:color w:val="auto"/>
              </w:rPr>
            </w:pPr>
          </w:p>
        </w:tc>
        <w:tc>
          <w:tcPr>
            <w:tcW w:w="104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93.8</w:t>
            </w:r>
          </w:p>
        </w:tc>
        <w:tc>
          <w:tcPr>
            <w:tcW w:w="28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Pr>
          <w:p>
            <w:pPr>
              <w:spacing w:after="0"/>
              <w:rPr>
                <w:sz w:val="14"/>
                <w:szCs w:val="14"/>
                <w:color w:val="auto"/>
              </w:rPr>
            </w:pPr>
          </w:p>
        </w:tc>
        <w:tc>
          <w:tcPr>
            <w:tcW w:w="4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94.4</w:t>
            </w:r>
          </w:p>
        </w:tc>
        <w:tc>
          <w:tcPr>
            <w:tcW w:w="2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129,447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62.8</w:t>
            </w:r>
          </w:p>
        </w:tc>
        <w:tc>
          <w:tcPr>
            <w:tcW w:w="2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24"/>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12,326</w:t>
            </w:r>
          </w:p>
        </w:tc>
        <w:tc>
          <w:tcPr>
            <w:tcW w:w="300" w:type="dxa"/>
            <w:vAlign w:val="bottom"/>
          </w:tcPr>
          <w:p>
            <w:pPr>
              <w:spacing w:after="0"/>
              <w:rPr>
                <w:sz w:val="19"/>
                <w:szCs w:val="19"/>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6.2 %</w:t>
            </w:r>
          </w:p>
        </w:tc>
        <w:tc>
          <w:tcPr>
            <w:tcW w:w="700" w:type="dxa"/>
            <w:vAlign w:val="bottom"/>
          </w:tcPr>
          <w:p>
            <w:pPr>
              <w:spacing w:after="0"/>
              <w:rPr>
                <w:sz w:val="19"/>
                <w:szCs w:val="19"/>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5.6 %</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80.4 %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357,872</w:t>
            </w: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218,515</w:t>
            </w:r>
          </w:p>
        </w:tc>
        <w:tc>
          <w:tcPr>
            <w:tcW w:w="300" w:type="dxa"/>
            <w:vAlign w:val="bottom"/>
          </w:tcPr>
          <w:p>
            <w:pPr>
              <w:spacing w:after="0"/>
              <w:rPr>
                <w:sz w:val="15"/>
                <w:szCs w:val="15"/>
                <w:color w:val="auto"/>
              </w:rPr>
            </w:pP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100.0</w:t>
            </w:r>
          </w:p>
        </w:tc>
        <w:tc>
          <w:tcPr>
            <w:tcW w:w="280" w:type="dxa"/>
            <w:vAlign w:val="bottom"/>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93"/>
              </w:rPr>
              <w:t>100.0</w:t>
            </w:r>
          </w:p>
        </w:tc>
        <w:tc>
          <w:tcPr>
            <w:tcW w:w="26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139,357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63.8 %</w:t>
            </w:r>
          </w:p>
        </w:tc>
        <w:tc>
          <w:tcPr>
            <w:tcW w:w="0" w:type="dxa"/>
            <w:vAlign w:val="bottom"/>
          </w:tcPr>
          <w:p>
            <w:pPr>
              <w:spacing w:after="0"/>
              <w:rPr>
                <w:sz w:val="1"/>
                <w:szCs w:val="1"/>
                <w:color w:val="auto"/>
              </w:rPr>
            </w:pPr>
          </w:p>
        </w:tc>
      </w:tr>
      <w:tr>
        <w:trPr>
          <w:trHeight w:val="203"/>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300" w:type="dxa"/>
            <w:vAlign w:val="bottom"/>
          </w:tcPr>
          <w:p>
            <w:pPr>
              <w:spacing w:after="0"/>
              <w:rPr>
                <w:sz w:val="17"/>
                <w:szCs w:val="17"/>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2.1 %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1.0 %</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238.7 %</w:t>
            </w:r>
          </w:p>
        </w:tc>
        <w:tc>
          <w:tcPr>
            <w:tcW w:w="0" w:type="dxa"/>
            <w:vAlign w:val="bottom"/>
          </w:tcPr>
          <w:p>
            <w:pPr>
              <w:spacing w:after="0"/>
              <w:rPr>
                <w:sz w:val="1"/>
                <w:szCs w:val="1"/>
                <w:color w:val="auto"/>
              </w:rPr>
            </w:pPr>
          </w:p>
        </w:tc>
      </w:tr>
      <w:tr>
        <w:trPr>
          <w:trHeight w:val="203"/>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6,171</w:t>
            </w:r>
          </w:p>
        </w:tc>
        <w:tc>
          <w:tcPr>
            <w:tcW w:w="300" w:type="dxa"/>
            <w:vAlign w:val="bottom"/>
          </w:tcPr>
          <w:p>
            <w:pPr>
              <w:spacing w:after="0"/>
              <w:rPr>
                <w:sz w:val="17"/>
                <w:szCs w:val="17"/>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4.0 %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2.8 %</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132.1 %</w:t>
            </w:r>
          </w:p>
        </w:tc>
        <w:tc>
          <w:tcPr>
            <w:tcW w:w="0" w:type="dxa"/>
            <w:vAlign w:val="bottom"/>
          </w:tcPr>
          <w:p>
            <w:pPr>
              <w:spacing w:after="0"/>
              <w:rPr>
                <w:sz w:val="1"/>
                <w:szCs w:val="1"/>
                <w:color w:val="auto"/>
              </w:rPr>
            </w:pPr>
          </w:p>
        </w:tc>
      </w:tr>
      <w:tr>
        <w:trPr>
          <w:trHeight w:val="203"/>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106,259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66,926</w:t>
            </w:r>
          </w:p>
        </w:tc>
        <w:tc>
          <w:tcPr>
            <w:tcW w:w="300" w:type="dxa"/>
            <w:vAlign w:val="bottom"/>
          </w:tcPr>
          <w:p>
            <w:pPr>
              <w:spacing w:after="0"/>
              <w:rPr>
                <w:sz w:val="17"/>
                <w:szCs w:val="17"/>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29.7 %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30.6 %</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39,333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58.8 %</w:t>
            </w:r>
          </w:p>
        </w:tc>
        <w:tc>
          <w:tcPr>
            <w:tcW w:w="0" w:type="dxa"/>
            <w:vAlign w:val="bottom"/>
          </w:tcPr>
          <w:p>
            <w:pPr>
              <w:spacing w:after="0"/>
              <w:rPr>
                <w:sz w:val="1"/>
                <w:szCs w:val="1"/>
                <w:color w:val="auto"/>
              </w:rPr>
            </w:pPr>
          </w:p>
        </w:tc>
      </w:tr>
      <w:tr>
        <w:trPr>
          <w:trHeight w:val="203"/>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81,787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54,672</w:t>
            </w:r>
          </w:p>
        </w:tc>
        <w:tc>
          <w:tcPr>
            <w:tcW w:w="300" w:type="dxa"/>
            <w:vAlign w:val="bottom"/>
          </w:tcPr>
          <w:p>
            <w:pPr>
              <w:spacing w:after="0"/>
              <w:rPr>
                <w:sz w:val="17"/>
                <w:szCs w:val="17"/>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22.9 %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25.1 %</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49.6 %</w:t>
            </w:r>
          </w:p>
        </w:tc>
        <w:tc>
          <w:tcPr>
            <w:tcW w:w="0" w:type="dxa"/>
            <w:vAlign w:val="bottom"/>
          </w:tcPr>
          <w:p>
            <w:pPr>
              <w:spacing w:after="0"/>
              <w:rPr>
                <w:sz w:val="1"/>
                <w:szCs w:val="1"/>
                <w:color w:val="auto"/>
              </w:rPr>
            </w:pPr>
          </w:p>
        </w:tc>
      </w:tr>
      <w:tr>
        <w:trPr>
          <w:trHeight w:val="175"/>
        </w:trPr>
        <w:tc>
          <w:tcPr>
            <w:tcW w:w="37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disposal of assets,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55,277</w:t>
            </w:r>
          </w:p>
        </w:tc>
        <w:tc>
          <w:tcPr>
            <w:tcW w:w="300" w:type="dxa"/>
            <w:vAlign w:val="bottom"/>
          </w:tcPr>
          <w:p>
            <w:pPr>
              <w:spacing w:after="0"/>
              <w:rPr>
                <w:sz w:val="19"/>
                <w:szCs w:val="19"/>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19.8 %</w:t>
            </w:r>
          </w:p>
        </w:tc>
        <w:tc>
          <w:tcPr>
            <w:tcW w:w="700" w:type="dxa"/>
            <w:vAlign w:val="bottom"/>
          </w:tcPr>
          <w:p>
            <w:pPr>
              <w:spacing w:after="0"/>
              <w:rPr>
                <w:sz w:val="19"/>
                <w:szCs w:val="19"/>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25.3 %</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280,705</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185,258</w:t>
            </w:r>
          </w:p>
        </w:tc>
        <w:tc>
          <w:tcPr>
            <w:tcW w:w="3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95,447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51.5 %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77,167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33,257</w:t>
            </w:r>
          </w:p>
        </w:tc>
        <w:tc>
          <w:tcPr>
            <w:tcW w:w="300" w:type="dxa"/>
            <w:vAlign w:val="bottom"/>
          </w:tcPr>
          <w:p>
            <w:pPr>
              <w:spacing w:after="0"/>
              <w:rPr>
                <w:sz w:val="15"/>
                <w:szCs w:val="15"/>
                <w:color w:val="auto"/>
              </w:rPr>
            </w:pPr>
          </w:p>
        </w:tc>
        <w:tc>
          <w:tcPr>
            <w:tcW w:w="1320" w:type="dxa"/>
            <w:vAlign w:val="bottom"/>
            <w:gridSpan w:val="2"/>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rPr>
              <w:t>21.5 %</w:t>
            </w:r>
          </w:p>
        </w:tc>
        <w:tc>
          <w:tcPr>
            <w:tcW w:w="700" w:type="dxa"/>
            <w:vAlign w:val="bottom"/>
          </w:tcPr>
          <w:p>
            <w:pPr>
              <w:spacing w:after="0"/>
              <w:rPr>
                <w:sz w:val="15"/>
                <w:szCs w:val="15"/>
                <w:color w:val="auto"/>
              </w:rPr>
            </w:pPr>
          </w:p>
        </w:tc>
        <w:tc>
          <w:tcPr>
            <w:tcW w:w="660" w:type="dxa"/>
            <w:vAlign w:val="bottom"/>
            <w:gridSpan w:val="2"/>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rPr>
              <w:t>15.2 %</w:t>
            </w:r>
          </w:p>
        </w:tc>
        <w:tc>
          <w:tcPr>
            <w:tcW w:w="240" w:type="dxa"/>
            <w:vAlign w:val="bottom"/>
          </w:tcPr>
          <w:p>
            <w:pPr>
              <w:spacing w:after="0"/>
              <w:rPr>
                <w:sz w:val="15"/>
                <w:szCs w:val="15"/>
                <w:color w:val="auto"/>
              </w:rPr>
            </w:pPr>
          </w:p>
        </w:tc>
        <w:tc>
          <w:tcPr>
            <w:tcW w:w="7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43,910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132.0 %</w:t>
            </w:r>
          </w:p>
        </w:tc>
        <w:tc>
          <w:tcPr>
            <w:tcW w:w="0" w:type="dxa"/>
            <w:vAlign w:val="bottom"/>
          </w:tcPr>
          <w:p>
            <w:pPr>
              <w:spacing w:after="0"/>
              <w:rPr>
                <w:sz w:val="1"/>
                <w:szCs w:val="1"/>
                <w:color w:val="auto"/>
              </w:rPr>
            </w:pPr>
          </w:p>
        </w:tc>
      </w:tr>
      <w:tr>
        <w:trPr>
          <w:trHeight w:val="203"/>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28,764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20,844</w:t>
            </w:r>
          </w:p>
        </w:tc>
        <w:tc>
          <w:tcPr>
            <w:tcW w:w="300" w:type="dxa"/>
            <w:vAlign w:val="bottom"/>
          </w:tcPr>
          <w:p>
            <w:pPr>
              <w:spacing w:after="0"/>
              <w:rPr>
                <w:sz w:val="17"/>
                <w:szCs w:val="17"/>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8.0 %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9.6 %</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38.0 %</w:t>
            </w:r>
          </w:p>
        </w:tc>
        <w:tc>
          <w:tcPr>
            <w:tcW w:w="0" w:type="dxa"/>
            <w:vAlign w:val="bottom"/>
          </w:tcPr>
          <w:p>
            <w:pPr>
              <w:spacing w:after="0"/>
              <w:rPr>
                <w:sz w:val="1"/>
                <w:szCs w:val="1"/>
                <w:color w:val="auto"/>
              </w:rPr>
            </w:pPr>
          </w:p>
        </w:tc>
      </w:tr>
      <w:tr>
        <w:trPr>
          <w:trHeight w:val="203"/>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(2,866 )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10,134</w:t>
            </w:r>
          </w:p>
        </w:tc>
        <w:tc>
          <w:tcPr>
            <w:tcW w:w="3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4.6 %</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(13,000 )</w:t>
            </w: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(128.3 )%</w:t>
            </w:r>
          </w:p>
        </w:tc>
        <w:tc>
          <w:tcPr>
            <w:tcW w:w="0" w:type="dxa"/>
            <w:vAlign w:val="bottom"/>
          </w:tcPr>
          <w:p>
            <w:pPr>
              <w:spacing w:after="0"/>
              <w:rPr>
                <w:sz w:val="1"/>
                <w:szCs w:val="1"/>
                <w:color w:val="auto"/>
              </w:rPr>
            </w:pPr>
          </w:p>
        </w:tc>
      </w:tr>
      <w:tr>
        <w:trPr>
          <w:trHeight w:val="203"/>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adjustment</w:t>
            </w:r>
          </w:p>
        </w:tc>
        <w:tc>
          <w:tcPr>
            <w:tcW w:w="2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(965 )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3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0.8 %</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(2,626 )</w:t>
            </w: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(158.1 )%</w:t>
            </w:r>
          </w:p>
        </w:tc>
        <w:tc>
          <w:tcPr>
            <w:tcW w:w="0" w:type="dxa"/>
            <w:vAlign w:val="bottom"/>
          </w:tcPr>
          <w:p>
            <w:pPr>
              <w:spacing w:after="0"/>
              <w:rPr>
                <w:sz w:val="1"/>
                <w:szCs w:val="1"/>
                <w:color w:val="auto"/>
              </w:rPr>
            </w:pPr>
          </w:p>
        </w:tc>
      </w:tr>
      <w:tr>
        <w:trPr>
          <w:trHeight w:val="202"/>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w:t>
            </w:r>
          </w:p>
        </w:tc>
        <w:tc>
          <w:tcPr>
            <w:tcW w:w="300" w:type="dxa"/>
            <w:vAlign w:val="bottom"/>
          </w:tcPr>
          <w:p>
            <w:pPr>
              <w:spacing w:after="0"/>
              <w:rPr>
                <w:sz w:val="17"/>
                <w:szCs w:val="17"/>
                <w:color w:val="auto"/>
              </w:rPr>
            </w:pPr>
          </w:p>
        </w:tc>
        <w:tc>
          <w:tcPr>
            <w:tcW w:w="132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2.4 %</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(5,334 )</w:t>
            </w: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4"/>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(6,905 )</w:t>
            </w:r>
          </w:p>
        </w:tc>
        <w:tc>
          <w:tcPr>
            <w:tcW w:w="220" w:type="dxa"/>
            <w:vAlign w:val="bottom"/>
          </w:tcPr>
          <w:p>
            <w:pPr>
              <w:spacing w:after="0"/>
              <w:rPr>
                <w:sz w:val="19"/>
                <w:szCs w:val="19"/>
                <w:color w:val="auto"/>
              </w:rPr>
            </w:pPr>
          </w:p>
        </w:tc>
        <w:tc>
          <w:tcPr>
            <w:tcW w:w="108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(5,811 )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7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(1,094 )</w:t>
            </w: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(43.9 )%</w:t>
            </w:r>
          </w:p>
        </w:tc>
        <w:tc>
          <w:tcPr>
            <w:tcW w:w="0" w:type="dxa"/>
            <w:vAlign w:val="bottom"/>
          </w:tcPr>
          <w:p>
            <w:pPr>
              <w:spacing w:after="0" w:line="20" w:lineRule="exact"/>
              <w:rPr>
                <w:sz w:val="1"/>
                <w:szCs w:val="1"/>
                <w:color w:val="auto"/>
              </w:rPr>
            </w:pPr>
          </w:p>
        </w:tc>
      </w:tr>
      <w:tr>
        <w:trPr>
          <w:trHeight w:val="196"/>
        </w:trPr>
        <w:tc>
          <w:tcPr>
            <w:tcW w:w="37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32,162</w:t>
            </w:r>
          </w:p>
        </w:tc>
        <w:tc>
          <w:tcPr>
            <w:tcW w:w="300" w:type="dxa"/>
            <w:vAlign w:val="bottom"/>
          </w:tcPr>
          <w:p>
            <w:pPr>
              <w:spacing w:after="0"/>
              <w:rPr>
                <w:sz w:val="17"/>
                <w:szCs w:val="17"/>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5.0 %</w:t>
            </w:r>
          </w:p>
        </w:tc>
        <w:tc>
          <w:tcPr>
            <w:tcW w:w="700" w:type="dxa"/>
            <w:vAlign w:val="bottom"/>
          </w:tcPr>
          <w:p>
            <w:pPr>
              <w:spacing w:after="0"/>
              <w:rPr>
                <w:sz w:val="17"/>
                <w:szCs w:val="17"/>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14.7 %</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(14,134 )</w:t>
            </w:r>
          </w:p>
        </w:tc>
        <w:tc>
          <w:tcPr>
            <w:tcW w:w="3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6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59,139</w:t>
            </w: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1,095</w:t>
            </w:r>
          </w:p>
        </w:tc>
        <w:tc>
          <w:tcPr>
            <w:tcW w:w="300" w:type="dxa"/>
            <w:vAlign w:val="bottom"/>
          </w:tcPr>
          <w:p>
            <w:pPr>
              <w:spacing w:after="0"/>
              <w:rPr>
                <w:sz w:val="15"/>
                <w:szCs w:val="15"/>
                <w:color w:val="auto"/>
              </w:rPr>
            </w:pP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16.5</w:t>
            </w:r>
          </w:p>
        </w:tc>
        <w:tc>
          <w:tcPr>
            <w:tcW w:w="280" w:type="dxa"/>
            <w:vAlign w:val="bottom"/>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0.5</w:t>
            </w:r>
          </w:p>
        </w:tc>
        <w:tc>
          <w:tcPr>
            <w:tcW w:w="26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58,044</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5300.8 %</w:t>
            </w:r>
          </w:p>
        </w:tc>
        <w:tc>
          <w:tcPr>
            <w:tcW w:w="0" w:type="dxa"/>
            <w:vAlign w:val="bottom"/>
          </w:tcPr>
          <w:p>
            <w:pPr>
              <w:spacing w:after="0"/>
              <w:rPr>
                <w:sz w:val="1"/>
                <w:szCs w:val="1"/>
                <w:color w:val="auto"/>
              </w:rPr>
            </w:pPr>
          </w:p>
        </w:tc>
      </w:tr>
      <w:tr>
        <w:trPr>
          <w:trHeight w:val="224"/>
        </w:trPr>
        <w:tc>
          <w:tcPr>
            <w:tcW w:w="3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6,018</w:t>
            </w:r>
          </w:p>
        </w:tc>
        <w:tc>
          <w:tcPr>
            <w:tcW w:w="300" w:type="dxa"/>
            <w:vAlign w:val="bottom"/>
          </w:tcPr>
          <w:p>
            <w:pPr>
              <w:spacing w:after="0"/>
              <w:rPr>
                <w:sz w:val="19"/>
                <w:szCs w:val="19"/>
                <w:color w:val="auto"/>
              </w:rPr>
            </w:pPr>
          </w:p>
        </w:tc>
        <w:tc>
          <w:tcPr>
            <w:tcW w:w="1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5.4 %</w:t>
            </w:r>
          </w:p>
        </w:tc>
        <w:tc>
          <w:tcPr>
            <w:tcW w:w="700" w:type="dxa"/>
            <w:vAlign w:val="bottom"/>
          </w:tcPr>
          <w:p>
            <w:pPr>
              <w:spacing w:after="0"/>
              <w:rPr>
                <w:sz w:val="19"/>
                <w:szCs w:val="19"/>
                <w:color w:val="auto"/>
              </w:rPr>
            </w:pPr>
          </w:p>
        </w:tc>
        <w:tc>
          <w:tcPr>
            <w:tcW w:w="6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2.8 %</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223.3 %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39,681</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(4,923</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w:t>
            </w:r>
          </w:p>
        </w:tc>
        <w:tc>
          <w:tcPr>
            <w:tcW w:w="7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44,604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906.0 %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1289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289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1289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1289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3943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289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402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2"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$129.4 million, or 62.8%, to $335.6 million for the six months ended June 30, 2022 from $206.2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2021, representing 93.8% and 94.4% of total revenue, respectively. The following table depicts service revenue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4"/>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4"/>
          </w:tcPr>
          <w:p>
            <w:pPr>
              <w:jc w:val="center"/>
              <w:ind w:right="177"/>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7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2020" w:type="dxa"/>
            <w:vAlign w:val="bottom"/>
            <w:tcBorders>
              <w:bottom w:val="single" w:sz="8" w:color="auto"/>
            </w:tcBorders>
            <w:gridSpan w:val="4"/>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6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Commercial Services</w:t>
            </w:r>
          </w:p>
        </w:tc>
        <w:tc>
          <w:tcPr>
            <w:tcW w:w="240" w:type="dxa"/>
            <w:vAlign w:val="bottom"/>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158,353</w:t>
            </w:r>
          </w:p>
        </w:tc>
        <w:tc>
          <w:tcPr>
            <w:tcW w:w="520" w:type="dxa"/>
            <w:vAlign w:val="bottom"/>
            <w:gridSpan w:val="2"/>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112,169</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w w:val="99"/>
              </w:rPr>
              <w:t>44.3 %</w:t>
            </w:r>
          </w:p>
        </w:tc>
        <w:tc>
          <w:tcPr>
            <w:tcW w:w="720" w:type="dxa"/>
            <w:vAlign w:val="bottom"/>
          </w:tcPr>
          <w:p>
            <w:pPr>
              <w:spacing w:after="0"/>
              <w:rPr>
                <w:sz w:val="15"/>
                <w:szCs w:val="15"/>
                <w:color w:val="auto"/>
              </w:rPr>
            </w:pPr>
          </w:p>
        </w:tc>
        <w:tc>
          <w:tcPr>
            <w:tcW w:w="60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w w:val="99"/>
              </w:rPr>
              <w:t>51.4 %</w:t>
            </w:r>
          </w:p>
        </w:tc>
        <w:tc>
          <w:tcPr>
            <w:tcW w:w="240" w:type="dxa"/>
            <w:vAlign w:val="bottom"/>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46,184</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auto"/>
              </w:rPr>
              <w:t>41.2 %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147,896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94,020</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9"/>
              </w:rPr>
              <w:t>41.3 %</w:t>
            </w:r>
          </w:p>
        </w:tc>
        <w:tc>
          <w:tcPr>
            <w:tcW w:w="720" w:type="dxa"/>
            <w:vAlign w:val="bottom"/>
          </w:tcPr>
          <w:p>
            <w:pPr>
              <w:spacing w:after="0"/>
              <w:rPr>
                <w:sz w:val="17"/>
                <w:szCs w:val="17"/>
                <w:color w:val="auto"/>
              </w:rPr>
            </w:pP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9"/>
              </w:rPr>
              <w:t>43.0 %</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53,876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57.3 %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8.2 %</w:t>
            </w:r>
          </w:p>
        </w:tc>
        <w:tc>
          <w:tcPr>
            <w:tcW w:w="720" w:type="dxa"/>
            <w:vAlign w:val="bottom"/>
          </w:tcPr>
          <w:p>
            <w:pPr>
              <w:spacing w:after="0"/>
              <w:rPr>
                <w:sz w:val="19"/>
                <w:szCs w:val="19"/>
                <w:color w:val="auto"/>
              </w:rPr>
            </w:pPr>
          </w:p>
        </w:tc>
        <w:tc>
          <w:tcPr>
            <w:tcW w:w="60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9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service revenue</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335,636</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206,189</w:t>
            </w:r>
          </w:p>
        </w:tc>
        <w:tc>
          <w:tcPr>
            <w:tcW w:w="280" w:type="dxa"/>
            <w:vAlign w:val="bottom"/>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7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129,447</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62.8 %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ind w:right="100" w:firstLine="374"/>
        <w:spacing w:after="0" w:line="247" w:lineRule="auto"/>
        <w:rPr>
          <w:sz w:val="20"/>
          <w:szCs w:val="20"/>
          <w:color w:val="auto"/>
        </w:rPr>
      </w:pPr>
      <w:r>
        <w:rPr>
          <w:rFonts w:ascii="Times New Roman" w:cs="Times New Roman" w:eastAsia="Times New Roman" w:hAnsi="Times New Roman"/>
          <w:sz w:val="18"/>
          <w:szCs w:val="18"/>
          <w:color w:val="auto"/>
        </w:rPr>
        <w:t>Commercial Services service revenue increased by $46.2 million, or 41.2%, from $112.2 million for the six months ended June 30, 2021 to $158.4 million for the six months ended June 30, 2022. The increase was primarily due to the increase in travel volume in 2022 compared to 2021 which was negatively impacted by the COVID-19 pandemic, especially the first three months of 2021. The volume of tolls incurred by RAC vehicles increased along with a shift towards an all-inclusive fee structure from an incidental or daily usage rate and higher pricing for certain products contributed to a $32.1 million increase, and the volume of tolls incurred by our FMC customers contributed to a $7.8 million increase in revenue during the six months ended June 30, 2022 compared to the same period in 2021.</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8" w:right="239" w:bottom="1440" w:gutter="0" w:footer="0" w:header="0"/>
        </w:sectPr>
      </w:pPr>
    </w:p>
    <w:bookmarkStart w:id="39" w:name="page40"/>
    <w:bookmarkEnd w:id="39"/>
    <w:p>
      <w:pPr>
        <w:jc w:val="both"/>
        <w:ind w:right="40" w:firstLine="374"/>
        <w:spacing w:after="0" w:line="245" w:lineRule="auto"/>
        <w:rPr>
          <w:sz w:val="20"/>
          <w:szCs w:val="20"/>
          <w:color w:val="auto"/>
        </w:rPr>
      </w:pPr>
      <w:r>
        <w:rPr>
          <w:rFonts w:ascii="Times New Roman" w:cs="Times New Roman" w:eastAsia="Times New Roman" w:hAnsi="Times New Roman"/>
          <w:sz w:val="18"/>
          <w:szCs w:val="18"/>
          <w:color w:val="auto"/>
        </w:rPr>
        <w:t>Government Solutions service revenue includes revenue from speed, red-light, school bus stop arm and bus lane photo enforcement systems. Service revenue increased by $53.9 million and was $147.9 million and $94.0 million for the six months ended June 30, 2022 and 2021, respectively. The Redflex acquisition contributed $30.9 million to our growth. Organic growth excluding Redflex was $22.9 million, which was primarily driven by the expansion of school zone speed programs, and speed is the largest product in this segment. We added 752 speed cameras in 2021, excluding Redflex, which provided year-over-year growth in 2022, and 379 speed cameras in the six months ended June 30, 2022 which provided growth in the current period and will continue to provide growth for the remainder of 2022. The remaining growth is attributable to other expansions and improvement in variable rate programs that recovered from COVID-19 to more normalized volumes.</w:t>
      </w:r>
    </w:p>
    <w:p>
      <w:pPr>
        <w:spacing w:after="0" w:line="195"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of $29.4 million resulted from our acquisition of T2 systems in December 2021 with no revenue in the comparable six-month period.</w:t>
      </w:r>
    </w:p>
    <w:p>
      <w:pPr>
        <w:spacing w:after="0" w:line="160" w:lineRule="exact"/>
        <w:rPr>
          <w:sz w:val="20"/>
          <w:szCs w:val="20"/>
          <w:color w:val="auto"/>
        </w:rPr>
      </w:pPr>
    </w:p>
    <w:p>
      <w:pPr>
        <w:jc w:val="both"/>
        <w:ind w:right="4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increased by $9.9 million, and were $22.2 million and $12.3 million for the six months ended June 30,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2022 was mainly due to an aggregate $12.2 million of product revenue generated from Redflex, which only included 12 days of activity in the 2021 period and T2 Systems for which there was no revenue in the comparable 2021 period, offset by a decrease in product sales for a Government Solutions customer whose buying patterns varied from period to period.</w:t>
      </w:r>
    </w:p>
    <w:p>
      <w:pPr>
        <w:spacing w:after="0" w:line="160" w:lineRule="exact"/>
        <w:rPr>
          <w:sz w:val="20"/>
          <w:szCs w:val="20"/>
          <w:color w:val="auto"/>
        </w:rPr>
      </w:pPr>
    </w:p>
    <w:p>
      <w:pPr>
        <w:jc w:val="both"/>
        <w:ind w:right="40" w:firstLine="37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increased from $2.2 million for the six months ended June 30, 2021 to $7.5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The $5.3 million increase was mainly attributable to the inclusion of costs in the Parking Solutions segment with no comparable amounts in the prior year.</w:t>
      </w:r>
    </w:p>
    <w:p>
      <w:pPr>
        <w:spacing w:after="0" w:line="170" w:lineRule="exact"/>
        <w:rPr>
          <w:sz w:val="20"/>
          <w:szCs w:val="20"/>
          <w:color w:val="auto"/>
        </w:rPr>
      </w:pPr>
    </w:p>
    <w:p>
      <w:pPr>
        <w:jc w:val="both"/>
        <w:ind w:right="40"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$8.1 million from $6.2 million in the six months ended June 30, 2021 to $14.3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2022, which was mainly due to increased costs from the inclusion of Redflex and T2 Systems operations.</w:t>
      </w:r>
    </w:p>
    <w:p>
      <w:pPr>
        <w:spacing w:after="0" w:line="144" w:lineRule="exact"/>
        <w:rPr>
          <w:sz w:val="20"/>
          <w:szCs w:val="20"/>
          <w:color w:val="auto"/>
        </w:rPr>
      </w:pPr>
    </w:p>
    <w:p>
      <w:pPr>
        <w:jc w:val="both"/>
        <w:ind w:right="40" w:firstLine="374"/>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$39.3 million, or 58.8%, from $66.9 million for the six months ended June 30,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$106.3 million for the six months ended June 30, 2022. The increase was primarily attributable to increases in wages expense, subcontractor expenses, recurring services and information technology costs resulting from the inclusion of Redflex for the full six-month period in 2022 compared to only 12 days</w:t>
      </w:r>
    </w:p>
    <w:p>
      <w:pPr>
        <w:spacing w:after="0" w:line="2" w:lineRule="exact"/>
        <w:rPr>
          <w:sz w:val="20"/>
          <w:szCs w:val="20"/>
          <w:color w:val="auto"/>
        </w:rPr>
      </w:pPr>
    </w:p>
    <w:p>
      <w:pPr>
        <w:jc w:val="both"/>
        <w:ind w:right="60"/>
        <w:spacing w:after="0" w:line="226" w:lineRule="auto"/>
        <w:rPr>
          <w:sz w:val="20"/>
          <w:szCs w:val="20"/>
          <w:color w:val="auto"/>
        </w:rPr>
      </w:pPr>
      <w:r>
        <w:rPr>
          <w:rFonts w:ascii="Times New Roman" w:cs="Times New Roman" w:eastAsia="Times New Roman" w:hAnsi="Times New Roman"/>
          <w:sz w:val="18"/>
          <w:szCs w:val="18"/>
          <w:color w:val="auto"/>
        </w:rPr>
        <w:t>in 2021 and T2 Systems operations in 2022 with no comparable amounts in the prior year. Operating expenses as a percentage of total revenue decreased from 30.6% to 29.7% for the six months ended June 30, 2021 and 2022, respectively. The following table presents operating expenses by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40" w:type="dxa"/>
            <w:vAlign w:val="bottom"/>
            <w:gridSpan w:val="4"/>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40" w:type="dxa"/>
            <w:vAlign w:val="bottom"/>
          </w:tcPr>
          <w:p>
            <w:pPr>
              <w:spacing w:after="0"/>
              <w:rPr>
                <w:sz w:val="11"/>
                <w:szCs w:val="11"/>
                <w:color w:val="auto"/>
              </w:rPr>
            </w:pPr>
          </w:p>
        </w:tc>
        <w:tc>
          <w:tcPr>
            <w:tcW w:w="1880" w:type="dxa"/>
            <w:vAlign w:val="bottom"/>
            <w:gridSpan w:val="4"/>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Borders>
              <w:top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Commercial Services</w:t>
            </w:r>
          </w:p>
        </w:tc>
        <w:tc>
          <w:tcPr>
            <w:tcW w:w="200" w:type="dxa"/>
            <w:vAlign w:val="bottom"/>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34,052</w:t>
            </w:r>
          </w:p>
        </w:tc>
        <w:tc>
          <w:tcPr>
            <w:tcW w:w="48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30,196</w:t>
            </w:r>
          </w:p>
        </w:tc>
        <w:tc>
          <w:tcPr>
            <w:tcW w:w="260" w:type="dxa"/>
            <w:vAlign w:val="bottom"/>
          </w:tcPr>
          <w:p>
            <w:pPr>
              <w:spacing w:after="0"/>
              <w:rPr>
                <w:sz w:val="15"/>
                <w:szCs w:val="15"/>
                <w:color w:val="auto"/>
              </w:rPr>
            </w:pP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9.5 %</w:t>
            </w:r>
          </w:p>
        </w:tc>
        <w:tc>
          <w:tcPr>
            <w:tcW w:w="124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13.8 %</w:t>
            </w:r>
          </w:p>
        </w:tc>
        <w:tc>
          <w:tcPr>
            <w:tcW w:w="240" w:type="dxa"/>
            <w:vAlign w:val="bottom"/>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3,856</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auto"/>
              </w:rPr>
              <w:t>12.8 %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66,792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36,288</w:t>
            </w:r>
          </w:p>
        </w:tc>
        <w:tc>
          <w:tcPr>
            <w:tcW w:w="2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2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16.6 %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30,504</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84.1 %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47"/>
        </w:trPr>
        <w:tc>
          <w:tcPr>
            <w:tcW w:w="416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7"/>
                <w:szCs w:val="17"/>
                <w:color w:val="auto"/>
              </w:rPr>
              <w:t>Total operating expenses before stock-based</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66,484</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29.6 %</w:t>
            </w:r>
          </w:p>
        </w:tc>
        <w:tc>
          <w:tcPr>
            <w:tcW w:w="12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30.4 %</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39,277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59.1 %</w:t>
            </w:r>
          </w:p>
        </w:tc>
        <w:tc>
          <w:tcPr>
            <w:tcW w:w="0" w:type="dxa"/>
            <w:vAlign w:val="bottom"/>
          </w:tcPr>
          <w:p>
            <w:pPr>
              <w:spacing w:after="0"/>
              <w:rPr>
                <w:sz w:val="1"/>
                <w:szCs w:val="1"/>
                <w:color w:val="auto"/>
              </w:rPr>
            </w:pPr>
          </w:p>
        </w:tc>
      </w:tr>
      <w:tr>
        <w:trPr>
          <w:trHeight w:val="224"/>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2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0.2 %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0" w:type="dxa"/>
            <w:vAlign w:val="bottom"/>
          </w:tcPr>
          <w:p>
            <w:pPr>
              <w:spacing w:after="0"/>
              <w:rPr>
                <w:sz w:val="1"/>
                <w:szCs w:val="1"/>
                <w:color w:val="auto"/>
              </w:rPr>
            </w:pPr>
          </w:p>
        </w:tc>
      </w:tr>
      <w:tr>
        <w:trPr>
          <w:trHeight w:val="196"/>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106,259</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66,926</w:t>
            </w:r>
          </w:p>
        </w:tc>
        <w:tc>
          <w:tcPr>
            <w:tcW w:w="2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39,333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58.8 %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289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2489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40" w:right="299" w:bottom="1440" w:gutter="0" w:footer="0" w:header="0"/>
        </w:sectPr>
      </w:pPr>
    </w:p>
    <w:bookmarkStart w:id="40" w:name="page41"/>
    <w:bookmarkEnd w:id="40"/>
    <w:p>
      <w:pPr>
        <w:jc w:val="both"/>
        <w:ind w:right="100" w:firstLine="374"/>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$27.1 million to $81.8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compared to $54.7 million for the same period in 2021. The increase is primarily due to increased wages, information technology and other general expenses due to the inclusion of Redflex for the full six-month period as compared to 12 days in the prior year and T2 Systems operations included in the six months ended June 30, 2022 with no comparable amounts in the prior year. In addition, we had increases of $5.8 million for professional services, $3.2 million for credit loss expense, and $2.5 million related to stock-based compensation expense compared to the prior year, which were partially offset by a $6.9 million decrease in transaction costs compared to 2021. Selling, general and administrative expenses as a percentage of total revenue decreased from 25.1% to 22.9% for the six months ended June 30, 2021 and 2022, respectively. The following table presents selling, general and administrative expenses by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20" w:type="dxa"/>
            <w:vAlign w:val="bottom"/>
            <w:gridSpan w:val="5"/>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880" w:type="dxa"/>
            <w:vAlign w:val="bottom"/>
            <w:gridSpan w:val="4"/>
          </w:tcPr>
          <w:p>
            <w:pPr>
              <w:jc w:val="right"/>
              <w:ind w:right="376"/>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12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Borders>
              <w:top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Commercial Services</w:t>
            </w:r>
          </w:p>
        </w:tc>
        <w:tc>
          <w:tcPr>
            <w:tcW w:w="220" w:type="dxa"/>
            <w:vAlign w:val="bottom"/>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26,957</w:t>
            </w:r>
          </w:p>
        </w:tc>
        <w:tc>
          <w:tcPr>
            <w:tcW w:w="48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20,271</w:t>
            </w:r>
          </w:p>
        </w:tc>
        <w:tc>
          <w:tcPr>
            <w:tcW w:w="260" w:type="dxa"/>
            <w:vAlign w:val="bottom"/>
          </w:tcPr>
          <w:p>
            <w:pPr>
              <w:spacing w:after="0"/>
              <w:rPr>
                <w:sz w:val="15"/>
                <w:szCs w:val="15"/>
                <w:color w:val="auto"/>
              </w:rPr>
            </w:pPr>
          </w:p>
        </w:tc>
        <w:tc>
          <w:tcPr>
            <w:tcW w:w="118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7"/>
                <w:szCs w:val="17"/>
                <w:color w:val="auto"/>
              </w:rPr>
              <w:t>7.5 %</w:t>
            </w:r>
          </w:p>
        </w:tc>
        <w:tc>
          <w:tcPr>
            <w:tcW w:w="1440" w:type="dxa"/>
            <w:vAlign w:val="bottom"/>
            <w:gridSpan w:val="3"/>
          </w:tcPr>
          <w:p>
            <w:pPr>
              <w:jc w:val="right"/>
              <w:ind w:right="120"/>
              <w:spacing w:after="0" w:line="181" w:lineRule="exact"/>
              <w:rPr>
                <w:sz w:val="20"/>
                <w:szCs w:val="20"/>
                <w:color w:val="auto"/>
              </w:rPr>
            </w:pPr>
            <w:r>
              <w:rPr>
                <w:rFonts w:ascii="Times New Roman" w:cs="Times New Roman" w:eastAsia="Times New Roman" w:hAnsi="Times New Roman"/>
                <w:sz w:val="17"/>
                <w:szCs w:val="17"/>
                <w:color w:val="auto"/>
              </w:rPr>
              <w:t>9.3 % $</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6,686</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3"/>
          </w:tcPr>
          <w:p>
            <w:pPr>
              <w:jc w:val="right"/>
              <w:ind w:right="60"/>
              <w:spacing w:after="0" w:line="181" w:lineRule="exact"/>
              <w:rPr>
                <w:sz w:val="20"/>
                <w:szCs w:val="20"/>
                <w:color w:val="auto"/>
              </w:rPr>
            </w:pPr>
            <w:r>
              <w:rPr>
                <w:rFonts w:ascii="Times New Roman" w:cs="Times New Roman" w:eastAsia="Times New Roman" w:hAnsi="Times New Roman"/>
                <w:sz w:val="17"/>
                <w:szCs w:val="17"/>
                <w:color w:val="auto"/>
              </w:rPr>
              <w:t>33.0 %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30,888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20,930</w:t>
            </w:r>
          </w:p>
        </w:tc>
        <w:tc>
          <w:tcPr>
            <w:tcW w:w="26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8.7 %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9.6 %</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47.6 %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4.3 %</w:t>
            </w: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Corporate and other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7,432</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3.4 %</w:t>
            </w: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(7,432 )</w:t>
            </w:r>
          </w:p>
        </w:tc>
        <w:tc>
          <w:tcPr>
            <w:tcW w:w="4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47"/>
        </w:trPr>
        <w:tc>
          <w:tcPr>
            <w:tcW w:w="420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7"/>
                <w:szCs w:val="17"/>
                <w:color w:val="auto"/>
              </w:rPr>
              <w:t>Total selling, general and administrative expenses before</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48,633</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20.5 %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22.3 %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50.7 %</w:t>
            </w:r>
          </w:p>
        </w:tc>
        <w:tc>
          <w:tcPr>
            <w:tcW w:w="0" w:type="dxa"/>
            <w:vAlign w:val="bottom"/>
          </w:tcPr>
          <w:p>
            <w:pPr>
              <w:spacing w:after="0"/>
              <w:rPr>
                <w:sz w:val="1"/>
                <w:szCs w:val="1"/>
                <w:color w:val="auto"/>
              </w:rPr>
            </w:pPr>
          </w:p>
        </w:tc>
      </w:tr>
      <w:tr>
        <w:trPr>
          <w:trHeight w:val="224"/>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w:t>
            </w:r>
          </w:p>
        </w:tc>
        <w:tc>
          <w:tcPr>
            <w:tcW w:w="2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2.8 %</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selling, general and administrative expenses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81,787</w:t>
            </w:r>
          </w:p>
        </w:tc>
        <w:tc>
          <w:tcPr>
            <w:tcW w:w="26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54,672</w:t>
            </w:r>
          </w:p>
        </w:tc>
        <w:tc>
          <w:tcPr>
            <w:tcW w:w="26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xml:space="preserve">22.9 </w:t>
            </w:r>
            <w:r>
              <w:rPr>
                <w:rFonts w:ascii="Times New Roman" w:cs="Times New Roman" w:eastAsia="Times New Roman" w:hAnsi="Times New Roman"/>
                <w:sz w:val="17"/>
                <w:szCs w:val="17"/>
                <w:color w:val="auto"/>
                <w:highlight w:val="white"/>
              </w:rPr>
              <w:t>%</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 xml:space="preserve">25.1 </w:t>
            </w:r>
            <w:r>
              <w:rPr>
                <w:rFonts w:ascii="Times New Roman" w:cs="Times New Roman" w:eastAsia="Times New Roman" w:hAnsi="Times New Roman"/>
                <w:sz w:val="17"/>
                <w:szCs w:val="17"/>
                <w:color w:val="auto"/>
                <w:highlight w:val="white"/>
              </w:rPr>
              <w:t>%</w:t>
            </w:r>
            <w:r>
              <w:rPr>
                <w:rFonts w:ascii="Times New Roman" w:cs="Times New Roman" w:eastAsia="Times New Roman" w:hAnsi="Times New Roman"/>
                <w:sz w:val="17"/>
                <w:szCs w:val="17"/>
                <w:color w:val="auto"/>
              </w:rPr>
              <w:t xml:space="preserve"> $</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49.6 %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677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203" w:lineRule="exact"/>
        <w:rPr>
          <w:sz w:val="20"/>
          <w:szCs w:val="20"/>
          <w:color w:val="auto"/>
        </w:rPr>
      </w:pPr>
    </w:p>
    <w:p>
      <w:pPr>
        <w:jc w:val="both"/>
        <w:ind w:right="100" w:firstLine="37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approximately $15.6 million to $70.8 million for the six months ended June 30, 2022 from $55.3 million for the same period in 2021. This was mainly due to increased amortization and depreciation expense from the inclusion of Redflex for the full six-month period in 2022 compared to only 12 days in 2021 and T2 Systems operations with no comparable amounts in the prior year, partially offset by a decrease due to certain trademark intangibles being fully amortized for the six months ended June 30, 2022.</w:t>
      </w:r>
    </w:p>
    <w:p>
      <w:pPr>
        <w:spacing w:after="0" w:line="177"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increased by $7.9 million from $20.8 million for the six months ended June 30, 2021 to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$28.8 million for the same period in 2022. This increase is primarily attributable to $1.2 billion in average outstanding debt during the six months ended June 30, 2022, compared to $943 million in average outstanding debt for the same period in 2021.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a gain of $2.9 million and a loss of $10.1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and 2021, respectively, related to the changes in fair value of our Private Placement Warrants which are accounted for as liabilities on our condensed consolidated balance sheets. The change in fair value is the result of re-measurement of the liability at the end of each reporting period.</w:t>
      </w:r>
    </w:p>
    <w:p>
      <w:pPr>
        <w:spacing w:after="0" w:line="167"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We recorded a $1.0 million benefit and a $1.7 million charge for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respectively. The TRA liability adjustment in 2022 is arising from lower estimated state tax rates due to changes in apportionment, whereas in 2021 it was arising from higher estimated state tax rates due to changes in statutory rates.</w:t>
      </w:r>
    </w:p>
    <w:p>
      <w:pPr>
        <w:spacing w:after="0" w:line="167"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Loss on extinguishment of debt was $5.3 million for the six months ended June 30, 2021 consisting of a $4.0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write-off of pre-existing deferred financing costs and discounts and $1.3 million of lender and third-party costs associated with the issuance of the 2021 Term Loan, as discussed and defined below.</w:t>
      </w:r>
    </w:p>
    <w:p>
      <w:pPr>
        <w:spacing w:after="0" w:line="167"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We pay a high volume of tolls on behalf of our customers with purchasing cards which generate rebates based on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terms and rebate frequency. Other income, net was $6.9 million for the six months ended June 30, 2022, compared to $5.8 million for the six months ended June 30, 2021. The increase of $1.1 million is primarily attributable to increased tolling activity due to increased travel in 2022, especially in the RAC industry.</w:t>
      </w:r>
    </w:p>
    <w:p>
      <w:pPr>
        <w:spacing w:after="0" w:line="174"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$19.5 million representing an effective tax rate of 32.9% for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$6.0 million representing an effective tax rate of 549.6% for the same period in 2021. The primary driver for the effective tax rate variance is the permanent differences related to the mark-to-market adjustment on</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62" w:right="2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warrants and the increase in pre-tax income for 2022 compared to 2021, resulting in the Company’s permanent book and tax differences having a proportionately lesser impact on the effective tax rate for 2022.</w:t>
      </w:r>
    </w:p>
    <w:p>
      <w:pPr>
        <w:spacing w:after="0" w:line="146"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We had net income of $39.7 million for the six months ended June 30, 2022, as compared to a net loss of $4.9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The increase in net income of $44.6 million was mainly due to increases in service revenue and product sales, and the other statement of operations activity discussed above.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available borrowings under our Revolver (defined below).</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w:t>
      </w:r>
    </w:p>
    <w:p>
      <w:pPr>
        <w:spacing w:after="0" w:line="198"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the ability to borrow under our Revolver to meet obligations as they come due. As of June 30, 2022, we had $68.8 million available for borrowing, net of letters of credit, under our Revolver.</w:t>
      </w:r>
    </w:p>
    <w:p>
      <w:pPr>
        <w:spacing w:after="0" w:line="135"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 xml:space="preserve">On May 7, 2022, our Board of Directors authorized a share repurchase program for up to an aggregate amount of $125.0 million of our outstanding shares of Class A Common Stock over the next 12 months from time to time in open market transactions, ASRs or in privately negotiated transactions, each as permitted under applicable rules and regulations. On May 12, 2022, we paid $50.0 million, which represented the aggregate amount authorized for an ASR, and received an initial delivery of 2,739,726 shares of our Class A Common Stock in accordance with an ASR agreement with a third-party financial institution. The final settlement is expected to occur during the third quarter of fiscal year 2022, at which time, a volume-weighted average price calculation over the term of the ASR agreement will be used to determine the final number and the average price of shares repurchased. In addition, we paid $5.2 million and repurchased 336,153 shares of our Class A Common Stock through open market transactions during the second quarter of fiscal year 2022. Our Board of Directors authorized an aggregate purchase amount of $75.0 million related to the open market repurchases, of which $69.8 million is available for future repurchases as of June 30, 2022. We used existing cash on hand to fund all share repurchases during 2022. See Note 11,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for additional details on the share repurchases.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1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25% and 39% of total accounts receivable, net as of June 30, 2022 and December 31, 2021, respectively. There is no material reserve related to NYCDOT open receivables as amounts are deemed collectible based on current conditions and expectations.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96,375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37,478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(23,299 )</w:t>
            </w:r>
          </w:p>
        </w:tc>
        <w:tc>
          <w:tcPr>
            <w:tcW w:w="3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(115,102 )</w:t>
            </w:r>
          </w:p>
        </w:tc>
      </w:tr>
      <w:tr>
        <w:trPr>
          <w:trHeight w:val="203"/>
        </w:trPr>
        <w:tc>
          <w:tcPr>
            <w:tcW w:w="77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(86,517 )</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107,030</w:t>
            </w:r>
          </w:p>
        </w:tc>
        <w:tc>
          <w:tcPr>
            <w:tcW w:w="100" w:type="dxa"/>
            <w:vAlign w:val="bottom"/>
            <w:shd w:val="clear" w:color="auto" w:fill="CFF0FC"/>
          </w:tcPr>
          <w:p>
            <w:pPr>
              <w:spacing w:after="0"/>
              <w:rPr>
                <w:sz w:val="17"/>
                <w:szCs w:val="17"/>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08"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increased by $58.9 million, from $37.5 million for the six months ended June 30, 2021 to $96.4 million for the six months ended June 30, 2022. Net income year over year increased by $44.6 million, from $(4.9) million in 2021 to $39.7 million in 2022. Adjustments to reconcile net income (loss) to cash provided by operating activities decreased $14.7 million in 2022 compared to 2021. This was primarily due to the change in deferred income taxes,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jc w:val="both"/>
        <w:spacing w:after="0" w:line="250" w:lineRule="auto"/>
        <w:rPr>
          <w:sz w:val="20"/>
          <w:szCs w:val="20"/>
          <w:color w:val="auto"/>
        </w:rPr>
      </w:pPr>
      <w:r>
        <w:rPr>
          <w:rFonts w:ascii="Times New Roman" w:cs="Times New Roman" w:eastAsia="Times New Roman" w:hAnsi="Times New Roman"/>
          <w:sz w:val="18"/>
          <w:szCs w:val="18"/>
          <w:color w:val="auto"/>
        </w:rPr>
        <w:t>changes in the fair value of the private placement warrant liability, the TRA liability adjustment and the $5.3 million loss on extinguishment of debt in 2021 with no comparable amount in the 2022 period. These decreases were offset mainly by increased depreciation and amortization resulting from our recent acquisitions, combined with increases in the credit loss expense and stock-based compensation expenses. The major changes in operating assets and liabilities compared to the prior period were driven by a decrease in accounts receivable balances mainly for the NYCDOT customer, and decrease in prepaid and other assets.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08"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was $23.3 million and $115.1 million for the six months ended June 30, 2022 and 2021, respectively. The cash used in 2022 was primarily related to purchases of installation and service parts and property and equipment. The cash used in 2021 was primarily related to VM Consolidated’s acquisition of 100% of the outstanding equity of Redflex at A$0.96 per share for total consideration of A$152.5 million, or approximately US$117.9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 xml:space="preserve">Cash (used in) provided by financing activities was $(86.5) million and $107.0 million for the six months ended June 30, 2022 and 2021, respectively. The cash used in 2022 was mainly due to the repurchases of 3.1 million shares of the Company’s Class A Common Stock for $55.3 million in the second quarter of 2022 (as discussed further in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repayment of $25.0 million of borrowing on the Revolver in January 2022 and quarterly principal payments on the 2021 Term Loan.</w:t>
      </w:r>
    </w:p>
    <w:p>
      <w:pPr>
        <w:spacing w:after="0" w:line="69"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We had aggregate borrowings of $996.8 million during 2021 consisting of the 2021 Term Loan and Senior Notes and repayments of $881.3 million on outstanding debt related to the 2018 and 2021 Term Loans (defined below), and debt assumed as part of the Redflex acquisition that was subsequently paid. The 2018 Term Loan was fully repaid in March 2021. The aggregate borrowings net of the repayments were used in part to fund the close of the Redflex acquisition.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Senior Notes</w:t>
      </w:r>
    </w:p>
    <w:p>
      <w:pPr>
        <w:spacing w:after="0" w:line="106"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In March 2021, VM Consolidated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$650.0 million, maturing on March 26, 2028, and an accordion feature providing for an additional $250.0 million of term loans, subject to satisfaction of certain requirements. In connection with the 2021 Term Loan, we had an offering discount cost of $3.3 million and $0.7 million of deferred financing costs, both of which were capitalized and are amortized over the remaining life of the 2021 Term Loan.</w:t>
      </w:r>
    </w:p>
    <w:p>
      <w:pPr>
        <w:spacing w:after="0" w:line="19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due on April 15, 2029. In connection with the issuance of the Senior Notes, we incurred $5.7 million in lender and third-party costs, which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as deferred financing costs and are being amortized over the remaining life of the Senior Notes.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net proceeds from both the 2021 Term Loan and the Senior Notes were used in March 2021 to repay in full all outstanding debt which was represented by the First Lien Term Loan Credit Agreement (as amended, the “</w:t>
      </w:r>
      <w:r>
        <w:rPr>
          <w:rFonts w:ascii="Times New Roman" w:cs="Times New Roman" w:eastAsia="Times New Roman" w:hAnsi="Times New Roman"/>
          <w:sz w:val="18"/>
          <w:szCs w:val="18"/>
          <w:b w:val="1"/>
          <w:bCs w:val="1"/>
          <w:i w:val="1"/>
          <w:iCs w:val="1"/>
          <w:color w:val="auto"/>
        </w:rPr>
        <w:t>2018 Term Loan</w:t>
      </w:r>
      <w:r>
        <w:rPr>
          <w:rFonts w:ascii="Times New Roman" w:cs="Times New Roman" w:eastAsia="Times New Roman" w:hAnsi="Times New Roman"/>
          <w:sz w:val="18"/>
          <w:szCs w:val="18"/>
          <w:color w:val="auto"/>
        </w:rPr>
        <w:t>”) with a balance of $865.6 million.</w:t>
      </w:r>
    </w:p>
    <w:p>
      <w:pPr>
        <w:spacing w:after="0" w:line="162"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On December 7, 2021, VM Consolidated entered into an agreement to exercise the accordion feature under the 2021 Term Loan, borrowing $250.0 million in incremental term loans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The proceeds from the Incremental Term Loan were used, along with cash on hand, to fund the acquisition of T2 Systems, including repaying in full all outstanding debt for T2 Systems. In connection with the Incremental Term Loan, we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 principal outstanding under the 2021 Term Loan, which includes the Incremental Term Loan, was $890.6 million at June 30, 2022.</w:t>
      </w:r>
    </w:p>
    <w:p>
      <w:pPr>
        <w:spacing w:after="0" w:line="181"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2021 Term Loan is repayable at 1.0% per annum of the amount initially borrowed, paid in quarterly installments. It bears interest based, at our option, on either (1) LIBOR plus an applicable margin of 3.25% per annum, or (2) an alternate base rate plus an applicable margin of 2.25% per annum. As of June 30, 2022, the interest rate on the 2021 Term Loan was 6.1%.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ind w:left="380"/>
        <w:spacing w:after="0"/>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Term Loan agreement) and the applicable prepayment percentages (calculated as of the last day of the fiscal year, beginning with the year ending</w:t>
      </w:r>
    </w:p>
    <w:p>
      <w:pPr>
        <w:spacing w:after="0"/>
        <w:rPr>
          <w:sz w:val="20"/>
          <w:szCs w:val="20"/>
          <w:color w:val="auto"/>
        </w:rPr>
      </w:pPr>
      <w:r>
        <w:rPr>
          <w:rFonts w:ascii="Times New Roman" w:cs="Times New Roman" w:eastAsia="Times New Roman" w:hAnsi="Times New Roman"/>
          <w:sz w:val="18"/>
          <w:szCs w:val="18"/>
          <w:color w:val="auto"/>
        </w:rPr>
        <w:t>December 31, 2022), as set forth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r>
      <w:tr>
        <w:trPr>
          <w:trHeight w:val="200"/>
        </w:trPr>
        <w:tc>
          <w:tcPr>
            <w:tcW w:w="8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176"/>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5"/>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r>
    </w:tbl>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On or after April 15, 2024, we may redeem all or a portion of the Senior Notes at the redemption prices set forth below in percentages by year, plus accrued and unpaid interest: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102.750%</w:t>
            </w:r>
          </w:p>
        </w:tc>
      </w:tr>
      <w:tr>
        <w:trPr>
          <w:trHeight w:val="216"/>
        </w:trPr>
        <w:tc>
          <w:tcPr>
            <w:tcW w:w="8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101.375%</w:t>
            </w:r>
          </w:p>
        </w:tc>
      </w:tr>
      <w:tr>
        <w:trPr>
          <w:trHeight w:val="216"/>
        </w:trPr>
        <w:tc>
          <w:tcPr>
            <w:tcW w:w="8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we may redeem up to 40% of the Senior Notes before April 15, 2024, with the net cash proceeds from certain equity offerings.</w:t>
      </w:r>
    </w:p>
    <w:p>
      <w:pPr>
        <w:spacing w:after="0" w:line="21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We evaluated the March 2021 refinancing transactions on a lender-by-lender basis and accounted for the portion of the transaction that did not meet the accounting criteria for debt extinguishment as a debt modification. Accordingly, we recognized a loss on extinguishment of debt of $5.3 million on the 2018 Term Loan during the six months ended June 30, 2021 consisting of a $4.0 million write-off of pre-existing deferred financing costs and discounts and $1.3 million of lender and third-party costs associated with the issuance of the 2021 Term Loan.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115"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During fiscal year 2020, Redflex received a loan from the U.S. Small Business Administration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as part of the Paycheck Protection Program to offset certain employment and other allowable costs incurred as a result of the COVID-19 pandemic. At June 30, 2022, the loan amount outstanding was $2.9 million and was included in the current portion of long-term debt. In early 2021, Redflex applied for forgiveness of this loan and, as of June 30, 2022, was still awaiting approval from the SBA for loan forgiveness. In April 2022, the original maturity as of April 2022 was extended to September 2022 by the lender.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We have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December 31, 2021, we had $25.0 million in outstanding borrowings on the Revolver, which was repaid in full in January 2022. At June 30, 2022, the availability to borrow was $68.8 million, net of $6.2 million of outstanding letters of credit.</w:t>
      </w:r>
    </w:p>
    <w:p>
      <w:pPr>
        <w:spacing w:after="0" w:line="19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we are also required to pay participation and fronting fees at 1.38% on $6.2 million of outstanding letters of credit as of June 30, 2022.</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June 30, 2022, we were compliant with all debt covenants.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$14.5 million and $11.7 million for the three months ended June 30, 2022 and 2021, respectively, and $28.8 million and $20.8 million for the six months ended June 30,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June 30,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08"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Significant estimates and assumptions include those related to the fair values assigned to net assets acquired (including identifiable intangibles) in business combinations, revenue recognition, inventory valuation, allowance for credit losses, fair value of the private placement warrant liabilities, valuation allowance on deferred tax assets, impairment assessments of goodwill, intangible assets and other long-lived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our 2021 Annual Report on Form 10-K for our critical accounting policies, estimates and judgments.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are exposed to interest rate market risk due to the variable interest rate on the 2021 Term Loan described in Part I, Item 2. Management’s Discussion and Analysis of Financial Condition and Results of Operations—</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$890.6 million at June 30, 2022. The 2021 Term Loan bears interest based, at our option, on either (1) LIBOR plus an applicable margin of 3.25% per annum, or (2) an alternate base rate plus an applicable margin of 2.25% per annum. At June 30, 2022, the interest rate on the 2021 Term Loan was 6.1%, up approximately 250 basis points from March 31, 2022. Based on the June 30, 2022 balance outstanding, each 1% movement in interest rates will result in an approximately $8.9 million change in annual interest expense.</w:t>
      </w:r>
    </w:p>
    <w:p>
      <w:pPr>
        <w:spacing w:after="0" w:line="17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not engaged in any hedging activities during the six months ended June 30, 2022. We do not expect to engage in any hedging activities with respect to the market risk to which we are exposed.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06"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June 30, 2022 and, based on their evaluation, have concluded the controls and procedures were ineffective as the material weaknesses in internal control over financial reporting that were disclosed in our Annual Report on Form 10-K for the year ended December 31, 2021 were not yet remediated during the first half of fiscal year 2022</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214"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As previously described in Part II, Item 9A. “Controls and Procedures” in our Annual Report on Form 10-K for the year ended December 31, 2021, management commenced implementation of remediation plans which are ongoing to address the material weaknesses mentioned above. The material weaknesses will not be considered remediated until the applicable controls operate for a sufficient period of time and management has concluded, through testing, that these controls are operating effectively. We continue to take steps to remediate the material weaknesses identified as of December 31, 2021. However, we will not be able to demonstrate that this material weakness has been fully remediated or that our controls are operating effectively, until we complete our remediation efforts and both we and our independent registered public accounting firm conduct a year-end assessment of our internal control over financial reporting for the fiscal year ended December 31, 2022, pursuant to Section 404 of the Sarbanes-Oxley Act of 2002. The following steps of the remediation plan are currently in process, and management may determine to enhance existing controls and/or implement additional controls as the implementation progresses:</w:t>
      </w:r>
    </w:p>
    <w:p>
      <w:pPr>
        <w:spacing w:after="0" w:line="93"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controls to properly recognize revenue within our recent acquisitions.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sufficiency, experience, and training of our internal personnel and hire additional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controls to validate revenue and reporting data used in the preparation of our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14" w:lineRule="exact"/>
        <w:rPr>
          <w:sz w:val="20"/>
          <w:szCs w:val="20"/>
          <w:color w:val="auto"/>
        </w:rPr>
      </w:pPr>
    </w:p>
    <w:p>
      <w:pPr>
        <w:jc w:val="both"/>
        <w:ind w:right="20" w:firstLine="374"/>
        <w:spacing w:after="0" w:line="25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of the Exchange Act) that occurred during the quarter ended June 30, 2022 that have materially affected, or are reasonably likely to materially affect, the Company’s internal control over financial reporting.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4"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On November 2, 2020, PlusPass, Inc. (“</w:t>
      </w:r>
      <w:r>
        <w:rPr>
          <w:rFonts w:ascii="Times New Roman" w:cs="Times New Roman" w:eastAsia="Times New Roman" w:hAnsi="Times New Roman"/>
          <w:sz w:val="18"/>
          <w:szCs w:val="18"/>
          <w:b w:val="1"/>
          <w:bCs w:val="1"/>
          <w:i w:val="1"/>
          <w:iCs w:val="1"/>
          <w:color w:val="auto"/>
        </w:rPr>
        <w:t>PlusPass</w:t>
      </w:r>
      <w:r>
        <w:rPr>
          <w:rFonts w:ascii="Times New Roman" w:cs="Times New Roman" w:eastAsia="Times New Roman" w:hAnsi="Times New Roman"/>
          <w:sz w:val="18"/>
          <w:szCs w:val="18"/>
          <w:color w:val="auto"/>
        </w:rPr>
        <w:t>”) commenced an action in the United States District Court, Central District of California, against Verra Mobility, The Gores Group LLC, Platinum Equity LLC, and ATS Processing Services, Inc., alleging civil violations of federal antitrust statutes: Section 7 of the Clayton Antitrust Act of 1914 (the “</w:t>
      </w:r>
      <w:r>
        <w:rPr>
          <w:rFonts w:ascii="Times New Roman" w:cs="Times New Roman" w:eastAsia="Times New Roman" w:hAnsi="Times New Roman"/>
          <w:sz w:val="18"/>
          <w:szCs w:val="18"/>
          <w:b w:val="1"/>
          <w:bCs w:val="1"/>
          <w:i w:val="1"/>
          <w:iCs w:val="1"/>
          <w:color w:val="auto"/>
        </w:rPr>
        <w:t>Clayton Act</w:t>
      </w:r>
      <w:r>
        <w:rPr>
          <w:rFonts w:ascii="Times New Roman" w:cs="Times New Roman" w:eastAsia="Times New Roman" w:hAnsi="Times New Roman"/>
          <w:sz w:val="18"/>
          <w:szCs w:val="18"/>
          <w:color w:val="auto"/>
        </w:rPr>
        <w: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Times New Roman" w:cs="Times New Roman" w:eastAsia="Times New Roman" w:hAnsi="Times New Roman"/>
          <w:sz w:val="18"/>
          <w:szCs w:val="18"/>
          <w:b w:val="1"/>
          <w:bCs w:val="1"/>
          <w:i w:val="1"/>
          <w:iCs w:val="1"/>
          <w:color w:val="auto"/>
        </w:rPr>
        <w:t>SAC</w:t>
      </w:r>
      <w:r>
        <w:rPr>
          <w:rFonts w:ascii="Times New Roman" w:cs="Times New Roman" w:eastAsia="Times New Roman" w:hAnsi="Times New Roman"/>
          <w:sz w:val="18"/>
          <w:szCs w:val="18"/>
          <w:color w:val="auto"/>
        </w:rPr>
        <w:t>”), alleging that Verra Mobility violated Section 7 of the Clayton Act through the merger of Highway Toll Administration, LLC (“</w:t>
      </w:r>
      <w:r>
        <w:rPr>
          <w:rFonts w:ascii="Times New Roman" w:cs="Times New Roman" w:eastAsia="Times New Roman" w:hAnsi="Times New Roman"/>
          <w:sz w:val="18"/>
          <w:szCs w:val="18"/>
          <w:b w:val="1"/>
          <w:bCs w:val="1"/>
          <w:i w:val="1"/>
          <w:iCs w:val="1"/>
          <w:color w:val="auto"/>
        </w:rPr>
        <w:t>HTA</w:t>
      </w:r>
      <w:r>
        <w:rPr>
          <w:rFonts w:ascii="Times New Roman" w:cs="Times New Roman" w:eastAsia="Times New Roman" w:hAnsi="Times New Roman"/>
          <w:sz w:val="18"/>
          <w:szCs w:val="18"/>
          <w:color w:val="auto"/>
        </w:rPr>
        <w:t>”) and American Traffic Solutions, Inc. (“</w:t>
      </w:r>
      <w:r>
        <w:rPr>
          <w:rFonts w:ascii="Times New Roman" w:cs="Times New Roman" w:eastAsia="Times New Roman" w:hAnsi="Times New Roman"/>
          <w:sz w:val="18"/>
          <w:szCs w:val="18"/>
          <w:b w:val="1"/>
          <w:bCs w:val="1"/>
          <w:i w:val="1"/>
          <w:iCs w:val="1"/>
          <w:color w:val="auto"/>
        </w:rPr>
        <w:t>ATS</w:t>
      </w:r>
      <w:r>
        <w:rPr>
          <w:rFonts w:ascii="Times New Roman" w:cs="Times New Roman" w:eastAsia="Times New Roman" w:hAnsi="Times New Roman"/>
          <w:sz w:val="18"/>
          <w:szCs w:val="18"/>
          <w:color w:val="auto"/>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Discovery is underway and trial has been set for September 2023. Verra Mobility believes that all of PlusPass' claims are without merit and will defend itself vigorously in this litigation.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Part I, Item 1A. “Risk Factors” in our Annual Report on Form 10-K for the year ended December 31, 2021 includes a discussion of our risk factors. Other than the risk factor below, there have been no material changes from the risk factors described in our Annual Report on Form 10-K. We may disclose changes to such risk factors or disclose additional risk factors from time to time in our future SEC filings.</w:t>
      </w:r>
    </w:p>
    <w:p>
      <w:pPr>
        <w:spacing w:after="0" w:line="5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consummated fully or that it will enhance long-term shareholder value. Stock repurchases could also increase the volatility of the trading price of our stock and could diminish our cash reserves.</w:t>
      </w:r>
    </w:p>
    <w:p>
      <w:pPr>
        <w:spacing w:after="0" w:line="24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In May 2022, our Board of Directors authorized a share repurchase program for up to an aggregate amount of $125 million of our outstanding shares of Class A common stock over the following next twelve months. The timing, price, and quantity of purchases under the program will be at the discretion of our management and will depend upon a variety of factors including share price, general and business market conditions, compliance with applicable laws and regulations, corporate and regulatory requirements, and alternative uses of capital. The program may be amended, suspended or discontinued by our Board of Directors at any time. Although our Board of Directors has authorized this stock repurchase program, there is no guarantee as to the exact number of shares that will be repurchased by us, and we may discontinue purchases at any time if management determines additional purchases are not warranted. We cannot guarantee that the program will be consummated fully or that it will enhance long-term stockholder value. The program could affect the trading price of our common stock and increase volatility, and any announcement of a termination of this program may result in a decrease in the trading price of our common stock. In addition, this program could diminish our cash reserves.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10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May 7, 2022, the Company’s Board of Directors authorized a share repurchase program for up to an aggregate amount of $125.0 million of its outstanding shares of Class A common stock over the next 12 months from time to time in open market transactions, ASRs or in privately negotiated transactions, each as permitted under applicable rules and regulations, any of which may use pre-arranged trading plans that are designed to meet the requirements of Rule 10b5-1 of the Exchange Act. The Company authorized an aggregate purchase amount of $75.0 million related to the open market repurchases and $50.0 million for the ASR, as discussed above.</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the purchases of the Company's Class A Common Stock during the three months ended June 30,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228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4"/>
                <w:szCs w:val="14"/>
                <w:color w:val="auto"/>
              </w:rPr>
            </w:pPr>
          </w:p>
        </w:tc>
        <w:tc>
          <w:tcPr>
            <w:tcW w:w="14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4"/>
                <w:szCs w:val="14"/>
                <w:color w:val="auto"/>
              </w:rPr>
            </w:pPr>
          </w:p>
        </w:tc>
        <w:tc>
          <w:tcPr>
            <w:tcW w:w="15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60" w:type="dxa"/>
            <w:vAlign w:val="bottom"/>
          </w:tcPr>
          <w:p>
            <w:pPr>
              <w:spacing w:after="0"/>
              <w:rPr>
                <w:sz w:val="14"/>
                <w:szCs w:val="14"/>
                <w:color w:val="auto"/>
              </w:rPr>
            </w:pP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 Shares that May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2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20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20" w:type="dxa"/>
            <w:vAlign w:val="bottom"/>
            <w:vMerge w:val="restart"/>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 Plans or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2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60" w:type="dxa"/>
            <w:vAlign w:val="bottom"/>
            <w:tcBorders>
              <w:bottom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 of April 30, 2022</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line="216" w:lineRule="exact"/>
              <w:rPr>
                <w:sz w:val="20"/>
                <w:szCs w:val="20"/>
                <w:color w:val="auto"/>
              </w:rPr>
            </w:pPr>
            <w:r>
              <w:rPr>
                <w:rFonts w:ascii="Times New Roman" w:cs="Times New Roman" w:eastAsia="Times New Roman" w:hAnsi="Times New Roman"/>
                <w:sz w:val="14"/>
                <w:szCs w:val="14"/>
                <w:color w:val="auto"/>
              </w:rPr>
              <w:t xml:space="preserve">Share repurchases - ASR </w:t>
            </w:r>
            <w:r>
              <w:rPr>
                <w:rFonts w:ascii="Times New Roman" w:cs="Times New Roman" w:eastAsia="Times New Roman" w:hAnsi="Times New Roman"/>
                <w:sz w:val="19"/>
                <w:szCs w:val="19"/>
                <w:color w:val="auto"/>
                <w:vertAlign w:val="superscript"/>
              </w:rPr>
              <w:t>(1)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2,739,726</w:t>
            </w: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2,739,726</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2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167,902</w:t>
            </w:r>
          </w:p>
        </w:tc>
        <w:tc>
          <w:tcPr>
            <w:tcW w:w="2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240" w:type="dxa"/>
            <w:vAlign w:val="bottom"/>
            <w:tcBorders>
              <w:bottom w:val="single" w:sz="8" w:color="CFF0FC"/>
            </w:tcBorders>
            <w:shd w:val="clear" w:color="auto" w:fill="CFF0FC"/>
          </w:tcPr>
          <w:p>
            <w:pPr>
              <w:spacing w:after="0"/>
              <w:rPr>
                <w:sz w:val="15"/>
                <w:szCs w:val="15"/>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167,902</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72,413,962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May 31, 2022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2,907,628</w:t>
            </w: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2,907,628</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72,413,962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2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168,251</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240" w:type="dxa"/>
            <w:vAlign w:val="bottom"/>
            <w:tcBorders>
              <w:bottom w:val="single" w:sz="8" w:color="CFF0FC"/>
            </w:tcBorders>
            <w:shd w:val="clear" w:color="auto" w:fill="CFF0FC"/>
          </w:tcPr>
          <w:p>
            <w:pPr>
              <w:spacing w:after="0"/>
              <w:rPr>
                <w:sz w:val="17"/>
                <w:szCs w:val="17"/>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168,251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69,790,032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3,075,879</w:t>
            </w: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3,075,879</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69,790,032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-403225</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-403225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-403225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-403225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-128905</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-128905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-128905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-128905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5" w:lineRule="exact"/>
        <w:rPr>
          <w:sz w:val="20"/>
          <w:szCs w:val="20"/>
          <w:color w:val="auto"/>
        </w:rPr>
      </w:pPr>
    </w:p>
    <w:p>
      <w:pPr>
        <w:jc w:val="both"/>
        <w:ind w:firstLine="382"/>
        <w:spacing w:after="0" w:line="250" w:lineRule="auto"/>
        <w:tabs>
          <w:tab w:leader="none" w:pos="6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the Company paid $50.0 million and received an initial delivery of 2,739,726 shares of its Class A Common Stock in accordance with an ASR agreement with a third-party financial institution. The final settlement is expected to occur during the third quarter of fiscal year 2022, at which time, a volume-weighted average price calculation over the term of the ASR agreement will be used to determine the final number and the average price of shares repurchased and retired.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during the three months ended June 30,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8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4"/>
        </w:trPr>
        <w:tc>
          <w:tcPr>
            <w:tcW w:w="980" w:type="dxa"/>
            <w:vAlign w:val="bottom"/>
            <w:vMerge w:val="continue"/>
          </w:tcPr>
          <w:p>
            <w:pPr>
              <w:spacing w:after="0"/>
              <w:rPr>
                <w:sz w:val="11"/>
                <w:szCs w:val="11"/>
                <w:color w:val="auto"/>
              </w:rPr>
            </w:pPr>
          </w:p>
        </w:tc>
        <w:tc>
          <w:tcPr>
            <w:tcW w:w="4960" w:type="dxa"/>
            <w:vAlign w:val="bottom"/>
            <w:gridSpan w:val="6"/>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60" w:type="dxa"/>
            <w:vAlign w:val="bottom"/>
            <w:tcBorders>
              <w:bottom w:val="single" w:sz="8" w:color="auto"/>
            </w:tcBorders>
            <w:gridSpan w:val="6"/>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98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w w:val="97"/>
              </w:rPr>
              <w:t>2.1</w:t>
            </w:r>
          </w:p>
        </w:tc>
        <w:tc>
          <w:tcPr>
            <w:tcW w:w="4960" w:type="dxa"/>
            <w:vAlign w:val="bottom"/>
            <w:gridSpan w:val="6"/>
          </w:tcPr>
          <w:p>
            <w:pPr>
              <w:spacing w:after="0" w:line="169"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Merger Agreement, dated as of June 21, 2018, by and among</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19"/>
              <w:spacing w:after="0" w:line="169" w:lineRule="exact"/>
              <w:rPr>
                <w:sz w:val="20"/>
                <w:szCs w:val="20"/>
                <w:color w:val="auto"/>
              </w:rPr>
            </w:pPr>
            <w:r>
              <w:rPr>
                <w:rFonts w:ascii="Times New Roman" w:cs="Times New Roman" w:eastAsia="Times New Roman" w:hAnsi="Times New Roman"/>
                <w:sz w:val="18"/>
                <w:szCs w:val="18"/>
                <w:color w:val="auto"/>
                <w:w w:val="99"/>
              </w:rPr>
              <w:t>001-37979</w:t>
            </w:r>
          </w:p>
        </w:tc>
        <w:tc>
          <w:tcPr>
            <w:tcW w:w="960" w:type="dxa"/>
            <w:vAlign w:val="bottom"/>
          </w:tcPr>
          <w:p>
            <w:pPr>
              <w:jc w:val="center"/>
              <w:ind w:right="76"/>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0" w:type="dxa"/>
            <w:vAlign w:val="bottom"/>
          </w:tcPr>
          <w:p>
            <w:pPr>
              <w:jc w:val="center"/>
              <w:ind w:right="76"/>
              <w:spacing w:after="0" w:line="169" w:lineRule="exact"/>
              <w:rPr>
                <w:sz w:val="20"/>
                <w:szCs w:val="20"/>
                <w:color w:val="auto"/>
              </w:rPr>
            </w:pPr>
            <w:r>
              <w:rPr>
                <w:rFonts w:ascii="Times New Roman" w:cs="Times New Roman" w:eastAsia="Times New Roman" w:hAnsi="Times New Roman"/>
                <w:sz w:val="18"/>
                <w:szCs w:val="18"/>
                <w:color w:val="auto"/>
                <w:w w:val="99"/>
              </w:rPr>
              <w:t>June 21, 2018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80" w:type="dxa"/>
            <w:vAlign w:val="bottom"/>
            <w:vMerge w:val="continue"/>
          </w:tcPr>
          <w:p>
            <w:pPr>
              <w:spacing w:after="0"/>
              <w:rPr>
                <w:sz w:val="10"/>
                <w:szCs w:val="10"/>
                <w:color w:val="auto"/>
              </w:rPr>
            </w:pPr>
          </w:p>
        </w:tc>
        <w:tc>
          <w:tcPr>
            <w:tcW w:w="4960" w:type="dxa"/>
            <w:vAlign w:val="bottom"/>
            <w:gridSpan w:val="6"/>
            <w:vMerge w:val="restart"/>
          </w:tcPr>
          <w:p>
            <w:pPr>
              <w:spacing w:after="0" w:line="169"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Gores Holdings II, Inc., AM Merger Sub I, Inc., AM Merger Sub</w:t>
              </w:r>
            </w:hyperlink>
          </w:p>
        </w:tc>
        <w:tc>
          <w:tcPr>
            <w:tcW w:w="8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4960" w:type="dxa"/>
            <w:vAlign w:val="bottom"/>
            <w:gridSpan w:val="6"/>
            <w:vMerge w:val="continue"/>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00" w:type="dxa"/>
            <w:vAlign w:val="bottom"/>
            <w:gridSpan w:val="2"/>
          </w:tcPr>
          <w:p>
            <w:pPr>
              <w:spacing w:after="0" w:line="169"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II, LLC, Greenlight Holding II Corporation and PE Greenlight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20" w:type="dxa"/>
            <w:vAlign w:val="bottom"/>
            <w:gridSpan w:val="3"/>
          </w:tcPr>
          <w:p>
            <w:pPr>
              <w:spacing w:after="0" w:line="169"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Holdings, LLC, in its capacity as the Stockholder Representative.</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7"/>
              </w:rPr>
              <w:t>2.2</w:t>
            </w:r>
          </w:p>
        </w:tc>
        <w:tc>
          <w:tcPr>
            <w:tcW w:w="4960" w:type="dxa"/>
            <w:vAlign w:val="bottom"/>
            <w:gridSpan w:val="6"/>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Amendment No. 1 to Agreement and Plan of Merger, dated as of</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9"/>
              </w:rPr>
              <w:t>001-37979</w:t>
            </w: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August 24, 2018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40" w:type="dxa"/>
            <w:vAlign w:val="bottom"/>
            <w:gridSpan w:val="4"/>
          </w:tcPr>
          <w:p>
            <w:pPr>
              <w:spacing w:after="0" w:line="169"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August 23, 2018, by and among Gores Holdings II, Inc., AM</w:t>
              </w:r>
            </w:hyperlink>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60" w:type="dxa"/>
            <w:vAlign w:val="bottom"/>
            <w:gridSpan w:val="5"/>
          </w:tcPr>
          <w:p>
            <w:pPr>
              <w:spacing w:after="0" w:line="169"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Merger Sub I, Inc., AM Merger Sub II, LLC, Greenlight Holding</w:t>
              </w:r>
            </w:hyperlink>
          </w:p>
        </w:tc>
        <w:tc>
          <w:tcPr>
            <w:tcW w:w="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60" w:right="5480" w:firstLine="6"/>
        <w:spacing w:after="0" w:line="234" w:lineRule="auto"/>
        <w:tabs>
          <w:tab w:leader="none" w:pos="1143" w:val="left"/>
        </w:tabs>
        <w:numPr>
          <w:ilvl w:val="0"/>
          <w:numId w:val="23"/>
        </w:numPr>
        <w:rPr>
          <w:rFonts w:ascii="Times New Roman" w:cs="Times New Roman" w:eastAsia="Times New Roman" w:hAnsi="Times New Roman"/>
          <w:sz w:val="18"/>
          <w:szCs w:val="18"/>
          <w:u w:val="single" w:color="auto"/>
          <w:color w:val="0000FF"/>
        </w:rPr>
      </w:pPr>
      <w:hyperlink r:id="rId429">
        <w:r>
          <w:rPr>
            <w:rFonts w:ascii="Times New Roman" w:cs="Times New Roman" w:eastAsia="Times New Roman" w:hAnsi="Times New Roman"/>
            <w:sz w:val="18"/>
            <w:szCs w:val="18"/>
            <w:u w:val="single" w:color="auto"/>
            <w:color w:val="0000FF"/>
          </w:rPr>
          <w:t>Corporation and PE Greenlight Holdings, LLC, in its capacity</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as the Stockholder Representative.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-144145</wp:posOffset>
            </wp:positionV>
            <wp:extent cx="30441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30441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-24130</wp:posOffset>
            </wp:positionV>
            <wp:extent cx="15798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44"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Second Amended and Restated Certificate of Incorporation of</w:t>
              </w:r>
            </w:hyperlink>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5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October 22, 2018</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80" w:type="dxa"/>
            <w:vAlign w:val="bottom"/>
            <w:gridSpan w:val="18"/>
          </w:tcPr>
          <w:p>
            <w:pPr>
              <w:spacing w:after="0" w:line="169"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Verra Mobility Corporation.</w:t>
              </w:r>
            </w:hyperlink>
          </w:p>
        </w:tc>
        <w:tc>
          <w:tcPr>
            <w:tcW w:w="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Amended and Restated Bylaws of Verra Mobility Corporation.</w:t>
              </w:r>
            </w:hyperlink>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5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October 22, 2018</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Specimen Class A Common Stock Certificate.</w:t>
              </w:r>
            </w:hyperlink>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333-21503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December 9, 2016</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Specimen Warrant Certificate.</w:t>
              </w:r>
            </w:hyperlink>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333-21503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December 9, 2016</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Warrant  Agreement,  dated  January  12,  2017,  between  the</w:t>
              </w:r>
            </w:hyperlink>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January 19, 2017</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20" w:type="dxa"/>
            <w:vAlign w:val="bottom"/>
            <w:gridSpan w:val="10"/>
          </w:tcPr>
          <w:p>
            <w:pPr>
              <w:spacing w:after="0" w:line="169"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Registrant and Continental Stock Transfer &amp; Trust Company, as</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00" w:type="dxa"/>
            <w:vAlign w:val="bottom"/>
            <w:gridSpan w:val="14"/>
          </w:tcPr>
          <w:p>
            <w:pPr>
              <w:spacing w:after="0" w:line="169"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warrant agent.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First Amendment to Warrant Agreement, dated January 15, 2020,</w:t>
              </w:r>
            </w:hyperlink>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5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March 2,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20" w:type="dxa"/>
            <w:vAlign w:val="bottom"/>
            <w:gridSpan w:val="15"/>
          </w:tcPr>
          <w:p>
            <w:pPr>
              <w:spacing w:after="0" w:line="169"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by and among the Registrant, Continental Stock Transfer &amp; Trust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60" w:type="dxa"/>
            <w:vAlign w:val="bottom"/>
            <w:gridSpan w:val="17"/>
          </w:tcPr>
          <w:p>
            <w:pPr>
              <w:spacing w:after="0" w:line="169"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Company and American Stock Transfer &amp; Trust Company.</w:t>
              </w:r>
            </w:hyperlink>
          </w:p>
        </w:tc>
        <w:tc>
          <w:tcPr>
            <w:tcW w:w="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Amended and Restated Verra Mobility Corporation Short-Term</w:t>
              </w:r>
            </w:hyperlink>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April 28, 2022</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40" w:type="dxa"/>
            <w:vAlign w:val="bottom"/>
            <w:gridSpan w:val="11"/>
          </w:tcPr>
          <w:p>
            <w:pPr>
              <w:spacing w:after="0" w:line="169"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Incentive Plan.</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5000" w:type="dxa"/>
            <w:vAlign w:val="bottom"/>
            <w:gridSpan w:val="19"/>
          </w:tcPr>
          <w:p>
            <w:pPr>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Form of Notice of Grant of Performance Share Units and Award</w:t>
              </w:r>
            </w:hyperlink>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001-37379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June 1, 2022</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5000" w:type="dxa"/>
            <w:vAlign w:val="bottom"/>
            <w:gridSpan w:val="19"/>
          </w:tcPr>
          <w:p>
            <w:pPr>
              <w:spacing w:after="0" w:line="169"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Agreement under the Verra Mobility Corporation 2018 Equity</w:t>
              </w:r>
            </w:hyperlink>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60" w:type="dxa"/>
            <w:vAlign w:val="bottom"/>
            <w:gridSpan w:val="12"/>
          </w:tcPr>
          <w:p>
            <w:pPr>
              <w:spacing w:after="0" w:line="169"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Incentive Plan.</w:t>
              </w:r>
            </w:hyperlink>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5000" w:type="dxa"/>
            <w:vAlign w:val="bottom"/>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4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6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6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2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60" w:type="dxa"/>
            <w:vAlign w:val="bottom"/>
            <w:gridSpan w:val="3"/>
            <w:vMerge w:val="continue"/>
          </w:tcPr>
          <w:p>
            <w:pPr>
              <w:spacing w:after="0"/>
              <w:rPr>
                <w:sz w:val="14"/>
                <w:szCs w:val="14"/>
                <w:color w:val="auto"/>
              </w:rPr>
            </w:pPr>
          </w:p>
        </w:tc>
        <w:tc>
          <w:tcPr>
            <w:tcW w:w="120" w:type="dxa"/>
            <w:vAlign w:val="bottom"/>
            <w:gridSpan w:val="6"/>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4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6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6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0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80" w:type="dxa"/>
            <w:vAlign w:val="bottom"/>
            <w:gridSpan w:val="4"/>
            <w:vMerge w:val="continue"/>
          </w:tcPr>
          <w:p>
            <w:pPr>
              <w:spacing w:after="0"/>
              <w:rPr>
                <w:sz w:val="14"/>
                <w:szCs w:val="14"/>
                <w:color w:val="auto"/>
              </w:rPr>
            </w:pPr>
          </w:p>
        </w:tc>
        <w:tc>
          <w:tcPr>
            <w:tcW w:w="120" w:type="dxa"/>
            <w:vAlign w:val="bottom"/>
            <w:gridSpan w:val="6"/>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5"/>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8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gridSpan w:val="6"/>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5"/>
            <w:shd w:val="clear" w:color="auto" w:fill="0000FF"/>
          </w:tcPr>
          <w:p>
            <w:pPr>
              <w:spacing w:after="0" w:line="20" w:lineRule="exact"/>
              <w:rPr>
                <w:sz w:val="1"/>
                <w:szCs w:val="1"/>
                <w:color w:val="auto"/>
              </w:rPr>
            </w:pPr>
          </w:p>
        </w:tc>
        <w:tc>
          <w:tcPr>
            <w:tcW w:w="29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5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900" w:type="dxa"/>
            <w:vAlign w:val="bottom"/>
            <w:gridSpan w:val="14"/>
            <w:shd w:val="clear" w:color="auto" w:fill="0000FF"/>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0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100" w:type="dxa"/>
            <w:vAlign w:val="bottom"/>
            <w:gridSpan w:val="5"/>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880" w:type="dxa"/>
            <w:vAlign w:val="bottom"/>
            <w:gridSpan w:val="13"/>
            <w:shd w:val="clear" w:color="auto" w:fill="0000FF"/>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8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gridSpan w:val="6"/>
            <w:vMerge w:val="continue"/>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3"/>
        </w:trPr>
        <w:tc>
          <w:tcPr>
            <w:tcW w:w="980" w:type="dxa"/>
            <w:vAlign w:val="bottom"/>
          </w:tcPr>
          <w:p>
            <w:pPr>
              <w:spacing w:after="0"/>
              <w:rPr>
                <w:sz w:val="24"/>
                <w:szCs w:val="24"/>
                <w:color w:val="auto"/>
              </w:rPr>
            </w:pPr>
          </w:p>
        </w:tc>
        <w:tc>
          <w:tcPr>
            <w:tcW w:w="2100" w:type="dxa"/>
            <w:vAlign w:val="bottom"/>
            <w:tcBorders>
              <w:top w:val="single" w:sz="8" w:color="0000FF"/>
            </w:tcBorders>
            <w:gridSpan w:val="5"/>
          </w:tcPr>
          <w:p>
            <w:pPr>
              <w:spacing w:after="0"/>
              <w:rPr>
                <w:sz w:val="24"/>
                <w:szCs w:val="24"/>
                <w:color w:val="auto"/>
              </w:rPr>
            </w:pPr>
          </w:p>
        </w:tc>
        <w:tc>
          <w:tcPr>
            <w:tcW w:w="27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189"/>
        </w:trPr>
        <w:tc>
          <w:tcPr>
            <w:tcW w:w="820" w:type="dxa"/>
            <w:vAlign w:val="bottom"/>
          </w:tcPr>
          <w:p>
            <w:pPr>
              <w:spacing w:after="0"/>
              <w:rPr>
                <w:sz w:val="16"/>
                <w:szCs w:val="16"/>
                <w:color w:val="auto"/>
              </w:rPr>
            </w:pPr>
          </w:p>
        </w:tc>
        <w:tc>
          <w:tcPr>
            <w:tcW w:w="74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2640" w:type="dxa"/>
            <w:vAlign w:val="bottom"/>
          </w:tcPr>
          <w:p>
            <w:pPr>
              <w:spacing w:after="0"/>
              <w:rPr>
                <w:sz w:val="16"/>
                <w:szCs w:val="16"/>
                <w:color w:val="auto"/>
              </w:rPr>
            </w:pP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640" w:type="dxa"/>
            <w:vAlign w:val="bottom"/>
          </w:tcPr>
          <w:p>
            <w:pPr>
              <w:spacing w:after="0"/>
              <w:rPr>
                <w:sz w:val="20"/>
                <w:szCs w:val="20"/>
                <w:color w:val="auto"/>
              </w:rPr>
            </w:pPr>
          </w:p>
        </w:tc>
      </w:tr>
      <w:tr>
        <w:trPr>
          <w:trHeight w:val="31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640" w:type="dxa"/>
            <w:vAlign w:val="bottom"/>
          </w:tcPr>
          <w:p>
            <w:pPr>
              <w:spacing w:after="0"/>
              <w:rPr>
                <w:sz w:val="20"/>
                <w:szCs w:val="20"/>
                <w:color w:val="auto"/>
              </w:rPr>
            </w:pP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640" w:type="dxa"/>
            <w:vAlign w:val="bottom"/>
          </w:tcPr>
          <w:p>
            <w:pPr>
              <w:spacing w:after="0"/>
              <w:rPr>
                <w:sz w:val="20"/>
                <w:szCs w:val="20"/>
                <w:color w:val="auto"/>
              </w:rPr>
            </w:pPr>
          </w:p>
        </w:tc>
      </w:tr>
      <w:tr>
        <w:trPr>
          <w:trHeight w:val="3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640" w:type="dxa"/>
            <w:vAlign w:val="bottom"/>
          </w:tcPr>
          <w:p>
            <w:pPr>
              <w:spacing w:after="0"/>
              <w:rPr>
                <w:sz w:val="20"/>
                <w:szCs w:val="20"/>
                <w:color w:val="auto"/>
              </w:rPr>
            </w:pP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document)</w:t>
            </w:r>
          </w:p>
        </w:tc>
        <w:tc>
          <w:tcPr>
            <w:tcW w:w="2640" w:type="dxa"/>
            <w:vAlign w:val="bottom"/>
          </w:tcPr>
          <w:p>
            <w:pPr>
              <w:spacing w:after="0"/>
              <w:rPr>
                <w:sz w:val="20"/>
                <w:szCs w:val="20"/>
                <w:color w:val="auto"/>
              </w:rPr>
            </w:pPr>
          </w:p>
        </w:tc>
      </w:tr>
    </w:tbl>
    <w:p>
      <w:pPr>
        <w:spacing w:after="0" w:line="117" w:lineRule="exact"/>
        <w:rPr>
          <w:sz w:val="20"/>
          <w:szCs w:val="20"/>
          <w:color w:val="auto"/>
        </w:rPr>
      </w:pPr>
    </w:p>
    <w:p>
      <w:pPr>
        <w:ind w:firstLine="1"/>
        <w:spacing w:after="0" w:line="250" w:lineRule="auto"/>
        <w:tabs>
          <w:tab w:leader="none" w:pos="2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06" w:right="3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39"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David Roberts</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Roberts</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5"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Craig Conti</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June 30, 2022 as filed with the Securities and Exchange Commission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60"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0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0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3, 2022</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Roberts</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33"/>
        </w:trPr>
        <w:tc>
          <w:tcPr>
            <w:tcW w:w="35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June 30, 2022 as filed with the Securities and Exchange Commission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as of the date hereof, solely for purposes of Title 18, Chapter 63, Section 1350 of the United States Code, that to the best of my knowledge:</w:t>
      </w:r>
    </w:p>
    <w:p>
      <w:pPr>
        <w:spacing w:after="0" w:line="60"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0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0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August 3, 2022</w:t>
            </w: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Conti</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decimal"/>
      <w:start w:val="5"/>
    </w:lvl>
  </w:abstractNum>
  <w:abstractNum w:abstractNumId="9">
    <w:nsid w:val="7C83E458"/>
    <w:multiLevelType w:val="hybridMultilevel"/>
    <w:lvl w:ilvl="0">
      <w:lvlJc w:val="left"/>
      <w:lvlText w:val="%1."/>
      <w:numFmt w:val="decimal"/>
      <w:start w:val="6"/>
    </w:lvl>
  </w:abstractNum>
  <w:abstractNum w:abstractNumId="10">
    <w:nsid w:val="257130A3"/>
    <w:multiLevelType w:val="hybridMultilevel"/>
    <w:lvl w:ilvl="0">
      <w:lvlJc w:val="left"/>
      <w:lvlText w:val="%1."/>
      <w:numFmt w:val="decimal"/>
      <w:start w:val="7"/>
    </w:lvl>
  </w:abstractNum>
  <w:abstractNum w:abstractNumId="11">
    <w:nsid w:val="62BBD95A"/>
    <w:multiLevelType w:val="hybridMultilevel"/>
    <w:lvl w:ilvl="0">
      <w:lvlJc w:val="left"/>
      <w:lvlText w:val="%1."/>
      <w:numFmt w:val="decimal"/>
      <w:start w:val="8"/>
    </w:lvl>
  </w:abstractNum>
  <w:abstractNum w:abstractNumId="12">
    <w:nsid w:val="436C6125"/>
    <w:multiLevelType w:val="hybridMultilevel"/>
    <w:lvl w:ilvl="0">
      <w:lvlJc w:val="left"/>
      <w:lvlText w:val="%1."/>
      <w:numFmt w:val="decimal"/>
      <w:start w:val="9"/>
    </w:lvl>
  </w:abstractNum>
  <w:abstractNum w:abstractNumId="13">
    <w:nsid w:val="628C895D"/>
    <w:multiLevelType w:val="hybridMultilevel"/>
    <w:lvl w:ilvl="0">
      <w:lvlJc w:val="left"/>
      <w:lvlText w:val="%1"/>
      <w:numFmt w:val="decimal"/>
      <w:start w:val="1"/>
    </w:lvl>
    <w:lvl w:ilvl="1">
      <w:lvlJc w:val="left"/>
      <w:lvlText w:val="(%2)"/>
      <w:numFmt w:val="decimal"/>
      <w:start w:val="1"/>
    </w:lvl>
  </w:abstractNum>
  <w:abstractNum w:abstractNumId="14">
    <w:nsid w:val="333AB105"/>
    <w:multiLevelType w:val="hybridMultilevel"/>
    <w:lvl w:ilvl="0">
      <w:lvlJc w:val="left"/>
      <w:lvlText w:val="%1."/>
      <w:numFmt w:val="decimal"/>
      <w:start w:val="10"/>
    </w:lvl>
    <w:lvl w:ilvl="1">
      <w:lvlJc w:val="left"/>
      <w:lvlText w:val="%2"/>
      <w:numFmt w:val="decimal"/>
      <w:start w:val="1"/>
    </w:lvl>
  </w:abstractNum>
  <w:abstractNum w:abstractNumId="15">
    <w:nsid w:val="721DA317"/>
    <w:multiLevelType w:val="hybridMultilevel"/>
    <w:lvl w:ilvl="0">
      <w:lvlJc w:val="left"/>
      <w:lvlText w:val="%1."/>
      <w:numFmt w:val="decimal"/>
      <w:start w:val="11"/>
    </w:lvl>
  </w:abstractNum>
  <w:abstractNum w:abstractNumId="16">
    <w:nsid w:val="2443A858"/>
    <w:multiLevelType w:val="hybridMultilevel"/>
    <w:lvl w:ilvl="0">
      <w:lvlJc w:val="left"/>
      <w:lvlText w:val="%1."/>
      <w:numFmt w:val="decimal"/>
      <w:start w:val="12"/>
    </w:lvl>
  </w:abstractNum>
  <w:abstractNum w:abstractNumId="17">
    <w:nsid w:val="2D1D5AE9"/>
    <w:multiLevelType w:val="hybridMultilevel"/>
    <w:lvl w:ilvl="0">
      <w:lvlJc w:val="left"/>
      <w:lvlText w:val="%1."/>
      <w:numFmt w:val="decimal"/>
      <w:start w:val="13"/>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upperLetter"/>
      <w:start w:val="35"/>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28" Type="http://schemas.openxmlformats.org/officeDocument/2006/relationships/hyperlink" Target="https://www.sec.gov/Archives/edgar/data/1682745/000110465918041476/a18-15692_1ex2d1.htm" TargetMode="External"/><Relationship Id="rId429" Type="http://schemas.openxmlformats.org/officeDocument/2006/relationships/hyperlink" Target="https://www.sec.gov/Archives/edgar/data/1682745/000104746918005773/a2236552zex-2_2.htm" TargetMode="External"/><Relationship Id="rId432" Type="http://schemas.openxmlformats.org/officeDocument/2006/relationships/hyperlink" Target="https://www.sec.gov/Archives/edgar/data/1682745/000156459018024644/vrrm-ex31_941.htm" TargetMode="External"/><Relationship Id="rId433" Type="http://schemas.openxmlformats.org/officeDocument/2006/relationships/hyperlink" Target="https://www.sec.gov/Archives/edgar/data/1682745/000156459018024644/vrrm-ex32_939.htm" TargetMode="External"/><Relationship Id="rId434" Type="http://schemas.openxmlformats.org/officeDocument/2006/relationships/hyperlink" Target="https://www.sec.gov/Archives/edgar/data/1682745/000104746916017126/a2230401zex-4_2.htm" TargetMode="External"/><Relationship Id="rId435" Type="http://schemas.openxmlformats.org/officeDocument/2006/relationships/hyperlink" Target="https://www.sec.gov/Archives/edgar/data/1682745/000104746916017126/a2230401zex-4_3.htm" TargetMode="External"/><Relationship Id="rId436" Type="http://schemas.openxmlformats.org/officeDocument/2006/relationships/hyperlink" Target="https://www.sec.gov/Archives/edgar/data/1682745/000110465917003086/a17-2559_1ex4d1.htm" TargetMode="External"/><Relationship Id="rId437" Type="http://schemas.openxmlformats.org/officeDocument/2006/relationships/hyperlink" Target="https://www.sec.gov/Archives/edgar/data/1682745/000156459020008153/vrrm-ex44_298.htm" TargetMode="External"/><Relationship Id="rId438" Type="http://schemas.openxmlformats.org/officeDocument/2006/relationships/hyperlink" Target="https://www.sec.gov/Archives/edgar/data/1682745/000095017022006577/vrrm-ex10_1.htm" TargetMode="External"/><Relationship Id="rId439" Type="http://schemas.openxmlformats.org/officeDocument/2006/relationships/hyperlink" Target="https://www.sec.gov/Archives/edgar/data/1682745/000095017022011021/vrr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2022-08-03T16:33:05Z</dcterms:created>
  <dcterms:modified xsi:type="dcterms:W3CDTF">2022-08-03T16:33:05Z</dcterms:modified>
</cp:coreProperties>
</file>