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-232410</wp:posOffset>
            </wp:positionV>
            <wp:extent cx="15259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5905"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92710</wp:posOffset>
            </wp:positionV>
            <wp:extent cx="15259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1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3880" w:right="1540" w:hanging="3872"/>
        <w:spacing w:after="0" w:line="266" w:lineRule="auto"/>
        <w:tabs>
          <w:tab w:leader="none" w:pos="543"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3180" w:right="1540" w:hanging="3172"/>
        <w:spacing w:after="0" w:line="328" w:lineRule="auto"/>
        <w:tabs>
          <w:tab w:leader="none" w:pos="556"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______________ to ___________.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001-37979</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VERRA MOBILITY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-287020</wp:posOffset>
            </wp:positionV>
            <wp:extent cx="15259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Pr>
          <w:p>
            <w:pPr>
              <w:jc w:val="center"/>
              <w:ind w:left="1384"/>
              <w:spacing w:after="0"/>
              <w:rPr>
                <w:sz w:val="20"/>
                <w:szCs w:val="20"/>
                <w:color w:val="auto"/>
              </w:rPr>
            </w:pPr>
            <w:r>
              <w:rPr>
                <w:rFonts w:ascii="Arial" w:cs="Arial" w:eastAsia="Arial" w:hAnsi="Arial"/>
                <w:sz w:val="16"/>
                <w:szCs w:val="16"/>
                <w:b w:val="1"/>
                <w:bCs w:val="1"/>
                <w:color w:val="auto"/>
                <w:w w:val="91"/>
              </w:rPr>
              <w:t>Delaware</w:t>
            </w:r>
          </w:p>
        </w:tc>
        <w:tc>
          <w:tcPr>
            <w:tcW w:w="3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700" w:type="dxa"/>
            <w:vAlign w:val="bottom"/>
          </w:tcPr>
          <w:p>
            <w:pPr>
              <w:spacing w:after="0"/>
              <w:rPr>
                <w:sz w:val="20"/>
                <w:szCs w:val="20"/>
                <w:color w:val="auto"/>
              </w:rPr>
            </w:pPr>
          </w:p>
        </w:tc>
        <w:tc>
          <w:tcPr>
            <w:tcW w:w="3720" w:type="dxa"/>
            <w:vAlign w:val="bottom"/>
          </w:tcPr>
          <w:p>
            <w:pPr>
              <w:jc w:val="right"/>
              <w:ind w:right="2324"/>
              <w:spacing w:after="0"/>
              <w:rPr>
                <w:sz w:val="20"/>
                <w:szCs w:val="20"/>
                <w:color w:val="auto"/>
              </w:rPr>
            </w:pPr>
            <w:r>
              <w:rPr>
                <w:rFonts w:ascii="Arial" w:cs="Arial" w:eastAsia="Arial" w:hAnsi="Arial"/>
                <w:sz w:val="16"/>
                <w:szCs w:val="16"/>
                <w:b w:val="1"/>
                <w:bCs w:val="1"/>
                <w:color w:val="auto"/>
              </w:rPr>
              <w:t>81-3563824</w:t>
            </w:r>
          </w:p>
        </w:tc>
        <w:tc>
          <w:tcPr>
            <w:tcW w:w="0" w:type="dxa"/>
            <w:vAlign w:val="bottom"/>
          </w:tcPr>
          <w:p>
            <w:pPr>
              <w:spacing w:after="0"/>
              <w:rPr>
                <w:sz w:val="1"/>
                <w:szCs w:val="1"/>
                <w:color w:val="auto"/>
              </w:rPr>
            </w:pPr>
          </w:p>
        </w:tc>
      </w:tr>
      <w:tr>
        <w:trPr>
          <w:trHeight w:val="156"/>
        </w:trPr>
        <w:tc>
          <w:tcPr>
            <w:tcW w:w="4100" w:type="dxa"/>
            <w:vAlign w:val="bottom"/>
          </w:tcPr>
          <w:p>
            <w:pPr>
              <w:jc w:val="center"/>
              <w:ind w:left="1384"/>
              <w:spacing w:after="0" w:line="156" w:lineRule="exact"/>
              <w:rPr>
                <w:sz w:val="20"/>
                <w:szCs w:val="20"/>
                <w:color w:val="auto"/>
              </w:rPr>
            </w:pPr>
            <w:r>
              <w:rPr>
                <w:rFonts w:ascii="Arial" w:cs="Arial" w:eastAsia="Arial" w:hAnsi="Arial"/>
                <w:sz w:val="14"/>
                <w:szCs w:val="14"/>
                <w:color w:val="auto"/>
                <w:w w:val="90"/>
              </w:rPr>
              <w:t>(</w:t>
            </w:r>
            <w:r>
              <w:rPr>
                <w:rFonts w:ascii="Arial" w:cs="Arial" w:eastAsia="Arial" w:hAnsi="Arial"/>
                <w:sz w:val="14"/>
                <w:szCs w:val="14"/>
                <w:i w:val="1"/>
                <w:iCs w:val="1"/>
                <w:color w:val="auto"/>
                <w:w w:val="90"/>
              </w:rPr>
              <w:t>State of</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720" w:type="dxa"/>
            <w:vAlign w:val="bottom"/>
          </w:tcPr>
          <w:p>
            <w:pPr>
              <w:jc w:val="center"/>
              <w:ind w:right="1764"/>
              <w:spacing w:after="0" w:line="156" w:lineRule="exact"/>
              <w:rPr>
                <w:sz w:val="20"/>
                <w:szCs w:val="20"/>
                <w:color w:val="auto"/>
              </w:rPr>
            </w:pPr>
            <w:r>
              <w:rPr>
                <w:rFonts w:ascii="Arial" w:cs="Arial" w:eastAsia="Arial" w:hAnsi="Arial"/>
                <w:sz w:val="14"/>
                <w:szCs w:val="14"/>
                <w:color w:val="auto"/>
                <w:w w:val="93"/>
              </w:rPr>
              <w:t>(</w:t>
            </w:r>
            <w:r>
              <w:rPr>
                <w:rFonts w:ascii="Arial" w:cs="Arial" w:eastAsia="Arial" w:hAnsi="Arial"/>
                <w:sz w:val="14"/>
                <w:szCs w:val="14"/>
                <w:i w:val="1"/>
                <w:iCs w:val="1"/>
                <w:color w:val="auto"/>
                <w:w w:val="93"/>
              </w:rPr>
              <w:t>I.R.S. Employer</w:t>
            </w:r>
          </w:p>
        </w:tc>
        <w:tc>
          <w:tcPr>
            <w:tcW w:w="0" w:type="dxa"/>
            <w:vAlign w:val="bottom"/>
          </w:tcPr>
          <w:p>
            <w:pPr>
              <w:spacing w:after="0"/>
              <w:rPr>
                <w:sz w:val="1"/>
                <w:szCs w:val="1"/>
                <w:color w:val="auto"/>
              </w:rPr>
            </w:pPr>
          </w:p>
        </w:tc>
      </w:tr>
      <w:tr>
        <w:trPr>
          <w:trHeight w:val="182"/>
        </w:trPr>
        <w:tc>
          <w:tcPr>
            <w:tcW w:w="4100" w:type="dxa"/>
            <w:vAlign w:val="bottom"/>
          </w:tcPr>
          <w:p>
            <w:pPr>
              <w:jc w:val="center"/>
              <w:ind w:left="1384"/>
              <w:spacing w:after="0"/>
              <w:rPr>
                <w:sz w:val="20"/>
                <w:szCs w:val="20"/>
                <w:color w:val="auto"/>
              </w:rPr>
            </w:pPr>
            <w:r>
              <w:rPr>
                <w:rFonts w:ascii="Arial" w:cs="Arial" w:eastAsia="Arial" w:hAnsi="Arial"/>
                <w:sz w:val="14"/>
                <w:szCs w:val="14"/>
                <w:i w:val="1"/>
                <w:iCs w:val="1"/>
                <w:color w:val="auto"/>
                <w:w w:val="97"/>
              </w:rPr>
              <w:t>Incorporation</w:t>
            </w:r>
            <w:r>
              <w:rPr>
                <w:rFonts w:ascii="Arial" w:cs="Arial" w:eastAsia="Arial" w:hAnsi="Arial"/>
                <w:sz w:val="14"/>
                <w:szCs w:val="14"/>
                <w:color w:val="auto"/>
                <w:w w:val="97"/>
              </w:rPr>
              <w:t>)</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720" w:type="dxa"/>
            <w:vAlign w:val="bottom"/>
          </w:tcPr>
          <w:p>
            <w:pPr>
              <w:jc w:val="center"/>
              <w:ind w:right="1784"/>
              <w:spacing w:after="0"/>
              <w:rPr>
                <w:sz w:val="20"/>
                <w:szCs w:val="20"/>
                <w:color w:val="auto"/>
              </w:rPr>
            </w:pPr>
            <w:r>
              <w:rPr>
                <w:rFonts w:ascii="Arial" w:cs="Arial" w:eastAsia="Arial" w:hAnsi="Arial"/>
                <w:sz w:val="14"/>
                <w:szCs w:val="14"/>
                <w:i w:val="1"/>
                <w:iCs w:val="1"/>
                <w:color w:val="auto"/>
                <w:w w:val="97"/>
              </w:rPr>
              <w:t>Identification No.</w:t>
            </w:r>
            <w:r>
              <w:rPr>
                <w:rFonts w:ascii="Arial" w:cs="Arial" w:eastAsia="Arial" w:hAnsi="Arial"/>
                <w:sz w:val="14"/>
                <w:szCs w:val="14"/>
                <w:color w:val="auto"/>
                <w:w w:val="97"/>
              </w:rPr>
              <w:t>)</w:t>
            </w:r>
          </w:p>
        </w:tc>
        <w:tc>
          <w:tcPr>
            <w:tcW w:w="0" w:type="dxa"/>
            <w:vAlign w:val="bottom"/>
          </w:tcPr>
          <w:p>
            <w:pPr>
              <w:spacing w:after="0"/>
              <w:rPr>
                <w:sz w:val="1"/>
                <w:szCs w:val="1"/>
                <w:color w:val="auto"/>
              </w:rPr>
            </w:pPr>
          </w:p>
        </w:tc>
      </w:tr>
      <w:tr>
        <w:trPr>
          <w:trHeight w:val="398"/>
        </w:trPr>
        <w:tc>
          <w:tcPr>
            <w:tcW w:w="4100" w:type="dxa"/>
            <w:vAlign w:val="bottom"/>
          </w:tcPr>
          <w:p>
            <w:pPr>
              <w:jc w:val="center"/>
              <w:ind w:left="1404"/>
              <w:spacing w:after="0"/>
              <w:rPr>
                <w:sz w:val="20"/>
                <w:szCs w:val="20"/>
                <w:color w:val="auto"/>
              </w:rPr>
            </w:pPr>
            <w:r>
              <w:rPr>
                <w:rFonts w:ascii="Arial" w:cs="Arial" w:eastAsia="Arial" w:hAnsi="Arial"/>
                <w:sz w:val="16"/>
                <w:szCs w:val="16"/>
                <w:b w:val="1"/>
                <w:bCs w:val="1"/>
                <w:color w:val="auto"/>
                <w:w w:val="91"/>
              </w:rPr>
              <w:t>1150 North Alma School Road</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720" w:type="dxa"/>
            <w:vAlign w:val="bottom"/>
          </w:tcPr>
          <w:p>
            <w:pPr>
              <w:jc w:val="right"/>
              <w:ind w:right="2504"/>
              <w:spacing w:after="0"/>
              <w:rPr>
                <w:sz w:val="20"/>
                <w:szCs w:val="20"/>
                <w:color w:val="auto"/>
              </w:rPr>
            </w:pPr>
            <w:r>
              <w:rPr>
                <w:rFonts w:ascii="Arial" w:cs="Arial" w:eastAsia="Arial" w:hAnsi="Arial"/>
                <w:sz w:val="16"/>
                <w:szCs w:val="16"/>
                <w:b w:val="1"/>
                <w:bCs w:val="1"/>
                <w:color w:val="auto"/>
              </w:rPr>
              <w:t>85201</w:t>
            </w:r>
          </w:p>
        </w:tc>
        <w:tc>
          <w:tcPr>
            <w:tcW w:w="0" w:type="dxa"/>
            <w:vAlign w:val="bottom"/>
          </w:tcPr>
          <w:p>
            <w:pPr>
              <w:spacing w:after="0"/>
              <w:rPr>
                <w:sz w:val="1"/>
                <w:szCs w:val="1"/>
                <w:color w:val="auto"/>
              </w:rPr>
            </w:pPr>
          </w:p>
        </w:tc>
      </w:tr>
      <w:tr>
        <w:trPr>
          <w:trHeight w:val="217"/>
        </w:trPr>
        <w:tc>
          <w:tcPr>
            <w:tcW w:w="4100" w:type="dxa"/>
            <w:vAlign w:val="bottom"/>
          </w:tcPr>
          <w:p>
            <w:pPr>
              <w:jc w:val="center"/>
              <w:ind w:left="1384"/>
              <w:spacing w:after="0"/>
              <w:rPr>
                <w:sz w:val="20"/>
                <w:szCs w:val="20"/>
                <w:color w:val="auto"/>
              </w:rPr>
            </w:pPr>
            <w:r>
              <w:rPr>
                <w:rFonts w:ascii="Arial" w:cs="Arial" w:eastAsia="Arial" w:hAnsi="Arial"/>
                <w:sz w:val="16"/>
                <w:szCs w:val="16"/>
                <w:b w:val="1"/>
                <w:bCs w:val="1"/>
                <w:color w:val="auto"/>
                <w:w w:val="92"/>
              </w:rPr>
              <w:t>Mesa, Arizona</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20" w:type="dxa"/>
            <w:vAlign w:val="bottom"/>
          </w:tcPr>
          <w:p>
            <w:pPr>
              <w:jc w:val="center"/>
              <w:ind w:right="1784"/>
              <w:spacing w:after="0"/>
              <w:rPr>
                <w:sz w:val="20"/>
                <w:szCs w:val="20"/>
                <w:color w:val="auto"/>
              </w:rPr>
            </w:pPr>
            <w:r>
              <w:rPr>
                <w:rFonts w:ascii="Arial" w:cs="Arial" w:eastAsia="Arial" w:hAnsi="Arial"/>
                <w:sz w:val="14"/>
                <w:szCs w:val="14"/>
                <w:color w:val="auto"/>
                <w:w w:val="93"/>
              </w:rPr>
              <w:t>(</w:t>
            </w:r>
            <w:r>
              <w:rPr>
                <w:rFonts w:ascii="Arial" w:cs="Arial" w:eastAsia="Arial" w:hAnsi="Arial"/>
                <w:sz w:val="14"/>
                <w:szCs w:val="14"/>
                <w:i w:val="1"/>
                <w:iCs w:val="1"/>
                <w:color w:val="auto"/>
                <w:w w:val="93"/>
              </w:rPr>
              <w:t>Zip Code</w:t>
            </w:r>
            <w:r>
              <w:rPr>
                <w:rFonts w:ascii="Arial" w:cs="Arial" w:eastAsia="Arial" w:hAnsi="Arial"/>
                <w:sz w:val="14"/>
                <w:szCs w:val="14"/>
                <w:color w:val="auto"/>
                <w:w w:val="93"/>
              </w:rPr>
              <w:t>)</w:t>
            </w:r>
          </w:p>
        </w:tc>
        <w:tc>
          <w:tcPr>
            <w:tcW w:w="0" w:type="dxa"/>
            <w:vAlign w:val="bottom"/>
          </w:tcPr>
          <w:p>
            <w:pPr>
              <w:spacing w:after="0"/>
              <w:rPr>
                <w:sz w:val="1"/>
                <w:szCs w:val="1"/>
                <w:color w:val="auto"/>
              </w:rPr>
            </w:pPr>
          </w:p>
        </w:tc>
      </w:tr>
      <w:tr>
        <w:trPr>
          <w:trHeight w:val="182"/>
        </w:trPr>
        <w:tc>
          <w:tcPr>
            <w:tcW w:w="4100" w:type="dxa"/>
            <w:vAlign w:val="bottom"/>
          </w:tcPr>
          <w:p>
            <w:pPr>
              <w:jc w:val="center"/>
              <w:ind w:left="1384"/>
              <w:spacing w:after="0"/>
              <w:rPr>
                <w:sz w:val="20"/>
                <w:szCs w:val="20"/>
                <w:color w:val="auto"/>
              </w:rPr>
            </w:pPr>
            <w:r>
              <w:rPr>
                <w:rFonts w:ascii="Arial" w:cs="Arial" w:eastAsia="Arial" w:hAnsi="Arial"/>
                <w:sz w:val="14"/>
                <w:szCs w:val="14"/>
                <w:color w:val="auto"/>
                <w:w w:val="94"/>
              </w:rPr>
              <w:t>(</w:t>
            </w:r>
            <w:r>
              <w:rPr>
                <w:rFonts w:ascii="Arial" w:cs="Arial" w:eastAsia="Arial" w:hAnsi="Arial"/>
                <w:sz w:val="14"/>
                <w:szCs w:val="14"/>
                <w:i w:val="1"/>
                <w:iCs w:val="1"/>
                <w:color w:val="auto"/>
                <w:w w:val="94"/>
              </w:rPr>
              <w:t>Address of Principal Executive Offices</w:t>
            </w:r>
            <w:r>
              <w:rPr>
                <w:rFonts w:ascii="Arial" w:cs="Arial" w:eastAsia="Arial" w:hAnsi="Arial"/>
                <w:sz w:val="14"/>
                <w:szCs w:val="14"/>
                <w:color w:val="auto"/>
                <w:w w:val="94"/>
              </w:rPr>
              <w:t>)</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100" w:type="dxa"/>
            <w:vAlign w:val="bottom"/>
          </w:tcPr>
          <w:p>
            <w:pPr>
              <w:spacing w:after="0"/>
              <w:rPr>
                <w:sz w:val="20"/>
                <w:szCs w:val="20"/>
                <w:color w:val="auto"/>
              </w:rPr>
            </w:pPr>
          </w:p>
        </w:tc>
        <w:tc>
          <w:tcPr>
            <w:tcW w:w="2520" w:type="dxa"/>
            <w:vAlign w:val="bottom"/>
            <w:gridSpan w:val="4"/>
          </w:tcPr>
          <w:p>
            <w:pPr>
              <w:jc w:val="center"/>
              <w:ind w:left="464"/>
              <w:spacing w:after="0"/>
              <w:rPr>
                <w:sz w:val="20"/>
                <w:szCs w:val="20"/>
                <w:color w:val="auto"/>
              </w:rPr>
            </w:pPr>
            <w:r>
              <w:rPr>
                <w:rFonts w:ascii="Arial" w:cs="Arial" w:eastAsia="Arial" w:hAnsi="Arial"/>
                <w:sz w:val="16"/>
                <w:szCs w:val="16"/>
                <w:b w:val="1"/>
                <w:bCs w:val="1"/>
                <w:color w:val="auto"/>
                <w:w w:val="93"/>
              </w:rPr>
              <w:t>(480) 443-7000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100" w:type="dxa"/>
            <w:vAlign w:val="bottom"/>
          </w:tcPr>
          <w:p>
            <w:pPr>
              <w:spacing w:after="0"/>
              <w:rPr>
                <w:sz w:val="15"/>
                <w:szCs w:val="15"/>
                <w:color w:val="auto"/>
              </w:rPr>
            </w:pPr>
          </w:p>
        </w:tc>
        <w:tc>
          <w:tcPr>
            <w:tcW w:w="3420" w:type="dxa"/>
            <w:vAlign w:val="bottom"/>
            <w:gridSpan w:val="7"/>
          </w:tcPr>
          <w:p>
            <w:pPr>
              <w:jc w:val="center"/>
              <w:ind w:right="360"/>
              <w:spacing w:after="0"/>
              <w:rPr>
                <w:sz w:val="20"/>
                <w:szCs w:val="20"/>
                <w:color w:val="auto"/>
              </w:rPr>
            </w:pPr>
            <w:r>
              <w:rPr>
                <w:rFonts w:ascii="Arial" w:cs="Arial" w:eastAsia="Arial" w:hAnsi="Arial"/>
                <w:sz w:val="14"/>
                <w:szCs w:val="14"/>
                <w:color w:val="auto"/>
                <w:w w:val="92"/>
              </w:rPr>
              <w:t>(</w:t>
            </w:r>
            <w:r>
              <w:rPr>
                <w:rFonts w:ascii="Arial" w:cs="Arial" w:eastAsia="Arial" w:hAnsi="Arial"/>
                <w:sz w:val="14"/>
                <w:szCs w:val="14"/>
                <w:i w:val="1"/>
                <w:iCs w:val="1"/>
                <w:color w:val="auto"/>
                <w:w w:val="92"/>
              </w:rPr>
              <w:t>Registrant’s telephone number, including area code</w:t>
            </w:r>
            <w:r>
              <w:rPr>
                <w:rFonts w:ascii="Arial" w:cs="Arial" w:eastAsia="Arial" w:hAnsi="Arial"/>
                <w:sz w:val="14"/>
                <w:szCs w:val="14"/>
                <w:color w:val="auto"/>
                <w:w w:val="92"/>
              </w:rPr>
              <w:t>)</w:t>
            </w:r>
          </w:p>
        </w:tc>
        <w:tc>
          <w:tcPr>
            <w:tcW w:w="3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2"/>
        </w:trPr>
        <w:tc>
          <w:tcPr>
            <w:tcW w:w="7520" w:type="dxa"/>
            <w:vAlign w:val="bottom"/>
            <w:gridSpan w:val="8"/>
          </w:tcPr>
          <w:p>
            <w:pPr>
              <w:jc w:val="center"/>
              <w:ind w:left="3644"/>
              <w:spacing w:after="0"/>
              <w:rPr>
                <w:sz w:val="20"/>
                <w:szCs w:val="20"/>
                <w:color w:val="auto"/>
              </w:rPr>
            </w:pPr>
            <w:r>
              <w:rPr>
                <w:rFonts w:ascii="Arial" w:cs="Arial" w:eastAsia="Arial" w:hAnsi="Arial"/>
                <w:sz w:val="15"/>
                <w:szCs w:val="15"/>
                <w:color w:val="auto"/>
                <w:w w:val="92"/>
              </w:rPr>
              <w:t>Securities registered pursuant to Section 12(b) of the Act:</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100" w:type="dxa"/>
            <w:vAlign w:val="bottom"/>
          </w:tcPr>
          <w:p>
            <w:pPr>
              <w:jc w:val="center"/>
              <w:ind w:left="404"/>
              <w:spacing w:after="0"/>
              <w:rPr>
                <w:sz w:val="20"/>
                <w:szCs w:val="20"/>
                <w:color w:val="auto"/>
              </w:rPr>
            </w:pPr>
            <w:r>
              <w:rPr>
                <w:rFonts w:ascii="Arial" w:cs="Arial" w:eastAsia="Arial" w:hAnsi="Arial"/>
                <w:sz w:val="16"/>
                <w:szCs w:val="16"/>
                <w:b w:val="1"/>
                <w:bCs w:val="1"/>
                <w:color w:val="auto"/>
                <w:w w:val="90"/>
              </w:rPr>
              <w:t>Class A Common Stock, par value $0.0001 per share</w:t>
            </w: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20" w:type="dxa"/>
            <w:vAlign w:val="bottom"/>
            <w:gridSpan w:val="4"/>
          </w:tcPr>
          <w:p>
            <w:pPr>
              <w:jc w:val="center"/>
              <w:ind w:right="920"/>
              <w:spacing w:after="0"/>
              <w:rPr>
                <w:sz w:val="20"/>
                <w:szCs w:val="20"/>
                <w:color w:val="auto"/>
              </w:rPr>
            </w:pPr>
            <w:r>
              <w:rPr>
                <w:rFonts w:ascii="Arial" w:cs="Arial" w:eastAsia="Arial" w:hAnsi="Arial"/>
                <w:sz w:val="16"/>
                <w:szCs w:val="16"/>
                <w:b w:val="1"/>
                <w:bCs w:val="1"/>
                <w:color w:val="auto"/>
              </w:rPr>
              <w:t>VRRM</w:t>
            </w:r>
          </w:p>
        </w:tc>
        <w:tc>
          <w:tcPr>
            <w:tcW w:w="3720" w:type="dxa"/>
            <w:vAlign w:val="bottom"/>
          </w:tcPr>
          <w:p>
            <w:pPr>
              <w:jc w:val="center"/>
              <w:ind w:right="644"/>
              <w:spacing w:after="0"/>
              <w:rPr>
                <w:sz w:val="20"/>
                <w:szCs w:val="20"/>
                <w:color w:val="auto"/>
              </w:rPr>
            </w:pPr>
            <w:r>
              <w:rPr>
                <w:rFonts w:ascii="Arial" w:cs="Arial" w:eastAsia="Arial" w:hAnsi="Arial"/>
                <w:sz w:val="16"/>
                <w:szCs w:val="16"/>
                <w:b w:val="1"/>
                <w:bCs w:val="1"/>
                <w:color w:val="auto"/>
                <w:w w:val="95"/>
              </w:rPr>
              <w:t>Nasdaq Capital Market</w:t>
            </w:r>
          </w:p>
        </w:tc>
        <w:tc>
          <w:tcPr>
            <w:tcW w:w="0" w:type="dxa"/>
            <w:vAlign w:val="bottom"/>
          </w:tcPr>
          <w:p>
            <w:pPr>
              <w:spacing w:after="0"/>
              <w:rPr>
                <w:sz w:val="1"/>
                <w:szCs w:val="1"/>
                <w:color w:val="auto"/>
              </w:rPr>
            </w:pPr>
          </w:p>
        </w:tc>
      </w:tr>
      <w:tr>
        <w:trPr>
          <w:trHeight w:val="47"/>
        </w:trPr>
        <w:tc>
          <w:tcPr>
            <w:tcW w:w="4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vMerge w:val="restart"/>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80" w:type="dxa"/>
            <w:vAlign w:val="bottom"/>
            <w:vMerge w:val="restart"/>
          </w:tcPr>
          <w:p>
            <w:pPr>
              <w:spacing w:after="0"/>
              <w:rPr>
                <w:sz w:val="4"/>
                <w:szCs w:val="4"/>
                <w:color w:val="auto"/>
              </w:rPr>
            </w:pPr>
          </w:p>
        </w:tc>
        <w:tc>
          <w:tcPr>
            <w:tcW w:w="720" w:type="dxa"/>
            <w:vAlign w:val="bottom"/>
            <w:tcBorders>
              <w:bottom w:val="single" w:sz="8" w:color="auto"/>
            </w:tcBorders>
            <w:gridSpan w:val="2"/>
          </w:tcPr>
          <w:p>
            <w:pPr>
              <w:spacing w:after="0"/>
              <w:rPr>
                <w:sz w:val="4"/>
                <w:szCs w:val="4"/>
                <w:color w:val="auto"/>
              </w:rPr>
            </w:pPr>
          </w:p>
        </w:tc>
        <w:tc>
          <w:tcPr>
            <w:tcW w:w="3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100" w:type="dxa"/>
            <w:vAlign w:val="bottom"/>
          </w:tcPr>
          <w:p>
            <w:pPr>
              <w:jc w:val="center"/>
              <w:ind w:left="384"/>
              <w:spacing w:after="0"/>
              <w:rPr>
                <w:sz w:val="20"/>
                <w:szCs w:val="20"/>
                <w:color w:val="auto"/>
              </w:rPr>
            </w:pPr>
            <w:r>
              <w:rPr>
                <w:rFonts w:ascii="Arial" w:cs="Arial" w:eastAsia="Arial" w:hAnsi="Arial"/>
                <w:sz w:val="14"/>
                <w:szCs w:val="14"/>
                <w:i w:val="1"/>
                <w:iCs w:val="1"/>
                <w:color w:val="auto"/>
                <w:w w:val="95"/>
              </w:rPr>
              <w:t>(Title of Each Class)</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1920" w:type="dxa"/>
            <w:vAlign w:val="bottom"/>
          </w:tcPr>
          <w:p>
            <w:pPr>
              <w:jc w:val="center"/>
              <w:spacing w:after="0"/>
              <w:rPr>
                <w:sz w:val="20"/>
                <w:szCs w:val="20"/>
                <w:color w:val="auto"/>
              </w:rPr>
            </w:pPr>
            <w:r>
              <w:rPr>
                <w:rFonts w:ascii="Arial" w:cs="Arial" w:eastAsia="Arial" w:hAnsi="Arial"/>
                <w:sz w:val="14"/>
                <w:szCs w:val="14"/>
                <w:i w:val="1"/>
                <w:iCs w:val="1"/>
                <w:color w:val="auto"/>
                <w:w w:val="93"/>
              </w:rPr>
              <w:t>(Trading Symbol)</w:t>
            </w:r>
          </w:p>
        </w:tc>
        <w:tc>
          <w:tcPr>
            <w:tcW w:w="180" w:type="dxa"/>
            <w:vAlign w:val="bottom"/>
            <w:vMerge w:val="continue"/>
          </w:tcPr>
          <w:p>
            <w:pPr>
              <w:spacing w:after="0"/>
              <w:rPr>
                <w:sz w:val="15"/>
                <w:szCs w:val="15"/>
                <w:color w:val="auto"/>
              </w:rPr>
            </w:pPr>
          </w:p>
        </w:tc>
        <w:tc>
          <w:tcPr>
            <w:tcW w:w="720" w:type="dxa"/>
            <w:vAlign w:val="bottom"/>
            <w:gridSpan w:val="2"/>
          </w:tcPr>
          <w:p>
            <w:pPr>
              <w:spacing w:after="0"/>
              <w:rPr>
                <w:sz w:val="15"/>
                <w:szCs w:val="15"/>
                <w:color w:val="auto"/>
              </w:rPr>
            </w:pPr>
          </w:p>
        </w:tc>
        <w:tc>
          <w:tcPr>
            <w:tcW w:w="3720" w:type="dxa"/>
            <w:vAlign w:val="bottom"/>
          </w:tcPr>
          <w:p>
            <w:pPr>
              <w:jc w:val="center"/>
              <w:ind w:right="644"/>
              <w:spacing w:after="0"/>
              <w:rPr>
                <w:sz w:val="20"/>
                <w:szCs w:val="20"/>
                <w:color w:val="auto"/>
              </w:rPr>
            </w:pPr>
            <w:r>
              <w:rPr>
                <w:rFonts w:ascii="Arial" w:cs="Arial" w:eastAsia="Arial" w:hAnsi="Arial"/>
                <w:sz w:val="14"/>
                <w:szCs w:val="14"/>
                <w:i w:val="1"/>
                <w:iCs w:val="1"/>
                <w:color w:val="auto"/>
                <w:w w:val="92"/>
              </w:rPr>
              <w:t>(Name of Each Exchange on Which Registered)</w:t>
            </w:r>
          </w:p>
        </w:tc>
        <w:tc>
          <w:tcPr>
            <w:tcW w:w="0" w:type="dxa"/>
            <w:vAlign w:val="bottom"/>
          </w:tcPr>
          <w:p>
            <w:pPr>
              <w:spacing w:after="0"/>
              <w:rPr>
                <w:sz w:val="1"/>
                <w:szCs w:val="1"/>
                <w:color w:val="auto"/>
              </w:rPr>
            </w:pPr>
          </w:p>
        </w:tc>
      </w:tr>
    </w:tbl>
    <w:p>
      <w:pPr>
        <w:spacing w:after="0" w:line="128" w:lineRule="exact"/>
        <w:rPr>
          <w:sz w:val="24"/>
          <w:szCs w:val="24"/>
          <w:color w:val="auto"/>
        </w:rPr>
      </w:pPr>
    </w:p>
    <w:p>
      <w:pPr>
        <w:jc w:val="both"/>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7" w:lineRule="exact"/>
        <w:rPr>
          <w:sz w:val="24"/>
          <w:szCs w:val="24"/>
          <w:color w:val="auto"/>
        </w:rPr>
      </w:pPr>
    </w:p>
    <w:p>
      <w:pPr>
        <w:jc w:val="both"/>
        <w:ind w:right="20"/>
        <w:spacing w:after="0" w:line="19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3"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w:t>
      </w:r>
    </w:p>
    <w:p>
      <w:pPr>
        <w:spacing w:after="0" w:line="13"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w:t>
      </w:r>
      <w:r>
        <w:rPr>
          <w:rFonts w:ascii="MS PGothic" w:cs="MS PGothic" w:eastAsia="MS PGothic" w:hAnsi="MS PGothic"/>
          <w:sz w:val="15"/>
          <w:szCs w:val="15"/>
          <w:color w:val="auto"/>
        </w:rPr>
        <w:t>‑</w:t>
      </w:r>
      <w:r>
        <w:rPr>
          <w:rFonts w:ascii="Arial" w:cs="Arial" w:eastAsia="Arial" w:hAnsi="Arial"/>
          <w:sz w:val="15"/>
          <w:szCs w:val="15"/>
          <w:color w:val="auto"/>
        </w:rPr>
        <w:t>2 of the Exchange Act:</w:t>
      </w:r>
    </w:p>
    <w:p>
      <w:pPr>
        <w:spacing w:after="0" w:line="42"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166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68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5340" w:type="dxa"/>
            <w:vAlign w:val="bottom"/>
          </w:tcPr>
          <w:p>
            <w:pPr>
              <w:ind w:left="3280"/>
              <w:spacing w:after="0"/>
              <w:rPr>
                <w:sz w:val="20"/>
                <w:szCs w:val="20"/>
                <w:color w:val="auto"/>
              </w:rPr>
            </w:pPr>
            <w:r>
              <w:rPr>
                <w:rFonts w:ascii="Arial" w:cs="Arial" w:eastAsia="Arial" w:hAnsi="Arial"/>
                <w:sz w:val="15"/>
                <w:szCs w:val="15"/>
                <w:color w:val="auto"/>
              </w:rPr>
              <w:t>Accelerated filer</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1660" w:type="dxa"/>
            <w:vAlign w:val="bottom"/>
          </w:tcPr>
          <w:p>
            <w:pPr>
              <w:spacing w:after="0"/>
              <w:rPr>
                <w:sz w:val="20"/>
                <w:szCs w:val="20"/>
                <w:color w:val="auto"/>
              </w:rPr>
            </w:pPr>
            <w:r>
              <w:rPr>
                <w:rFonts w:ascii="Arial" w:cs="Arial" w:eastAsia="Arial" w:hAnsi="Arial"/>
                <w:sz w:val="15"/>
                <w:szCs w:val="15"/>
                <w:color w:val="auto"/>
              </w:rPr>
              <w:t>Non-accelerated filer</w:t>
            </w:r>
          </w:p>
        </w:tc>
        <w:tc>
          <w:tcPr>
            <w:tcW w:w="368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5340" w:type="dxa"/>
            <w:vAlign w:val="bottom"/>
          </w:tcPr>
          <w:p>
            <w:pPr>
              <w:ind w:left="3280"/>
              <w:spacing w:after="0"/>
              <w:rPr>
                <w:sz w:val="20"/>
                <w:szCs w:val="20"/>
                <w:color w:val="auto"/>
              </w:rPr>
            </w:pPr>
            <w:r>
              <w:rPr>
                <w:rFonts w:ascii="Arial" w:cs="Arial" w:eastAsia="Arial" w:hAnsi="Arial"/>
                <w:sz w:val="15"/>
                <w:szCs w:val="15"/>
                <w:color w:val="auto"/>
              </w:rPr>
              <w:t>Smaller reporting company</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0"/>
        </w:trPr>
        <w:tc>
          <w:tcPr>
            <w:tcW w:w="166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5340" w:type="dxa"/>
            <w:vAlign w:val="bottom"/>
          </w:tcPr>
          <w:p>
            <w:pPr>
              <w:ind w:left="3280"/>
              <w:spacing w:after="0"/>
              <w:rPr>
                <w:sz w:val="20"/>
                <w:szCs w:val="20"/>
                <w:color w:val="auto"/>
              </w:rPr>
            </w:pPr>
            <w:r>
              <w:rPr>
                <w:rFonts w:ascii="Arial" w:cs="Arial" w:eastAsia="Arial" w:hAnsi="Arial"/>
                <w:sz w:val="15"/>
                <w:szCs w:val="15"/>
                <w:color w:val="auto"/>
              </w:rPr>
              <w:t>Emerging growth company</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46" w:lineRule="exact"/>
        <w:rPr>
          <w:sz w:val="24"/>
          <w:szCs w:val="24"/>
          <w:color w:val="auto"/>
        </w:rPr>
      </w:pPr>
    </w:p>
    <w:p>
      <w:pPr>
        <w:ind w:right="20"/>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7"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Indicate by check mark whether the registrant is a shell company (as defined in Rule 12b</w:t>
      </w:r>
      <w:r>
        <w:rPr>
          <w:rFonts w:ascii="MS PGothic" w:cs="MS PGothic" w:eastAsia="MS PGothic" w:hAnsi="MS PGothic"/>
          <w:sz w:val="15"/>
          <w:szCs w:val="15"/>
          <w:color w:val="auto"/>
        </w:rPr>
        <w:t>‑</w:t>
      </w:r>
      <w:r>
        <w:rPr>
          <w:rFonts w:ascii="Arial" w:cs="Arial" w:eastAsia="Arial" w:hAnsi="Arial"/>
          <w:sz w:val="15"/>
          <w:szCs w:val="15"/>
          <w:color w:val="auto"/>
        </w:rPr>
        <w:t xml:space="preserve">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14" w:lineRule="exact"/>
        <w:rPr>
          <w:sz w:val="24"/>
          <w:szCs w:val="24"/>
          <w:color w:val="auto"/>
        </w:rPr>
      </w:pPr>
    </w:p>
    <w:p>
      <w:pPr>
        <w:spacing w:after="0"/>
        <w:rPr>
          <w:sz w:val="20"/>
          <w:szCs w:val="20"/>
          <w:color w:val="auto"/>
        </w:rPr>
      </w:pPr>
      <w:r>
        <w:rPr>
          <w:rFonts w:ascii="Arial" w:cs="Arial" w:eastAsia="Arial" w:hAnsi="Arial"/>
          <w:sz w:val="15"/>
          <w:szCs w:val="15"/>
          <w:color w:val="auto"/>
        </w:rPr>
        <w:t>As of August 4, 2021, there were 162,410,137 shares of the Company’s Class A Common Stock, par value $0.0001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452120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0" w:type="dxa"/>
            <w:vAlign w:val="bottom"/>
            <w:gridSpan w:val="8"/>
          </w:tcPr>
          <w:p>
            <w:pPr>
              <w:jc w:val="center"/>
              <w:ind w:right="1820"/>
              <w:spacing w:after="0"/>
              <w:rPr>
                <w:sz w:val="20"/>
                <w:szCs w:val="20"/>
                <w:color w:val="auto"/>
              </w:rPr>
            </w:pPr>
            <w:r>
              <w:rPr>
                <w:rFonts w:ascii="Arial" w:cs="Arial" w:eastAsia="Arial" w:hAnsi="Arial"/>
                <w:sz w:val="18"/>
                <w:szCs w:val="18"/>
                <w:b w:val="1"/>
                <w:bCs w:val="1"/>
                <w:color w:val="auto"/>
              </w:rPr>
              <w:t>VERRA MOBILITY CORPORATION</w:t>
            </w:r>
          </w:p>
        </w:tc>
        <w:tc>
          <w:tcPr>
            <w:tcW w:w="2000" w:type="dxa"/>
            <w:vAlign w:val="bottom"/>
          </w:tcPr>
          <w:p>
            <w:pPr>
              <w:spacing w:after="0"/>
              <w:rPr>
                <w:sz w:val="20"/>
                <w:szCs w:val="20"/>
                <w:color w:val="auto"/>
              </w:rPr>
            </w:pPr>
          </w:p>
        </w:tc>
      </w:tr>
      <w:tr>
        <w:trPr>
          <w:trHeight w:val="392"/>
        </w:trPr>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20" w:type="dxa"/>
            <w:vAlign w:val="bottom"/>
            <w:gridSpan w:val="7"/>
          </w:tcPr>
          <w:p>
            <w:pPr>
              <w:jc w:val="center"/>
              <w:ind w:right="2600"/>
              <w:spacing w:after="0"/>
              <w:rPr>
                <w:sz w:val="20"/>
                <w:szCs w:val="20"/>
                <w:color w:val="auto"/>
              </w:rPr>
            </w:pPr>
            <w:r>
              <w:rPr>
                <w:rFonts w:ascii="Arial" w:cs="Arial" w:eastAsia="Arial" w:hAnsi="Arial"/>
                <w:sz w:val="18"/>
                <w:szCs w:val="18"/>
                <w:b w:val="1"/>
                <w:bCs w:val="1"/>
                <w:color w:val="auto"/>
                <w:w w:val="99"/>
              </w:rPr>
              <w:t>FORM 10-Q</w:t>
            </w:r>
          </w:p>
        </w:tc>
        <w:tc>
          <w:tcPr>
            <w:tcW w:w="2000" w:type="dxa"/>
            <w:vAlign w:val="bottom"/>
          </w:tcPr>
          <w:p>
            <w:pPr>
              <w:spacing w:after="0"/>
              <w:rPr>
                <w:sz w:val="24"/>
                <w:szCs w:val="24"/>
                <w:color w:val="auto"/>
              </w:rPr>
            </w:pPr>
          </w:p>
        </w:tc>
      </w:tr>
      <w:tr>
        <w:trPr>
          <w:trHeight w:val="405"/>
        </w:trPr>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20" w:type="dxa"/>
            <w:vAlign w:val="bottom"/>
            <w:gridSpan w:val="9"/>
          </w:tcPr>
          <w:p>
            <w:pPr>
              <w:jc w:val="center"/>
              <w:ind w:right="1220"/>
              <w:spacing w:after="0"/>
              <w:rPr>
                <w:sz w:val="20"/>
                <w:szCs w:val="20"/>
                <w:color w:val="auto"/>
              </w:rPr>
            </w:pPr>
            <w:r>
              <w:rPr>
                <w:rFonts w:ascii="Arial" w:cs="Arial" w:eastAsia="Arial" w:hAnsi="Arial"/>
                <w:sz w:val="18"/>
                <w:szCs w:val="18"/>
                <w:b w:val="1"/>
                <w:bCs w:val="1"/>
                <w:color w:val="auto"/>
                <w:w w:val="97"/>
              </w:rPr>
              <w:t>FOR THE QUARTER ENDED JUNE 30, 2021</w:t>
            </w:r>
          </w:p>
        </w:tc>
        <w:tc>
          <w:tcPr>
            <w:tcW w:w="2000" w:type="dxa"/>
            <w:vAlign w:val="bottom"/>
          </w:tcPr>
          <w:p>
            <w:pPr>
              <w:spacing w:after="0"/>
              <w:rPr>
                <w:sz w:val="24"/>
                <w:szCs w:val="24"/>
                <w:color w:val="auto"/>
              </w:rPr>
            </w:pPr>
          </w:p>
        </w:tc>
      </w:tr>
      <w:tr>
        <w:trPr>
          <w:trHeight w:val="392"/>
        </w:trPr>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20" w:type="dxa"/>
            <w:vAlign w:val="bottom"/>
            <w:gridSpan w:val="7"/>
          </w:tcPr>
          <w:p>
            <w:pPr>
              <w:jc w:val="center"/>
              <w:ind w:right="2620"/>
              <w:spacing w:after="0"/>
              <w:rPr>
                <w:sz w:val="20"/>
                <w:szCs w:val="20"/>
                <w:color w:val="auto"/>
              </w:rPr>
            </w:pPr>
            <w:r>
              <w:rPr>
                <w:rFonts w:ascii="Arial" w:cs="Arial" w:eastAsia="Arial" w:hAnsi="Arial"/>
                <w:sz w:val="18"/>
                <w:szCs w:val="18"/>
                <w:b w:val="1"/>
                <w:bCs w:val="1"/>
                <w:color w:val="auto"/>
                <w:w w:val="98"/>
              </w:rPr>
              <w:t>TABLE OF CONTENTS</w:t>
            </w:r>
          </w:p>
        </w:tc>
        <w:tc>
          <w:tcPr>
            <w:tcW w:w="2000" w:type="dxa"/>
            <w:vAlign w:val="bottom"/>
          </w:tcPr>
          <w:p>
            <w:pPr>
              <w:spacing w:after="0"/>
              <w:rPr>
                <w:sz w:val="24"/>
                <w:szCs w:val="24"/>
                <w:color w:val="auto"/>
              </w:rPr>
            </w:pPr>
          </w:p>
        </w:tc>
      </w:tr>
      <w:tr>
        <w:trPr>
          <w:trHeight w:val="418"/>
        </w:trPr>
        <w:tc>
          <w:tcPr>
            <w:tcW w:w="9240" w:type="dxa"/>
            <w:vAlign w:val="bottom"/>
            <w:gridSpan w:val="22"/>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I—FINANCIAL INFORMATION</w:t>
              </w:r>
            </w:hyperlink>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223"/>
        </w:trPr>
        <w:tc>
          <w:tcPr>
            <w:tcW w:w="340" w:type="dxa"/>
            <w:vAlign w:val="bottom"/>
            <w:tcBorders>
              <w:top w:val="single" w:sz="8" w:color="0000EE"/>
            </w:tcBorders>
          </w:tcPr>
          <w:p>
            <w:pPr>
              <w:spacing w:after="0"/>
              <w:rPr>
                <w:sz w:val="19"/>
                <w:szCs w:val="19"/>
                <w:color w:val="auto"/>
              </w:rPr>
            </w:pPr>
          </w:p>
        </w:tc>
        <w:tc>
          <w:tcPr>
            <w:tcW w:w="2820" w:type="dxa"/>
            <w:vAlign w:val="bottom"/>
            <w:tcBorders>
              <w:top w:val="single" w:sz="8" w:color="0000EE"/>
            </w:tcBorders>
            <w:gridSpan w:val="1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1. Financial Statements</w:t>
              </w:r>
            </w:hyperlink>
            <w:r>
              <w:rPr>
                <w:rFonts w:ascii="Arial" w:cs="Arial" w:eastAsia="Arial" w:hAnsi="Arial"/>
                <w:sz w:val="18"/>
                <w:szCs w:val="18"/>
                <w:u w:val="single" w:color="auto"/>
                <w:color w:val="000000"/>
              </w:rPr>
              <w:t>.</w:t>
            </w:r>
          </w:p>
        </w:tc>
        <w:tc>
          <w:tcPr>
            <w:tcW w:w="6080" w:type="dxa"/>
            <w:vAlign w:val="bottom"/>
            <w:gridSpan w:val="10"/>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3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340" w:type="dxa"/>
            <w:vAlign w:val="bottom"/>
            <w:gridSpan w:val="2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4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Operations and Comprehensive Income (Loss)</w:t>
              </w:r>
            </w:hyperlink>
          </w:p>
        </w:tc>
        <w:tc>
          <w:tcPr>
            <w:tcW w:w="2100" w:type="dxa"/>
            <w:vAlign w:val="bottom"/>
            <w:gridSpan w:val="2"/>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340" w:type="dxa"/>
            <w:vAlign w:val="bottom"/>
            <w:gridSpan w:val="20"/>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Stockholders’ Equity</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0" w:type="dxa"/>
            <w:vAlign w:val="bottom"/>
            <w:tcBorders>
              <w:top w:val="single" w:sz="8" w:color="0000EE"/>
            </w:tcBorders>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w:t>
              </w:r>
            </w:hyperlink>
          </w:p>
        </w:tc>
        <w:tc>
          <w:tcPr>
            <w:tcW w:w="3940" w:type="dxa"/>
            <w:vAlign w:val="bottom"/>
            <w:gridSpan w:val="3"/>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340" w:type="dxa"/>
            <w:vAlign w:val="bottom"/>
            <w:gridSpan w:val="20"/>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Notes to the Condensed Consolidated Financial Statements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8900" w:type="dxa"/>
            <w:vAlign w:val="bottom"/>
            <w:gridSpan w:val="21"/>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2. Management’s Discussion and Analysis of Financial Condition and Results of Operations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340" w:type="dxa"/>
            <w:vAlign w:val="bottom"/>
          </w:tcPr>
          <w:p>
            <w:pPr>
              <w:spacing w:after="0"/>
              <w:rPr>
                <w:sz w:val="19"/>
                <w:szCs w:val="19"/>
                <w:color w:val="auto"/>
              </w:rPr>
            </w:pPr>
          </w:p>
        </w:tc>
        <w:tc>
          <w:tcPr>
            <w:tcW w:w="492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92"/>
              </w:rPr>
            </w:pPr>
            <w:hyperlink w:anchor="page45">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3"/>
          </w:tcPr>
          <w:p>
            <w:pPr>
              <w:spacing w:after="0"/>
              <w:rPr>
                <w:sz w:val="19"/>
                <w:szCs w:val="19"/>
                <w:color w:val="auto"/>
              </w:rPr>
            </w:pPr>
          </w:p>
        </w:tc>
        <w:tc>
          <w:tcPr>
            <w:tcW w:w="19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3"/>
        </w:trPr>
        <w:tc>
          <w:tcPr>
            <w:tcW w:w="340" w:type="dxa"/>
            <w:vAlign w:val="bottom"/>
          </w:tcPr>
          <w:p>
            <w:pPr>
              <w:spacing w:after="0"/>
              <w:rPr>
                <w:sz w:val="19"/>
                <w:szCs w:val="19"/>
                <w:color w:val="auto"/>
              </w:rPr>
            </w:pPr>
          </w:p>
        </w:tc>
        <w:tc>
          <w:tcPr>
            <w:tcW w:w="23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Item 4. Controls and Procedures</w:t>
              </w:r>
            </w:hyperlink>
          </w:p>
        </w:tc>
        <w:tc>
          <w:tcPr>
            <w:tcW w:w="6560" w:type="dxa"/>
            <w:vAlign w:val="bottom"/>
            <w:gridSpan w:val="12"/>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3"/>
        </w:trPr>
        <w:tc>
          <w:tcPr>
            <w:tcW w:w="9240" w:type="dxa"/>
            <w:vAlign w:val="bottom"/>
            <w:gridSpan w:val="22"/>
          </w:tcPr>
          <w:p>
            <w:pPr>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PART II—OTHER INFORMATION</w:t>
              </w:r>
            </w:hyperlink>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46</w:t>
            </w:r>
          </w:p>
        </w:tc>
      </w:tr>
      <w:tr>
        <w:trPr>
          <w:trHeight w:val="223"/>
        </w:trPr>
        <w:tc>
          <w:tcPr>
            <w:tcW w:w="340" w:type="dxa"/>
            <w:vAlign w:val="bottom"/>
            <w:tcBorders>
              <w:top w:val="single" w:sz="8" w:color="0000EE"/>
            </w:tcBorders>
          </w:tcPr>
          <w:p>
            <w:pPr>
              <w:spacing w:after="0"/>
              <w:rPr>
                <w:sz w:val="19"/>
                <w:szCs w:val="19"/>
                <w:color w:val="auto"/>
              </w:rPr>
            </w:pPr>
          </w:p>
        </w:tc>
        <w:tc>
          <w:tcPr>
            <w:tcW w:w="2520" w:type="dxa"/>
            <w:vAlign w:val="bottom"/>
            <w:tcBorders>
              <w:top w:val="single" w:sz="8" w:color="0000EE"/>
            </w:tcBorders>
            <w:gridSpan w:val="10"/>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1. Legal Proceedings</w:t>
              </w:r>
            </w:hyperlink>
          </w:p>
        </w:tc>
        <w:tc>
          <w:tcPr>
            <w:tcW w:w="6380" w:type="dxa"/>
            <w:vAlign w:val="bottom"/>
            <w:gridSpan w:val="11"/>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3"/>
        </w:trPr>
        <w:tc>
          <w:tcPr>
            <w:tcW w:w="340" w:type="dxa"/>
            <w:vAlign w:val="bottom"/>
          </w:tcPr>
          <w:p>
            <w:pPr>
              <w:spacing w:after="0"/>
              <w:rPr>
                <w:sz w:val="19"/>
                <w:szCs w:val="19"/>
                <w:color w:val="auto"/>
              </w:rPr>
            </w:pPr>
          </w:p>
        </w:tc>
        <w:tc>
          <w:tcPr>
            <w:tcW w:w="1880" w:type="dxa"/>
            <w:vAlign w:val="bottom"/>
            <w:tcBorders>
              <w:top w:val="single" w:sz="8" w:color="0000EE"/>
            </w:tcBorders>
            <w:gridSpan w:val="6"/>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1A. Risk Factors</w:t>
              </w:r>
            </w:hyperlink>
          </w:p>
        </w:tc>
        <w:tc>
          <w:tcPr>
            <w:tcW w:w="7020" w:type="dxa"/>
            <w:vAlign w:val="bottom"/>
            <w:gridSpan w:val="15"/>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3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000" w:type="dxa"/>
            <w:vAlign w:val="bottom"/>
            <w:gridSpan w:val="5"/>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490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Item 2. Unregistered Sales of Equity Securities and Use of Proceeds</w:t>
              </w:r>
            </w:hyperlink>
          </w:p>
        </w:tc>
        <w:tc>
          <w:tcPr>
            <w:tcW w:w="4000" w:type="dxa"/>
            <w:vAlign w:val="bottom"/>
            <w:gridSpan w:val="5"/>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340" w:type="dxa"/>
            <w:vAlign w:val="bottom"/>
          </w:tcPr>
          <w:p>
            <w:pPr>
              <w:spacing w:after="0"/>
              <w:rPr>
                <w:sz w:val="19"/>
                <w:szCs w:val="19"/>
                <w:color w:val="auto"/>
              </w:rPr>
            </w:pPr>
          </w:p>
        </w:tc>
        <w:tc>
          <w:tcPr>
            <w:tcW w:w="288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Item 3. Defaults Upon Senior Securities</w:t>
              </w:r>
            </w:hyperlink>
          </w:p>
        </w:tc>
        <w:tc>
          <w:tcPr>
            <w:tcW w:w="6020" w:type="dxa"/>
            <w:vAlign w:val="bottom"/>
            <w:gridSpan w:val="9"/>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340" w:type="dxa"/>
            <w:vAlign w:val="bottom"/>
          </w:tcPr>
          <w:p>
            <w:pPr>
              <w:spacing w:after="0"/>
              <w:rPr>
                <w:sz w:val="19"/>
                <w:szCs w:val="19"/>
                <w:color w:val="auto"/>
              </w:rPr>
            </w:pPr>
          </w:p>
        </w:tc>
        <w:tc>
          <w:tcPr>
            <w:tcW w:w="232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Item 4. Mine Safety Disclosures</w:t>
              </w:r>
            </w:hyperlink>
          </w:p>
        </w:tc>
        <w:tc>
          <w:tcPr>
            <w:tcW w:w="6580" w:type="dxa"/>
            <w:vAlign w:val="bottom"/>
            <w:gridSpan w:val="13"/>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340" w:type="dxa"/>
            <w:vAlign w:val="bottom"/>
          </w:tcPr>
          <w:p>
            <w:pPr>
              <w:spacing w:after="0"/>
              <w:rPr>
                <w:sz w:val="19"/>
                <w:szCs w:val="19"/>
                <w:color w:val="auto"/>
              </w:rPr>
            </w:pPr>
          </w:p>
        </w:tc>
        <w:tc>
          <w:tcPr>
            <w:tcW w:w="8900" w:type="dxa"/>
            <w:vAlign w:val="bottom"/>
            <w:gridSpan w:val="21"/>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5. Other Information</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340" w:type="dxa"/>
            <w:vAlign w:val="bottom"/>
          </w:tcPr>
          <w:p>
            <w:pPr>
              <w:spacing w:after="0"/>
              <w:rPr>
                <w:sz w:val="19"/>
                <w:szCs w:val="19"/>
                <w:color w:val="auto"/>
              </w:rPr>
            </w:pPr>
          </w:p>
        </w:tc>
        <w:tc>
          <w:tcPr>
            <w:tcW w:w="1860" w:type="dxa"/>
            <w:vAlign w:val="bottom"/>
            <w:tcBorders>
              <w:top w:val="single" w:sz="8" w:color="0000EE"/>
            </w:tcBorders>
            <w:gridSpan w:val="5"/>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Item 6. Exhibits</w:t>
              </w:r>
            </w:hyperlink>
          </w:p>
        </w:tc>
        <w:tc>
          <w:tcPr>
            <w:tcW w:w="7040" w:type="dxa"/>
            <w:vAlign w:val="bottom"/>
            <w:gridSpan w:val="16"/>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3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760" w:type="dxa"/>
            <w:vAlign w:val="bottom"/>
            <w:gridSpan w:val="18"/>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23"/>
        </w:trPr>
        <w:tc>
          <w:tcPr>
            <w:tcW w:w="9240" w:type="dxa"/>
            <w:vAlign w:val="bottom"/>
            <w:gridSpan w:val="22"/>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SIGNATURES</w:t>
              </w:r>
            </w:hyperlink>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50</w:t>
            </w:r>
          </w:p>
        </w:tc>
      </w:tr>
      <w:tr>
        <w:trPr>
          <w:trHeight w:val="723"/>
        </w:trPr>
        <w:tc>
          <w:tcPr>
            <w:tcW w:w="1160" w:type="dxa"/>
            <w:vAlign w:val="bottom"/>
            <w:tcBorders>
              <w:top w:val="single" w:sz="8" w:color="0000EE"/>
            </w:tcBorders>
            <w:gridSpan w:val="3"/>
          </w:tcPr>
          <w:p>
            <w:pPr>
              <w:spacing w:after="0"/>
              <w:rPr>
                <w:sz w:val="24"/>
                <w:szCs w:val="24"/>
                <w:color w:val="auto"/>
              </w:rPr>
            </w:pPr>
          </w:p>
        </w:tc>
        <w:tc>
          <w:tcPr>
            <w:tcW w:w="5980" w:type="dxa"/>
            <w:vAlign w:val="bottom"/>
            <w:gridSpan w:val="17"/>
          </w:tcPr>
          <w:p>
            <w:pPr>
              <w:jc w:val="center"/>
              <w:ind w:left="2850"/>
              <w:spacing w:after="0"/>
              <w:rPr>
                <w:sz w:val="20"/>
                <w:szCs w:val="20"/>
                <w:color w:val="auto"/>
              </w:rPr>
            </w:pPr>
            <w:r>
              <w:rPr>
                <w:rFonts w:ascii="Arial" w:cs="Arial" w:eastAsia="Arial" w:hAnsi="Arial"/>
                <w:sz w:val="18"/>
                <w:szCs w:val="18"/>
                <w:color w:val="auto"/>
                <w:w w:val="79"/>
              </w:rPr>
              <w:t>2</w:t>
            </w: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89" w:lineRule="exact"/>
        <w:rPr>
          <w:sz w:val="20"/>
          <w:szCs w:val="20"/>
          <w:color w:val="auto"/>
        </w:rPr>
      </w:pPr>
    </w:p>
    <w:p>
      <w:pPr>
        <w:jc w:val="both"/>
        <w:ind w:firstLine="802"/>
        <w:spacing w:after="0" w:line="268" w:lineRule="auto"/>
        <w:rPr>
          <w:sz w:val="20"/>
          <w:szCs w:val="20"/>
          <w:color w:val="auto"/>
        </w:rPr>
      </w:pPr>
      <w:r>
        <w:rPr>
          <w:rFonts w:ascii="Arial" w:cs="Arial" w:eastAsia="Arial" w:hAnsi="Arial"/>
          <w:sz w:val="17"/>
          <w:szCs w:val="17"/>
          <w:color w:val="auto"/>
        </w:rPr>
        <w:t>This Quarterly Report on Form 10-Q contains forward-looking statements within the meaning of federal securities laws. All statements contained in this Quarterly Report on Form 10-Q other than statements of historical fact, including statements regarding our future operating results and financial position, our business strategy and plans, products, services, and technology offerings, market conditions, growth and trends, expansion plans and opportunities, and our objectives for future operations, are forward-looking statements. The words “believe,” “may,” “will,” “estimate,” “continue,” “anticipate,” “intend,” “expect,” “could,” “would,” “project,” “plan,” “potentially,” “preliminary,” “likely” and similar expressions, and the negative of these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Part II, Item 1A “Risk Factors” of this Quarterly Report on Form 10-Q and in Part I, Item 1A “Risk Factors” of our Annual Report on Form 10-K/A for the year ended December 31, 2020, filed on May 17, 2021. Moreover, we operate in a very competitive and rapidly changing environment. New risks emerge from time to time. It is not possible for our management to predict all risks, nor can we assess the effect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spacing w:after="0" w:line="15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Factors that could cause actual results to differ materially from those expressed or implied in forward-looking statements include, among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things:</w:t>
      </w:r>
    </w:p>
    <w:p>
      <w:pPr>
        <w:spacing w:after="0" w:line="170" w:lineRule="exact"/>
        <w:rPr>
          <w:sz w:val="20"/>
          <w:szCs w:val="20"/>
          <w:color w:val="auto"/>
        </w:rPr>
      </w:pPr>
    </w:p>
    <w:p>
      <w:pPr>
        <w:ind w:left="1200" w:hanging="396"/>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payment delays related to $127.0 million in outstanding receivables with the City of New York Department of Transportation (“</w:t>
      </w:r>
      <w:r>
        <w:rPr>
          <w:rFonts w:ascii="Arial" w:cs="Arial" w:eastAsia="Arial" w:hAnsi="Arial"/>
          <w:sz w:val="18"/>
          <w:szCs w:val="18"/>
          <w:b w:val="1"/>
          <w:bCs w:val="1"/>
          <w:i w:val="1"/>
          <w:iCs w:val="1"/>
          <w:color w:val="auto"/>
        </w:rPr>
        <w:t>NYCDOT</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ind w:left="1200" w:hanging="396"/>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 to our business and results of operations as a result of the novel coronavirus (“</w:t>
      </w:r>
      <w:r>
        <w:rPr>
          <w:rFonts w:ascii="Arial" w:cs="Arial" w:eastAsia="Arial" w:hAnsi="Arial"/>
          <w:sz w:val="18"/>
          <w:szCs w:val="18"/>
          <w:b w:val="1"/>
          <w:bCs w:val="1"/>
          <w:i w:val="1"/>
          <w:iCs w:val="1"/>
          <w:color w:val="auto"/>
        </w:rPr>
        <w:t>COVID-19</w:t>
      </w:r>
      <w:r>
        <w:rPr>
          <w:rFonts w:ascii="Arial" w:cs="Arial" w:eastAsia="Arial" w:hAnsi="Arial"/>
          <w:sz w:val="18"/>
          <w:szCs w:val="18"/>
          <w:color w:val="auto"/>
        </w:rPr>
        <w:t>”) pandemic;</w:t>
      </w:r>
    </w:p>
    <w:p>
      <w:pPr>
        <w:spacing w:after="0" w:line="184" w:lineRule="exact"/>
        <w:rPr>
          <w:rFonts w:ascii="Arial" w:cs="Arial" w:eastAsia="Arial" w:hAnsi="Arial"/>
          <w:sz w:val="18"/>
          <w:szCs w:val="18"/>
          <w:color w:val="auto"/>
        </w:rPr>
      </w:pPr>
    </w:p>
    <w:p>
      <w:pPr>
        <w:ind w:left="1200" w:right="20" w:hanging="396"/>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on our revenues from key customers in the rental car industry and from photo enforcement programs;</w:t>
      </w:r>
    </w:p>
    <w:p>
      <w:pPr>
        <w:spacing w:after="0" w:line="129" w:lineRule="exact"/>
        <w:rPr>
          <w:rFonts w:ascii="Arial" w:cs="Arial" w:eastAsia="Arial" w:hAnsi="Arial"/>
          <w:sz w:val="18"/>
          <w:szCs w:val="18"/>
          <w:color w:val="auto"/>
        </w:rPr>
      </w:pPr>
    </w:p>
    <w:p>
      <w:pPr>
        <w:ind w:left="1200" w:hanging="396"/>
        <w:spacing w:after="0"/>
        <w:tabs>
          <w:tab w:leader="none" w:pos="1200" w:val="left"/>
        </w:tabs>
        <w:numPr>
          <w:ilvl w:val="0"/>
          <w:numId w:val="3"/>
        </w:numPr>
        <w:rPr>
          <w:rFonts w:ascii="Arial" w:cs="Arial" w:eastAsia="Arial" w:hAnsi="Arial"/>
          <w:sz w:val="17"/>
          <w:szCs w:val="17"/>
          <w:color w:val="auto"/>
        </w:rPr>
      </w:pPr>
      <w:r>
        <w:rPr>
          <w:rFonts w:ascii="Arial" w:cs="Arial" w:eastAsia="Arial" w:hAnsi="Arial"/>
          <w:sz w:val="17"/>
          <w:szCs w:val="17"/>
          <w:color w:val="auto"/>
        </w:rPr>
        <w:t>historical data regarding our business, results of operations, financial condition and liquidity may not reflect the impact of COVID-19;</w:t>
      </w:r>
    </w:p>
    <w:p>
      <w:pPr>
        <w:spacing w:after="0" w:line="196" w:lineRule="exact"/>
        <w:rPr>
          <w:rFonts w:ascii="Arial" w:cs="Arial" w:eastAsia="Arial" w:hAnsi="Arial"/>
          <w:sz w:val="17"/>
          <w:szCs w:val="17"/>
          <w:color w:val="auto"/>
        </w:rPr>
      </w:pPr>
    </w:p>
    <w:p>
      <w:pPr>
        <w:ind w:left="1200" w:hanging="396"/>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concentration in our Commercial Services and Government Solutions segments;</w:t>
      </w:r>
    </w:p>
    <w:p>
      <w:pPr>
        <w:spacing w:after="0" w:line="184" w:lineRule="exact"/>
        <w:rPr>
          <w:rFonts w:ascii="Arial" w:cs="Arial" w:eastAsia="Arial" w:hAnsi="Arial"/>
          <w:sz w:val="18"/>
          <w:szCs w:val="18"/>
          <w:color w:val="auto"/>
        </w:rPr>
      </w:pPr>
    </w:p>
    <w:p>
      <w:pPr>
        <w:ind w:left="1200" w:hanging="396"/>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decreases in the prevalence of automated and other similar methods of photo enforcement or the use of tolling;</w:t>
      </w:r>
    </w:p>
    <w:p>
      <w:pPr>
        <w:spacing w:after="0" w:line="184" w:lineRule="exact"/>
        <w:rPr>
          <w:rFonts w:ascii="Arial" w:cs="Arial" w:eastAsia="Arial" w:hAnsi="Arial"/>
          <w:sz w:val="18"/>
          <w:szCs w:val="18"/>
          <w:color w:val="auto"/>
        </w:rPr>
      </w:pPr>
    </w:p>
    <w:p>
      <w:pPr>
        <w:ind w:left="1200" w:hanging="396"/>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and uncertainties related to our government contracts, including legislative changes, termination rights, delays in payments, audits and investigations;</w:t>
      </w:r>
    </w:p>
    <w:p>
      <w:pPr>
        <w:spacing w:after="0" w:line="129" w:lineRule="exact"/>
        <w:rPr>
          <w:rFonts w:ascii="Arial" w:cs="Arial" w:eastAsia="Arial" w:hAnsi="Arial"/>
          <w:sz w:val="18"/>
          <w:szCs w:val="18"/>
          <w:color w:val="auto"/>
        </w:rPr>
      </w:pPr>
    </w:p>
    <w:p>
      <w:pPr>
        <w:ind w:left="1200" w:hanging="396"/>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decreased interest in outsourcing from our customers;</w:t>
      </w:r>
    </w:p>
    <w:p>
      <w:pPr>
        <w:spacing w:after="0" w:line="184" w:lineRule="exact"/>
        <w:rPr>
          <w:rFonts w:ascii="Arial" w:cs="Arial" w:eastAsia="Arial" w:hAnsi="Arial"/>
          <w:sz w:val="18"/>
          <w:szCs w:val="18"/>
          <w:color w:val="auto"/>
        </w:rPr>
      </w:pPr>
    </w:p>
    <w:p>
      <w:pPr>
        <w:ind w:left="1200" w:hanging="396"/>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properly perform under our contracts and otherwise satisfy our customers;</w:t>
      </w:r>
    </w:p>
    <w:p>
      <w:pPr>
        <w:spacing w:after="0" w:line="184" w:lineRule="exact"/>
        <w:rPr>
          <w:rFonts w:ascii="Arial" w:cs="Arial" w:eastAsia="Arial" w:hAnsi="Arial"/>
          <w:sz w:val="18"/>
          <w:szCs w:val="18"/>
          <w:color w:val="auto"/>
        </w:rPr>
      </w:pPr>
    </w:p>
    <w:p>
      <w:pPr>
        <w:ind w:left="1200" w:hanging="396"/>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a highly competitive and rapidly evolving market;</w:t>
      </w:r>
    </w:p>
    <w:p>
      <w:pPr>
        <w:spacing w:after="0" w:line="184" w:lineRule="exact"/>
        <w:rPr>
          <w:rFonts w:ascii="Arial" w:cs="Arial" w:eastAsia="Arial" w:hAnsi="Arial"/>
          <w:sz w:val="18"/>
          <w:szCs w:val="18"/>
          <w:color w:val="auto"/>
        </w:rPr>
      </w:pPr>
    </w:p>
    <w:p>
      <w:pPr>
        <w:ind w:left="1200" w:hanging="396"/>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keep up with technological developments and changing customer preferences;</w:t>
      </w:r>
    </w:p>
    <w:p>
      <w:pPr>
        <w:spacing w:after="0" w:line="184" w:lineRule="exact"/>
        <w:rPr>
          <w:rFonts w:ascii="Arial" w:cs="Arial" w:eastAsia="Arial" w:hAnsi="Arial"/>
          <w:sz w:val="18"/>
          <w:szCs w:val="18"/>
          <w:color w:val="auto"/>
        </w:rPr>
      </w:pPr>
    </w:p>
    <w:p>
      <w:pPr>
        <w:ind w:left="1200" w:hanging="396"/>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new products and changes to existing products and services;</w:t>
      </w:r>
    </w:p>
    <w:p>
      <w:pPr>
        <w:spacing w:after="0" w:line="184" w:lineRule="exact"/>
        <w:rPr>
          <w:rFonts w:ascii="Arial" w:cs="Arial" w:eastAsia="Arial" w:hAnsi="Arial"/>
          <w:sz w:val="18"/>
          <w:szCs w:val="18"/>
          <w:color w:val="auto"/>
        </w:rPr>
      </w:pPr>
    </w:p>
    <w:p>
      <w:pPr>
        <w:ind w:left="1200" w:hanging="396"/>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integrate our recent or future acquisitions, including, but not limited to, our June 2021 acquisition of Redflex (as defined herein); and</w:t>
      </w:r>
    </w:p>
    <w:p>
      <w:pPr>
        <w:spacing w:after="0" w:line="129" w:lineRule="exact"/>
        <w:rPr>
          <w:rFonts w:ascii="Arial" w:cs="Arial" w:eastAsia="Arial" w:hAnsi="Arial"/>
          <w:sz w:val="18"/>
          <w:szCs w:val="18"/>
          <w:color w:val="auto"/>
        </w:rPr>
      </w:pPr>
    </w:p>
    <w:p>
      <w:pPr>
        <w:ind w:left="1200" w:hanging="396"/>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in or breaches of our networks or systems, including as a result of cyber-attacks.</w:t>
      </w:r>
    </w:p>
    <w:p>
      <w:pPr>
        <w:spacing w:after="0" w:line="185" w:lineRule="exact"/>
        <w:rPr>
          <w:sz w:val="20"/>
          <w:szCs w:val="20"/>
          <w:color w:val="auto"/>
        </w:rPr>
      </w:pPr>
    </w:p>
    <w:p>
      <w:pPr>
        <w:ind w:firstLine="802"/>
        <w:spacing w:after="0" w:line="277" w:lineRule="auto"/>
        <w:rPr>
          <w:sz w:val="20"/>
          <w:szCs w:val="20"/>
          <w:color w:val="auto"/>
        </w:rPr>
      </w:pPr>
      <w:r>
        <w:rPr>
          <w:rFonts w:ascii="Arial" w:cs="Arial" w:eastAsia="Arial" w:hAnsi="Arial"/>
          <w:sz w:val="18"/>
          <w:szCs w:val="18"/>
          <w:color w:val="auto"/>
        </w:rPr>
        <w:t>You should not rely on forward-looking statements as predictions of future events. The events and circumstances reflected in the forward-looking statements may not occur. Although we believe that the expectations reflected in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 w:name="page4"/>
    <w:bookmarkEnd w:id="3"/>
    <w:p>
      <w:pPr>
        <w:jc w:val="both"/>
        <w:spacing w:after="0" w:line="263" w:lineRule="auto"/>
        <w:rPr>
          <w:sz w:val="20"/>
          <w:szCs w:val="20"/>
          <w:color w:val="auto"/>
        </w:rPr>
      </w:pPr>
      <w:r>
        <w:rPr>
          <w:rFonts w:ascii="Arial" w:cs="Arial" w:eastAsia="Arial" w:hAnsi="Arial"/>
          <w:sz w:val="18"/>
          <w:szCs w:val="18"/>
          <w:color w:val="auto"/>
        </w:rPr>
        <w:t>forward-looking statements are reasonable, we cannot guarantee that the future results, performance, or events and circumstances reflected in the forward-looking statements will be achieved or occur. We undertake no obligation to update any of these forward-looking statements for any reason after the date of this Quarterly Report on Form 10-Q or to conform these statements to actual results or revised expectations.</w:t>
      </w:r>
    </w:p>
    <w:p>
      <w:pPr>
        <w:spacing w:after="0" w:line="157"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color w:val="auto"/>
        </w:rPr>
        <w:t>Unless the context indicates otherwise, the terms “Verra Mobility,” the “Company,” “we,” “us,” and “our” as used in this Quarterly Report on Form 10-Q refer to Verra Mobility Corporation, a Delaware corporation, and its subsidiaries taken as a whole.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34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 except per share data)</w:t>
            </w:r>
          </w:p>
        </w:tc>
        <w:tc>
          <w:tcPr>
            <w:tcW w:w="4520" w:type="dxa"/>
            <w:vAlign w:val="bottom"/>
            <w:vMerge w:val="restart"/>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340" w:type="dxa"/>
            <w:vAlign w:val="bottom"/>
            <w:tcBorders>
              <w:bottom w:val="single" w:sz="8" w:color="auto"/>
            </w:tcBorders>
            <w:vMerge w:val="continue"/>
          </w:tcPr>
          <w:p>
            <w:pPr>
              <w:spacing w:after="0"/>
              <w:rPr>
                <w:sz w:val="12"/>
                <w:szCs w:val="12"/>
                <w:color w:val="auto"/>
              </w:rPr>
            </w:pPr>
          </w:p>
        </w:tc>
        <w:tc>
          <w:tcPr>
            <w:tcW w:w="45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jc w:val="center"/>
              <w:ind w:right="171"/>
              <w:spacing w:after="0" w:line="142" w:lineRule="exact"/>
              <w:rPr>
                <w:sz w:val="20"/>
                <w:szCs w:val="20"/>
                <w:color w:val="auto"/>
              </w:rPr>
            </w:pPr>
            <w:r>
              <w:rPr>
                <w:rFonts w:ascii="Arial" w:cs="Arial" w:eastAsia="Arial" w:hAnsi="Arial"/>
                <w:sz w:val="14"/>
                <w:szCs w:val="14"/>
                <w:b w:val="1"/>
                <w:bCs w:val="1"/>
                <w:color w:val="auto"/>
                <w:w w:val="91"/>
              </w:rPr>
              <w:t>(As restated)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68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gridSpan w:val="2"/>
          </w:tcPr>
          <w:p>
            <w:pPr>
              <w:ind w:left="140"/>
              <w:spacing w:after="0"/>
              <w:rPr>
                <w:sz w:val="20"/>
                <w:szCs w:val="20"/>
                <w:color w:val="auto"/>
              </w:rPr>
            </w:pPr>
            <w:r>
              <w:rPr>
                <w:rFonts w:ascii="Arial" w:cs="Arial" w:eastAsia="Arial" w:hAnsi="Arial"/>
                <w:sz w:val="18"/>
                <w:szCs w:val="18"/>
                <w:color w:val="auto"/>
              </w:rPr>
              <w:t>Current assets:</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02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147,346</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120,259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Restricted cash</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3,159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8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receivable (net of allowance for credit loss of $12.7 million and</w:t>
            </w: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$11.5 million at June 30, 2021 and December 31, 2020, respectively)</w:t>
            </w:r>
          </w:p>
        </w:tc>
        <w:tc>
          <w:tcPr>
            <w:tcW w:w="7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214,925</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168,783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Unbilled receivables</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23,871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14,045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7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32,255</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421,556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328,037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Installation and service parts, net</w:t>
            </w: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10,186</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gridSpan w:val="2"/>
          </w:tcPr>
          <w:p>
            <w:pPr>
              <w:ind w:left="140"/>
              <w:spacing w:after="0"/>
              <w:rPr>
                <w:sz w:val="20"/>
                <w:szCs w:val="20"/>
                <w:color w:val="auto"/>
              </w:rPr>
            </w:pPr>
            <w:r>
              <w:rPr>
                <w:rFonts w:ascii="Arial" w:cs="Arial" w:eastAsia="Arial" w:hAnsi="Arial"/>
                <w:sz w:val="18"/>
                <w:szCs w:val="18"/>
                <w:color w:val="auto"/>
              </w:rPr>
              <w:t>Property and equipment, net</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94,308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70,284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Operating lease assets</w:t>
            </w: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34,662</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gridSpan w:val="2"/>
          </w:tcPr>
          <w:p>
            <w:pPr>
              <w:ind w:left="140"/>
              <w:spacing w:after="0"/>
              <w:rPr>
                <w:sz w:val="20"/>
                <w:szCs w:val="20"/>
                <w:color w:val="auto"/>
              </w:rPr>
            </w:pPr>
            <w:r>
              <w:rPr>
                <w:rFonts w:ascii="Arial" w:cs="Arial" w:eastAsia="Arial" w:hAnsi="Arial"/>
                <w:sz w:val="18"/>
                <w:szCs w:val="18"/>
                <w:color w:val="auto"/>
              </w:rPr>
              <w:t>Intangible assets, net</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340,637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342,139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Goodwill</w:t>
            </w: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641,517</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586,435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Other non-current assets</w:t>
            </w:r>
          </w:p>
        </w:tc>
        <w:tc>
          <w:tcPr>
            <w:tcW w:w="7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16,325</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assets</w:t>
            </w:r>
          </w:p>
        </w:tc>
        <w:tc>
          <w:tcPr>
            <w:tcW w:w="7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1,559,191</w:t>
            </w: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1,367,325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Current liabilities:</w:t>
            </w: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Accounts payable</w:t>
            </w:r>
          </w:p>
        </w:tc>
        <w:tc>
          <w:tcPr>
            <w:tcW w:w="102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47,403</w:t>
            </w:r>
          </w:p>
        </w:tc>
        <w:tc>
          <w:tcPr>
            <w:tcW w:w="3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34,509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Accrued liabilities</w:t>
            </w: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44,728</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Payable to related party pursuant to tax receivable agreement, current portion</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5,202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Current portion of long-term debt</w:t>
            </w:r>
          </w:p>
        </w:tc>
        <w:tc>
          <w:tcPr>
            <w:tcW w:w="7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9,410</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106,743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64,040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Long-term debt, net of current portion</w:t>
            </w: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966,066</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832,941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gridSpan w:val="2"/>
          </w:tcPr>
          <w:p>
            <w:pPr>
              <w:ind w:left="140"/>
              <w:spacing w:after="0"/>
              <w:rPr>
                <w:sz w:val="20"/>
                <w:szCs w:val="20"/>
                <w:color w:val="auto"/>
              </w:rPr>
            </w:pPr>
            <w:r>
              <w:rPr>
                <w:rFonts w:ascii="Arial" w:cs="Arial" w:eastAsia="Arial" w:hAnsi="Arial"/>
                <w:sz w:val="18"/>
                <w:szCs w:val="18"/>
                <w:color w:val="auto"/>
              </w:rPr>
              <w:t>Operating lease liabilities, net of current portion</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32,720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27,986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Payable to related party pursuant to tax receivable agreement, net of current portion</w:t>
            </w: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64,329</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gridSpan w:val="2"/>
          </w:tcPr>
          <w:p>
            <w:pPr>
              <w:ind w:left="140"/>
              <w:spacing w:after="0"/>
              <w:rPr>
                <w:sz w:val="20"/>
                <w:szCs w:val="20"/>
                <w:color w:val="auto"/>
              </w:rPr>
            </w:pPr>
            <w:r>
              <w:rPr>
                <w:rFonts w:ascii="Arial" w:cs="Arial" w:eastAsia="Arial" w:hAnsi="Arial"/>
                <w:sz w:val="18"/>
                <w:szCs w:val="18"/>
                <w:color w:val="auto"/>
              </w:rPr>
              <w:t>Private placement warrant liabilities</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41,000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30,866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Asset retirement obligation</w:t>
            </w: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10,059</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gridSpan w:val="2"/>
          </w:tcPr>
          <w:p>
            <w:pPr>
              <w:ind w:left="140"/>
              <w:spacing w:after="0"/>
              <w:rPr>
                <w:sz w:val="20"/>
                <w:szCs w:val="20"/>
                <w:color w:val="auto"/>
              </w:rPr>
            </w:pPr>
            <w:r>
              <w:rPr>
                <w:rFonts w:ascii="Arial" w:cs="Arial" w:eastAsia="Arial" w:hAnsi="Arial"/>
                <w:sz w:val="18"/>
                <w:szCs w:val="18"/>
                <w:color w:val="auto"/>
              </w:rPr>
              <w:t>Deferred tax liabilities, net</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20,790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21,148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Other long-term liabilities</w:t>
            </w:r>
          </w:p>
        </w:tc>
        <w:tc>
          <w:tcPr>
            <w:tcW w:w="7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1,059</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1,242,766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1,051,753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Commitments and contingencies (Note 13)</w:t>
            </w: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Preferred stock, $.0001 par value</w:t>
            </w: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860" w:type="dxa"/>
            <w:vAlign w:val="bottom"/>
            <w:gridSpan w:val="2"/>
          </w:tcPr>
          <w:p>
            <w:pPr>
              <w:ind w:left="140"/>
              <w:spacing w:after="0"/>
              <w:rPr>
                <w:sz w:val="20"/>
                <w:szCs w:val="20"/>
                <w:color w:val="auto"/>
              </w:rPr>
            </w:pPr>
            <w:r>
              <w:rPr>
                <w:rFonts w:ascii="Arial" w:cs="Arial" w:eastAsia="Arial" w:hAnsi="Arial"/>
                <w:sz w:val="18"/>
                <w:szCs w:val="18"/>
                <w:color w:val="auto"/>
              </w:rPr>
              <w:t>Common stock, $.0001 par value</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Common stock contingent consideration</w:t>
            </w: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36,575</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gridSpan w:val="2"/>
          </w:tcPr>
          <w:p>
            <w:pPr>
              <w:ind w:left="140"/>
              <w:spacing w:after="0"/>
              <w:rPr>
                <w:sz w:val="20"/>
                <w:szCs w:val="20"/>
                <w:color w:val="auto"/>
              </w:rPr>
            </w:pPr>
            <w:r>
              <w:rPr>
                <w:rFonts w:ascii="Arial" w:cs="Arial" w:eastAsia="Arial" w:hAnsi="Arial"/>
                <w:sz w:val="18"/>
                <w:szCs w:val="18"/>
                <w:color w:val="auto"/>
              </w:rPr>
              <w:t>Additional paid-in capital</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379,235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373,620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Accumulated deficit</w:t>
            </w: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(99,773)</w:t>
            </w:r>
          </w:p>
        </w:tc>
        <w:tc>
          <w:tcPr>
            <w:tcW w:w="2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(94,850)</w:t>
            </w:r>
          </w:p>
        </w:tc>
        <w:tc>
          <w:tcPr>
            <w:tcW w:w="0" w:type="dxa"/>
            <w:vAlign w:val="bottom"/>
          </w:tcPr>
          <w:p>
            <w:pPr>
              <w:spacing w:after="0"/>
              <w:rPr>
                <w:sz w:val="1"/>
                <w:szCs w:val="1"/>
                <w:color w:val="auto"/>
              </w:rPr>
            </w:pPr>
          </w:p>
        </w:tc>
      </w:tr>
      <w:tr>
        <w:trPr>
          <w:trHeight w:val="229"/>
        </w:trPr>
        <w:tc>
          <w:tcPr>
            <w:tcW w:w="686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7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7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316,425</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315,572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700" w:type="dxa"/>
            <w:vAlign w:val="bottom"/>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1,559,191</w:t>
            </w:r>
          </w:p>
        </w:tc>
        <w:tc>
          <w:tcPr>
            <w:tcW w:w="3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1,367,325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Condensed Consolidated Financial Statements</w:t>
      </w:r>
      <w:r>
        <w:rPr>
          <w:rFonts w:ascii="Arial" w:cs="Arial" w:eastAsia="Arial" w:hAnsi="Arial"/>
          <w:sz w:val="17"/>
          <w:szCs w:val="17"/>
          <w:color w:val="auto"/>
        </w:rPr>
        <w: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238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 except per share data)</w:t>
            </w:r>
          </w:p>
        </w:tc>
        <w:tc>
          <w:tcPr>
            <w:tcW w:w="2780" w:type="dxa"/>
            <w:vAlign w:val="bottom"/>
            <w:vMerge w:val="restart"/>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6"/>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16"/>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6"/>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16"/>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380" w:type="dxa"/>
            <w:vAlign w:val="bottom"/>
            <w:tcBorders>
              <w:bottom w:val="single" w:sz="8" w:color="auto"/>
            </w:tcBorders>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156"/>
              <w:spacing w:after="0" w:line="142" w:lineRule="exact"/>
              <w:rPr>
                <w:sz w:val="20"/>
                <w:szCs w:val="20"/>
                <w:color w:val="auto"/>
              </w:rPr>
            </w:pPr>
            <w:r>
              <w:rPr>
                <w:rFonts w:ascii="Arial" w:cs="Arial" w:eastAsia="Arial" w:hAnsi="Arial"/>
                <w:sz w:val="14"/>
                <w:szCs w:val="14"/>
                <w:b w:val="1"/>
                <w:bCs w:val="1"/>
                <w:color w:val="auto"/>
                <w:w w:val="98"/>
              </w:rPr>
              <w:t>(As restated)</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ind w:right="176"/>
              <w:spacing w:after="0" w:line="142" w:lineRule="exact"/>
              <w:rPr>
                <w:sz w:val="20"/>
                <w:szCs w:val="20"/>
                <w:color w:val="auto"/>
              </w:rPr>
            </w:pPr>
            <w:r>
              <w:rPr>
                <w:rFonts w:ascii="Arial" w:cs="Arial" w:eastAsia="Arial" w:hAnsi="Arial"/>
                <w:sz w:val="14"/>
                <w:szCs w:val="14"/>
                <w:b w:val="1"/>
                <w:bCs w:val="1"/>
                <w:color w:val="auto"/>
                <w:w w:val="98"/>
              </w:rPr>
              <w:t>(As restated)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1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Service revenue</w:t>
            </w:r>
          </w:p>
        </w:tc>
        <w:tc>
          <w:tcPr>
            <w:tcW w:w="280" w:type="dxa"/>
            <w:vAlign w:val="bottom"/>
            <w:shd w:val="clear" w:color="auto" w:fill="CFF0FC"/>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116,426</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62,815</w:t>
            </w:r>
          </w:p>
        </w:tc>
        <w:tc>
          <w:tcPr>
            <w:tcW w:w="2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25"/>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206,189</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162,312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Borders>
              <w:bottom w:val="single" w:sz="8" w:color="CFF0FC"/>
            </w:tcBorders>
            <w:gridSpan w:val="2"/>
          </w:tcPr>
          <w:p>
            <w:pPr>
              <w:spacing w:after="0"/>
              <w:rPr>
                <w:sz w:val="20"/>
                <w:szCs w:val="20"/>
                <w:color w:val="auto"/>
              </w:rPr>
            </w:pPr>
            <w:r>
              <w:rPr>
                <w:rFonts w:ascii="Arial" w:cs="Arial" w:eastAsia="Arial" w:hAnsi="Arial"/>
                <w:sz w:val="17"/>
                <w:szCs w:val="17"/>
                <w:color w:val="auto"/>
              </w:rPr>
              <w:t>Product sales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12,231</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16,994</w:t>
            </w: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12,326</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34,210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gridSpan w:val="2"/>
            <w:shd w:val="clear" w:color="auto" w:fill="CFF0FC"/>
          </w:tcPr>
          <w:p>
            <w:pPr>
              <w:ind w:left="140"/>
              <w:spacing w:after="0"/>
              <w:rPr>
                <w:sz w:val="20"/>
                <w:szCs w:val="20"/>
                <w:color w:val="auto"/>
              </w:rPr>
            </w:pPr>
            <w:r>
              <w:rPr>
                <w:rFonts w:ascii="Arial" w:cs="Arial" w:eastAsia="Arial" w:hAnsi="Arial"/>
                <w:sz w:val="17"/>
                <w:szCs w:val="17"/>
                <w:b w:val="1"/>
                <w:bCs w:val="1"/>
                <w:color w:val="auto"/>
              </w:rPr>
              <w:t>Total revenue</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128,657</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79,809</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218,515</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196,522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7"/>
                <w:szCs w:val="17"/>
                <w:color w:val="auto"/>
              </w:rPr>
              <w:t>Cost of service revenue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1,332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1,013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2,212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2,232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Cost of product sales</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6,144</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9,060</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6,171</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17,750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36,434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26,699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66,926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58,958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Selling, general and administrative expenses</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26,229</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20,821</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54,672</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46,707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Borders>
              <w:bottom w:val="single" w:sz="8" w:color="CFF0FC"/>
            </w:tcBorders>
            <w:gridSpan w:val="2"/>
          </w:tcPr>
          <w:p>
            <w:pPr>
              <w:spacing w:after="0"/>
              <w:rPr>
                <w:sz w:val="20"/>
                <w:szCs w:val="20"/>
                <w:color w:val="auto"/>
              </w:rPr>
            </w:pPr>
            <w:r>
              <w:rPr>
                <w:rFonts w:ascii="Arial" w:cs="Arial" w:eastAsia="Arial" w:hAnsi="Arial"/>
                <w:sz w:val="17"/>
                <w:szCs w:val="17"/>
                <w:color w:val="auto"/>
              </w:rPr>
              <w:t>Depreciation, amortization and (gain) loss on disposal of assets, net</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27,012</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29,166</w:t>
            </w: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55,277</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58,412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gridSpan w:val="2"/>
            <w:shd w:val="clear" w:color="auto" w:fill="CFF0FC"/>
          </w:tcPr>
          <w:p>
            <w:pPr>
              <w:ind w:left="140"/>
              <w:spacing w:after="0"/>
              <w:rPr>
                <w:sz w:val="20"/>
                <w:szCs w:val="20"/>
                <w:color w:val="auto"/>
              </w:rPr>
            </w:pPr>
            <w:r>
              <w:rPr>
                <w:rFonts w:ascii="Arial" w:cs="Arial" w:eastAsia="Arial" w:hAnsi="Arial"/>
                <w:sz w:val="17"/>
                <w:szCs w:val="17"/>
                <w:color w:val="auto"/>
              </w:rPr>
              <w:t>Total costs and expenses</w:t>
            </w: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97,151</w:t>
            </w:r>
          </w:p>
        </w:tc>
        <w:tc>
          <w:tcPr>
            <w:tcW w:w="2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86,759</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185,258</w:t>
            </w:r>
          </w:p>
        </w:tc>
        <w:tc>
          <w:tcPr>
            <w:tcW w:w="2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184,059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tcPr>
          <w:p>
            <w:pPr>
              <w:ind w:left="140"/>
              <w:spacing w:after="0"/>
              <w:rPr>
                <w:sz w:val="20"/>
                <w:szCs w:val="20"/>
                <w:color w:val="auto"/>
              </w:rPr>
            </w:pPr>
            <w:r>
              <w:rPr>
                <w:rFonts w:ascii="Arial" w:cs="Arial" w:eastAsia="Arial" w:hAnsi="Arial"/>
                <w:sz w:val="17"/>
                <w:szCs w:val="17"/>
                <w:b w:val="1"/>
                <w:bCs w:val="1"/>
                <w:color w:val="auto"/>
              </w:rPr>
              <w:t>Income (loss) from operations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31,506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(6,950)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33,257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12,463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Interest expense, net</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11,680</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9,539</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20,844</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21,990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7"/>
                <w:szCs w:val="17"/>
                <w:color w:val="auto"/>
              </w:rPr>
              <w:t>Change in fair value of private placement warrants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8,067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8,334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10,134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(7,133)</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Tax receivable agreement liability adjustment</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1,661</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4,446</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1,661</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4,446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7"/>
                <w:szCs w:val="17"/>
                <w:color w:val="auto"/>
              </w:rPr>
              <w:t>Loss on extinguishment of debt</w:t>
            </w:r>
          </w:p>
        </w:tc>
        <w:tc>
          <w:tcPr>
            <w:tcW w:w="2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5,334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Other income, net</w:t>
            </w:r>
          </w:p>
        </w:tc>
        <w:tc>
          <w:tcPr>
            <w:tcW w:w="2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(2,798)</w:t>
            </w:r>
          </w:p>
        </w:tc>
        <w:tc>
          <w:tcPr>
            <w:tcW w:w="1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(1,523)</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(5,811)</w:t>
            </w: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(4,448)</w:t>
            </w:r>
          </w:p>
        </w:tc>
        <w:tc>
          <w:tcPr>
            <w:tcW w:w="0" w:type="dxa"/>
            <w:vAlign w:val="bottom"/>
          </w:tcPr>
          <w:p>
            <w:pPr>
              <w:spacing w:after="0"/>
              <w:rPr>
                <w:sz w:val="1"/>
                <w:szCs w:val="1"/>
                <w:color w:val="auto"/>
              </w:rPr>
            </w:pPr>
          </w:p>
        </w:tc>
      </w:tr>
      <w:tr>
        <w:trPr>
          <w:trHeight w:val="209"/>
        </w:trPr>
        <w:tc>
          <w:tcPr>
            <w:tcW w:w="5160" w:type="dxa"/>
            <w:vAlign w:val="bottom"/>
            <w:tcBorders>
              <w:bottom w:val="single" w:sz="8" w:color="CFF0FC"/>
            </w:tcBorders>
            <w:gridSpan w:val="2"/>
          </w:tcPr>
          <w:p>
            <w:pPr>
              <w:ind w:left="140"/>
              <w:spacing w:after="0"/>
              <w:rPr>
                <w:sz w:val="20"/>
                <w:szCs w:val="20"/>
                <w:color w:val="auto"/>
              </w:rPr>
            </w:pPr>
            <w:r>
              <w:rPr>
                <w:rFonts w:ascii="Arial" w:cs="Arial" w:eastAsia="Arial" w:hAnsi="Arial"/>
                <w:sz w:val="17"/>
                <w:szCs w:val="17"/>
                <w:color w:val="auto"/>
              </w:rPr>
              <w:t>Total other expenses</w:t>
            </w: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18,610</w:t>
            </w:r>
          </w:p>
        </w:tc>
        <w:tc>
          <w:tcPr>
            <w:tcW w:w="26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20,796</w:t>
            </w: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32,162</w:t>
            </w:r>
          </w:p>
        </w:tc>
        <w:tc>
          <w:tcPr>
            <w:tcW w:w="26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14,855</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Income (loss) before income taxes</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12,896</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(27,746)</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1,095</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(2,392)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7"/>
                <w:szCs w:val="17"/>
                <w:color w:val="auto"/>
              </w:rPr>
              <w:t>Income tax provision (benefit)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8,904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(4,024)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6,018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(810)</w:t>
            </w:r>
          </w:p>
        </w:tc>
        <w:tc>
          <w:tcPr>
            <w:tcW w:w="0" w:type="dxa"/>
            <w:vAlign w:val="bottom"/>
          </w:tcPr>
          <w:p>
            <w:pPr>
              <w:spacing w:after="0"/>
              <w:rPr>
                <w:sz w:val="1"/>
                <w:szCs w:val="1"/>
                <w:color w:val="auto"/>
              </w:rPr>
            </w:pPr>
          </w:p>
        </w:tc>
      </w:tr>
      <w:tr>
        <w:trPr>
          <w:trHeight w:val="209"/>
        </w:trPr>
        <w:tc>
          <w:tcPr>
            <w:tcW w:w="516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7"/>
                <w:szCs w:val="17"/>
                <w:b w:val="1"/>
                <w:bCs w:val="1"/>
                <w:color w:val="auto"/>
              </w:rPr>
              <w:t>Net income (loss)</w:t>
            </w:r>
          </w:p>
        </w:tc>
        <w:tc>
          <w:tcPr>
            <w:tcW w:w="280" w:type="dxa"/>
            <w:vAlign w:val="bottom"/>
            <w:tcBorders>
              <w:top w:val="single" w:sz="8" w:color="auto"/>
              <w:bottom w:val="single" w:sz="8" w:color="auto"/>
            </w:tcBorders>
            <w:shd w:val="clear" w:color="auto" w:fill="CFF0FC"/>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3,992</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(23,722)</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(4,923)</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(1,582)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Other comprehensive income (loss):</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1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1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Change in foreign currency translation adjustment</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351</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(508)</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161</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(3,875)</w:t>
            </w:r>
          </w:p>
        </w:tc>
        <w:tc>
          <w:tcPr>
            <w:tcW w:w="0" w:type="dxa"/>
            <w:vAlign w:val="bottom"/>
          </w:tcPr>
          <w:p>
            <w:pPr>
              <w:spacing w:after="0"/>
              <w:rPr>
                <w:sz w:val="1"/>
                <w:szCs w:val="1"/>
                <w:color w:val="auto"/>
              </w:rPr>
            </w:pPr>
          </w:p>
        </w:tc>
      </w:tr>
      <w:tr>
        <w:trPr>
          <w:trHeight w:val="249"/>
        </w:trPr>
        <w:tc>
          <w:tcPr>
            <w:tcW w:w="5160" w:type="dxa"/>
            <w:vAlign w:val="bottom"/>
            <w:tcBorders>
              <w:bottom w:val="single" w:sz="8" w:color="CFF0FC"/>
            </w:tcBorders>
            <w:gridSpan w:val="2"/>
          </w:tcPr>
          <w:p>
            <w:pPr>
              <w:ind w:left="140"/>
              <w:spacing w:after="0"/>
              <w:rPr>
                <w:sz w:val="20"/>
                <w:szCs w:val="20"/>
                <w:color w:val="auto"/>
              </w:rPr>
            </w:pPr>
            <w:r>
              <w:rPr>
                <w:rFonts w:ascii="Arial" w:cs="Arial" w:eastAsia="Arial" w:hAnsi="Arial"/>
                <w:sz w:val="17"/>
                <w:szCs w:val="17"/>
                <w:color w:val="auto"/>
              </w:rPr>
              <w:t>Total comprehensive income (loss)</w:t>
            </w: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4,343</w:t>
            </w:r>
          </w:p>
        </w:tc>
        <w:tc>
          <w:tcPr>
            <w:tcW w:w="26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(24,230)</w:t>
            </w:r>
          </w:p>
        </w:tc>
        <w:tc>
          <w:tcPr>
            <w:tcW w:w="20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(4,762)</w:t>
            </w:r>
          </w:p>
        </w:tc>
        <w:tc>
          <w:tcPr>
            <w:tcW w:w="26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(5,457)</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160" w:type="dxa"/>
            <w:vAlign w:val="bottom"/>
            <w:gridSpan w:val="2"/>
            <w:shd w:val="clear" w:color="auto" w:fill="CFF0FC"/>
          </w:tcPr>
          <w:p>
            <w:pPr>
              <w:spacing w:after="0" w:line="193" w:lineRule="exact"/>
              <w:rPr>
                <w:sz w:val="20"/>
                <w:szCs w:val="20"/>
                <w:color w:val="auto"/>
              </w:rPr>
            </w:pPr>
            <w:r>
              <w:rPr>
                <w:rFonts w:ascii="Arial" w:cs="Arial" w:eastAsia="Arial" w:hAnsi="Arial"/>
                <w:sz w:val="17"/>
                <w:szCs w:val="17"/>
                <w:b w:val="1"/>
                <w:bCs w:val="1"/>
                <w:color w:val="auto"/>
              </w:rPr>
              <w:t>Net income (loss) per share:</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7"/>
                <w:szCs w:val="17"/>
                <w:color w:val="auto"/>
              </w:rPr>
              <w:t>Basic</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0.02</w:t>
            </w:r>
          </w:p>
        </w:tc>
        <w:tc>
          <w:tcPr>
            <w:tcW w:w="2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(0.15)</w:t>
            </w:r>
          </w:p>
        </w:tc>
        <w:tc>
          <w:tcPr>
            <w:tcW w:w="460" w:type="dxa"/>
            <w:vAlign w:val="bottom"/>
            <w:gridSpan w:val="2"/>
          </w:tcPr>
          <w:p>
            <w:pPr>
              <w:jc w:val="right"/>
              <w:ind w:right="125"/>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(0.03)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Diluted</w:t>
            </w:r>
          </w:p>
        </w:tc>
        <w:tc>
          <w:tcPr>
            <w:tcW w:w="280" w:type="dxa"/>
            <w:vAlign w:val="bottom"/>
            <w:shd w:val="clear" w:color="auto" w:fill="CFF0FC"/>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0.02</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(0.15)</w:t>
            </w:r>
          </w:p>
        </w:tc>
        <w:tc>
          <w:tcPr>
            <w:tcW w:w="460" w:type="dxa"/>
            <w:vAlign w:val="bottom"/>
            <w:gridSpan w:val="2"/>
            <w:shd w:val="clear" w:color="auto" w:fill="CFF0FC"/>
          </w:tcPr>
          <w:p>
            <w:pPr>
              <w:jc w:val="right"/>
              <w:ind w:right="125"/>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(0.03)</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7"/>
                <w:szCs w:val="17"/>
                <w:b w:val="1"/>
                <w:bCs w:val="1"/>
                <w:color w:val="auto"/>
              </w:rPr>
              <w:t>Weighted average shares outstanding:</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Basic</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162,378</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161,710</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162,338</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161,317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7"/>
                <w:szCs w:val="17"/>
                <w:color w:val="auto"/>
              </w:rPr>
              <w:t>Diluted</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166,028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161,710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162,338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161,317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Condensed Consolidated Financial Statements</w:t>
      </w:r>
      <w:r>
        <w:rPr>
          <w:rFonts w:ascii="Arial" w:cs="Arial" w:eastAsia="Arial" w:hAnsi="Arial"/>
          <w:sz w:val="17"/>
          <w:szCs w:val="17"/>
          <w:color w:val="auto"/>
        </w:rPr>
        <w: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gridSpan w:val="3"/>
          </w:tcPr>
          <w:p>
            <w:pPr>
              <w:spacing w:after="0"/>
              <w:rPr>
                <w:sz w:val="20"/>
                <w:szCs w:val="20"/>
                <w:color w:val="auto"/>
              </w:rPr>
            </w:pPr>
            <w:r>
              <w:rPr>
                <w:rFonts w:ascii="Arial" w:cs="Arial" w:eastAsia="Arial" w:hAnsi="Arial"/>
                <w:sz w:val="14"/>
                <w:szCs w:val="14"/>
                <w:b w:val="1"/>
                <w:bCs w:val="1"/>
                <w:color w:val="auto"/>
              </w:rPr>
              <w:t>For the Three and Six Months Ended June 30, 2021</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Common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9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4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w:t>
            </w: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9"/>
              </w:rPr>
              <w:t>Additional</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0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4"/>
                <w:szCs w:val="14"/>
                <w:b w:val="1"/>
                <w:bCs w:val="1"/>
                <w:color w:val="auto"/>
              </w:rPr>
              <w:t>Stock</w:t>
            </w:r>
          </w:p>
        </w:tc>
        <w:tc>
          <w:tcPr>
            <w:tcW w:w="7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Contingent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62"/>
        </w:trPr>
        <w:tc>
          <w:tcPr>
            <w:tcW w:w="9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900" w:type="dxa"/>
            <w:vAlign w:val="bottom"/>
          </w:tcPr>
          <w:p>
            <w:pPr>
              <w:spacing w:after="0"/>
              <w:rPr>
                <w:sz w:val="14"/>
                <w:szCs w:val="14"/>
                <w:color w:val="auto"/>
              </w:rPr>
            </w:pPr>
          </w:p>
        </w:tc>
        <w:tc>
          <w:tcPr>
            <w:tcW w:w="980" w:type="dxa"/>
            <w:vAlign w:val="bottom"/>
          </w:tcPr>
          <w:p>
            <w:pPr>
              <w:jc w:val="right"/>
              <w:ind w:right="228"/>
              <w:spacing w:after="0" w:line="142" w:lineRule="exact"/>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4"/>
                <w:szCs w:val="14"/>
                <w:color w:val="auto"/>
              </w:rPr>
            </w:pPr>
          </w:p>
        </w:tc>
        <w:tc>
          <w:tcPr>
            <w:tcW w:w="1100" w:type="dxa"/>
            <w:vAlign w:val="bottom"/>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w w:val="91"/>
              </w:rPr>
              <w:t>Consideration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Deficit</w:t>
            </w:r>
          </w:p>
        </w:tc>
        <w:tc>
          <w:tcPr>
            <w:tcW w:w="1120" w:type="dxa"/>
            <w:vAlign w:val="bottom"/>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w w:val="92"/>
              </w:rPr>
              <w:t>Income (Loss)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26"/>
        </w:trPr>
        <w:tc>
          <w:tcPr>
            <w:tcW w:w="2800" w:type="dxa"/>
            <w:vAlign w:val="bottom"/>
            <w:tcBorders>
              <w:top w:val="single" w:sz="8" w:color="CFF0FC"/>
            </w:tcBorders>
            <w:gridSpan w:val="2"/>
            <w:shd w:val="clear" w:color="auto" w:fill="CFF0FC"/>
          </w:tcPr>
          <w:p>
            <w:pPr>
              <w:spacing w:after="0" w:line="127" w:lineRule="exact"/>
              <w:rPr>
                <w:sz w:val="20"/>
                <w:szCs w:val="20"/>
                <w:color w:val="auto"/>
              </w:rPr>
            </w:pPr>
            <w:r>
              <w:rPr>
                <w:rFonts w:ascii="Arial" w:cs="Arial" w:eastAsia="Arial" w:hAnsi="Arial"/>
                <w:sz w:val="14"/>
                <w:szCs w:val="14"/>
                <w:b w:val="1"/>
                <w:bCs w:val="1"/>
                <w:color w:val="auto"/>
              </w:rPr>
              <w:t>Balance as of December 31, 2020 (as</w:t>
            </w:r>
          </w:p>
        </w:tc>
        <w:tc>
          <w:tcPr>
            <w:tcW w:w="98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78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86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86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900" w:type="dxa"/>
            <w:vAlign w:val="bottom"/>
            <w:tcBorders>
              <w:top w:val="single" w:sz="8" w:color="auto"/>
            </w:tcBorders>
            <w:shd w:val="clear" w:color="auto" w:fill="CFF0FC"/>
          </w:tcPr>
          <w:p>
            <w:pPr>
              <w:spacing w:after="0"/>
              <w:rPr>
                <w:sz w:val="10"/>
                <w:szCs w:val="10"/>
                <w:color w:val="auto"/>
              </w:rPr>
            </w:pPr>
          </w:p>
        </w:tc>
        <w:tc>
          <w:tcPr>
            <w:tcW w:w="26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92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94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00" w:type="dxa"/>
            <w:vAlign w:val="bottom"/>
            <w:gridSpan w:val="2"/>
            <w:shd w:val="clear" w:color="auto" w:fill="CFF0FC"/>
          </w:tcPr>
          <w:p>
            <w:pPr>
              <w:spacing w:after="0"/>
              <w:rPr>
                <w:sz w:val="20"/>
                <w:szCs w:val="20"/>
                <w:color w:val="auto"/>
              </w:rPr>
            </w:pPr>
            <w:r>
              <w:rPr>
                <w:rFonts w:ascii="Arial" w:cs="Arial" w:eastAsia="Arial" w:hAnsi="Arial"/>
                <w:sz w:val="14"/>
                <w:szCs w:val="14"/>
                <w:b w:val="1"/>
                <w:bCs w:val="1"/>
                <w:color w:val="auto"/>
              </w:rPr>
              <w:t>restated)</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162,269</w:t>
            </w:r>
          </w:p>
        </w:tc>
        <w:tc>
          <w:tcPr>
            <w:tcW w:w="420" w:type="dxa"/>
            <w:vAlign w:val="bottom"/>
            <w:gridSpan w:val="2"/>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36,575</w:t>
            </w:r>
          </w:p>
        </w:tc>
        <w:tc>
          <w:tcPr>
            <w:tcW w:w="14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373,620</w:t>
            </w:r>
          </w:p>
        </w:tc>
        <w:tc>
          <w:tcPr>
            <w:tcW w:w="14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(94,850)</w:t>
            </w:r>
          </w:p>
        </w:tc>
        <w:tc>
          <w:tcPr>
            <w:tcW w:w="60" w:type="dxa"/>
            <w:vAlign w:val="bottom"/>
            <w:shd w:val="clear" w:color="auto" w:fill="CFF0FC"/>
          </w:tcPr>
          <w:p>
            <w:pPr>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211</w:t>
            </w:r>
          </w:p>
        </w:tc>
        <w:tc>
          <w:tcPr>
            <w:tcW w:w="14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315,572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(8,915)</w:t>
            </w:r>
          </w:p>
        </w:tc>
        <w:tc>
          <w:tcPr>
            <w:tcW w:w="6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(8,915)</w:t>
            </w:r>
          </w:p>
        </w:tc>
        <w:tc>
          <w:tcPr>
            <w:tcW w:w="0" w:type="dxa"/>
            <w:vAlign w:val="bottom"/>
          </w:tcPr>
          <w:p>
            <w:pPr>
              <w:spacing w:after="0"/>
              <w:rPr>
                <w:sz w:val="1"/>
                <w:szCs w:val="1"/>
                <w:color w:val="auto"/>
              </w:rPr>
            </w:pPr>
          </w:p>
        </w:tc>
      </w:tr>
      <w:tr>
        <w:trPr>
          <w:trHeight w:val="162"/>
        </w:trPr>
        <w:tc>
          <w:tcPr>
            <w:tcW w:w="28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Vesting of restricted stock units ("</w:t>
            </w:r>
            <w:r>
              <w:rPr>
                <w:rFonts w:ascii="Arial" w:cs="Arial" w:eastAsia="Arial" w:hAnsi="Arial"/>
                <w:sz w:val="14"/>
                <w:szCs w:val="14"/>
                <w:b w:val="1"/>
                <w:bCs w:val="1"/>
                <w:i w:val="1"/>
                <w:iCs w:val="1"/>
                <w:color w:val="auto"/>
              </w:rPr>
              <w:t>RSUs</w:t>
            </w: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800" w:type="dxa"/>
            <w:vAlign w:val="bottom"/>
            <w:gridSpan w:val="2"/>
          </w:tcPr>
          <w:p>
            <w:pPr>
              <w:spacing w:after="0" w:line="143" w:lineRule="exact"/>
              <w:rPr>
                <w:sz w:val="20"/>
                <w:szCs w:val="20"/>
                <w:color w:val="auto"/>
              </w:rPr>
            </w:pPr>
            <w:r>
              <w:rPr>
                <w:rFonts w:ascii="Arial" w:cs="Arial" w:eastAsia="Arial" w:hAnsi="Arial"/>
                <w:sz w:val="14"/>
                <w:szCs w:val="14"/>
                <w:color w:val="auto"/>
                <w:w w:val="99"/>
              </w:rPr>
              <w:t>Payment of employee tax withholding related</w:t>
            </w: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00" w:type="dxa"/>
            <w:vAlign w:val="bottom"/>
            <w:gridSpan w:val="2"/>
          </w:tcPr>
          <w:p>
            <w:pPr>
              <w:spacing w:after="0"/>
              <w:rPr>
                <w:sz w:val="20"/>
                <w:szCs w:val="20"/>
                <w:color w:val="auto"/>
              </w:rPr>
            </w:pPr>
            <w:r>
              <w:rPr>
                <w:rFonts w:ascii="Arial" w:cs="Arial" w:eastAsia="Arial" w:hAnsi="Arial"/>
                <w:sz w:val="14"/>
                <w:szCs w:val="14"/>
                <w:color w:val="auto"/>
              </w:rPr>
              <w:t>to RSUs vesting</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(857)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(857)</w:t>
            </w:r>
          </w:p>
        </w:tc>
        <w:tc>
          <w:tcPr>
            <w:tcW w:w="0" w:type="dxa"/>
            <w:vAlign w:val="bottom"/>
          </w:tcPr>
          <w:p>
            <w:pPr>
              <w:spacing w:after="0"/>
              <w:rPr>
                <w:sz w:val="1"/>
                <w:szCs w:val="1"/>
                <w:color w:val="auto"/>
              </w:rPr>
            </w:pPr>
          </w:p>
        </w:tc>
      </w:tr>
      <w:tr>
        <w:trPr>
          <w:trHeight w:val="162"/>
        </w:trPr>
        <w:tc>
          <w:tcPr>
            <w:tcW w:w="28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2,908</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2,908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gridSpan w:val="2"/>
          </w:tcPr>
          <w:p>
            <w:pPr>
              <w:spacing w:after="0"/>
              <w:rPr>
                <w:sz w:val="20"/>
                <w:szCs w:val="20"/>
                <w:color w:val="auto"/>
              </w:rPr>
            </w:pPr>
            <w:r>
              <w:rPr>
                <w:rFonts w:ascii="Arial" w:cs="Arial" w:eastAsia="Arial" w:hAnsi="Arial"/>
                <w:sz w:val="14"/>
                <w:szCs w:val="14"/>
                <w:color w:val="auto"/>
              </w:rPr>
              <w:t>Other comprehensive loss, net of tax</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56"/>
        </w:trPr>
        <w:tc>
          <w:tcPr>
            <w:tcW w:w="2800" w:type="dxa"/>
            <w:vAlign w:val="bottom"/>
            <w:tcBorders>
              <w:top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as of March 31, 2021</w:t>
            </w:r>
          </w:p>
        </w:tc>
        <w:tc>
          <w:tcPr>
            <w:tcW w:w="9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162,360</w:t>
            </w:r>
          </w:p>
        </w:tc>
        <w:tc>
          <w:tcPr>
            <w:tcW w:w="24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w:t>
            </w:r>
          </w:p>
        </w:tc>
        <w:tc>
          <w:tcPr>
            <w:tcW w:w="2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36,575</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375,671</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(103,765)</w:t>
            </w:r>
          </w:p>
        </w:tc>
        <w:tc>
          <w:tcPr>
            <w:tcW w:w="26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308,518</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0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3,992</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3,992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Vesting of RSUs</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00" w:type="dxa"/>
            <w:vAlign w:val="bottom"/>
            <w:gridSpan w:val="2"/>
          </w:tcPr>
          <w:p>
            <w:pPr>
              <w:spacing w:after="0"/>
              <w:rPr>
                <w:sz w:val="20"/>
                <w:szCs w:val="20"/>
                <w:color w:val="auto"/>
              </w:rPr>
            </w:pPr>
            <w:r>
              <w:rPr>
                <w:rFonts w:ascii="Arial" w:cs="Arial" w:eastAsia="Arial" w:hAnsi="Arial"/>
                <w:sz w:val="14"/>
                <w:szCs w:val="14"/>
                <w:color w:val="auto"/>
              </w:rPr>
              <w:t>Exercise of stock options</w:t>
            </w:r>
          </w:p>
        </w:tc>
        <w:tc>
          <w:tcPr>
            <w:tcW w:w="980" w:type="dxa"/>
            <w:vAlign w:val="bottom"/>
          </w:tcPr>
          <w:p>
            <w:pPr>
              <w:jc w:val="right"/>
              <w:spacing w:after="0"/>
              <w:rPr>
                <w:sz w:val="20"/>
                <w:szCs w:val="20"/>
                <w:color w:val="auto"/>
              </w:rPr>
            </w:pPr>
            <w:r>
              <w:rPr>
                <w:rFonts w:ascii="Arial" w:cs="Arial" w:eastAsia="Arial" w:hAnsi="Arial"/>
                <w:sz w:val="14"/>
                <w:szCs w:val="14"/>
                <w:color w:val="auto"/>
              </w:rPr>
              <w:t>7</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80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w w:val="99"/>
              </w:rPr>
              <w:t>Payment of employee tax withholding related</w:t>
            </w: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to RSUs vesting</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62"/>
        </w:trPr>
        <w:tc>
          <w:tcPr>
            <w:tcW w:w="2800" w:type="dxa"/>
            <w:vAlign w:val="bottom"/>
            <w:gridSpan w:val="2"/>
          </w:tcPr>
          <w:p>
            <w:pPr>
              <w:spacing w:after="0"/>
              <w:rPr>
                <w:sz w:val="20"/>
                <w:szCs w:val="20"/>
                <w:color w:val="auto"/>
              </w:rPr>
            </w:pPr>
            <w:r>
              <w:rPr>
                <w:rFonts w:ascii="Arial" w:cs="Arial" w:eastAsia="Arial" w:hAnsi="Arial"/>
                <w:sz w:val="14"/>
                <w:szCs w:val="14"/>
                <w:color w:val="auto"/>
              </w:rPr>
              <w:t>Stock-based compensation</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3,573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Other comprehensive gain, net of tax</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8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 as of June 30, 2021</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162,408</w:t>
            </w:r>
          </w:p>
        </w:tc>
        <w:tc>
          <w:tcPr>
            <w:tcW w:w="24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w:t>
            </w:r>
          </w:p>
        </w:tc>
        <w:tc>
          <w:tcPr>
            <w:tcW w:w="2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36,575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379,235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(99,773)</w:t>
            </w:r>
          </w:p>
        </w:tc>
        <w:tc>
          <w:tcPr>
            <w:tcW w:w="26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316,425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3780" w:type="dxa"/>
            <w:vAlign w:val="bottom"/>
            <w:gridSpan w:val="3"/>
          </w:tcPr>
          <w:p>
            <w:pPr>
              <w:spacing w:after="0"/>
              <w:rPr>
                <w:sz w:val="20"/>
                <w:szCs w:val="20"/>
                <w:color w:val="auto"/>
              </w:rPr>
            </w:pPr>
            <w:r>
              <w:rPr>
                <w:rFonts w:ascii="Arial" w:cs="Arial" w:eastAsia="Arial" w:hAnsi="Arial"/>
                <w:sz w:val="14"/>
                <w:szCs w:val="14"/>
                <w:b w:val="1"/>
                <w:bCs w:val="1"/>
                <w:color w:val="auto"/>
              </w:rPr>
              <w:t>For the Three and Six Months Ended June 30, 2020</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9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00" w:type="dxa"/>
            <w:vAlign w:val="bottom"/>
            <w:gridSpan w:val="2"/>
            <w:shd w:val="clear" w:color="auto" w:fill="CFF0FC"/>
          </w:tcPr>
          <w:p>
            <w:pPr>
              <w:spacing w:after="0" w:line="139" w:lineRule="exact"/>
              <w:rPr>
                <w:sz w:val="20"/>
                <w:szCs w:val="20"/>
                <w:color w:val="auto"/>
              </w:rPr>
            </w:pPr>
            <w:r>
              <w:rPr>
                <w:rFonts w:ascii="Arial" w:cs="Arial" w:eastAsia="Arial" w:hAnsi="Arial"/>
                <w:sz w:val="14"/>
                <w:szCs w:val="14"/>
                <w:b w:val="1"/>
                <w:bCs w:val="1"/>
                <w:color w:val="auto"/>
              </w:rPr>
              <w:t>Balance as of December 31, 2019 (as</w:t>
            </w: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00" w:type="dxa"/>
            <w:vAlign w:val="bottom"/>
            <w:gridSpan w:val="2"/>
            <w:shd w:val="clear" w:color="auto" w:fill="CFF0FC"/>
          </w:tcPr>
          <w:p>
            <w:pPr>
              <w:spacing w:after="0"/>
              <w:rPr>
                <w:sz w:val="20"/>
                <w:szCs w:val="20"/>
                <w:color w:val="auto"/>
              </w:rPr>
            </w:pPr>
            <w:r>
              <w:rPr>
                <w:rFonts w:ascii="Arial" w:cs="Arial" w:eastAsia="Arial" w:hAnsi="Arial"/>
                <w:sz w:val="14"/>
                <w:szCs w:val="14"/>
                <w:b w:val="1"/>
                <w:bCs w:val="1"/>
                <w:color w:val="auto"/>
              </w:rPr>
              <w:t>restated)</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159,150</w:t>
            </w:r>
          </w:p>
        </w:tc>
        <w:tc>
          <w:tcPr>
            <w:tcW w:w="420" w:type="dxa"/>
            <w:vAlign w:val="bottom"/>
            <w:gridSpan w:val="2"/>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54,862</w:t>
            </w:r>
          </w:p>
        </w:tc>
        <w:tc>
          <w:tcPr>
            <w:tcW w:w="14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346,891</w:t>
            </w:r>
          </w:p>
        </w:tc>
        <w:tc>
          <w:tcPr>
            <w:tcW w:w="14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(89,578)</w:t>
            </w:r>
          </w:p>
        </w:tc>
        <w:tc>
          <w:tcPr>
            <w:tcW w:w="60" w:type="dxa"/>
            <w:vAlign w:val="bottom"/>
            <w:shd w:val="clear" w:color="auto" w:fill="CFF0FC"/>
          </w:tcPr>
          <w:p>
            <w:pPr>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(2,577)</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309,614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gridSpan w:val="2"/>
          </w:tcPr>
          <w:p>
            <w:pPr>
              <w:spacing w:after="0"/>
              <w:rPr>
                <w:sz w:val="20"/>
                <w:szCs w:val="20"/>
                <w:color w:val="auto"/>
              </w:rPr>
            </w:pPr>
            <w:r>
              <w:rPr>
                <w:rFonts w:ascii="Arial" w:cs="Arial" w:eastAsia="Arial" w:hAnsi="Arial"/>
                <w:sz w:val="14"/>
                <w:szCs w:val="14"/>
                <w:color w:val="auto"/>
              </w:rPr>
              <w:t>Net income (as restated)</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22,140</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22,140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80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Cumulative effect of adoption of the credit</w:t>
            </w: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loss accounting standard, net of tax</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(694)</w:t>
            </w:r>
          </w:p>
        </w:tc>
        <w:tc>
          <w:tcPr>
            <w:tcW w:w="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(694)</w:t>
            </w:r>
          </w:p>
        </w:tc>
        <w:tc>
          <w:tcPr>
            <w:tcW w:w="0" w:type="dxa"/>
            <w:vAlign w:val="bottom"/>
          </w:tcPr>
          <w:p>
            <w:pPr>
              <w:spacing w:after="0"/>
              <w:rPr>
                <w:sz w:val="1"/>
                <w:szCs w:val="1"/>
                <w:color w:val="auto"/>
              </w:rPr>
            </w:pPr>
          </w:p>
        </w:tc>
      </w:tr>
      <w:tr>
        <w:trPr>
          <w:trHeight w:val="143"/>
        </w:trPr>
        <w:tc>
          <w:tcPr>
            <w:tcW w:w="2800" w:type="dxa"/>
            <w:vAlign w:val="bottom"/>
            <w:gridSpan w:val="2"/>
          </w:tcPr>
          <w:p>
            <w:pPr>
              <w:spacing w:after="0" w:line="143" w:lineRule="exact"/>
              <w:rPr>
                <w:sz w:val="20"/>
                <w:szCs w:val="20"/>
                <w:color w:val="auto"/>
              </w:rPr>
            </w:pPr>
            <w:r>
              <w:rPr>
                <w:rFonts w:ascii="Arial" w:cs="Arial" w:eastAsia="Arial" w:hAnsi="Arial"/>
                <w:sz w:val="14"/>
                <w:szCs w:val="14"/>
                <w:color w:val="auto"/>
              </w:rPr>
              <w:t>Earn-out shares issued to Platinum</w:t>
            </w: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00" w:type="dxa"/>
            <w:vAlign w:val="bottom"/>
            <w:gridSpan w:val="2"/>
          </w:tcPr>
          <w:p>
            <w:pPr>
              <w:spacing w:after="0"/>
              <w:rPr>
                <w:sz w:val="20"/>
                <w:szCs w:val="20"/>
                <w:color w:val="auto"/>
              </w:rPr>
            </w:pPr>
            <w:r>
              <w:rPr>
                <w:rFonts w:ascii="Arial" w:cs="Arial" w:eastAsia="Arial" w:hAnsi="Arial"/>
                <w:sz w:val="14"/>
                <w:szCs w:val="14"/>
                <w:color w:val="auto"/>
              </w:rPr>
              <w:t>Stockholder</w:t>
            </w:r>
          </w:p>
        </w:tc>
        <w:tc>
          <w:tcPr>
            <w:tcW w:w="980" w:type="dxa"/>
            <w:vAlign w:val="bottom"/>
          </w:tcPr>
          <w:p>
            <w:pPr>
              <w:jc w:val="right"/>
              <w:spacing w:after="0"/>
              <w:rPr>
                <w:sz w:val="20"/>
                <w:szCs w:val="20"/>
                <w:color w:val="auto"/>
              </w:rPr>
            </w:pPr>
            <w:r>
              <w:rPr>
                <w:rFonts w:ascii="Arial" w:cs="Arial" w:eastAsia="Arial" w:hAnsi="Arial"/>
                <w:sz w:val="14"/>
                <w:szCs w:val="14"/>
                <w:color w:val="auto"/>
              </w:rPr>
              <w:t>2,500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(18,287)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18,287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Vesting of RSUs</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800" w:type="dxa"/>
            <w:vAlign w:val="bottom"/>
            <w:gridSpan w:val="2"/>
          </w:tcPr>
          <w:p>
            <w:pPr>
              <w:spacing w:after="0" w:line="143" w:lineRule="exact"/>
              <w:rPr>
                <w:sz w:val="20"/>
                <w:szCs w:val="20"/>
                <w:color w:val="auto"/>
              </w:rPr>
            </w:pPr>
            <w:r>
              <w:rPr>
                <w:rFonts w:ascii="Arial" w:cs="Arial" w:eastAsia="Arial" w:hAnsi="Arial"/>
                <w:sz w:val="14"/>
                <w:szCs w:val="14"/>
                <w:color w:val="auto"/>
                <w:w w:val="99"/>
              </w:rPr>
              <w:t>Payment of employee tax withholding related</w:t>
            </w: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00" w:type="dxa"/>
            <w:vAlign w:val="bottom"/>
            <w:gridSpan w:val="2"/>
          </w:tcPr>
          <w:p>
            <w:pPr>
              <w:spacing w:after="0"/>
              <w:rPr>
                <w:sz w:val="20"/>
                <w:szCs w:val="20"/>
                <w:color w:val="auto"/>
              </w:rPr>
            </w:pPr>
            <w:r>
              <w:rPr>
                <w:rFonts w:ascii="Arial" w:cs="Arial" w:eastAsia="Arial" w:hAnsi="Arial"/>
                <w:sz w:val="14"/>
                <w:szCs w:val="14"/>
                <w:color w:val="auto"/>
              </w:rPr>
              <w:t>to RSUs vesting</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(327)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162"/>
        </w:trPr>
        <w:tc>
          <w:tcPr>
            <w:tcW w:w="28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2,768</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2,768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gridSpan w:val="2"/>
          </w:tcPr>
          <w:p>
            <w:pPr>
              <w:spacing w:after="0"/>
              <w:rPr>
                <w:sz w:val="20"/>
                <w:szCs w:val="20"/>
                <w:color w:val="auto"/>
              </w:rPr>
            </w:pPr>
            <w:r>
              <w:rPr>
                <w:rFonts w:ascii="Arial" w:cs="Arial" w:eastAsia="Arial" w:hAnsi="Arial"/>
                <w:sz w:val="14"/>
                <w:szCs w:val="14"/>
                <w:color w:val="auto"/>
              </w:rPr>
              <w:t>Other comprehensive loss, net of tax</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(3,367)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(3,367)</w:t>
            </w:r>
          </w:p>
        </w:tc>
        <w:tc>
          <w:tcPr>
            <w:tcW w:w="0" w:type="dxa"/>
            <w:vAlign w:val="bottom"/>
          </w:tcPr>
          <w:p>
            <w:pPr>
              <w:spacing w:after="0"/>
              <w:rPr>
                <w:sz w:val="1"/>
                <w:szCs w:val="1"/>
                <w:color w:val="auto"/>
              </w:rPr>
            </w:pPr>
          </w:p>
        </w:tc>
      </w:tr>
      <w:tr>
        <w:trPr>
          <w:trHeight w:val="155"/>
        </w:trPr>
        <w:tc>
          <w:tcPr>
            <w:tcW w:w="2800" w:type="dxa"/>
            <w:vAlign w:val="bottom"/>
            <w:tcBorders>
              <w:top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b w:val="1"/>
                <w:bCs w:val="1"/>
                <w:color w:val="auto"/>
                <w:w w:val="98"/>
              </w:rPr>
              <w:t>Balance as of March 31, 2020 (as restated)</w:t>
            </w:r>
          </w:p>
        </w:tc>
        <w:tc>
          <w:tcPr>
            <w:tcW w:w="9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161,692</w:t>
            </w:r>
          </w:p>
        </w:tc>
        <w:tc>
          <w:tcPr>
            <w:tcW w:w="24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w:t>
            </w:r>
          </w:p>
        </w:tc>
        <w:tc>
          <w:tcPr>
            <w:tcW w:w="2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36,575</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367,619</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(68,132)</w:t>
            </w:r>
          </w:p>
        </w:tc>
        <w:tc>
          <w:tcPr>
            <w:tcW w:w="26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(5,944)</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330,134</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00" w:type="dxa"/>
            <w:vAlign w:val="bottom"/>
            <w:gridSpan w:val="2"/>
          </w:tcPr>
          <w:p>
            <w:pPr>
              <w:spacing w:after="0"/>
              <w:rPr>
                <w:sz w:val="20"/>
                <w:szCs w:val="20"/>
                <w:color w:val="auto"/>
              </w:rPr>
            </w:pPr>
            <w:r>
              <w:rPr>
                <w:rFonts w:ascii="Arial" w:cs="Arial" w:eastAsia="Arial" w:hAnsi="Arial"/>
                <w:sz w:val="14"/>
                <w:szCs w:val="14"/>
                <w:color w:val="auto"/>
              </w:rPr>
              <w:t>Net loss (as restated)</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(23,722)</w:t>
            </w:r>
          </w:p>
        </w:tc>
        <w:tc>
          <w:tcPr>
            <w:tcW w:w="6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(23,722)</w:t>
            </w:r>
          </w:p>
        </w:tc>
        <w:tc>
          <w:tcPr>
            <w:tcW w:w="0" w:type="dxa"/>
            <w:vAlign w:val="bottom"/>
          </w:tcPr>
          <w:p>
            <w:pPr>
              <w:spacing w:after="0"/>
              <w:rPr>
                <w:sz w:val="1"/>
                <w:szCs w:val="1"/>
                <w:color w:val="auto"/>
              </w:rPr>
            </w:pPr>
          </w:p>
        </w:tc>
      </w:tr>
      <w:tr>
        <w:trPr>
          <w:trHeight w:val="162"/>
        </w:trPr>
        <w:tc>
          <w:tcPr>
            <w:tcW w:w="28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Vesting of RSUs</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800" w:type="dxa"/>
            <w:vAlign w:val="bottom"/>
            <w:gridSpan w:val="2"/>
          </w:tcPr>
          <w:p>
            <w:pPr>
              <w:spacing w:after="0" w:line="143" w:lineRule="exact"/>
              <w:rPr>
                <w:sz w:val="20"/>
                <w:szCs w:val="20"/>
                <w:color w:val="auto"/>
              </w:rPr>
            </w:pPr>
            <w:r>
              <w:rPr>
                <w:rFonts w:ascii="Arial" w:cs="Arial" w:eastAsia="Arial" w:hAnsi="Arial"/>
                <w:sz w:val="14"/>
                <w:szCs w:val="14"/>
                <w:color w:val="auto"/>
                <w:w w:val="99"/>
              </w:rPr>
              <w:t>Payment of employee tax withholding related</w:t>
            </w: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00" w:type="dxa"/>
            <w:vAlign w:val="bottom"/>
            <w:gridSpan w:val="2"/>
          </w:tcPr>
          <w:p>
            <w:pPr>
              <w:spacing w:after="0"/>
              <w:rPr>
                <w:sz w:val="20"/>
                <w:szCs w:val="20"/>
                <w:color w:val="auto"/>
              </w:rPr>
            </w:pPr>
            <w:r>
              <w:rPr>
                <w:rFonts w:ascii="Arial" w:cs="Arial" w:eastAsia="Arial" w:hAnsi="Arial"/>
                <w:sz w:val="14"/>
                <w:szCs w:val="14"/>
                <w:color w:val="auto"/>
              </w:rPr>
              <w:t>to RSUs vesting</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62"/>
        </w:trPr>
        <w:tc>
          <w:tcPr>
            <w:tcW w:w="28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3,271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3,271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gridSpan w:val="2"/>
          </w:tcPr>
          <w:p>
            <w:pPr>
              <w:spacing w:after="0"/>
              <w:rPr>
                <w:sz w:val="20"/>
                <w:szCs w:val="20"/>
                <w:color w:val="auto"/>
              </w:rPr>
            </w:pPr>
            <w:r>
              <w:rPr>
                <w:rFonts w:ascii="Arial" w:cs="Arial" w:eastAsia="Arial" w:hAnsi="Arial"/>
                <w:sz w:val="14"/>
                <w:szCs w:val="14"/>
                <w:color w:val="auto"/>
              </w:rPr>
              <w:t>Other comprehensive loss, net of tax</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(508)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(508)</w:t>
            </w:r>
          </w:p>
        </w:tc>
        <w:tc>
          <w:tcPr>
            <w:tcW w:w="0" w:type="dxa"/>
            <w:vAlign w:val="bottom"/>
          </w:tcPr>
          <w:p>
            <w:pPr>
              <w:spacing w:after="0"/>
              <w:rPr>
                <w:sz w:val="1"/>
                <w:szCs w:val="1"/>
                <w:color w:val="auto"/>
              </w:rPr>
            </w:pPr>
          </w:p>
        </w:tc>
      </w:tr>
      <w:tr>
        <w:trPr>
          <w:trHeight w:val="155"/>
        </w:trPr>
        <w:tc>
          <w:tcPr>
            <w:tcW w:w="2800" w:type="dxa"/>
            <w:vAlign w:val="bottom"/>
            <w:tcBorders>
              <w:top w:val="single" w:sz="8" w:color="CFF0FC"/>
              <w:bottom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as of June 30, 2020 (as restated)</w:t>
            </w: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161,737</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36,575</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370,865</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(91,854)</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(6,452)</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309,150</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Condensed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6720" w:type="dxa"/>
            <w:vAlign w:val="bottom"/>
            <w:vMerge w:val="restart"/>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000" w:type="dxa"/>
            <w:vAlign w:val="bottom"/>
            <w:tcBorders>
              <w:bottom w:val="single" w:sz="8" w:color="auto"/>
            </w:tcBorders>
            <w:vMerge w:val="continue"/>
          </w:tcPr>
          <w:p>
            <w:pPr>
              <w:spacing w:after="0"/>
              <w:rPr>
                <w:sz w:val="12"/>
                <w:szCs w:val="12"/>
                <w:color w:val="auto"/>
              </w:rPr>
            </w:pPr>
          </w:p>
        </w:tc>
        <w:tc>
          <w:tcPr>
            <w:tcW w:w="67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right"/>
              <w:ind w:right="311"/>
              <w:spacing w:after="0" w:line="142" w:lineRule="exact"/>
              <w:rPr>
                <w:sz w:val="20"/>
                <w:szCs w:val="20"/>
                <w:color w:val="auto"/>
              </w:rPr>
            </w:pPr>
            <w:r>
              <w:rPr>
                <w:rFonts w:ascii="Arial" w:cs="Arial" w:eastAsia="Arial" w:hAnsi="Arial"/>
                <w:sz w:val="14"/>
                <w:szCs w:val="14"/>
                <w:b w:val="1"/>
                <w:bCs w:val="1"/>
                <w:color w:val="auto"/>
              </w:rPr>
              <w:t>(As restated)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(4,923)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55,227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58,409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Amortization of deferred financing costs and discounts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2,722</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Change in fair value of private placement warrants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10,134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(7,133)</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Tax receivable agreement liability adjustment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1,661</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Loss on extinguishment of debt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5,334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Credit loss expense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3,863</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(825)</w:t>
            </w:r>
          </w:p>
        </w:tc>
        <w:tc>
          <w:tcPr>
            <w:tcW w:w="24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6,481</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Accounts receivable, net</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(42,970)</w:t>
            </w:r>
          </w:p>
        </w:tc>
        <w:tc>
          <w:tcPr>
            <w:tcW w:w="24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(43,183)</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Unbilled receivables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(2,098)</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(1,177)</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payable and accrued liabilities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4,337</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(17,863)</w:t>
            </w:r>
          </w:p>
        </w:tc>
        <w:tc>
          <w:tcPr>
            <w:tcW w:w="0" w:type="dxa"/>
            <w:vAlign w:val="bottom"/>
          </w:tcPr>
          <w:p>
            <w:pPr>
              <w:spacing w:after="0"/>
              <w:rPr>
                <w:sz w:val="1"/>
                <w:szCs w:val="1"/>
                <w:color w:val="auto"/>
              </w:rPr>
            </w:pPr>
          </w:p>
        </w:tc>
      </w:tr>
      <w:tr>
        <w:trPr>
          <w:trHeight w:val="229"/>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Other liabilities</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(545)</w:t>
            </w:r>
          </w:p>
        </w:tc>
        <w:tc>
          <w:tcPr>
            <w:tcW w:w="24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(3,069)</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37,478</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22,543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Acquisition of business, net of cash and restricted cash acquired</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(107,004)</w:t>
            </w: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Purchases of installation and service parts and property and equipment</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(8,257)</w:t>
            </w:r>
          </w:p>
        </w:tc>
        <w:tc>
          <w:tcPr>
            <w:tcW w:w="24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(14,301)</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 proceeds from the sale of assets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(115,102)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(14,252)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Borrowings of long-term debt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996,750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Repayment of long-term debt</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(881,281)</w:t>
            </w: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(24,227)</w:t>
            </w:r>
          </w:p>
        </w:tc>
        <w:tc>
          <w:tcPr>
            <w:tcW w:w="0" w:type="dxa"/>
            <w:vAlign w:val="bottom"/>
          </w:tcPr>
          <w:p>
            <w:pPr>
              <w:spacing w:after="0"/>
              <w:rPr>
                <w:sz w:val="1"/>
                <w:szCs w:val="1"/>
                <w:color w:val="auto"/>
              </w:rPr>
            </w:pPr>
          </w:p>
        </w:tc>
      </w:tr>
      <w:tr>
        <w:trPr>
          <w:trHeight w:val="229"/>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Payment of debt issuance costs</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(6,507)</w:t>
            </w:r>
          </w:p>
        </w:tc>
        <w:tc>
          <w:tcPr>
            <w:tcW w:w="24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Payment of debt extinguishment costs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(1,066)</w:t>
            </w: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Payment of employee tax withholding related to RSUs vesting</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(953)</w:t>
            </w: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107,030</w:t>
            </w:r>
          </w:p>
        </w:tc>
        <w:tc>
          <w:tcPr>
            <w:tcW w:w="2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(25,501)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29,613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(18,480)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cash equivalents and restricted cash - beginning of period</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120,892</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132,430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 end of period</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150,505</w:t>
            </w:r>
          </w:p>
        </w:tc>
        <w:tc>
          <w:tcPr>
            <w:tcW w:w="2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Condensed Consolidated Financial Statements</w:t>
      </w:r>
      <w:r>
        <w:rPr>
          <w:rFonts w:ascii="Arial" w:cs="Arial" w:eastAsia="Arial" w:hAnsi="Arial"/>
          <w:sz w:val="14"/>
          <w:szCs w:val="14"/>
          <w:color w:val="auto"/>
        </w:rPr>
        <w: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2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Supplemental cash flow information:</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Interest paid</w:t>
            </w:r>
          </w:p>
        </w:tc>
        <w:tc>
          <w:tcPr>
            <w:tcW w:w="980" w:type="dxa"/>
            <w:vAlign w:val="bottom"/>
          </w:tcPr>
          <w:p>
            <w:pPr>
              <w:jc w:val="right"/>
              <w:ind w:right="80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13,054</w:t>
            </w:r>
          </w:p>
        </w:tc>
        <w:tc>
          <w:tcPr>
            <w:tcW w:w="280" w:type="dxa"/>
            <w:vAlign w:val="bottom"/>
          </w:tcPr>
          <w:p>
            <w:pPr>
              <w:spacing w:after="0"/>
              <w:rPr>
                <w:sz w:val="19"/>
                <w:szCs w:val="19"/>
                <w:color w:val="auto"/>
              </w:rPr>
            </w:pPr>
          </w:p>
        </w:tc>
        <w:tc>
          <w:tcPr>
            <w:tcW w:w="980" w:type="dxa"/>
            <w:vAlign w:val="bottom"/>
          </w:tcPr>
          <w:p>
            <w:pPr>
              <w:jc w:val="right"/>
              <w:ind w:right="799"/>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20,201</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paid, net of refunds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4,995</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Supplemental non-cash investing and financing activities:</w:t>
            </w: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7"/>
              </w:rPr>
              <w:t>Purchases of installation and service parts and property and equipment in accounts payable and</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liabilities at period-end</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3,358</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3,238</w:t>
            </w:r>
          </w:p>
        </w:tc>
        <w:tc>
          <w:tcPr>
            <w:tcW w:w="120" w:type="dxa"/>
            <w:vAlign w:val="bottom"/>
            <w:shd w:val="clear" w:color="auto" w:fill="CFF0FC"/>
          </w:tcPr>
          <w:p>
            <w:pPr>
              <w:spacing w:after="0"/>
              <w:rPr>
                <w:sz w:val="20"/>
                <w:szCs w:val="20"/>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Earn-out shares issued to Platinum Stockholder</w:t>
            </w:r>
          </w:p>
        </w:tc>
        <w:tc>
          <w:tcPr>
            <w:tcW w:w="980" w:type="dxa"/>
            <w:vAlign w:val="bottom"/>
          </w:tcPr>
          <w:p>
            <w:pPr>
              <w:spacing w:after="0"/>
              <w:rPr>
                <w:sz w:val="20"/>
                <w:szCs w:val="20"/>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18,287</w:t>
            </w:r>
          </w:p>
        </w:tc>
        <w:tc>
          <w:tcPr>
            <w:tcW w:w="120" w:type="dxa"/>
            <w:vAlign w:val="bottom"/>
          </w:tcPr>
          <w:p>
            <w:pPr>
              <w:spacing w:after="0"/>
              <w:rPr>
                <w:sz w:val="20"/>
                <w:szCs w:val="20"/>
                <w:color w:val="auto"/>
              </w:rPr>
            </w:pPr>
          </w:p>
        </w:tc>
      </w:tr>
    </w:tbl>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Condensed Consolidated Financial Statements</w:t>
      </w:r>
      <w:r>
        <w:rPr>
          <w:rFonts w:ascii="Arial" w:cs="Arial" w:eastAsia="Arial" w:hAnsi="Arial"/>
          <w:sz w:val="14"/>
          <w:szCs w:val="14"/>
          <w:color w:val="auto"/>
        </w:rPr>
        <w: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p>
      <w:pPr>
        <w:ind w:left="400" w:hanging="392"/>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89" w:lineRule="exact"/>
        <w:rPr>
          <w:sz w:val="20"/>
          <w:szCs w:val="20"/>
          <w:color w:val="auto"/>
        </w:rPr>
      </w:pPr>
    </w:p>
    <w:p>
      <w:pPr>
        <w:jc w:val="both"/>
        <w:ind w:firstLine="802"/>
        <w:spacing w:after="0" w:line="269" w:lineRule="auto"/>
        <w:rPr>
          <w:sz w:val="20"/>
          <w:szCs w:val="20"/>
          <w:color w:val="auto"/>
        </w:rPr>
      </w:pPr>
      <w:r>
        <w:rPr>
          <w:rFonts w:ascii="Arial" w:cs="Arial" w:eastAsia="Arial" w:hAnsi="Arial"/>
          <w:sz w:val="17"/>
          <w:szCs w:val="17"/>
          <w:color w:val="auto"/>
        </w:rPr>
        <w:t>Verra Mobility Corporation (collectively with its subsidiaries,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or “</w:t>
      </w:r>
      <w:r>
        <w:rPr>
          <w:rFonts w:ascii="Arial" w:cs="Arial" w:eastAsia="Arial" w:hAnsi="Arial"/>
          <w:sz w:val="17"/>
          <w:szCs w:val="17"/>
          <w:b w:val="1"/>
          <w:bCs w:val="1"/>
          <w:i w:val="1"/>
          <w:iCs w:val="1"/>
          <w:color w:val="auto"/>
        </w:rPr>
        <w:t>Verra Mobility</w:t>
      </w:r>
      <w:r>
        <w:rPr>
          <w:rFonts w:ascii="Arial" w:cs="Arial" w:eastAsia="Arial" w:hAnsi="Arial"/>
          <w:sz w:val="17"/>
          <w:szCs w:val="17"/>
          <w:color w:val="auto"/>
        </w:rPr>
        <w:t>”), formerly known as Gores Holdings II, Inc. (“</w:t>
      </w:r>
      <w:r>
        <w:rPr>
          <w:rFonts w:ascii="Arial" w:cs="Arial" w:eastAsia="Arial" w:hAnsi="Arial"/>
          <w:sz w:val="17"/>
          <w:szCs w:val="17"/>
          <w:b w:val="1"/>
          <w:bCs w:val="1"/>
          <w:i w:val="1"/>
          <w:iCs w:val="1"/>
          <w:color w:val="auto"/>
        </w:rPr>
        <w:t>Gores</w:t>
      </w:r>
      <w:r>
        <w:rPr>
          <w:rFonts w:ascii="Arial" w:cs="Arial" w:eastAsia="Arial" w:hAnsi="Arial"/>
          <w:sz w:val="17"/>
          <w:szCs w:val="17"/>
          <w:color w:val="auto"/>
        </w:rPr>
        <w:t>”), was originally incorporated in Delaware on August 15, 2016, as a special purpose acquisition company formed for the purpose of effecting a merger, capital stock exchange, asset acquisition, stock purchase, reorganization, or other similar business combination with one or more target businesses. On January 19, 2017, the Company consummated its initial public offering (the “</w:t>
      </w:r>
      <w:r>
        <w:rPr>
          <w:rFonts w:ascii="Arial" w:cs="Arial" w:eastAsia="Arial" w:hAnsi="Arial"/>
          <w:sz w:val="17"/>
          <w:szCs w:val="17"/>
          <w:b w:val="1"/>
          <w:bCs w:val="1"/>
          <w:i w:val="1"/>
          <w:iCs w:val="1"/>
          <w:color w:val="auto"/>
        </w:rPr>
        <w:t>IPO</w:t>
      </w:r>
      <w:r>
        <w:rPr>
          <w:rFonts w:ascii="Arial" w:cs="Arial" w:eastAsia="Arial" w:hAnsi="Arial"/>
          <w:sz w:val="17"/>
          <w:szCs w:val="17"/>
          <w:color w:val="auto"/>
        </w:rPr>
        <w:t>”), following which its shares began trading on the Nasdaq Capital Market (“</w:t>
      </w:r>
      <w:r>
        <w:rPr>
          <w:rFonts w:ascii="Arial" w:cs="Arial" w:eastAsia="Arial" w:hAnsi="Arial"/>
          <w:sz w:val="17"/>
          <w:szCs w:val="17"/>
          <w:b w:val="1"/>
          <w:bCs w:val="1"/>
          <w:i w:val="1"/>
          <w:iCs w:val="1"/>
          <w:color w:val="auto"/>
        </w:rPr>
        <w:t>Nasdaq</w:t>
      </w:r>
      <w:r>
        <w:rPr>
          <w:rFonts w:ascii="Arial" w:cs="Arial" w:eastAsia="Arial" w:hAnsi="Arial"/>
          <w:sz w:val="17"/>
          <w:szCs w:val="17"/>
          <w:color w:val="auto"/>
        </w:rPr>
        <w:t>”). On June 21, 2018, Gores entered into an Agreement and Plan of Merger (as amended, the “</w:t>
      </w:r>
      <w:r>
        <w:rPr>
          <w:rFonts w:ascii="Arial" w:cs="Arial" w:eastAsia="Arial" w:hAnsi="Arial"/>
          <w:sz w:val="17"/>
          <w:szCs w:val="17"/>
          <w:b w:val="1"/>
          <w:bCs w:val="1"/>
          <w:i w:val="1"/>
          <w:iCs w:val="1"/>
          <w:color w:val="auto"/>
        </w:rPr>
        <w:t>Merger Agreement</w:t>
      </w:r>
      <w:r>
        <w:rPr>
          <w:rFonts w:ascii="Arial" w:cs="Arial" w:eastAsia="Arial" w:hAnsi="Arial"/>
          <w:sz w:val="17"/>
          <w:szCs w:val="17"/>
          <w:color w:val="auto"/>
        </w:rPr>
        <w:t>”) with Greenlight Holding II Corporation, PE Greenlight Holdings, LLC, AM Merger Sub I, Inc., a direct, wholly-owned subsidiary of Gores and AM Merger Sub II, LLC, a direct, wholly-owned subsidiary of Gores. On October 17, 2018, the transactions contemplated by the Merger Agreement (the “</w:t>
      </w:r>
      <w:r>
        <w:rPr>
          <w:rFonts w:ascii="Arial" w:cs="Arial" w:eastAsia="Arial" w:hAnsi="Arial"/>
          <w:sz w:val="17"/>
          <w:szCs w:val="17"/>
          <w:b w:val="1"/>
          <w:bCs w:val="1"/>
          <w:i w:val="1"/>
          <w:iCs w:val="1"/>
          <w:color w:val="auto"/>
        </w:rPr>
        <w:t>Business Combination</w:t>
      </w:r>
      <w:r>
        <w:rPr>
          <w:rFonts w:ascii="Arial" w:cs="Arial" w:eastAsia="Arial" w:hAnsi="Arial"/>
          <w:sz w:val="17"/>
          <w:szCs w:val="17"/>
          <w:color w:val="auto"/>
        </w:rPr>
        <w:t>”) were consummated. In connection with the closing of the Business Combination, Gores changed its name to Verra Mobility Corporation. As a result of the Business Combination, Verra Mobility Corporation became the owner, directly or indirectly, of all of the equity interests of Verra Mobility Holdings, LLC and its subsidiaries.</w:t>
      </w:r>
    </w:p>
    <w:p>
      <w:pPr>
        <w:spacing w:after="0" w:line="158" w:lineRule="exact"/>
        <w:rPr>
          <w:sz w:val="20"/>
          <w:szCs w:val="20"/>
          <w:color w:val="auto"/>
        </w:rPr>
      </w:pPr>
    </w:p>
    <w:p>
      <w:pPr>
        <w:jc w:val="both"/>
        <w:ind w:firstLine="802"/>
        <w:spacing w:after="0" w:line="311" w:lineRule="auto"/>
        <w:rPr>
          <w:sz w:val="20"/>
          <w:szCs w:val="20"/>
          <w:color w:val="auto"/>
        </w:rPr>
      </w:pPr>
      <w:r>
        <w:rPr>
          <w:rFonts w:ascii="Arial" w:cs="Arial" w:eastAsia="Arial" w:hAnsi="Arial"/>
          <w:sz w:val="16"/>
          <w:szCs w:val="16"/>
          <w:color w:val="auto"/>
        </w:rPr>
        <w:t>Verra Mobility offers integrated technology solutions and services to commercial fleets, rental car companies, state and local governments domestically, and government agencies internationally. The Company has customers located throughout the world, primarily within the United States, Australia, Europe and Canada. The Company is organized into two operating segments: Commercial Services and Government Solutions (see Note 14).</w:t>
      </w:r>
    </w:p>
    <w:p>
      <w:pPr>
        <w:spacing w:after="0" w:line="108" w:lineRule="exact"/>
        <w:rPr>
          <w:sz w:val="20"/>
          <w:szCs w:val="20"/>
          <w:color w:val="auto"/>
        </w:rPr>
      </w:pPr>
    </w:p>
    <w:p>
      <w:pPr>
        <w:jc w:val="both"/>
        <w:ind w:firstLine="802"/>
        <w:spacing w:after="0" w:line="291" w:lineRule="auto"/>
        <w:rPr>
          <w:sz w:val="20"/>
          <w:szCs w:val="20"/>
          <w:color w:val="auto"/>
        </w:rPr>
      </w:pPr>
      <w:r>
        <w:rPr>
          <w:rFonts w:ascii="Arial" w:cs="Arial" w:eastAsia="Arial" w:hAnsi="Arial"/>
          <w:sz w:val="16"/>
          <w:szCs w:val="16"/>
          <w:color w:val="auto"/>
        </w:rPr>
        <w:t>The Commercial Services segment offers toll and violation management solutions for the commercial fleet and rental car industries by partnering with the leading fleet management and rental car companies in North America. Electronic toll payment services enable fleet drivers and rental car customers to use high-speed cashless toll lanes or all-electronic cashless toll roads. The service helps commercial fleets reduce toll management costs, while it provides rental car companies with a revenue-generating, value-added service for their customers. Electronic violation processing services reduce the cost and risk associated with vehicle-issued violations, such as toll, parking or camera-enforced tickets. Title and registration services offer title and registration processing for individuals, rental car companies and fleet management companies. In Europe, the Company provides violations processing through Euro Parking Collection plc (“</w:t>
      </w:r>
      <w:r>
        <w:rPr>
          <w:rFonts w:ascii="Arial" w:cs="Arial" w:eastAsia="Arial" w:hAnsi="Arial"/>
          <w:sz w:val="16"/>
          <w:szCs w:val="16"/>
          <w:b w:val="1"/>
          <w:bCs w:val="1"/>
          <w:i w:val="1"/>
          <w:iCs w:val="1"/>
          <w:color w:val="auto"/>
        </w:rPr>
        <w:t>EPC</w:t>
      </w:r>
      <w:r>
        <w:rPr>
          <w:rFonts w:ascii="Arial" w:cs="Arial" w:eastAsia="Arial" w:hAnsi="Arial"/>
          <w:sz w:val="16"/>
          <w:szCs w:val="16"/>
          <w:color w:val="auto"/>
        </w:rPr>
        <w:t>”) and consumer tolling services through Pagatelia S.L (“</w:t>
      </w:r>
      <w:r>
        <w:rPr>
          <w:rFonts w:ascii="Arial" w:cs="Arial" w:eastAsia="Arial" w:hAnsi="Arial"/>
          <w:sz w:val="16"/>
          <w:szCs w:val="16"/>
          <w:b w:val="1"/>
          <w:bCs w:val="1"/>
          <w:i w:val="1"/>
          <w:iCs w:val="1"/>
          <w:color w:val="auto"/>
        </w:rPr>
        <w:t>Pagatelia</w:t>
      </w:r>
      <w:r>
        <w:rPr>
          <w:rFonts w:ascii="Arial" w:cs="Arial" w:eastAsia="Arial" w:hAnsi="Arial"/>
          <w:sz w:val="16"/>
          <w:szCs w:val="16"/>
          <w:color w:val="auto"/>
        </w:rPr>
        <w:t>”).</w:t>
      </w:r>
    </w:p>
    <w:p>
      <w:pPr>
        <w:spacing w:after="0" w:line="126" w:lineRule="exact"/>
        <w:rPr>
          <w:sz w:val="20"/>
          <w:szCs w:val="20"/>
          <w:color w:val="auto"/>
        </w:rPr>
      </w:pPr>
    </w:p>
    <w:p>
      <w:pPr>
        <w:jc w:val="both"/>
        <w:ind w:firstLine="802"/>
        <w:spacing w:after="0" w:line="293" w:lineRule="auto"/>
        <w:rPr>
          <w:sz w:val="20"/>
          <w:szCs w:val="20"/>
          <w:color w:val="auto"/>
        </w:rPr>
      </w:pPr>
      <w:r>
        <w:rPr>
          <w:rFonts w:ascii="Arial" w:cs="Arial" w:eastAsia="Arial" w:hAnsi="Arial"/>
          <w:sz w:val="16"/>
          <w:szCs w:val="16"/>
          <w:color w:val="auto"/>
        </w:rPr>
        <w:t>The Government Solutions segment offers photo enforcement solutions and services to its customers. Through its recent acquisition of Redflex Holdings Limited (“</w:t>
      </w:r>
      <w:r>
        <w:rPr>
          <w:rFonts w:ascii="Arial" w:cs="Arial" w:eastAsia="Arial" w:hAnsi="Arial"/>
          <w:sz w:val="16"/>
          <w:szCs w:val="16"/>
          <w:b w:val="1"/>
          <w:bCs w:val="1"/>
          <w:i w:val="1"/>
          <w:iCs w:val="1"/>
          <w:color w:val="auto"/>
        </w:rPr>
        <w:t>Redflex</w:t>
      </w:r>
      <w:r>
        <w:rPr>
          <w:rFonts w:ascii="Arial" w:cs="Arial" w:eastAsia="Arial" w:hAnsi="Arial"/>
          <w:sz w:val="16"/>
          <w:szCs w:val="16"/>
          <w:color w:val="auto"/>
        </w:rPr>
        <w:t>”) on June 17, 2021, the Company expanded its current footprint in the United States and gained access to international markets (see Note 3). The Government Solutions segment provides complete, end-to-end speed, red-light, school bus stop arm and bus lane enforcement solutions within the United States and Canada. These programs are designed to reduce traffic violations and resulting collisions, injuries, and fatalities. The Company implements and administers traffic safety programs for municipalities, counties, school districts and law enforcement agencies of all sizes. The newly acquired international operations through Redflex primarily involve the sale of traffic enforcement products and related maintenance services.</w:t>
      </w:r>
    </w:p>
    <w:p>
      <w:pPr>
        <w:spacing w:after="0" w:line="133" w:lineRule="exact"/>
        <w:rPr>
          <w:sz w:val="20"/>
          <w:szCs w:val="20"/>
          <w:color w:val="auto"/>
        </w:rPr>
      </w:pPr>
    </w:p>
    <w:p>
      <w:pPr>
        <w:ind w:left="400" w:hanging="392"/>
        <w:spacing w:after="0"/>
        <w:tabs>
          <w:tab w:leader="none" w:pos="4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85"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color w:val="auto"/>
        </w:rPr>
        <w:t>The accompanying unaudited condensed consolidated financial statements include the accounts of the Company prepared in accordance with generally accepted accounting principles in the United States of America (“</w:t>
      </w:r>
      <w:r>
        <w:rPr>
          <w:rFonts w:ascii="Arial" w:cs="Arial" w:eastAsia="Arial" w:hAnsi="Arial"/>
          <w:sz w:val="18"/>
          <w:szCs w:val="18"/>
          <w:b w:val="1"/>
          <w:bCs w:val="1"/>
          <w:i w:val="1"/>
          <w:iCs w:val="1"/>
          <w:color w:val="auto"/>
        </w:rPr>
        <w:t>GAAP</w:t>
      </w:r>
      <w:r>
        <w:rPr>
          <w:rFonts w:ascii="Arial" w:cs="Arial" w:eastAsia="Arial" w:hAnsi="Arial"/>
          <w:sz w:val="18"/>
          <w:szCs w:val="18"/>
          <w:color w:val="auto"/>
        </w:rPr>
        <w:t>”). All intercompany balances and transactions have been eliminated in consolidation. In the opinion of the Company’s management, the unaudited condensed consolidated financial statements reflect all adjustments, which are normal and recurring in nature, necessary for fair financial statement presentation.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Restatement of Previously Issued Condensed Consolidated Financial Statements</w:t>
      </w:r>
    </w:p>
    <w:p>
      <w:pPr>
        <w:spacing w:after="0" w:line="252"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color w:val="auto"/>
        </w:rPr>
        <w:t>The notes included herein should be read in conjunction with the Company’s restated audited consolidated financial statements included in the Company’s Annual Report on Form 10-K/A filed with the SEC on May 17, 2021.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both"/>
        <w:ind w:firstLine="802"/>
        <w:spacing w:after="0" w:line="263" w:lineRule="auto"/>
        <w:rPr>
          <w:sz w:val="20"/>
          <w:szCs w:val="20"/>
          <w:color w:val="auto"/>
        </w:rPr>
      </w:pPr>
      <w:r>
        <w:rPr>
          <w:rFonts w:ascii="Arial" w:cs="Arial" w:eastAsia="Arial" w:hAnsi="Arial"/>
          <w:sz w:val="18"/>
          <w:szCs w:val="18"/>
          <w:color w:val="auto"/>
        </w:rPr>
        <w:t>The Company restated its previously issued consolidated financial statements as of December 31, 2020 and 2019 and for the years ended December 31, 2020, 2019 and 2018 and the related quarterly financial information to reflect adjustments resulting from changes to our accounting for private placement warrants.</w:t>
      </w:r>
    </w:p>
    <w:p>
      <w:pPr>
        <w:spacing w:after="0" w:line="211"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color w:val="auto"/>
        </w:rPr>
        <w:t>The impact of the restatement was a $8.3 million decrease for the three months ended June 30, 2020 and a $7.1 million increase for the six months ended June 30, 2020 to net income, and an increase to private placement warrant liabilities of $22.6 million as of June 30, 2020, with an offsetting decrease of $20.4 million to additional paid-in capital and an increase of $2.2 million to accumulated deficit line items. There was no net cash impact to the condensed consolidated statements of cash flows.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8" w:lineRule="exact"/>
        <w:rPr>
          <w:sz w:val="20"/>
          <w:szCs w:val="20"/>
          <w:color w:val="auto"/>
        </w:rPr>
      </w:pPr>
    </w:p>
    <w:p>
      <w:pPr>
        <w:jc w:val="both"/>
        <w:ind w:firstLine="802"/>
        <w:spacing w:after="0" w:line="296" w:lineRule="auto"/>
        <w:rPr>
          <w:sz w:val="20"/>
          <w:szCs w:val="20"/>
          <w:color w:val="auto"/>
        </w:rPr>
      </w:pPr>
      <w:r>
        <w:rPr>
          <w:rFonts w:ascii="Arial" w:cs="Arial" w:eastAsia="Arial" w:hAnsi="Arial"/>
          <w:sz w:val="16"/>
          <w:szCs w:val="16"/>
          <w:color w:val="auto"/>
        </w:rPr>
        <w:t>The preparation of these financial statements in conformity with GAAP requires management to make estimates and assumptions that affect the amounts reported in the unaudited condensed consolidated financial statements and accompanying notes. Significant items subject to such estimates and assumptions include the fair values assigned to net assets acquired (including identifiable intangible assets) in business combinations, the carrying amounts of inventory, long-lived assets and goodwill, the allowance for credit loss, fair value of private placement warrant liabilities, valuation allowances on deferred tax assets, asset retirement obligations, contingent consideration and the recognition and measurement of loss contingencies.</w:t>
      </w:r>
    </w:p>
    <w:p>
      <w:pPr>
        <w:spacing w:after="0" w:line="121"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color w:val="auto"/>
        </w:rPr>
        <w:t>Management believes that its estimates and assumptions are reasonable in the circumstances; however, actual results could differ materially from those estimates.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Significant customers are those which represent more than 10% of the Company’s total revenue or accounts receivable. Revenue from the single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Government Solutions customer exceeding 10% as a percent of total revenue is presented below:</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2700" w:type="dxa"/>
            <w:vAlign w:val="bottom"/>
            <w:tcBorders>
              <w:bottom w:val="single" w:sz="8" w:color="auto"/>
            </w:tcBorders>
            <w:gridSpan w:val="4"/>
          </w:tcPr>
          <w:p>
            <w:pPr>
              <w:jc w:val="right"/>
              <w:ind w:right="128"/>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560" w:type="dxa"/>
            <w:vAlign w:val="bottom"/>
            <w:tcBorders>
              <w:bottom w:val="single" w:sz="8" w:color="auto"/>
            </w:tcBorders>
            <w:gridSpan w:val="4"/>
          </w:tcPr>
          <w:p>
            <w:pPr>
              <w:jc w:val="right"/>
              <w:ind w:right="168"/>
              <w:spacing w:after="0"/>
              <w:rPr>
                <w:sz w:val="20"/>
                <w:szCs w:val="20"/>
                <w:color w:val="auto"/>
              </w:rPr>
            </w:pPr>
            <w:r>
              <w:rPr>
                <w:rFonts w:ascii="Arial" w:cs="Arial" w:eastAsia="Arial" w:hAnsi="Arial"/>
                <w:sz w:val="14"/>
                <w:szCs w:val="14"/>
                <w:b w:val="1"/>
                <w:bCs w:val="1"/>
                <w:color w:val="auto"/>
              </w:rPr>
              <w:t>Six Months Ended June 30,</w:t>
            </w:r>
          </w:p>
        </w:tc>
        <w:tc>
          <w:tcPr>
            <w:tcW w:w="4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458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3"/>
                <w:szCs w:val="13"/>
                <w:color w:val="auto"/>
              </w:rPr>
            </w:pPr>
          </w:p>
        </w:tc>
        <w:tc>
          <w:tcPr>
            <w:tcW w:w="34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3"/>
                <w:szCs w:val="13"/>
                <w:color w:val="auto"/>
              </w:rPr>
            </w:pPr>
          </w:p>
        </w:tc>
        <w:tc>
          <w:tcPr>
            <w:tcW w:w="34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r>
      <w:tr>
        <w:trPr>
          <w:trHeight w:val="223"/>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City of New York Department of Transportation</w:t>
            </w: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26.7%</w:t>
            </w:r>
          </w:p>
        </w:tc>
        <w:tc>
          <w:tcPr>
            <w:tcW w:w="9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40.5%</w:t>
            </w:r>
          </w:p>
        </w:tc>
        <w:tc>
          <w:tcPr>
            <w:tcW w:w="9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25.7%</w:t>
            </w:r>
          </w:p>
        </w:tc>
        <w:tc>
          <w:tcPr>
            <w:tcW w:w="9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31.6%</w:t>
            </w:r>
          </w:p>
        </w:tc>
      </w:tr>
    </w:tbl>
    <w:p>
      <w:pPr>
        <w:spacing w:after="0" w:line="269" w:lineRule="exact"/>
        <w:rPr>
          <w:sz w:val="20"/>
          <w:szCs w:val="20"/>
          <w:color w:val="auto"/>
        </w:rPr>
      </w:pPr>
    </w:p>
    <w:p>
      <w:pPr>
        <w:jc w:val="both"/>
        <w:ind w:firstLine="802"/>
        <w:spacing w:after="0" w:line="269" w:lineRule="auto"/>
        <w:rPr>
          <w:sz w:val="20"/>
          <w:szCs w:val="20"/>
          <w:color w:val="auto"/>
        </w:rPr>
      </w:pPr>
      <w:r>
        <w:rPr>
          <w:rFonts w:ascii="Arial" w:cs="Arial" w:eastAsia="Arial" w:hAnsi="Arial"/>
          <w:sz w:val="17"/>
          <w:szCs w:val="17"/>
          <w:color w:val="auto"/>
        </w:rPr>
        <w:t>As of June 30, 2021, the City of New York Department of Transportation (“</w:t>
      </w:r>
      <w:r>
        <w:rPr>
          <w:rFonts w:ascii="Arial" w:cs="Arial" w:eastAsia="Arial" w:hAnsi="Arial"/>
          <w:sz w:val="17"/>
          <w:szCs w:val="17"/>
          <w:b w:val="1"/>
          <w:bCs w:val="1"/>
          <w:i w:val="1"/>
          <w:iCs w:val="1"/>
          <w:color w:val="auto"/>
        </w:rPr>
        <w:t>NYCDOT</w:t>
      </w:r>
      <w:r>
        <w:rPr>
          <w:rFonts w:ascii="Arial" w:cs="Arial" w:eastAsia="Arial" w:hAnsi="Arial"/>
          <w:sz w:val="17"/>
          <w:szCs w:val="17"/>
          <w:color w:val="auto"/>
        </w:rPr>
        <w:t>”) represented 59% of total accounts receivable, net. The Company provides photo enforcement services to NYCDOT under two primary agreements, (i) a legacy contract relating to photo enforcement cameras that were installed prior to fiscal year 2020 (the “</w:t>
      </w:r>
      <w:r>
        <w:rPr>
          <w:rFonts w:ascii="Arial" w:cs="Arial" w:eastAsia="Arial" w:hAnsi="Arial"/>
          <w:sz w:val="17"/>
          <w:szCs w:val="17"/>
          <w:b w:val="1"/>
          <w:bCs w:val="1"/>
          <w:i w:val="1"/>
          <w:iCs w:val="1"/>
          <w:color w:val="auto"/>
        </w:rPr>
        <w:t>Legacy Contract</w:t>
      </w:r>
      <w:r>
        <w:rPr>
          <w:rFonts w:ascii="Arial" w:cs="Arial" w:eastAsia="Arial" w:hAnsi="Arial"/>
          <w:sz w:val="17"/>
          <w:szCs w:val="17"/>
          <w:color w:val="auto"/>
        </w:rPr>
        <w:t>”), and (ii) an emergency contract for the purchase, installation, maintenance and operation of the expanded speed camera program beginning in 2020 (the “</w:t>
      </w:r>
      <w:r>
        <w:rPr>
          <w:rFonts w:ascii="Arial" w:cs="Arial" w:eastAsia="Arial" w:hAnsi="Arial"/>
          <w:sz w:val="17"/>
          <w:szCs w:val="17"/>
          <w:b w:val="1"/>
          <w:bCs w:val="1"/>
          <w:i w:val="1"/>
          <w:iCs w:val="1"/>
          <w:color w:val="auto"/>
        </w:rPr>
        <w:t>Emergency Contract</w:t>
      </w:r>
      <w:r>
        <w:rPr>
          <w:rFonts w:ascii="Arial" w:cs="Arial" w:eastAsia="Arial" w:hAnsi="Arial"/>
          <w:sz w:val="17"/>
          <w:szCs w:val="17"/>
          <w:color w:val="auto"/>
        </w:rPr>
        <w:t>”). At June 30, 2021, the Legacy Contract had an open receivable balance of $30.8 million, of which $22.3 million had aged beyond NYCDOT’s 45-day payment terms. As of June 30, 2021, the Company had invoiced NYCDOT for $64.4 million in product revenue and $36.7 million in service revenue under the Emergency Contract, and the Emergency Contract had an open receivables balance of $96.3 million, of which $79.5 million had aged beyond the 45-day payment terms. The total outstanding receivables balance has increased approximately $6 million in the second quarter of 2021 compared to the first quarter due to additional invoices under both contracts. The Company collected $28.1 million during the second quarter of 2021 related to both contracts. There is no material reserve related to open receivables as amounts are deemed collectible based on current conditions and expectations. No other Government Solutions customer exceeded 10% of total accounts receivable as of any period presented.</w:t>
      </w:r>
    </w:p>
    <w:p>
      <w:pPr>
        <w:spacing w:after="0" w:line="236" w:lineRule="exact"/>
        <w:rPr>
          <w:sz w:val="20"/>
          <w:szCs w:val="20"/>
          <w:color w:val="auto"/>
        </w:rPr>
      </w:pPr>
    </w:p>
    <w:p>
      <w:pPr>
        <w:jc w:val="both"/>
        <w:ind w:firstLine="546"/>
        <w:spacing w:after="0" w:line="277" w:lineRule="auto"/>
        <w:rPr>
          <w:sz w:val="20"/>
          <w:szCs w:val="20"/>
          <w:color w:val="auto"/>
        </w:rPr>
      </w:pPr>
      <w:r>
        <w:rPr>
          <w:rFonts w:ascii="Arial" w:cs="Arial" w:eastAsia="Arial" w:hAnsi="Arial"/>
          <w:sz w:val="18"/>
          <w:szCs w:val="18"/>
          <w:color w:val="auto"/>
        </w:rPr>
        <w:t>Significant customer revenue concentrations generated through the Company’s Commercial Services partners as a percent of total revenue is presented below:</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3440" w:type="dxa"/>
            <w:vAlign w:val="bottom"/>
            <w:gridSpan w:val="5"/>
          </w:tcPr>
          <w:p>
            <w:pPr>
              <w:ind w:left="700"/>
              <w:spacing w:after="0"/>
              <w:rPr>
                <w:sz w:val="20"/>
                <w:szCs w:val="20"/>
                <w:color w:val="auto"/>
              </w:rPr>
            </w:pPr>
            <w:r>
              <w:rPr>
                <w:rFonts w:ascii="Arial" w:cs="Arial" w:eastAsia="Arial" w:hAnsi="Arial"/>
                <w:sz w:val="14"/>
                <w:szCs w:val="14"/>
                <w:b w:val="1"/>
                <w:bCs w:val="1"/>
                <w:color w:val="auto"/>
              </w:rPr>
              <w:t>Three Months Ended June 30,</w:t>
            </w:r>
          </w:p>
        </w:tc>
        <w:tc>
          <w:tcPr>
            <w:tcW w:w="318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4620" w:type="dxa"/>
            <w:vAlign w:val="bottom"/>
            <w:tcBorders>
              <w:bottom w:val="single" w:sz="8" w:color="CFF0FC"/>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CFF0FC"/>
            </w:tcBorders>
          </w:tcPr>
          <w:p>
            <w:pPr>
              <w:spacing w:after="0"/>
              <w:rPr>
                <w:sz w:val="13"/>
                <w:szCs w:val="13"/>
                <w:color w:val="auto"/>
              </w:rPr>
            </w:pPr>
          </w:p>
        </w:tc>
        <w:tc>
          <w:tcPr>
            <w:tcW w:w="158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2020</w:t>
            </w:r>
          </w:p>
        </w:tc>
        <w:tc>
          <w:tcPr>
            <w:tcW w:w="160" w:type="dxa"/>
            <w:vAlign w:val="bottom"/>
            <w:tcBorders>
              <w:bottom w:val="single" w:sz="8" w:color="CFF0FC"/>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457"/>
              <w:spacing w:after="0" w:line="155"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bottom w:val="single" w:sz="8" w:color="CFF0FC"/>
            </w:tcBorders>
          </w:tcPr>
          <w:p>
            <w:pPr>
              <w:spacing w:after="0"/>
              <w:rPr>
                <w:sz w:val="13"/>
                <w:szCs w:val="13"/>
                <w:color w:val="auto"/>
              </w:rPr>
            </w:pPr>
          </w:p>
        </w:tc>
        <w:tc>
          <w:tcPr>
            <w:tcW w:w="134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2020</w:t>
            </w:r>
          </w:p>
        </w:tc>
        <w:tc>
          <w:tcPr>
            <w:tcW w:w="180" w:type="dxa"/>
            <w:vAlign w:val="bottom"/>
            <w:tcBorders>
              <w:bottom w:val="single" w:sz="8" w:color="CFF0FC"/>
            </w:tcBorders>
          </w:tcPr>
          <w:p>
            <w:pPr>
              <w:spacing w:after="0"/>
              <w:rPr>
                <w:sz w:val="13"/>
                <w:szCs w:val="13"/>
                <w:color w:val="auto"/>
              </w:rPr>
            </w:pPr>
          </w:p>
        </w:tc>
      </w:tr>
      <w:tr>
        <w:trPr>
          <w:trHeight w:val="223"/>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Hertz Corporation</w:t>
            </w:r>
          </w:p>
        </w:tc>
        <w:tc>
          <w:tcPr>
            <w:tcW w:w="8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13.3%</w:t>
            </w:r>
          </w:p>
        </w:tc>
        <w:tc>
          <w:tcPr>
            <w:tcW w:w="15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(1)</w:t>
            </w:r>
          </w:p>
        </w:tc>
        <w:tc>
          <w:tcPr>
            <w:tcW w:w="1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13.5%</w:t>
            </w: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13.0%</w:t>
            </w:r>
          </w:p>
        </w:tc>
      </w:tr>
      <w:tr>
        <w:trPr>
          <w:trHeight w:val="230"/>
        </w:trPr>
        <w:tc>
          <w:tcPr>
            <w:tcW w:w="5480" w:type="dxa"/>
            <w:vAlign w:val="bottom"/>
            <w:gridSpan w:val="2"/>
          </w:tcPr>
          <w:p>
            <w:pPr>
              <w:spacing w:after="0"/>
              <w:rPr>
                <w:sz w:val="20"/>
                <w:szCs w:val="20"/>
                <w:color w:val="auto"/>
              </w:rPr>
            </w:pPr>
            <w:r>
              <w:rPr>
                <w:rFonts w:ascii="Arial" w:cs="Arial" w:eastAsia="Arial" w:hAnsi="Arial"/>
                <w:sz w:val="18"/>
                <w:szCs w:val="18"/>
                <w:color w:val="auto"/>
              </w:rPr>
              <w:t>Avis Budget Group, Inc.</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13.0%</w:t>
            </w:r>
          </w:p>
        </w:tc>
        <w:tc>
          <w:tcPr>
            <w:tcW w:w="158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16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12.2%</w:t>
            </w:r>
          </w:p>
        </w:tc>
        <w:tc>
          <w:tcPr>
            <w:tcW w:w="134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180" w:type="dxa"/>
            <w:vAlign w:val="bottom"/>
          </w:tcPr>
          <w:p>
            <w:pPr>
              <w:spacing w:after="0"/>
              <w:rPr>
                <w:sz w:val="19"/>
                <w:szCs w:val="19"/>
                <w:color w:val="auto"/>
              </w:rPr>
            </w:pPr>
          </w:p>
        </w:tc>
      </w:tr>
      <w:tr>
        <w:trPr>
          <w:trHeight w:val="230"/>
        </w:trPr>
        <w:tc>
          <w:tcPr>
            <w:tcW w:w="5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Enterprise Holdings, Inc.</w:t>
            </w: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12.8%</w:t>
            </w:r>
          </w:p>
        </w:tc>
        <w:tc>
          <w:tcPr>
            <w:tcW w:w="15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(1)</w:t>
            </w:r>
          </w:p>
        </w:tc>
        <w:tc>
          <w:tcPr>
            <w:tcW w:w="1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13.5%</w:t>
            </w:r>
          </w:p>
        </w:tc>
        <w:tc>
          <w:tcPr>
            <w:tcW w:w="13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(1)</w:t>
            </w:r>
          </w:p>
        </w:tc>
        <w:tc>
          <w:tcPr>
            <w:tcW w:w="180" w:type="dxa"/>
            <w:vAlign w:val="bottom"/>
            <w:shd w:val="clear" w:color="auto" w:fill="CFF0FC"/>
          </w:tcPr>
          <w:p>
            <w:pPr>
              <w:spacing w:after="0"/>
              <w:rPr>
                <w:sz w:val="19"/>
                <w:szCs w:val="19"/>
                <w:color w:val="auto"/>
              </w:rPr>
            </w:pPr>
          </w:p>
        </w:tc>
      </w:tr>
      <w:tr>
        <w:trPr>
          <w:trHeight w:val="432"/>
        </w:trPr>
        <w:tc>
          <w:tcPr>
            <w:tcW w:w="4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jc w:val="right"/>
              <w:ind w:right="17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46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1" w:name="page12"/>
    <w:bookmarkEnd w:id="11"/>
    <w:p>
      <w:pPr>
        <w:ind w:left="940" w:hanging="392"/>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Customer revenue for the period was below 10% of total revenue.</w:t>
      </w:r>
    </w:p>
    <w:p>
      <w:pPr>
        <w:spacing w:after="0" w:line="25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Commercial Services customer exceeded 10% of total accounts receivable as of any period presented.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w:t>
      </w:r>
    </w:p>
    <w:p>
      <w:pPr>
        <w:spacing w:after="0" w:line="252" w:lineRule="exact"/>
        <w:rPr>
          <w:sz w:val="20"/>
          <w:szCs w:val="20"/>
          <w:color w:val="auto"/>
        </w:rPr>
      </w:pPr>
    </w:p>
    <w:p>
      <w:pPr>
        <w:jc w:val="both"/>
        <w:ind w:firstLine="802"/>
        <w:spacing w:after="0" w:line="301" w:lineRule="auto"/>
        <w:rPr>
          <w:sz w:val="20"/>
          <w:szCs w:val="20"/>
          <w:color w:val="auto"/>
        </w:rPr>
      </w:pPr>
      <w:r>
        <w:rPr>
          <w:rFonts w:ascii="Arial" w:cs="Arial" w:eastAsia="Arial" w:hAnsi="Arial"/>
          <w:sz w:val="16"/>
          <w:szCs w:val="16"/>
          <w:color w:val="auto"/>
        </w:rPr>
        <w:t>The Company reviews historical credit losses and customer payment trends on receivables and develops loss rate estimates as of the balance sheet date, which includes adjustments for future expectations using probability-weighted assumptions about potential outcomes. Receivables are written off against the allowance for credit loss when it is probable that amounts will not be collected based on the terms of the customer contracts, and subsequent recoveries reverse the previous write-off and apply to the receivable in the period recovered. No interest or late fees are charged on delinquent accounts.</w:t>
      </w:r>
    </w:p>
    <w:p>
      <w:pPr>
        <w:spacing w:after="0" w:line="117" w:lineRule="exact"/>
        <w:rPr>
          <w:sz w:val="20"/>
          <w:szCs w:val="20"/>
          <w:color w:val="auto"/>
        </w:rPr>
      </w:pPr>
    </w:p>
    <w:p>
      <w:pPr>
        <w:jc w:val="both"/>
        <w:ind w:firstLine="802"/>
        <w:spacing w:after="0" w:line="308" w:lineRule="auto"/>
        <w:rPr>
          <w:sz w:val="20"/>
          <w:szCs w:val="20"/>
          <w:color w:val="auto"/>
        </w:rPr>
      </w:pPr>
      <w:r>
        <w:rPr>
          <w:rFonts w:ascii="Arial" w:cs="Arial" w:eastAsia="Arial" w:hAnsi="Arial"/>
          <w:sz w:val="17"/>
          <w:szCs w:val="17"/>
          <w:color w:val="auto"/>
        </w:rPr>
        <w:t>The Company identified portfolio segments based on the type of business, industry in which the customer operates and historical credit loss patterns. The following presents the activity in the allowance for credit loss for the six months ended June 30, 2021 and 2020, respectively:</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6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1"/>
              </w:rPr>
              <w:t>Commercial Services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Commercial</w:t>
            </w:r>
          </w:p>
        </w:tc>
        <w:tc>
          <w:tcPr>
            <w:tcW w:w="180" w:type="dxa"/>
            <w:vAlign w:val="bottom"/>
          </w:tcPr>
          <w:p>
            <w:pPr>
              <w:spacing w:after="0"/>
              <w:rPr>
                <w:sz w:val="14"/>
                <w:szCs w:val="14"/>
                <w:color w:val="auto"/>
              </w:rPr>
            </w:pPr>
          </w:p>
        </w:tc>
        <w:tc>
          <w:tcPr>
            <w:tcW w:w="14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4"/>
              </w:rPr>
              <w:t>Government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500" w:type="dxa"/>
            <w:vAlign w:val="bottom"/>
            <w:vMerge w:val="restart"/>
          </w:tcPr>
          <w:p>
            <w:pPr>
              <w:spacing w:after="0"/>
              <w:rPr>
                <w:sz w:val="12"/>
                <w:szCs w:val="12"/>
                <w:color w:val="auto"/>
              </w:rPr>
            </w:pPr>
          </w:p>
        </w:tc>
        <w:tc>
          <w:tcPr>
            <w:tcW w:w="122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Services</w:t>
            </w:r>
          </w:p>
        </w:tc>
        <w:tc>
          <w:tcPr>
            <w:tcW w:w="1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vMerge w:val="continue"/>
          </w:tcPr>
          <w:p>
            <w:pPr>
              <w:spacing w:after="0"/>
              <w:rPr>
                <w:sz w:val="15"/>
                <w:szCs w:val="15"/>
                <w:color w:val="auto"/>
              </w:rPr>
            </w:pPr>
          </w:p>
        </w:tc>
        <w:tc>
          <w:tcPr>
            <w:tcW w:w="2500" w:type="dxa"/>
            <w:vAlign w:val="bottom"/>
            <w:vMerge w:val="continue"/>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6"/>
              </w:rPr>
              <w:t xml:space="preserve">(Driver-billed) </w:t>
            </w:r>
            <w:r>
              <w:rPr>
                <w:rFonts w:ascii="Arial" w:cs="Arial" w:eastAsia="Arial" w:hAnsi="Arial"/>
                <w:sz w:val="12"/>
                <w:szCs w:val="12"/>
                <w:b w:val="1"/>
                <w:bCs w:val="1"/>
                <w:color w:val="auto"/>
                <w:w w:val="96"/>
              </w:rPr>
              <w:t>(1)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6"/>
              </w:rPr>
              <w:t>(All other)</w:t>
            </w:r>
          </w:p>
        </w:tc>
        <w:tc>
          <w:tcPr>
            <w:tcW w:w="180" w:type="dxa"/>
            <w:vAlign w:val="bottom"/>
          </w:tcPr>
          <w:p>
            <w:pPr>
              <w:spacing w:after="0"/>
              <w:rPr>
                <w:sz w:val="15"/>
                <w:szCs w:val="15"/>
                <w:color w:val="auto"/>
              </w:rPr>
            </w:pPr>
          </w:p>
        </w:tc>
        <w:tc>
          <w:tcPr>
            <w:tcW w:w="142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87"/>
              </w:rPr>
              <w:t>Solutions</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500" w:type="dxa"/>
            <w:vAlign w:val="bottom"/>
            <w:tcBorders>
              <w:top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Balance at January 1, 2021</w:t>
            </w:r>
          </w:p>
        </w:tc>
        <w:tc>
          <w:tcPr>
            <w:tcW w:w="1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3,210</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4,277</w:t>
            </w:r>
          </w:p>
        </w:tc>
        <w:tc>
          <w:tcPr>
            <w:tcW w:w="2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3,984</w:t>
            </w:r>
          </w:p>
        </w:tc>
        <w:tc>
          <w:tcPr>
            <w:tcW w:w="2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11,471</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gridSpan w:val="2"/>
          </w:tcPr>
          <w:p>
            <w:pPr>
              <w:ind w:left="260"/>
              <w:spacing w:after="0"/>
              <w:rPr>
                <w:sz w:val="20"/>
                <w:szCs w:val="20"/>
                <w:color w:val="auto"/>
              </w:rPr>
            </w:pPr>
            <w:r>
              <w:rPr>
                <w:rFonts w:ascii="Arial" w:cs="Arial" w:eastAsia="Arial" w:hAnsi="Arial"/>
                <w:sz w:val="18"/>
                <w:szCs w:val="18"/>
                <w:color w:val="auto"/>
              </w:rPr>
              <w:t>Credit loss expense</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4,877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(989)</w:t>
            </w: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Write-offs, net of recoveries</w:t>
            </w: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(2,613)</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(2,658)</w:t>
            </w:r>
          </w:p>
        </w:tc>
        <w:tc>
          <w:tcPr>
            <w:tcW w:w="0" w:type="dxa"/>
            <w:vAlign w:val="bottom"/>
          </w:tcPr>
          <w:p>
            <w:pPr>
              <w:spacing w:after="0"/>
              <w:rPr>
                <w:sz w:val="1"/>
                <w:szCs w:val="1"/>
                <w:color w:val="auto"/>
              </w:rPr>
            </w:pPr>
          </w:p>
        </w:tc>
      </w:tr>
      <w:tr>
        <w:trPr>
          <w:trHeight w:val="223"/>
        </w:trPr>
        <w:tc>
          <w:tcPr>
            <w:tcW w:w="3500" w:type="dxa"/>
            <w:vAlign w:val="bottom"/>
            <w:gridSpan w:val="2"/>
          </w:tcPr>
          <w:p>
            <w:pPr>
              <w:ind w:left="140"/>
              <w:spacing w:after="0"/>
              <w:rPr>
                <w:sz w:val="20"/>
                <w:szCs w:val="20"/>
                <w:color w:val="auto"/>
              </w:rPr>
            </w:pPr>
            <w:r>
              <w:rPr>
                <w:rFonts w:ascii="Arial" w:cs="Arial" w:eastAsia="Arial" w:hAnsi="Arial"/>
                <w:sz w:val="18"/>
                <w:szCs w:val="18"/>
                <w:color w:val="auto"/>
              </w:rPr>
              <w:t>Balance at June 30, 2021</w:t>
            </w:r>
          </w:p>
        </w:tc>
        <w:tc>
          <w:tcPr>
            <w:tcW w:w="1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3,264</w:t>
            </w: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10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6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1"/>
              </w:rPr>
              <w:t>Commercial Services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Commercial</w:t>
            </w:r>
          </w:p>
        </w:tc>
        <w:tc>
          <w:tcPr>
            <w:tcW w:w="180" w:type="dxa"/>
            <w:vAlign w:val="bottom"/>
          </w:tcPr>
          <w:p>
            <w:pPr>
              <w:spacing w:after="0"/>
              <w:rPr>
                <w:sz w:val="24"/>
                <w:szCs w:val="24"/>
                <w:color w:val="auto"/>
              </w:rPr>
            </w:pPr>
          </w:p>
        </w:tc>
        <w:tc>
          <w:tcPr>
            <w:tcW w:w="14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4"/>
              </w:rPr>
              <w:t>Government</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500" w:type="dxa"/>
            <w:vAlign w:val="bottom"/>
            <w:vMerge w:val="restart"/>
          </w:tcPr>
          <w:p>
            <w:pPr>
              <w:spacing w:after="0"/>
              <w:rPr>
                <w:sz w:val="12"/>
                <w:szCs w:val="12"/>
                <w:color w:val="auto"/>
              </w:rPr>
            </w:pPr>
          </w:p>
        </w:tc>
        <w:tc>
          <w:tcPr>
            <w:tcW w:w="122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Services</w:t>
            </w:r>
          </w:p>
        </w:tc>
        <w:tc>
          <w:tcPr>
            <w:tcW w:w="1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vMerge w:val="continue"/>
          </w:tcPr>
          <w:p>
            <w:pPr>
              <w:spacing w:after="0"/>
              <w:rPr>
                <w:sz w:val="15"/>
                <w:szCs w:val="15"/>
                <w:color w:val="auto"/>
              </w:rPr>
            </w:pPr>
          </w:p>
        </w:tc>
        <w:tc>
          <w:tcPr>
            <w:tcW w:w="2500" w:type="dxa"/>
            <w:vAlign w:val="bottom"/>
            <w:vMerge w:val="continue"/>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6"/>
              </w:rPr>
              <w:t xml:space="preserve">(Driver-billed) </w:t>
            </w:r>
            <w:r>
              <w:rPr>
                <w:rFonts w:ascii="Arial" w:cs="Arial" w:eastAsia="Arial" w:hAnsi="Arial"/>
                <w:sz w:val="12"/>
                <w:szCs w:val="12"/>
                <w:b w:val="1"/>
                <w:bCs w:val="1"/>
                <w:color w:val="auto"/>
                <w:w w:val="96"/>
              </w:rPr>
              <w:t>(1)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6"/>
              </w:rPr>
              <w:t>(All other)</w:t>
            </w:r>
          </w:p>
        </w:tc>
        <w:tc>
          <w:tcPr>
            <w:tcW w:w="180" w:type="dxa"/>
            <w:vAlign w:val="bottom"/>
          </w:tcPr>
          <w:p>
            <w:pPr>
              <w:spacing w:after="0"/>
              <w:rPr>
                <w:sz w:val="15"/>
                <w:szCs w:val="15"/>
                <w:color w:val="auto"/>
              </w:rPr>
            </w:pPr>
          </w:p>
        </w:tc>
        <w:tc>
          <w:tcPr>
            <w:tcW w:w="142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87"/>
              </w:rPr>
              <w:t>Solutions</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500" w:type="dxa"/>
            <w:vAlign w:val="bottom"/>
            <w:tcBorders>
              <w:top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 xml:space="preserve">Balance at January 1, 2020 </w:t>
            </w:r>
            <w:r>
              <w:rPr>
                <w:rFonts w:ascii="Arial" w:cs="Arial" w:eastAsia="Arial" w:hAnsi="Arial"/>
                <w:sz w:val="15"/>
                <w:szCs w:val="15"/>
                <w:color w:val="auto"/>
              </w:rPr>
              <w:t>(2)</w:t>
            </w:r>
          </w:p>
        </w:tc>
        <w:tc>
          <w:tcPr>
            <w:tcW w:w="1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5,272</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1,406</w:t>
            </w:r>
          </w:p>
        </w:tc>
        <w:tc>
          <w:tcPr>
            <w:tcW w:w="2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1,778</w:t>
            </w:r>
          </w:p>
        </w:tc>
        <w:tc>
          <w:tcPr>
            <w:tcW w:w="2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8,456</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00" w:type="dxa"/>
            <w:vAlign w:val="bottom"/>
            <w:gridSpan w:val="2"/>
          </w:tcPr>
          <w:p>
            <w:pPr>
              <w:ind w:left="260"/>
              <w:spacing w:after="0"/>
              <w:rPr>
                <w:sz w:val="20"/>
                <w:szCs w:val="20"/>
                <w:color w:val="auto"/>
              </w:rPr>
            </w:pPr>
            <w:r>
              <w:rPr>
                <w:rFonts w:ascii="Arial" w:cs="Arial" w:eastAsia="Arial" w:hAnsi="Arial"/>
                <w:sz w:val="18"/>
                <w:szCs w:val="18"/>
                <w:color w:val="auto"/>
              </w:rPr>
              <w:t>Credit loss expense</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2,744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6,256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1,723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Write-offs, net of recoveries</w:t>
            </w: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(5,449)</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(334)</w:t>
            </w: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(466)</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(6,249)</w:t>
            </w:r>
          </w:p>
        </w:tc>
        <w:tc>
          <w:tcPr>
            <w:tcW w:w="0" w:type="dxa"/>
            <w:vAlign w:val="bottom"/>
          </w:tcPr>
          <w:p>
            <w:pPr>
              <w:spacing w:after="0"/>
              <w:rPr>
                <w:sz w:val="1"/>
                <w:szCs w:val="1"/>
                <w:color w:val="auto"/>
              </w:rPr>
            </w:pPr>
          </w:p>
        </w:tc>
      </w:tr>
      <w:tr>
        <w:trPr>
          <w:trHeight w:val="223"/>
        </w:trPr>
        <w:tc>
          <w:tcPr>
            <w:tcW w:w="3500" w:type="dxa"/>
            <w:vAlign w:val="bottom"/>
            <w:gridSpan w:val="2"/>
          </w:tcPr>
          <w:p>
            <w:pPr>
              <w:ind w:left="140"/>
              <w:spacing w:after="0"/>
              <w:rPr>
                <w:sz w:val="20"/>
                <w:szCs w:val="20"/>
                <w:color w:val="auto"/>
              </w:rPr>
            </w:pPr>
            <w:r>
              <w:rPr>
                <w:rFonts w:ascii="Arial" w:cs="Arial" w:eastAsia="Arial" w:hAnsi="Arial"/>
                <w:sz w:val="18"/>
                <w:szCs w:val="18"/>
                <w:color w:val="auto"/>
              </w:rPr>
              <w:t>Balance at June 30, 2020</w:t>
            </w:r>
          </w:p>
        </w:tc>
        <w:tc>
          <w:tcPr>
            <w:tcW w:w="1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7,328</w:t>
            </w: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3,035</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1200" w:hanging="396"/>
        <w:spacing w:after="0" w:line="263" w:lineRule="auto"/>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Driver-billed consists of receivables from drivers of rental cars and fleet management companies for which the Company bills on behalf of its customers. Receivables not collected from drivers within a defined number of days are transferred to customers subject to applicable bad debt sharing agreements.</w:t>
      </w:r>
    </w:p>
    <w:p>
      <w:pPr>
        <w:spacing w:after="0" w:line="210" w:lineRule="exact"/>
        <w:rPr>
          <w:rFonts w:ascii="Arial" w:cs="Arial" w:eastAsia="Arial" w:hAnsi="Arial"/>
          <w:sz w:val="18"/>
          <w:szCs w:val="18"/>
          <w:color w:val="auto"/>
        </w:rPr>
      </w:pPr>
    </w:p>
    <w:p>
      <w:pPr>
        <w:ind w:left="1200" w:hanging="396"/>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includes a $0.8 million increase to the allowance for credit loss as a result of adopting the credit loss standard.</w:t>
      </w:r>
    </w:p>
    <w:p>
      <w:pPr>
        <w:spacing w:after="0" w:line="198" w:lineRule="exact"/>
        <w:rPr>
          <w:sz w:val="20"/>
          <w:szCs w:val="20"/>
          <w:color w:val="auto"/>
        </w:rPr>
      </w:pPr>
    </w:p>
    <w:p>
      <w:pPr>
        <w:jc w:val="both"/>
        <w:ind w:firstLine="802"/>
        <w:spacing w:after="0" w:line="296" w:lineRule="auto"/>
        <w:rPr>
          <w:sz w:val="20"/>
          <w:szCs w:val="20"/>
          <w:color w:val="auto"/>
        </w:rPr>
      </w:pPr>
      <w:r>
        <w:rPr>
          <w:rFonts w:ascii="Arial" w:cs="Arial" w:eastAsia="Arial" w:hAnsi="Arial"/>
          <w:sz w:val="16"/>
          <w:szCs w:val="16"/>
          <w:color w:val="auto"/>
        </w:rPr>
        <w:t>The Company adjusted down its estimate for credit loss as of June 30, 2021 to reflect the risk of loss based on customer payment rates in the last 12 months and improved economic conditions for the Commercial Services (All other) and Government Solutions portfolio segments. The Company’s methodology for the Commercial Services (Driver-billed) portfolio segment has not changed. The credit loss estimate as of June 30, 2020 was based on higher probabilities of loss given the uncertainty caused by COVID-19 on the travel industry. The Company periodically evaluates the adequacy of its allowance for expected credit losses by comparing its actual historical write-offs to its previously recorded estimates and adjusts appropriately.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As of June 30, 2021, there were warrants outstanding to acquire 19,999,967 shares of the Company’s Class A Common Stock including: (i)</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6,666,666 warrants originally issued to Gores Sponsor II, LLC in a private placement in connection with the IPO (the “</w:t>
      </w:r>
      <w:r>
        <w:rPr>
          <w:rFonts w:ascii="Arial" w:cs="Arial" w:eastAsia="Arial" w:hAnsi="Arial"/>
          <w:sz w:val="16"/>
          <w:szCs w:val="16"/>
          <w:b w:val="1"/>
          <w:bCs w:val="1"/>
          <w:i w:val="1"/>
          <w:iCs w:val="1"/>
          <w:color w:val="auto"/>
        </w:rPr>
        <w:t>Private Placement Warrants</w:t>
      </w:r>
      <w:r>
        <w:rPr>
          <w:rFonts w:ascii="Arial" w:cs="Arial" w:eastAsia="Arial" w:hAnsi="Arial"/>
          <w:sz w:val="16"/>
          <w:szCs w:val="16"/>
          <w:color w:val="auto"/>
        </w:rPr>
        <w:t>”); and</w:t>
      </w:r>
    </w:p>
    <w:p>
      <w:pPr>
        <w:spacing w:after="0" w:line="32" w:lineRule="exact"/>
        <w:rPr>
          <w:sz w:val="20"/>
          <w:szCs w:val="20"/>
          <w:color w:val="auto"/>
        </w:rPr>
      </w:pPr>
    </w:p>
    <w:p>
      <w:pPr>
        <w:jc w:val="both"/>
        <w:ind w:firstLine="8"/>
        <w:spacing w:after="0" w:line="255" w:lineRule="auto"/>
        <w:tabs>
          <w:tab w:leader="none" w:pos="278" w:val="left"/>
        </w:tabs>
        <w:numPr>
          <w:ilvl w:val="0"/>
          <w:numId w:val="8"/>
        </w:numPr>
        <w:rPr>
          <w:rFonts w:ascii="Arial" w:cs="Arial" w:eastAsia="Arial" w:hAnsi="Arial"/>
          <w:sz w:val="18"/>
          <w:szCs w:val="18"/>
          <w:color w:val="auto"/>
        </w:rPr>
      </w:pPr>
      <w:r>
        <w:rPr>
          <w:rFonts w:ascii="Arial" w:cs="Arial" w:eastAsia="Arial" w:hAnsi="Arial"/>
          <w:sz w:val="18"/>
          <w:szCs w:val="18"/>
          <w:color w:val="auto"/>
        </w:rPr>
        <w:t>13,333,301 warrants issued in connection with the IPO (the “</w:t>
      </w:r>
      <w:r>
        <w:rPr>
          <w:rFonts w:ascii="Arial" w:cs="Arial" w:eastAsia="Arial" w:hAnsi="Arial"/>
          <w:sz w:val="18"/>
          <w:szCs w:val="18"/>
          <w:b w:val="1"/>
          <w:bCs w:val="1"/>
          <w:i w:val="1"/>
          <w:iCs w:val="1"/>
          <w:color w:val="auto"/>
        </w:rPr>
        <w:t>Public Warrants</w:t>
      </w:r>
      <w:r>
        <w:rPr>
          <w:rFonts w:ascii="Arial" w:cs="Arial" w:eastAsia="Arial" w:hAnsi="Arial"/>
          <w:sz w:val="18"/>
          <w:szCs w:val="18"/>
          <w:color w:val="auto"/>
        </w:rPr>
        <w:t>” and, together with the Private Placement Warrants, the “</w:t>
      </w:r>
      <w:r>
        <w:rPr>
          <w:rFonts w:ascii="Arial" w:cs="Arial" w:eastAsia="Arial" w:hAnsi="Arial"/>
          <w:sz w:val="18"/>
          <w:szCs w:val="18"/>
          <w:b w:val="1"/>
          <w:bCs w:val="1"/>
          <w:i w:val="1"/>
          <w:iCs w:val="1"/>
          <w:color w:val="auto"/>
        </w:rPr>
        <w:t>Warrants</w:t>
      </w:r>
      <w:r>
        <w:rPr>
          <w:rFonts w:ascii="Arial" w:cs="Arial" w:eastAsia="Arial" w:hAnsi="Arial"/>
          <w:sz w:val="18"/>
          <w:szCs w:val="18"/>
          <w:color w:val="auto"/>
        </w:rPr>
        <w:t>”). The Warrants entitle the registered holder to purchase one share of our Class A Common Stock at a price of $11.50 per share, subject to certain adjustments.</w:t>
      </w:r>
    </w:p>
    <w:p>
      <w:pPr>
        <w:spacing w:after="0" w:line="203" w:lineRule="exact"/>
        <w:rPr>
          <w:sz w:val="20"/>
          <w:szCs w:val="20"/>
          <w:color w:val="auto"/>
        </w:rPr>
      </w:pPr>
    </w:p>
    <w:p>
      <w:pPr>
        <w:ind w:firstLine="802"/>
        <w:spacing w:after="0" w:line="277" w:lineRule="auto"/>
        <w:rPr>
          <w:sz w:val="20"/>
          <w:szCs w:val="20"/>
          <w:color w:val="auto"/>
        </w:rPr>
      </w:pPr>
      <w:r>
        <w:rPr>
          <w:rFonts w:ascii="Arial" w:cs="Arial" w:eastAsia="Arial" w:hAnsi="Arial"/>
          <w:sz w:val="18"/>
          <w:szCs w:val="18"/>
          <w:color w:val="auto"/>
        </w:rPr>
        <w:t>The Warrants became exercisable on November 16, 2018, 30 days following the completion of the Business Combination, and expire five years after that date, or earlier upon redemption or liquidation. The Company may redeem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2" w:name="page13"/>
    <w:bookmarkEnd w:id="12"/>
    <w:p>
      <w:pPr>
        <w:jc w:val="both"/>
        <w:spacing w:after="0" w:line="286" w:lineRule="auto"/>
        <w:rPr>
          <w:sz w:val="20"/>
          <w:szCs w:val="20"/>
          <w:color w:val="auto"/>
        </w:rPr>
      </w:pPr>
      <w:r>
        <w:rPr>
          <w:rFonts w:ascii="Arial" w:cs="Arial" w:eastAsia="Arial" w:hAnsi="Arial"/>
          <w:sz w:val="17"/>
          <w:szCs w:val="17"/>
          <w:color w:val="auto"/>
        </w:rPr>
        <w:t>outstanding Warrants at a price of $0.01 per warrant, if the last sale price of its Class A Common Stock equals or exceeds $18.00 per share for any 20 trading days within a 30 trading day period ending on the third business day before it sends the notice of redemption to the Warrant holders. The Private Placement Warrants, however, are nonredeemable so long as they are held by Gores Sponsor II, LLC or its permitted transferees.</w:t>
      </w:r>
    </w:p>
    <w:p>
      <w:pPr>
        <w:spacing w:after="0" w:line="192" w:lineRule="exact"/>
        <w:rPr>
          <w:sz w:val="20"/>
          <w:szCs w:val="20"/>
          <w:color w:val="auto"/>
        </w:rPr>
      </w:pPr>
    </w:p>
    <w:p>
      <w:pPr>
        <w:jc w:val="both"/>
        <w:ind w:firstLine="802"/>
        <w:spacing w:after="0" w:line="275" w:lineRule="auto"/>
        <w:rPr>
          <w:sz w:val="20"/>
          <w:szCs w:val="20"/>
          <w:color w:val="auto"/>
        </w:rPr>
      </w:pPr>
      <w:r>
        <w:rPr>
          <w:rFonts w:ascii="Arial" w:cs="Arial" w:eastAsia="Arial" w:hAnsi="Arial"/>
          <w:sz w:val="17"/>
          <w:szCs w:val="17"/>
          <w:color w:val="auto"/>
        </w:rPr>
        <w:t>The Company accounts for warrants as either equity-classified or liability-classified instruments based on an assessment of the warrant’s specific terms and applicable authoritative guidance under FASB ASC 480, Distinguishing Liabilities from Equity (“</w:t>
      </w:r>
      <w:r>
        <w:rPr>
          <w:rFonts w:ascii="Arial" w:cs="Arial" w:eastAsia="Arial" w:hAnsi="Arial"/>
          <w:sz w:val="17"/>
          <w:szCs w:val="17"/>
          <w:b w:val="1"/>
          <w:bCs w:val="1"/>
          <w:i w:val="1"/>
          <w:iCs w:val="1"/>
          <w:color w:val="auto"/>
        </w:rPr>
        <w:t>ASC 480</w:t>
      </w:r>
      <w:r>
        <w:rPr>
          <w:rFonts w:ascii="Arial" w:cs="Arial" w:eastAsia="Arial" w:hAnsi="Arial"/>
          <w:sz w:val="17"/>
          <w:szCs w:val="17"/>
          <w:color w:val="auto"/>
        </w:rPr>
        <w:t>”) and ASC 815, Derivatives and Hedging (“</w:t>
      </w:r>
      <w:r>
        <w:rPr>
          <w:rFonts w:ascii="Arial" w:cs="Arial" w:eastAsia="Arial" w:hAnsi="Arial"/>
          <w:sz w:val="17"/>
          <w:szCs w:val="17"/>
          <w:b w:val="1"/>
          <w:bCs w:val="1"/>
          <w:i w:val="1"/>
          <w:iCs w:val="1"/>
          <w:color w:val="auto"/>
        </w:rPr>
        <w:t>ASC 815</w:t>
      </w:r>
      <w:r>
        <w:rPr>
          <w:rFonts w:ascii="Arial" w:cs="Arial" w:eastAsia="Arial" w:hAnsi="Arial"/>
          <w:sz w:val="17"/>
          <w:szCs w:val="17"/>
          <w:color w:val="auto"/>
        </w:rPr>
        <w:t>”).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shares, among other conditions for equity classification.</w:t>
      </w:r>
    </w:p>
    <w:p>
      <w:pPr>
        <w:spacing w:after="0" w:line="176" w:lineRule="exact"/>
        <w:rPr>
          <w:sz w:val="20"/>
          <w:szCs w:val="20"/>
          <w:color w:val="auto"/>
        </w:rPr>
      </w:pPr>
    </w:p>
    <w:p>
      <w:pPr>
        <w:jc w:val="both"/>
        <w:ind w:firstLine="802"/>
        <w:spacing w:after="0" w:line="289" w:lineRule="auto"/>
        <w:rPr>
          <w:sz w:val="20"/>
          <w:szCs w:val="20"/>
          <w:color w:val="auto"/>
        </w:rPr>
      </w:pPr>
      <w:r>
        <w:rPr>
          <w:rFonts w:ascii="Arial" w:cs="Arial" w:eastAsia="Arial" w:hAnsi="Arial"/>
          <w:sz w:val="16"/>
          <w:szCs w:val="16"/>
          <w:color w:val="auto"/>
        </w:rPr>
        <w:t>For warrants that meet all of the criteria for equity classification, the warrants are required to be recorded as a component of additional paid-in capital at the time of issuance. For warrants that do not meet all the criteria for equity classification, the warrants are required to be recorded at their initial fair value on the date of issuance, and each balance sheet date thereafter. Changes in the estimated fair value of the warrants are recognized as a non-cash gain or loss on the statements of operations. The Company’s Public Warrants meet the criteria for equity classification and accordingly, are reported as component of shareholders’ equity while the Company’s Private Placement Warrants do not meet the criteria for equity classification because the holder of the instrument is not an input into the pricing of a fixed-for-fixed option on equity shares and are instead classified as a liability. The fair value of the Private Placement Warrants is estimated at period-end using a Black-Scholes option pricing model. Shares issuable under the Warrants were considered for inclusion in the diluted share count in accordance with GAAP. As the shares issuable under the Warrants are issuable shares when exercised by the holders, they are included when computing diluted income (loss) per share, if such exercise is dilutive to income (loss) per share.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 Standards Adopted</w:t>
      </w:r>
    </w:p>
    <w:p>
      <w:pPr>
        <w:spacing w:after="0" w:line="252" w:lineRule="exact"/>
        <w:rPr>
          <w:sz w:val="20"/>
          <w:szCs w:val="20"/>
          <w:color w:val="auto"/>
        </w:rPr>
      </w:pPr>
    </w:p>
    <w:p>
      <w:pPr>
        <w:jc w:val="both"/>
        <w:ind w:firstLine="802"/>
        <w:spacing w:after="0" w:line="271" w:lineRule="auto"/>
        <w:rPr>
          <w:sz w:val="20"/>
          <w:szCs w:val="20"/>
          <w:color w:val="auto"/>
        </w:rPr>
      </w:pPr>
      <w:r>
        <w:rPr>
          <w:rFonts w:ascii="Arial" w:cs="Arial" w:eastAsia="Arial" w:hAnsi="Arial"/>
          <w:sz w:val="17"/>
          <w:szCs w:val="17"/>
          <w:color w:val="auto"/>
        </w:rPr>
        <w:t>In August 2018, the Financial Accounting Standards Board (“</w:t>
      </w:r>
      <w:r>
        <w:rPr>
          <w:rFonts w:ascii="Arial" w:cs="Arial" w:eastAsia="Arial" w:hAnsi="Arial"/>
          <w:sz w:val="17"/>
          <w:szCs w:val="17"/>
          <w:b w:val="1"/>
          <w:bCs w:val="1"/>
          <w:i w:val="1"/>
          <w:iCs w:val="1"/>
          <w:color w:val="auto"/>
        </w:rPr>
        <w:t>FASB</w:t>
      </w:r>
      <w:r>
        <w:rPr>
          <w:rFonts w:ascii="Arial" w:cs="Arial" w:eastAsia="Arial" w:hAnsi="Arial"/>
          <w:sz w:val="17"/>
          <w:szCs w:val="17"/>
          <w:color w:val="auto"/>
        </w:rPr>
        <w:t>”) issued Accounting Standards Update (“</w:t>
      </w:r>
      <w:r>
        <w:rPr>
          <w:rFonts w:ascii="Arial" w:cs="Arial" w:eastAsia="Arial" w:hAnsi="Arial"/>
          <w:sz w:val="17"/>
          <w:szCs w:val="17"/>
          <w:b w:val="1"/>
          <w:bCs w:val="1"/>
          <w:i w:val="1"/>
          <w:iCs w:val="1"/>
          <w:color w:val="auto"/>
        </w:rPr>
        <w:t>ASU</w:t>
      </w:r>
      <w:r>
        <w:rPr>
          <w:rFonts w:ascii="Arial" w:cs="Arial" w:eastAsia="Arial" w:hAnsi="Arial"/>
          <w:sz w:val="17"/>
          <w:szCs w:val="17"/>
          <w:color w:val="auto"/>
        </w:rPr>
        <w:t xml:space="preserve">”) 2018-13, </w:t>
      </w:r>
      <w:r>
        <w:rPr>
          <w:rFonts w:ascii="Arial" w:cs="Arial" w:eastAsia="Arial" w:hAnsi="Arial"/>
          <w:sz w:val="17"/>
          <w:szCs w:val="17"/>
          <w:i w:val="1"/>
          <w:iCs w:val="1"/>
          <w:color w:val="auto"/>
        </w:rPr>
        <w:t>(Topic 820)</w:t>
      </w:r>
      <w:r>
        <w:rPr>
          <w:rFonts w:ascii="Arial" w:cs="Arial" w:eastAsia="Arial" w:hAnsi="Arial"/>
          <w:sz w:val="17"/>
          <w:szCs w:val="17"/>
          <w:color w:val="auto"/>
        </w:rPr>
        <w:t xml:space="preserve"> </w:t>
      </w:r>
      <w:r>
        <w:rPr>
          <w:rFonts w:ascii="Arial" w:cs="Arial" w:eastAsia="Arial" w:hAnsi="Arial"/>
          <w:sz w:val="17"/>
          <w:szCs w:val="17"/>
          <w:i w:val="1"/>
          <w:iCs w:val="1"/>
          <w:color w:val="auto"/>
        </w:rPr>
        <w:t>Disclosure Framework—Changes to the Disclosure Requirements for Fair Value Measurement</w:t>
      </w:r>
      <w:r>
        <w:rPr>
          <w:rFonts w:ascii="Arial" w:cs="Arial" w:eastAsia="Arial" w:hAnsi="Arial"/>
          <w:sz w:val="17"/>
          <w:szCs w:val="17"/>
          <w:color w:val="auto"/>
        </w:rPr>
        <w:t>. The amendments in this update modify the disclosure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requirements on fair value measurements in Topic 820, Fair Value Measurement.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The Company adopted this standard during the first quarter of 2021 and provided relevant disclosures for the private placement warrant liabilities which are a Level 3 measurement, that fall within the scope of the standard. See Note 8. </w:t>
      </w:r>
      <w:r>
        <w:rPr>
          <w:rFonts w:ascii="Arial" w:cs="Arial" w:eastAsia="Arial" w:hAnsi="Arial"/>
          <w:sz w:val="17"/>
          <w:szCs w:val="17"/>
          <w:i w:val="1"/>
          <w:iCs w:val="1"/>
          <w:color w:val="auto"/>
        </w:rPr>
        <w:t>Fair Value of Financial Instruments.</w:t>
      </w:r>
    </w:p>
    <w:p>
      <w:pPr>
        <w:spacing w:after="0" w:line="138" w:lineRule="exact"/>
        <w:rPr>
          <w:sz w:val="20"/>
          <w:szCs w:val="20"/>
          <w:color w:val="auto"/>
        </w:rPr>
      </w:pPr>
    </w:p>
    <w:p>
      <w:pPr>
        <w:jc w:val="both"/>
        <w:ind w:firstLine="802"/>
        <w:spacing w:after="0" w:line="272"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The ASU removes specific exceptions to the general principles in Topic 740 in GAAP including the exception to the incremental approach for intra-period tax allocation, exceptions to accounting for basis differences when there are ownership changes in foreign investments, and the exception in interim period income tax accounting for year-to-date losses that exceed anticipated losses. The ASU also simplifies current guidance in relation to franchise taxes that are partially based on income, transactions with a government that result in a step-up in tax basis of goodwill, separate financial statements of legal entities that are not subject to tax, and enacted changes in tax laws in interim periods. The Company adopted the ASU as of January 1, 2021 which did not have a material impact on the Company’s financial statements or related disclosures.</w:t>
      </w:r>
    </w:p>
    <w:p>
      <w:pPr>
        <w:spacing w:after="0" w:line="137" w:lineRule="exact"/>
        <w:rPr>
          <w:sz w:val="20"/>
          <w:szCs w:val="20"/>
          <w:color w:val="auto"/>
        </w:rPr>
      </w:pPr>
    </w:p>
    <w:p>
      <w:pPr>
        <w:jc w:val="both"/>
        <w:ind w:firstLine="802"/>
        <w:spacing w:after="0" w:line="271"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Debt—Debt with Conversion and Other Options (Subtopic 470-20) and 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Hedging— Contracts in Entity’s Own Equity (Subtopic 815-40): Accounting for Convertible Instruments and Contracts in an Entity’s Own Equity</w:t>
      </w:r>
      <w:r>
        <w:rPr>
          <w:rFonts w:ascii="Arial" w:cs="Arial" w:eastAsia="Arial" w:hAnsi="Arial"/>
          <w:sz w:val="17"/>
          <w:szCs w:val="17"/>
          <w:color w:val="auto"/>
        </w:rPr>
        <w:t>. This</w:t>
      </w:r>
      <w:r>
        <w:rPr>
          <w:rFonts w:ascii="Arial" w:cs="Arial" w:eastAsia="Arial" w:hAnsi="Arial"/>
          <w:sz w:val="17"/>
          <w:szCs w:val="17"/>
          <w:i w:val="1"/>
          <w:iCs w:val="1"/>
          <w:color w:val="auto"/>
        </w:rPr>
        <w:t xml:space="preserve"> </w:t>
      </w:r>
      <w:r>
        <w:rPr>
          <w:rFonts w:ascii="Arial" w:cs="Arial" w:eastAsia="Arial" w:hAnsi="Arial"/>
          <w:sz w:val="17"/>
          <w:szCs w:val="17"/>
          <w:color w:val="auto"/>
        </w:rPr>
        <w:t>ASU simplifies accounting for convertible instruments by removing major separation models required under current GAAP. Consequently, more convertible debt instruments will be reported as a single liability instrument and more convertible preferred stock as a single equity instrument with no separate accounting for embedded conversion features. The ASU removes certain settlement conditions that are required for equity contracts to qualify for the derivative scope exception, which will permit more equity contracts to qualify for it. The ASU also simplifies the diluted earnings per share calculation in certain areas. The Company early adopted this standard as of January 1, 2021 which did not have an impact on the Company’s financial statements and related disclosures, as the Company had no instruments subject to</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the standard. If the Company were to issue instruments subject to the standard in the future, such guidance as early adopted by the Company would apply.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 Standards Not Yet Adopted</w:t>
      </w:r>
    </w:p>
    <w:p>
      <w:pPr>
        <w:spacing w:after="0" w:line="185" w:lineRule="exact"/>
        <w:rPr>
          <w:sz w:val="20"/>
          <w:szCs w:val="20"/>
          <w:color w:val="auto"/>
        </w:rPr>
      </w:pPr>
    </w:p>
    <w:p>
      <w:pPr>
        <w:jc w:val="both"/>
        <w:ind w:firstLine="802"/>
        <w:spacing w:after="0" w:line="291"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the Effects of Reference Rate Reform 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Reporting. </w:t>
      </w:r>
      <w:r>
        <w:rPr>
          <w:rFonts w:ascii="Arial" w:cs="Arial" w:eastAsia="Arial" w:hAnsi="Arial"/>
          <w:sz w:val="16"/>
          <w:szCs w:val="16"/>
          <w:color w:val="auto"/>
        </w:rPr>
        <w:t>The ASU provides temporary optional guidance to ease the potential burden in accounting for reference rate reform. It provides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optional expedients and exceptions for applying GAAP to contract modifications, subject to meeting certain criteria, that reference LIBOR or another reference rate expected to be discontinued. In January 2021, the FASB issued ASU 2021-01, </w:t>
      </w:r>
      <w:r>
        <w:rPr>
          <w:rFonts w:ascii="Arial" w:cs="Arial" w:eastAsia="Arial" w:hAnsi="Arial"/>
          <w:sz w:val="16"/>
          <w:szCs w:val="16"/>
          <w:i w:val="1"/>
          <w:iCs w:val="1"/>
          <w:color w:val="auto"/>
        </w:rPr>
        <w:t>Reference Rate Reform (Topic 848): Scope</w:t>
      </w:r>
      <w:r>
        <w:rPr>
          <w:rFonts w:ascii="Arial" w:cs="Arial" w:eastAsia="Arial" w:hAnsi="Arial"/>
          <w:sz w:val="16"/>
          <w:szCs w:val="16"/>
          <w:color w:val="auto"/>
        </w:rPr>
        <w:t>, which clarifies that certain optional expedients and exceptions in Topic 848 for contract modifications and hedge accounting apply to derivatives that are affected by the discounting transition. The amendments are effective as of March 12, 2020 through December 31, 2022, to help stakeholders during the global market-wide reference rate transition period. The impact of the implementation of this guidance is still being determined by the Company.</w:t>
      </w:r>
    </w:p>
    <w:p>
      <w:pPr>
        <w:spacing w:after="0" w:line="126" w:lineRule="exact"/>
        <w:rPr>
          <w:sz w:val="20"/>
          <w:szCs w:val="20"/>
          <w:color w:val="auto"/>
        </w:rPr>
      </w:pPr>
    </w:p>
    <w:p>
      <w:pPr>
        <w:jc w:val="both"/>
        <w:ind w:firstLine="802"/>
        <w:spacing w:after="0" w:line="253" w:lineRule="auto"/>
        <w:rPr>
          <w:sz w:val="20"/>
          <w:szCs w:val="20"/>
          <w:color w:val="auto"/>
        </w:rPr>
      </w:pPr>
      <w:r>
        <w:rPr>
          <w:rFonts w:ascii="Arial" w:cs="Arial" w:eastAsia="Arial" w:hAnsi="Arial"/>
          <w:sz w:val="18"/>
          <w:szCs w:val="18"/>
          <w:color w:val="auto"/>
        </w:rPr>
        <w:t xml:space="preserve">In May 2021, the FASB issued ASU 2021-04, </w:t>
      </w:r>
      <w:r>
        <w:rPr>
          <w:rFonts w:ascii="Arial" w:cs="Arial" w:eastAsia="Arial" w:hAnsi="Arial"/>
          <w:sz w:val="18"/>
          <w:szCs w:val="18"/>
          <w:i w:val="1"/>
          <w:iCs w:val="1"/>
          <w:color w:val="auto"/>
        </w:rPr>
        <w:t>Earnings Per Share (Topic 260), Debt—Modifications and Extinguishments (Subtopic 470-50),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Compensation—Stock Compensation (Topic 718), and Derivatives and Hedging—Contracts in Entity’s Own Equity (Subtopic 815-40): Issuer’s Accounting for Certain Modifications or Exchanges of Freestanding Equity-Classified Written Call Options. </w:t>
      </w:r>
      <w:r>
        <w:rPr>
          <w:rFonts w:ascii="Arial" w:cs="Arial" w:eastAsia="Arial" w:hAnsi="Arial"/>
          <w:sz w:val="18"/>
          <w:szCs w:val="18"/>
          <w:color w:val="auto"/>
        </w:rPr>
        <w:t>This ASU provides guidance for a modification or an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of a freestanding equity-classified written call option that is not within the scope of another Topic. It specifically addresses the treatment, measurement and recognition of the effect of a modification of the terms or conditions or an exchange of a freestanding equity-classified written call option if it remains equity-classified after the modification or exchange. The amendments are effective for all entities for fiscal years beginning after December 15, 2021, including interim periods within those fiscal years. An entity should apply the amendments prospectively to modifications or exchanges occurring on or after the effective date of the amendments. Early adoption is permitted. The impact of the implementation of this guidance is still being determined by the Company.</w:t>
      </w:r>
    </w:p>
    <w:p>
      <w:pPr>
        <w:spacing w:after="0" w:line="165" w:lineRule="exact"/>
        <w:rPr>
          <w:sz w:val="20"/>
          <w:szCs w:val="20"/>
          <w:color w:val="auto"/>
        </w:rPr>
      </w:pPr>
    </w:p>
    <w:p>
      <w:pPr>
        <w:ind w:left="400" w:hanging="392"/>
        <w:spacing w:after="0"/>
        <w:tabs>
          <w:tab w:leader="none" w:pos="4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Redflex Acquisition</w:t>
      </w:r>
    </w:p>
    <w:p>
      <w:pPr>
        <w:spacing w:after="0" w:line="225" w:lineRule="exact"/>
        <w:rPr>
          <w:sz w:val="20"/>
          <w:szCs w:val="20"/>
          <w:color w:val="auto"/>
        </w:rPr>
      </w:pPr>
    </w:p>
    <w:p>
      <w:pPr>
        <w:jc w:val="both"/>
        <w:ind w:firstLine="802"/>
        <w:spacing w:after="0" w:line="255" w:lineRule="auto"/>
        <w:rPr>
          <w:sz w:val="20"/>
          <w:szCs w:val="20"/>
          <w:color w:val="auto"/>
        </w:rPr>
      </w:pPr>
      <w:r>
        <w:rPr>
          <w:rFonts w:ascii="Arial" w:cs="Arial" w:eastAsia="Arial" w:hAnsi="Arial"/>
          <w:sz w:val="18"/>
          <w:szCs w:val="18"/>
          <w:color w:val="auto"/>
        </w:rPr>
        <w:t>On June 17, 2021, the Company completed the previously announced acquisition of Redflex, a public company limited by shares, incorporated in Australia and listed on the Australian Securities Exchange. Redflex is a provider of intelligent traffic management products and services that are sold and managed in the Asia Pacific, North America, United Kingdom, Europe, and Middle East regions. Redflex develops, manufactures, and operates a wide range of platform-based solutions, utilizing advanced sensor and image capture technologies that enable active management of state and local motorways. The Company has included the financial results of Redflex in the condensed consolidated financial statements from the date of acquisition, which were not material.</w:t>
      </w:r>
    </w:p>
    <w:p>
      <w:pPr>
        <w:spacing w:after="0" w:line="152" w:lineRule="exact"/>
        <w:rPr>
          <w:sz w:val="20"/>
          <w:szCs w:val="20"/>
          <w:color w:val="auto"/>
        </w:rPr>
      </w:pPr>
    </w:p>
    <w:p>
      <w:pPr>
        <w:jc w:val="both"/>
        <w:ind w:firstLine="802"/>
        <w:spacing w:after="0" w:line="296" w:lineRule="auto"/>
        <w:rPr>
          <w:sz w:val="20"/>
          <w:szCs w:val="20"/>
          <w:color w:val="auto"/>
        </w:rPr>
      </w:pPr>
      <w:r>
        <w:rPr>
          <w:rFonts w:ascii="Arial" w:cs="Arial" w:eastAsia="Arial" w:hAnsi="Arial"/>
          <w:sz w:val="16"/>
          <w:szCs w:val="16"/>
          <w:color w:val="auto"/>
        </w:rPr>
        <w:t>Pursuant to the Scheme Implementation Agreement (the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entered into by the Company and Redflex on January 21, 2021, as amended by the Deed of Amendment and Consent, dated April 30, 2021, VM Consolidated, Inc., an indirect wholly owned subsidiary of the Company, purchased one hundred percent of the outstanding equity of Redflex at A$0.96 per share at consideration of A$152.5 million, or approximately US$117.9 million. Transaction costs for Redflex were $7.4 million which primarily related to professional fees and other expenses related to the acquisition, and were included within the selling, general and administrative expenses in the condensed consolidated statements of operations.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4" w:name="page15"/>
    <w:bookmarkEnd w:id="14"/>
    <w:p>
      <w:pPr>
        <w:ind w:left="800"/>
        <w:spacing w:after="0"/>
        <w:rPr>
          <w:sz w:val="20"/>
          <w:szCs w:val="20"/>
          <w:color w:val="auto"/>
        </w:rPr>
      </w:pPr>
      <w:r>
        <w:rPr>
          <w:rFonts w:ascii="Arial" w:cs="Arial" w:eastAsia="Arial" w:hAnsi="Arial"/>
          <w:sz w:val="18"/>
          <w:szCs w:val="18"/>
          <w:color w:val="auto"/>
        </w:rPr>
        <w:t>The allocation of the preliminary purchase consideration is summarized as follows:</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Assets acquired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60" w:type="dxa"/>
            <w:vAlign w:val="bottom"/>
          </w:tcPr>
          <w:p>
            <w:pPr>
              <w:ind w:left="260"/>
              <w:spacing w:after="0"/>
              <w:rPr>
                <w:sz w:val="20"/>
                <w:szCs w:val="20"/>
                <w:color w:val="auto"/>
              </w:rPr>
            </w:pPr>
            <w:r>
              <w:rPr>
                <w:rFonts w:ascii="Arial" w:cs="Arial" w:eastAsia="Arial" w:hAnsi="Arial"/>
                <w:sz w:val="18"/>
                <w:szCs w:val="18"/>
                <w:color w:val="auto"/>
              </w:rPr>
              <w:t>Cash and cash equivalents (including restricted cash of $2.2 million)</w:t>
            </w:r>
          </w:p>
        </w:tc>
        <w:tc>
          <w:tcPr>
            <w:tcW w:w="680" w:type="dxa"/>
            <w:vAlign w:val="bottom"/>
            <w:gridSpan w:val="2"/>
          </w:tcPr>
          <w:p>
            <w:pPr>
              <w:jc w:val="right"/>
              <w:ind w:right="549"/>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10,923</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6,870</w:t>
            </w:r>
          </w:p>
        </w:tc>
        <w:tc>
          <w:tcPr>
            <w:tcW w:w="100" w:type="dxa"/>
            <w:vAlign w:val="bottom"/>
            <w:shd w:val="clear" w:color="auto" w:fill="CFF0FC"/>
          </w:tcPr>
          <w:p>
            <w:pPr>
              <w:spacing w:after="0"/>
              <w:rPr>
                <w:sz w:val="19"/>
                <w:szCs w:val="19"/>
                <w:color w:val="auto"/>
              </w:rPr>
            </w:pPr>
          </w:p>
        </w:tc>
      </w:tr>
      <w:tr>
        <w:trPr>
          <w:trHeight w:val="230"/>
        </w:trPr>
        <w:tc>
          <w:tcPr>
            <w:tcW w:w="9260" w:type="dxa"/>
            <w:vAlign w:val="bottom"/>
          </w:tcPr>
          <w:p>
            <w:pPr>
              <w:ind w:left="260"/>
              <w:spacing w:after="0"/>
              <w:rPr>
                <w:sz w:val="20"/>
                <w:szCs w:val="20"/>
                <w:color w:val="auto"/>
              </w:rPr>
            </w:pPr>
            <w:r>
              <w:rPr>
                <w:rFonts w:ascii="Arial" w:cs="Arial" w:eastAsia="Arial" w:hAnsi="Arial"/>
                <w:sz w:val="18"/>
                <w:szCs w:val="18"/>
                <w:color w:val="auto"/>
              </w:rPr>
              <w:t>Unbilled receivables</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7,744</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27,541</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ind w:left="260"/>
              <w:spacing w:after="0"/>
              <w:rPr>
                <w:sz w:val="20"/>
                <w:szCs w:val="20"/>
                <w:color w:val="auto"/>
              </w:rPr>
            </w:pPr>
            <w:r>
              <w:rPr>
                <w:rFonts w:ascii="Arial" w:cs="Arial" w:eastAsia="Arial" w:hAnsi="Arial"/>
                <w:sz w:val="18"/>
                <w:szCs w:val="18"/>
                <w:color w:val="auto"/>
              </w:rPr>
              <w:t>Deferred tax assets</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9,192</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13,729</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ind w:left="260"/>
              <w:spacing w:after="0"/>
              <w:rPr>
                <w:sz w:val="20"/>
                <w:szCs w:val="20"/>
                <w:color w:val="auto"/>
              </w:rPr>
            </w:pPr>
            <w:r>
              <w:rPr>
                <w:rFonts w:ascii="Arial" w:cs="Arial" w:eastAsia="Arial" w:hAnsi="Arial"/>
                <w:sz w:val="18"/>
                <w:szCs w:val="18"/>
                <w:color w:val="auto"/>
              </w:rPr>
              <w:t>Trademark</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Customer relationships</w:t>
            </w: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23,500</w:t>
            </w:r>
          </w:p>
        </w:tc>
        <w:tc>
          <w:tcPr>
            <w:tcW w:w="100" w:type="dxa"/>
            <w:vAlign w:val="bottom"/>
            <w:shd w:val="clear" w:color="auto" w:fill="CFF0FC"/>
          </w:tcPr>
          <w:p>
            <w:pPr>
              <w:spacing w:after="0"/>
              <w:rPr>
                <w:sz w:val="19"/>
                <w:szCs w:val="19"/>
                <w:color w:val="auto"/>
              </w:rPr>
            </w:pPr>
          </w:p>
        </w:tc>
      </w:tr>
      <w:tr>
        <w:trPr>
          <w:trHeight w:val="230"/>
        </w:trPr>
        <w:tc>
          <w:tcPr>
            <w:tcW w:w="92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Developed technology</w:t>
            </w:r>
          </w:p>
        </w:tc>
        <w:tc>
          <w:tcPr>
            <w:tcW w:w="2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18,200</w:t>
            </w:r>
          </w:p>
        </w:tc>
        <w:tc>
          <w:tcPr>
            <w:tcW w:w="100" w:type="dxa"/>
            <w:vAlign w:val="bottom"/>
            <w:tcBorders>
              <w:bottom w:val="single" w:sz="8" w:color="CFF0FC"/>
            </w:tcBorders>
          </w:tcPr>
          <w:p>
            <w:pPr>
              <w:spacing w:after="0"/>
              <w:rPr>
                <w:sz w:val="19"/>
                <w:szCs w:val="19"/>
                <w:color w:val="auto"/>
              </w:rPr>
            </w:pPr>
          </w:p>
        </w:tc>
      </w:tr>
      <w:tr>
        <w:trPr>
          <w:trHeight w:val="223"/>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Total assets acquired</w:t>
            </w: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118,599</w:t>
            </w:r>
          </w:p>
        </w:tc>
        <w:tc>
          <w:tcPr>
            <w:tcW w:w="100" w:type="dxa"/>
            <w:vAlign w:val="bottom"/>
            <w:shd w:val="clear" w:color="auto" w:fill="CFF0FC"/>
          </w:tcPr>
          <w:p>
            <w:pPr>
              <w:spacing w:after="0"/>
              <w:rPr>
                <w:sz w:val="19"/>
                <w:szCs w:val="19"/>
                <w:color w:val="auto"/>
              </w:rPr>
            </w:pPr>
          </w:p>
        </w:tc>
      </w:tr>
      <w:tr>
        <w:trPr>
          <w:trHeight w:val="230"/>
        </w:trPr>
        <w:tc>
          <w:tcPr>
            <w:tcW w:w="9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Liabilities assumed</w:t>
            </w: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9260" w:type="dxa"/>
            <w:vAlign w:val="bottom"/>
          </w:tcPr>
          <w:p>
            <w:pPr>
              <w:ind w:left="260"/>
              <w:spacing w:after="0"/>
              <w:rPr>
                <w:sz w:val="20"/>
                <w:szCs w:val="20"/>
                <w:color w:val="auto"/>
              </w:rPr>
            </w:pPr>
            <w:r>
              <w:rPr>
                <w:rFonts w:ascii="Arial" w:cs="Arial" w:eastAsia="Arial" w:hAnsi="Arial"/>
                <w:sz w:val="18"/>
                <w:szCs w:val="18"/>
                <w:color w:val="auto"/>
              </w:rPr>
              <w:t>Accounts payable and accrued expenses</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30,137</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1,772</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ind w:left="260"/>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14,014</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long-term liabilities</w:t>
            </w:r>
          </w:p>
        </w:tc>
        <w:tc>
          <w:tcPr>
            <w:tcW w:w="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9,948</w:t>
            </w:r>
          </w:p>
        </w:tc>
        <w:tc>
          <w:tcPr>
            <w:tcW w:w="100" w:type="dxa"/>
            <w:vAlign w:val="bottom"/>
            <w:shd w:val="clear" w:color="auto" w:fill="CFF0FC"/>
          </w:tcPr>
          <w:p>
            <w:pPr>
              <w:spacing w:after="0"/>
              <w:rPr>
                <w:sz w:val="19"/>
                <w:szCs w:val="19"/>
                <w:color w:val="auto"/>
              </w:rPr>
            </w:pPr>
          </w:p>
        </w:tc>
      </w:tr>
      <w:tr>
        <w:trPr>
          <w:trHeight w:val="223"/>
        </w:trPr>
        <w:tc>
          <w:tcPr>
            <w:tcW w:w="9260" w:type="dxa"/>
            <w:vAlign w:val="bottom"/>
          </w:tcPr>
          <w:p>
            <w:pPr>
              <w:spacing w:after="0"/>
              <w:rPr>
                <w:sz w:val="20"/>
                <w:szCs w:val="20"/>
                <w:color w:val="auto"/>
              </w:rPr>
            </w:pPr>
            <w:r>
              <w:rPr>
                <w:rFonts w:ascii="Arial" w:cs="Arial" w:eastAsia="Arial" w:hAnsi="Arial"/>
                <w:sz w:val="18"/>
                <w:szCs w:val="18"/>
                <w:color w:val="auto"/>
              </w:rPr>
              <w:t>Total liabilities assumed</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55,871</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55,199</w:t>
            </w:r>
          </w:p>
        </w:tc>
        <w:tc>
          <w:tcPr>
            <w:tcW w:w="100" w:type="dxa"/>
            <w:vAlign w:val="bottom"/>
            <w:shd w:val="clear" w:color="auto" w:fill="CFF0FC"/>
          </w:tcPr>
          <w:p>
            <w:pPr>
              <w:spacing w:after="0"/>
              <w:rPr>
                <w:sz w:val="19"/>
                <w:szCs w:val="19"/>
                <w:color w:val="auto"/>
              </w:rPr>
            </w:pPr>
          </w:p>
        </w:tc>
      </w:tr>
      <w:tr>
        <w:trPr>
          <w:trHeight w:val="223"/>
        </w:trPr>
        <w:tc>
          <w:tcPr>
            <w:tcW w:w="9260" w:type="dxa"/>
            <w:vAlign w:val="bottom"/>
          </w:tcPr>
          <w:p>
            <w:pPr>
              <w:spacing w:after="0"/>
              <w:rPr>
                <w:sz w:val="20"/>
                <w:szCs w:val="20"/>
                <w:color w:val="auto"/>
              </w:rPr>
            </w:pPr>
            <w:r>
              <w:rPr>
                <w:rFonts w:ascii="Arial" w:cs="Arial" w:eastAsia="Arial" w:hAnsi="Arial"/>
                <w:sz w:val="18"/>
                <w:szCs w:val="18"/>
                <w:color w:val="auto"/>
              </w:rPr>
              <w:t>Total purchase consideration</w:t>
            </w:r>
          </w:p>
        </w:tc>
        <w:tc>
          <w:tcPr>
            <w:tcW w:w="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549"/>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117,927</w:t>
            </w:r>
          </w:p>
        </w:tc>
        <w:tc>
          <w:tcPr>
            <w:tcW w:w="100" w:type="dxa"/>
            <w:vAlign w:val="bottom"/>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The primary areas that remain preliminary relate to the fair values of intangible assets acquired, certain tangible assets and liabilities acquired, legal and other contingencies as of the acquisition date, income and non-income based taxes and residual goodwill. The Company expects to finalize the valuation as soon as practicable, but not later than one year from the acquisition date.</w:t>
      </w:r>
    </w:p>
    <w:p>
      <w:pPr>
        <w:spacing w:after="0" w:line="211" w:lineRule="exact"/>
        <w:rPr>
          <w:sz w:val="20"/>
          <w:szCs w:val="20"/>
          <w:color w:val="auto"/>
        </w:rPr>
      </w:pPr>
    </w:p>
    <w:p>
      <w:pPr>
        <w:jc w:val="both"/>
        <w:ind w:firstLine="802"/>
        <w:spacing w:after="0" w:line="271" w:lineRule="auto"/>
        <w:rPr>
          <w:sz w:val="20"/>
          <w:szCs w:val="20"/>
          <w:color w:val="auto"/>
        </w:rPr>
      </w:pPr>
      <w:r>
        <w:rPr>
          <w:rFonts w:ascii="Arial" w:cs="Arial" w:eastAsia="Arial" w:hAnsi="Arial"/>
          <w:sz w:val="17"/>
          <w:szCs w:val="17"/>
          <w:color w:val="auto"/>
        </w:rPr>
        <w:t>Goodwill consists largely of the expected cash flows and future growth anticipated for the Company and was assigned to the Company’s Government Solutions segment. Management has determined that the Redflex international operations represent a new reporting unit for the purposes of assessing potential impairment of goodwill, and as a result of the acquisition, the Government Solutions segment has two reporting units. The total operating and reportable segments for the Company has not changed as the manner in which the Company allocates resources and monitors operating performance has not changed. The goodwill is not expected to be deductible for tax purposes. The preliminary customer relationships value was based on the multi-period excess earnings methodology utilizing projected cash flows. The preliminary values for the trademark and the developed technology related assets were based on a relief-from-royalty method. The trademark, customer relationships and the developed technology related assets were assigned preliminary useful lives of 5.0 years, 10.0 years, and 9.2 years,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Financial Information</w:t>
      </w:r>
    </w:p>
    <w:p>
      <w:pPr>
        <w:spacing w:after="0" w:line="198" w:lineRule="exact"/>
        <w:rPr>
          <w:sz w:val="20"/>
          <w:szCs w:val="20"/>
          <w:color w:val="auto"/>
        </w:rPr>
      </w:pPr>
    </w:p>
    <w:p>
      <w:pPr>
        <w:jc w:val="both"/>
        <w:ind w:firstLine="802"/>
        <w:spacing w:after="0" w:line="293" w:lineRule="auto"/>
        <w:rPr>
          <w:sz w:val="20"/>
          <w:szCs w:val="20"/>
          <w:color w:val="auto"/>
        </w:rPr>
      </w:pPr>
      <w:r>
        <w:rPr>
          <w:rFonts w:ascii="Arial" w:cs="Arial" w:eastAsia="Arial" w:hAnsi="Arial"/>
          <w:sz w:val="16"/>
          <w:szCs w:val="16"/>
          <w:color w:val="auto"/>
        </w:rPr>
        <w:t>The pro forma information below gives effect to the Redflex acquisition as if it had been completed on the first day of each period presented. The pro forma results of operations are presented for information purposes only. As such, they are not necessarily indicative of the Company’s results had the Redflex acquisition been completed on the first day of each period presented, nor do they intend to represent the Company’s future results. The pro forma information does not reflect any cost savings from operating efficiencies or synergies that could result from the acquisition and does not reflect additional revenue opportunities following the acquisition of Redflex. The pro forma information includes adjustments to record the assets and liabilities associated with the Redflex acquisition at their respective preliminary fair values based on available information.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06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3480" w:type="dxa"/>
            <w:vAlign w:val="bottom"/>
            <w:gridSpan w:val="5"/>
          </w:tcPr>
          <w:p>
            <w:pPr>
              <w:jc w:val="right"/>
              <w:ind w:right="13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3240" w:type="dxa"/>
            <w:vAlign w:val="bottom"/>
            <w:gridSpan w:val="5"/>
          </w:tcPr>
          <w:p>
            <w:pPr>
              <w:jc w:val="right"/>
              <w:ind w:right="12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3060" w:type="dxa"/>
            <w:vAlign w:val="bottom"/>
            <w:vMerge w:val="continue"/>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70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June 30, 2021</w:t>
            </w:r>
          </w:p>
        </w:tc>
        <w:tc>
          <w:tcPr>
            <w:tcW w:w="2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June 30, 2020</w:t>
            </w:r>
          </w:p>
        </w:tc>
        <w:tc>
          <w:tcPr>
            <w:tcW w:w="2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rPr>
              <w:t>June 30, 2021</w:t>
            </w:r>
          </w:p>
        </w:tc>
        <w:tc>
          <w:tcPr>
            <w:tcW w:w="2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June 30, 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149,436</w:t>
            </w:r>
          </w:p>
        </w:tc>
        <w:tc>
          <w:tcPr>
            <w:tcW w:w="2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97,264</w:t>
            </w: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257,392</w:t>
            </w:r>
          </w:p>
        </w:tc>
        <w:tc>
          <w:tcPr>
            <w:tcW w:w="3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230,489</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3,332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(27,516)</w:t>
            </w:r>
          </w:p>
        </w:tc>
        <w:tc>
          <w:tcPr>
            <w:tcW w:w="220" w:type="dxa"/>
            <w:vAlign w:val="bottom"/>
          </w:tcPr>
          <w:p>
            <w:pPr>
              <w:spacing w:after="0"/>
              <w:rPr>
                <w:sz w:val="20"/>
                <w:szCs w:val="20"/>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(5,768)</w:t>
            </w:r>
          </w:p>
        </w:tc>
        <w:tc>
          <w:tcPr>
            <w:tcW w:w="200" w:type="dxa"/>
            <w:vAlign w:val="bottom"/>
          </w:tcPr>
          <w:p>
            <w:pPr>
              <w:spacing w:after="0"/>
              <w:rPr>
                <w:sz w:val="20"/>
                <w:szCs w:val="20"/>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(23,443)</w:t>
            </w:r>
          </w:p>
        </w:tc>
        <w:tc>
          <w:tcPr>
            <w:tcW w:w="0" w:type="dxa"/>
            <w:vAlign w:val="bottom"/>
          </w:tcPr>
          <w:p>
            <w:pPr>
              <w:spacing w:after="0"/>
              <w:rPr>
                <w:sz w:val="1"/>
                <w:szCs w:val="1"/>
                <w:color w:val="auto"/>
              </w:rPr>
            </w:pPr>
          </w:p>
        </w:tc>
      </w:tr>
      <w:tr>
        <w:trPr>
          <w:trHeight w:val="674"/>
        </w:trPr>
        <w:tc>
          <w:tcPr>
            <w:tcW w:w="10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5" w:name="page16"/>
    <w:bookmarkEnd w:id="15"/>
    <w:p>
      <w:pPr>
        <w:jc w:val="both"/>
        <w:ind w:firstLine="802"/>
        <w:spacing w:after="0" w:line="263" w:lineRule="auto"/>
        <w:rPr>
          <w:sz w:val="20"/>
          <w:szCs w:val="20"/>
          <w:color w:val="auto"/>
        </w:rPr>
      </w:pPr>
      <w:r>
        <w:rPr>
          <w:rFonts w:ascii="Arial" w:cs="Arial" w:eastAsia="Arial" w:hAnsi="Arial"/>
          <w:sz w:val="18"/>
          <w:szCs w:val="18"/>
          <w:color w:val="auto"/>
        </w:rPr>
        <w:t>The pro forma results primarily include adjustments related to amortization of intangibles, depreciation expense, interest expense and related debt extinguishment costs from the debt refinancing transactions and exclusion of acquisition-related costs and certain capitalized costs related to operating leases and developed technology.</w:t>
      </w:r>
    </w:p>
    <w:p>
      <w:pPr>
        <w:spacing w:after="0" w:line="20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4.</w:t>
        <w:tab/>
        <w:t>Prepaid Expenses and Other Current Assets</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Prepaid expenses and other current assets consist of the following at:</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6720" w:type="dxa"/>
            <w:vAlign w:val="bottom"/>
            <w:vMerge w:val="restart"/>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vMerge w:val="continue"/>
          </w:tcPr>
          <w:p>
            <w:pPr>
              <w:spacing w:after="0"/>
              <w:rPr>
                <w:sz w:val="15"/>
                <w:szCs w:val="15"/>
                <w:color w:val="auto"/>
              </w:rPr>
            </w:pPr>
          </w:p>
        </w:tc>
        <w:tc>
          <w:tcPr>
            <w:tcW w:w="6720" w:type="dxa"/>
            <w:vAlign w:val="bottom"/>
            <w:vMerge w:val="continue"/>
          </w:tcPr>
          <w:p>
            <w:pPr>
              <w:spacing w:after="0"/>
              <w:rPr>
                <w:sz w:val="15"/>
                <w:szCs w:val="15"/>
                <w:color w:val="auto"/>
              </w:rPr>
            </w:pPr>
          </w:p>
        </w:tc>
        <w:tc>
          <w:tcPr>
            <w:tcW w:w="1040" w:type="dxa"/>
            <w:vAlign w:val="bottom"/>
          </w:tcPr>
          <w:p>
            <w:pPr>
              <w:jc w:val="right"/>
              <w:ind w:right="39"/>
              <w:spacing w:after="0" w:line="158" w:lineRule="exact"/>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ind w:right="553"/>
              <w:spacing w:after="0" w:line="158"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7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Prepaid income taxes</w:t>
            </w:r>
          </w:p>
        </w:tc>
        <w:tc>
          <w:tcPr>
            <w:tcW w:w="1040" w:type="dxa"/>
            <w:vAlign w:val="bottom"/>
            <w:tcBorders>
              <w:top w:val="single" w:sz="8" w:color="auto"/>
            </w:tcBorders>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5,289</w:t>
            </w:r>
          </w:p>
        </w:tc>
        <w:tc>
          <w:tcPr>
            <w:tcW w:w="2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2,354</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Prepaid tolls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7,955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9,237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Prepaid services</w:t>
            </w: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Photo enforcement equipment inventory</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4,381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Deposits</w:t>
            </w: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Prepaid computer maintenance</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3,107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Prepaid insurance</w:t>
            </w: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Total prepaid expenses and other current assets</w:t>
            </w:r>
          </w:p>
        </w:tc>
        <w:tc>
          <w:tcPr>
            <w:tcW w:w="1040" w:type="dxa"/>
            <w:vAlign w:val="bottom"/>
            <w:tcBorders>
              <w:bottom w:val="single" w:sz="8" w:color="auto"/>
            </w:tcBorders>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32,255</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24,317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0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table presents the changes in the carrying amount of goodwill by reportable segment:</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Commercial</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6"/>
              </w:rPr>
              <w:t>Government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80" w:type="dxa"/>
            <w:vAlign w:val="bottom"/>
            <w:gridSpan w:val="4"/>
          </w:tcPr>
          <w:p>
            <w:pPr>
              <w:jc w:val="right"/>
              <w:ind w:right="580"/>
              <w:spacing w:after="0" w:line="158" w:lineRule="exact"/>
              <w:rPr>
                <w:sz w:val="20"/>
                <w:szCs w:val="20"/>
                <w:color w:val="auto"/>
              </w:rPr>
            </w:pPr>
            <w:r>
              <w:rPr>
                <w:rFonts w:ascii="Arial" w:cs="Arial" w:eastAsia="Arial" w:hAnsi="Arial"/>
                <w:sz w:val="14"/>
                <w:szCs w:val="14"/>
                <w:b w:val="1"/>
                <w:bCs w:val="1"/>
                <w:color w:val="auto"/>
              </w:rPr>
              <w:t>Services</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5"/>
          </w:tcPr>
          <w:p>
            <w:pPr>
              <w:jc w:val="right"/>
              <w:ind w:right="640"/>
              <w:spacing w:after="0" w:line="158" w:lineRule="exact"/>
              <w:rPr>
                <w:sz w:val="20"/>
                <w:szCs w:val="20"/>
                <w:color w:val="auto"/>
              </w:rPr>
            </w:pPr>
            <w:r>
              <w:rPr>
                <w:rFonts w:ascii="Arial" w:cs="Arial" w:eastAsia="Arial" w:hAnsi="Arial"/>
                <w:sz w:val="14"/>
                <w:szCs w:val="14"/>
                <w:b w:val="1"/>
                <w:bCs w:val="1"/>
                <w:color w:val="auto"/>
              </w:rPr>
              <w:t>Solutions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jc w:val="right"/>
              <w:ind w:right="62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7"/>
        </w:trPr>
        <w:tc>
          <w:tcPr>
            <w:tcW w:w="37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10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jc w:val="right"/>
              <w:ind w:right="459"/>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8"/>
              </w:rPr>
              <w:t>426,689</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159,746</w:t>
            </w: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586,435</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40" w:type="dxa"/>
            <w:vAlign w:val="bottom"/>
            <w:gridSpan w:val="2"/>
          </w:tcPr>
          <w:p>
            <w:pPr>
              <w:spacing w:after="0"/>
              <w:rPr>
                <w:sz w:val="20"/>
                <w:szCs w:val="20"/>
                <w:color w:val="auto"/>
              </w:rPr>
            </w:pPr>
            <w:r>
              <w:rPr>
                <w:rFonts w:ascii="Arial" w:cs="Arial" w:eastAsia="Arial" w:hAnsi="Arial"/>
                <w:sz w:val="18"/>
                <w:szCs w:val="18"/>
                <w:color w:val="auto"/>
              </w:rPr>
              <w:t>Goodwill from Redflex acquisition</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55,199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55,199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Foreign currency translation adjustment</w:t>
            </w: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3"/>
        </w:trPr>
        <w:tc>
          <w:tcPr>
            <w:tcW w:w="3740" w:type="dxa"/>
            <w:vAlign w:val="bottom"/>
            <w:gridSpan w:val="2"/>
          </w:tcPr>
          <w:p>
            <w:pPr>
              <w:spacing w:after="0"/>
              <w:rPr>
                <w:sz w:val="20"/>
                <w:szCs w:val="20"/>
                <w:color w:val="auto"/>
              </w:rPr>
            </w:pPr>
            <w:r>
              <w:rPr>
                <w:rFonts w:ascii="Arial" w:cs="Arial" w:eastAsia="Arial" w:hAnsi="Arial"/>
                <w:sz w:val="18"/>
                <w:szCs w:val="18"/>
                <w:color w:val="auto"/>
              </w:rPr>
              <w:t>Balance at June 30, 2021</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426,672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214,845</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641,517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gridSpan w:val="7"/>
            <w:vMerge w:val="restart"/>
          </w:tcPr>
          <w:p>
            <w:pPr>
              <w:ind w:left="800"/>
              <w:spacing w:after="0"/>
              <w:rPr>
                <w:sz w:val="20"/>
                <w:szCs w:val="20"/>
                <w:color w:val="auto"/>
              </w:rPr>
            </w:pPr>
            <w:r>
              <w:rPr>
                <w:rFonts w:ascii="Arial" w:cs="Arial" w:eastAsia="Arial" w:hAnsi="Arial"/>
                <w:sz w:val="18"/>
                <w:szCs w:val="18"/>
                <w:color w:val="auto"/>
                <w:w w:val="91"/>
              </w:rPr>
              <w:t>Intangible assets consist of the following as of the respective period-ends:</w:t>
            </w: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200" w:type="dxa"/>
            <w:vAlign w:val="bottom"/>
            <w:gridSpan w:val="7"/>
            <w:vMerge w:val="continue"/>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10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w w:val="94"/>
              </w:rPr>
              <w:t>June 30, 2021</w:t>
            </w: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9"/>
              </w:rPr>
              <w:t>December 31, 2020</w:t>
            </w: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4"/>
          </w:tcPr>
          <w:p>
            <w:pPr>
              <w:jc w:val="center"/>
              <w:ind w:left="58"/>
              <w:spacing w:after="0" w:line="147" w:lineRule="exact"/>
              <w:rPr>
                <w:sz w:val="20"/>
                <w:szCs w:val="20"/>
                <w:color w:val="auto"/>
              </w:rPr>
            </w:pPr>
            <w:r>
              <w:rPr>
                <w:rFonts w:ascii="Arial" w:cs="Arial" w:eastAsia="Arial" w:hAnsi="Arial"/>
                <w:sz w:val="14"/>
                <w:szCs w:val="14"/>
                <w:b w:val="1"/>
                <w:bCs w:val="1"/>
                <w:color w:val="auto"/>
                <w:w w:val="95"/>
              </w:rPr>
              <w:t>Weighted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gridSpan w:val="4"/>
          </w:tcPr>
          <w:p>
            <w:pPr>
              <w:jc w:val="center"/>
              <w:ind w:left="78"/>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4"/>
                <w:szCs w:val="14"/>
                <w:color w:val="auto"/>
              </w:rPr>
            </w:pPr>
          </w:p>
        </w:tc>
        <w:tc>
          <w:tcPr>
            <w:tcW w:w="100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4"/>
                <w:szCs w:val="14"/>
                <w:color w:val="auto"/>
              </w:rPr>
            </w:pPr>
          </w:p>
        </w:tc>
        <w:tc>
          <w:tcPr>
            <w:tcW w:w="860" w:type="dxa"/>
            <w:vAlign w:val="bottom"/>
            <w:gridSpan w:val="4"/>
          </w:tcPr>
          <w:p>
            <w:pPr>
              <w:jc w:val="center"/>
              <w:ind w:left="58"/>
              <w:spacing w:after="0"/>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740" w:type="dxa"/>
            <w:vAlign w:val="bottom"/>
          </w:tcPr>
          <w:p>
            <w:pPr>
              <w:spacing w:after="0"/>
              <w:rPr>
                <w:sz w:val="15"/>
                <w:szCs w:val="15"/>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Useful Life</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5"/>
                <w:szCs w:val="15"/>
                <w:color w:val="auto"/>
              </w:rPr>
            </w:pPr>
          </w:p>
        </w:tc>
        <w:tc>
          <w:tcPr>
            <w:tcW w:w="1000" w:type="dxa"/>
            <w:vAlign w:val="bottom"/>
            <w:gridSpan w:val="2"/>
          </w:tcPr>
          <w:p>
            <w:pPr>
              <w:jc w:val="right"/>
              <w:ind w:right="79"/>
              <w:spacing w:after="0" w:line="158" w:lineRule="exact"/>
              <w:rPr>
                <w:sz w:val="20"/>
                <w:szCs w:val="20"/>
                <w:color w:val="auto"/>
              </w:rPr>
            </w:pPr>
            <w:r>
              <w:rPr>
                <w:rFonts w:ascii="Arial" w:cs="Arial" w:eastAsia="Arial" w:hAnsi="Arial"/>
                <w:sz w:val="14"/>
                <w:szCs w:val="14"/>
                <w:b w:val="1"/>
                <w:bCs w:val="1"/>
                <w:color w:val="auto"/>
                <w:w w:val="95"/>
              </w:rPr>
              <w:t>Amortization</w:t>
            </w:r>
          </w:p>
        </w:tc>
        <w:tc>
          <w:tcPr>
            <w:tcW w:w="300" w:type="dxa"/>
            <w:vAlign w:val="bottom"/>
          </w:tcPr>
          <w:p>
            <w:pPr>
              <w:spacing w:after="0"/>
              <w:rPr>
                <w:sz w:val="15"/>
                <w:szCs w:val="15"/>
                <w:color w:val="auto"/>
              </w:rPr>
            </w:pPr>
          </w:p>
        </w:tc>
        <w:tc>
          <w:tcPr>
            <w:tcW w:w="860" w:type="dxa"/>
            <w:vAlign w:val="bottom"/>
            <w:gridSpan w:val="4"/>
          </w:tcPr>
          <w:p>
            <w:pPr>
              <w:jc w:val="center"/>
              <w:ind w:left="58"/>
              <w:spacing w:after="0" w:line="158" w:lineRule="exact"/>
              <w:rPr>
                <w:sz w:val="20"/>
                <w:szCs w:val="20"/>
                <w:color w:val="auto"/>
              </w:rPr>
            </w:pPr>
            <w:r>
              <w:rPr>
                <w:rFonts w:ascii="Arial" w:cs="Arial" w:eastAsia="Arial" w:hAnsi="Arial"/>
                <w:sz w:val="14"/>
                <w:szCs w:val="14"/>
                <w:b w:val="1"/>
                <w:bCs w:val="1"/>
                <w:color w:val="auto"/>
                <w:w w:val="94"/>
              </w:rPr>
              <w:t>Useful Life</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jc w:val="right"/>
              <w:ind w:right="240"/>
              <w:spacing w:after="0" w:line="158"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217"/>
        </w:trPr>
        <w:tc>
          <w:tcPr>
            <w:tcW w:w="37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Trademarks</w:t>
            </w: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0.2 years</w:t>
            </w: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33,107</w:t>
            </w: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31,177</w:t>
            </w:r>
          </w:p>
        </w:tc>
        <w:tc>
          <w:tcPr>
            <w:tcW w:w="30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gridSpan w:val="4"/>
            <w:shd w:val="clear" w:color="auto" w:fill="CFF0FC"/>
          </w:tcPr>
          <w:p>
            <w:pPr>
              <w:jc w:val="center"/>
              <w:ind w:left="58"/>
              <w:spacing w:after="0"/>
              <w:rPr>
                <w:sz w:val="20"/>
                <w:szCs w:val="20"/>
                <w:color w:val="auto"/>
              </w:rPr>
            </w:pPr>
            <w:r>
              <w:rPr>
                <w:rFonts w:ascii="Arial" w:cs="Arial" w:eastAsia="Arial" w:hAnsi="Arial"/>
                <w:sz w:val="18"/>
                <w:szCs w:val="18"/>
                <w:color w:val="auto"/>
                <w:w w:val="86"/>
              </w:rPr>
              <w:t>0.3 years</w:t>
            </w:r>
          </w:p>
        </w:tc>
        <w:tc>
          <w:tcPr>
            <w:tcW w:w="1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32,223</w:t>
            </w: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29,358</w:t>
            </w: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Non-compete agreements</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1.5 years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62,574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43,700</w:t>
            </w:r>
          </w:p>
        </w:tc>
        <w:tc>
          <w:tcPr>
            <w:tcW w:w="300" w:type="dxa"/>
            <w:vAlign w:val="bottom"/>
          </w:tcPr>
          <w:p>
            <w:pPr>
              <w:spacing w:after="0"/>
              <w:rPr>
                <w:sz w:val="19"/>
                <w:szCs w:val="19"/>
                <w:color w:val="auto"/>
              </w:rPr>
            </w:pPr>
          </w:p>
        </w:tc>
        <w:tc>
          <w:tcPr>
            <w:tcW w:w="860" w:type="dxa"/>
            <w:vAlign w:val="bottom"/>
            <w:gridSpan w:val="4"/>
          </w:tcPr>
          <w:p>
            <w:pPr>
              <w:jc w:val="center"/>
              <w:ind w:left="58"/>
              <w:spacing w:after="0"/>
              <w:rPr>
                <w:sz w:val="20"/>
                <w:szCs w:val="20"/>
                <w:color w:val="auto"/>
              </w:rPr>
            </w:pPr>
            <w:r>
              <w:rPr>
                <w:rFonts w:ascii="Arial" w:cs="Arial" w:eastAsia="Arial" w:hAnsi="Arial"/>
                <w:sz w:val="18"/>
                <w:szCs w:val="18"/>
                <w:color w:val="auto"/>
                <w:w w:val="86"/>
              </w:rPr>
              <w:t>2.0 years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62,589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37,412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5.7 years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391,005</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144,429</w:t>
            </w:r>
          </w:p>
        </w:tc>
        <w:tc>
          <w:tcPr>
            <w:tcW w:w="300" w:type="dxa"/>
            <w:vAlign w:val="bottom"/>
            <w:shd w:val="clear" w:color="auto" w:fill="CFF0FC"/>
          </w:tcPr>
          <w:p>
            <w:pPr>
              <w:spacing w:after="0"/>
              <w:rPr>
                <w:sz w:val="19"/>
                <w:szCs w:val="19"/>
                <w:color w:val="auto"/>
              </w:rPr>
            </w:pPr>
          </w:p>
        </w:tc>
        <w:tc>
          <w:tcPr>
            <w:tcW w:w="860" w:type="dxa"/>
            <w:vAlign w:val="bottom"/>
            <w:gridSpan w:val="4"/>
            <w:shd w:val="clear" w:color="auto" w:fill="CFF0FC"/>
          </w:tcPr>
          <w:p>
            <w:pPr>
              <w:jc w:val="center"/>
              <w:ind w:left="58"/>
              <w:spacing w:after="0"/>
              <w:rPr>
                <w:sz w:val="20"/>
                <w:szCs w:val="20"/>
                <w:color w:val="auto"/>
              </w:rPr>
            </w:pPr>
            <w:r>
              <w:rPr>
                <w:rFonts w:ascii="Arial" w:cs="Arial" w:eastAsia="Arial" w:hAnsi="Arial"/>
                <w:sz w:val="18"/>
                <w:szCs w:val="18"/>
                <w:color w:val="auto"/>
                <w:w w:val="86"/>
              </w:rPr>
              <w:t>5.9 years</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367,512</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123,784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Developed technology</w:t>
            </w:r>
          </w:p>
        </w:tc>
        <w:tc>
          <w:tcPr>
            <w:tcW w:w="100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89"/>
              </w:rPr>
              <w:t>2.3 years</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184,295</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111,038</w:t>
            </w:r>
          </w:p>
        </w:tc>
        <w:tc>
          <w:tcPr>
            <w:tcW w:w="30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gridSpan w:val="4"/>
          </w:tcPr>
          <w:p>
            <w:pPr>
              <w:jc w:val="center"/>
              <w:ind w:left="58"/>
              <w:spacing w:after="0"/>
              <w:rPr>
                <w:sz w:val="20"/>
                <w:szCs w:val="20"/>
                <w:color w:val="auto"/>
              </w:rPr>
            </w:pPr>
            <w:r>
              <w:rPr>
                <w:rFonts w:ascii="Arial" w:cs="Arial" w:eastAsia="Arial" w:hAnsi="Arial"/>
                <w:sz w:val="18"/>
                <w:szCs w:val="18"/>
                <w:color w:val="auto"/>
                <w:w w:val="86"/>
              </w:rPr>
              <w:t>2.3 years</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166,217</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95,848</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Gross carrying value of intangible assets</w:t>
            </w:r>
          </w:p>
        </w:tc>
        <w:tc>
          <w:tcPr>
            <w:tcW w:w="10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670,981</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330,344</w:t>
            </w:r>
          </w:p>
        </w:tc>
        <w:tc>
          <w:tcPr>
            <w:tcW w:w="3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628,541</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286,402</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Arial" w:cs="Arial" w:eastAsia="Arial" w:hAnsi="Arial"/>
                <w:sz w:val="18"/>
                <w:szCs w:val="18"/>
                <w:color w:val="auto"/>
              </w:rPr>
              <w:t>Less: accumulated amortization</w:t>
            </w: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(330,344)</w:t>
            </w: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3"/>
            <w:vMerge w:val="restart"/>
          </w:tcPr>
          <w:p>
            <w:pPr>
              <w:jc w:val="right"/>
              <w:ind w:right="110"/>
              <w:spacing w:after="0"/>
              <w:rPr>
                <w:sz w:val="20"/>
                <w:szCs w:val="20"/>
                <w:color w:val="auto"/>
              </w:rPr>
            </w:pPr>
            <w:r>
              <w:rPr>
                <w:rFonts w:ascii="Arial" w:cs="Arial" w:eastAsia="Arial" w:hAnsi="Arial"/>
                <w:sz w:val="18"/>
                <w:szCs w:val="18"/>
                <w:color w:val="auto"/>
              </w:rPr>
              <w:t>(286,402)</w:t>
            </w: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gridSpan w:val="2"/>
            <w:vMerge w:val="continue"/>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4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Intangible assets, net</w:t>
            </w: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340,637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342,139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color w:val="auto"/>
        </w:rPr>
        <w:t>Amortization expense was $21.2 million and $23.5 million for the three months ended June 30, 2021 and 2020, respectively, and was $44.0 million and $47.1 million for the six months ended June 30, 2021 and 2020, respectively.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6" w:name="page17"/>
    <w:bookmarkEnd w:id="16"/>
    <w:p>
      <w:pPr>
        <w:ind w:left="800"/>
        <w:spacing w:after="0"/>
        <w:rPr>
          <w:sz w:val="20"/>
          <w:szCs w:val="20"/>
          <w:color w:val="auto"/>
        </w:rPr>
      </w:pPr>
      <w:r>
        <w:rPr>
          <w:rFonts w:ascii="Arial" w:cs="Arial" w:eastAsia="Arial" w:hAnsi="Arial"/>
          <w:sz w:val="18"/>
          <w:szCs w:val="18"/>
          <w:color w:val="auto"/>
        </w:rPr>
        <w:t>Estimated amortization expense in future years is expected to be: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6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0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Remainder of 2021</w:t>
            </w:r>
          </w:p>
        </w:tc>
        <w:tc>
          <w:tcPr>
            <w:tcW w:w="6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2022</w:t>
            </w:r>
          </w:p>
        </w:tc>
        <w:tc>
          <w:tcPr>
            <w:tcW w:w="6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85,744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2023</w:t>
            </w:r>
          </w:p>
        </w:tc>
        <w:tc>
          <w:tcPr>
            <w:tcW w:w="620" w:type="dxa"/>
            <w:vAlign w:val="bottom"/>
            <w:shd w:val="clear" w:color="auto" w:fill="CFF0FC"/>
          </w:tcPr>
          <w:p>
            <w:pPr>
              <w:spacing w:after="0"/>
              <w:rPr>
                <w:sz w:val="19"/>
                <w:szCs w:val="19"/>
                <w:color w:val="auto"/>
              </w:rPr>
            </w:pPr>
          </w:p>
        </w:tc>
        <w:tc>
          <w:tcPr>
            <w:tcW w:w="60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2024</w:t>
            </w:r>
          </w:p>
        </w:tc>
        <w:tc>
          <w:tcPr>
            <w:tcW w:w="6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46,527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2025</w:t>
            </w:r>
          </w:p>
        </w:tc>
        <w:tc>
          <w:tcPr>
            <w:tcW w:w="620" w:type="dxa"/>
            <w:vAlign w:val="bottom"/>
            <w:shd w:val="clear" w:color="auto" w:fill="CFF0FC"/>
          </w:tcPr>
          <w:p>
            <w:pPr>
              <w:spacing w:after="0"/>
              <w:rPr>
                <w:sz w:val="19"/>
                <w:szCs w:val="19"/>
                <w:color w:val="auto"/>
              </w:rPr>
            </w:pPr>
          </w:p>
        </w:tc>
        <w:tc>
          <w:tcPr>
            <w:tcW w:w="60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Thereafter</w:t>
            </w:r>
          </w:p>
        </w:tc>
        <w:tc>
          <w:tcPr>
            <w:tcW w:w="6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63,084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tcBorders>
              <w:bottom w:val="single" w:sz="8" w:color="CFF0FC"/>
            </w:tcBorders>
            <w:gridSpan w:val="3"/>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340,637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vMerge w:val="restart"/>
          </w:tcPr>
          <w:p>
            <w:pPr>
              <w:spacing w:after="0"/>
              <w:rPr>
                <w:sz w:val="20"/>
                <w:szCs w:val="20"/>
                <w:color w:val="auto"/>
              </w:rPr>
            </w:pPr>
            <w:r>
              <w:rPr>
                <w:rFonts w:ascii="Arial" w:cs="Arial" w:eastAsia="Arial" w:hAnsi="Arial"/>
                <w:sz w:val="18"/>
                <w:szCs w:val="18"/>
                <w:b w:val="1"/>
                <w:bCs w:val="1"/>
                <w:color w:val="auto"/>
              </w:rPr>
              <w:t>6.</w:t>
            </w:r>
          </w:p>
        </w:tc>
        <w:tc>
          <w:tcPr>
            <w:tcW w:w="66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Accrued Liabilities</w:t>
            </w: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80" w:type="dxa"/>
            <w:vAlign w:val="bottom"/>
            <w:vMerge w:val="continue"/>
          </w:tcPr>
          <w:p>
            <w:pPr>
              <w:spacing w:after="0"/>
              <w:rPr>
                <w:sz w:val="24"/>
                <w:szCs w:val="24"/>
                <w:color w:val="auto"/>
              </w:rPr>
            </w:pPr>
          </w:p>
        </w:tc>
        <w:tc>
          <w:tcPr>
            <w:tcW w:w="668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80" w:type="dxa"/>
            <w:vAlign w:val="bottom"/>
          </w:tcPr>
          <w:p>
            <w:pPr>
              <w:spacing w:after="0"/>
              <w:rPr>
                <w:sz w:val="24"/>
                <w:szCs w:val="24"/>
                <w:color w:val="auto"/>
              </w:rPr>
            </w:pPr>
          </w:p>
        </w:tc>
        <w:tc>
          <w:tcPr>
            <w:tcW w:w="6680" w:type="dxa"/>
            <w:vAlign w:val="bottom"/>
            <w:gridSpan w:val="2"/>
          </w:tcPr>
          <w:p>
            <w:pPr>
              <w:ind w:left="420"/>
              <w:spacing w:after="0"/>
              <w:rPr>
                <w:sz w:val="20"/>
                <w:szCs w:val="20"/>
                <w:color w:val="auto"/>
              </w:rPr>
            </w:pPr>
            <w:r>
              <w:rPr>
                <w:rFonts w:ascii="Arial" w:cs="Arial" w:eastAsia="Arial" w:hAnsi="Arial"/>
                <w:sz w:val="18"/>
                <w:szCs w:val="18"/>
                <w:color w:val="auto"/>
              </w:rPr>
              <w:t>Accrued liabilities consist of the following at: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6060" w:type="dxa"/>
            <w:vAlign w:val="bottom"/>
            <w:vMerge w:val="restart"/>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gridSpan w:val="2"/>
            <w:vMerge w:val="continue"/>
          </w:tcPr>
          <w:p>
            <w:pPr>
              <w:spacing w:after="0"/>
              <w:rPr>
                <w:sz w:val="15"/>
                <w:szCs w:val="15"/>
                <w:color w:val="auto"/>
              </w:rPr>
            </w:pPr>
          </w:p>
        </w:tc>
        <w:tc>
          <w:tcPr>
            <w:tcW w:w="606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center"/>
              <w:ind w:right="233"/>
              <w:spacing w:after="0" w:line="158" w:lineRule="exact"/>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center"/>
              <w:ind w:right="152"/>
              <w:spacing w:after="0" w:line="158" w:lineRule="exact"/>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0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Accrued salaries and wages</w:t>
            </w:r>
          </w:p>
        </w:tc>
        <w:tc>
          <w:tcPr>
            <w:tcW w:w="6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gridSpan w:val="2"/>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14,483</w:t>
            </w:r>
          </w:p>
        </w:tc>
        <w:tc>
          <w:tcPr>
            <w:tcW w:w="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4,432</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60" w:type="dxa"/>
            <w:vAlign w:val="bottom"/>
            <w:gridSpan w:val="3"/>
          </w:tcPr>
          <w:p>
            <w:pPr>
              <w:spacing w:after="0"/>
              <w:rPr>
                <w:sz w:val="20"/>
                <w:szCs w:val="20"/>
                <w:color w:val="auto"/>
              </w:rPr>
            </w:pPr>
            <w:r>
              <w:rPr>
                <w:rFonts w:ascii="Arial" w:cs="Arial" w:eastAsia="Arial" w:hAnsi="Arial"/>
                <w:sz w:val="18"/>
                <w:szCs w:val="18"/>
                <w:color w:val="auto"/>
              </w:rPr>
              <w:t>Income taxes payable</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5,985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Accrued interest payable</w:t>
            </w:r>
          </w:p>
        </w:tc>
        <w:tc>
          <w:tcPr>
            <w:tcW w:w="6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5,282</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gridSpan w:val="3"/>
          </w:tcPr>
          <w:p>
            <w:pPr>
              <w:spacing w:after="0"/>
              <w:rPr>
                <w:sz w:val="20"/>
                <w:szCs w:val="20"/>
                <w:color w:val="auto"/>
              </w:rPr>
            </w:pPr>
            <w:r>
              <w:rPr>
                <w:rFonts w:ascii="Arial" w:cs="Arial" w:eastAsia="Arial" w:hAnsi="Arial"/>
                <w:sz w:val="18"/>
                <w:szCs w:val="18"/>
                <w:color w:val="auto"/>
              </w:rPr>
              <w:t>Current portion of operating lease liabilities</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3,917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Payroll liabilities</w:t>
            </w:r>
          </w:p>
        </w:tc>
        <w:tc>
          <w:tcPr>
            <w:tcW w:w="6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3,467</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gridSpan w:val="3"/>
          </w:tcPr>
          <w:p>
            <w:pPr>
              <w:spacing w:after="0"/>
              <w:rPr>
                <w:sz w:val="20"/>
                <w:szCs w:val="20"/>
                <w:color w:val="auto"/>
              </w:rPr>
            </w:pPr>
            <w:r>
              <w:rPr>
                <w:rFonts w:ascii="Arial" w:cs="Arial" w:eastAsia="Arial" w:hAnsi="Arial"/>
                <w:sz w:val="18"/>
                <w:szCs w:val="18"/>
                <w:color w:val="auto"/>
              </w:rPr>
              <w:t>Restricted cash due to customers</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3,159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Advanced deposits payable</w:t>
            </w:r>
          </w:p>
        </w:tc>
        <w:tc>
          <w:tcPr>
            <w:tcW w:w="6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2,725</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gridSpan w:val="3"/>
          </w:tcPr>
          <w:p>
            <w:pPr>
              <w:spacing w:after="0"/>
              <w:rPr>
                <w:sz w:val="20"/>
                <w:szCs w:val="20"/>
                <w:color w:val="auto"/>
              </w:rPr>
            </w:pPr>
            <w:r>
              <w:rPr>
                <w:rFonts w:ascii="Arial" w:cs="Arial" w:eastAsia="Arial" w:hAnsi="Arial"/>
                <w:sz w:val="18"/>
                <w:szCs w:val="18"/>
                <w:color w:val="auto"/>
              </w:rPr>
              <w:t>Deferred revenue</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2,895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Other</w:t>
            </w:r>
          </w:p>
        </w:tc>
        <w:tc>
          <w:tcPr>
            <w:tcW w:w="66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2,815</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gridSpan w:val="3"/>
          </w:tcPr>
          <w:p>
            <w:pPr>
              <w:ind w:left="140"/>
              <w:spacing w:after="0"/>
              <w:rPr>
                <w:sz w:val="20"/>
                <w:szCs w:val="20"/>
                <w:color w:val="auto"/>
              </w:rPr>
            </w:pPr>
            <w:r>
              <w:rPr>
                <w:rFonts w:ascii="Arial" w:cs="Arial" w:eastAsia="Arial" w:hAnsi="Arial"/>
                <w:sz w:val="18"/>
                <w:szCs w:val="18"/>
                <w:color w:val="auto"/>
              </w:rPr>
              <w:t>Total accrued liabilities</w:t>
            </w:r>
          </w:p>
        </w:tc>
        <w:tc>
          <w:tcPr>
            <w:tcW w:w="66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14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44,728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vMerge w:val="restart"/>
          </w:tcPr>
          <w:p>
            <w:pPr>
              <w:spacing w:after="0"/>
              <w:rPr>
                <w:sz w:val="20"/>
                <w:szCs w:val="20"/>
                <w:color w:val="auto"/>
              </w:rPr>
            </w:pPr>
            <w:r>
              <w:rPr>
                <w:rFonts w:ascii="Arial" w:cs="Arial" w:eastAsia="Arial" w:hAnsi="Arial"/>
                <w:sz w:val="18"/>
                <w:szCs w:val="18"/>
                <w:b w:val="1"/>
                <w:bCs w:val="1"/>
                <w:color w:val="auto"/>
              </w:rPr>
              <w:t>7.</w:t>
            </w:r>
          </w:p>
        </w:tc>
        <w:tc>
          <w:tcPr>
            <w:tcW w:w="66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Long-term Debt</w:t>
            </w:r>
          </w:p>
        </w:tc>
        <w:tc>
          <w:tcPr>
            <w:tcW w:w="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80" w:type="dxa"/>
            <w:vAlign w:val="bottom"/>
            <w:vMerge w:val="continue"/>
          </w:tcPr>
          <w:p>
            <w:pPr>
              <w:spacing w:after="0"/>
              <w:rPr>
                <w:sz w:val="24"/>
                <w:szCs w:val="24"/>
                <w:color w:val="auto"/>
              </w:rPr>
            </w:pPr>
          </w:p>
        </w:tc>
        <w:tc>
          <w:tcPr>
            <w:tcW w:w="668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80" w:type="dxa"/>
            <w:vAlign w:val="bottom"/>
          </w:tcPr>
          <w:p>
            <w:pPr>
              <w:spacing w:after="0"/>
              <w:rPr>
                <w:sz w:val="24"/>
                <w:szCs w:val="24"/>
                <w:color w:val="auto"/>
              </w:rPr>
            </w:pPr>
          </w:p>
        </w:tc>
        <w:tc>
          <w:tcPr>
            <w:tcW w:w="6680" w:type="dxa"/>
            <w:vAlign w:val="bottom"/>
            <w:gridSpan w:val="2"/>
          </w:tcPr>
          <w:p>
            <w:pPr>
              <w:ind w:left="420"/>
              <w:spacing w:after="0"/>
              <w:rPr>
                <w:sz w:val="20"/>
                <w:szCs w:val="20"/>
                <w:color w:val="auto"/>
              </w:rPr>
            </w:pPr>
            <w:r>
              <w:rPr>
                <w:rFonts w:ascii="Arial" w:cs="Arial" w:eastAsia="Arial" w:hAnsi="Arial"/>
                <w:sz w:val="18"/>
                <w:szCs w:val="18"/>
                <w:color w:val="auto"/>
              </w:rPr>
              <w:t>The following table provides a summary of the Company’s long-term debt at: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6060" w:type="dxa"/>
            <w:vAlign w:val="bottom"/>
            <w:vMerge w:val="restart"/>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gridSpan w:val="2"/>
            <w:vMerge w:val="continue"/>
          </w:tcPr>
          <w:p>
            <w:pPr>
              <w:spacing w:after="0"/>
              <w:rPr>
                <w:sz w:val="15"/>
                <w:szCs w:val="15"/>
                <w:color w:val="auto"/>
              </w:rPr>
            </w:pPr>
          </w:p>
        </w:tc>
        <w:tc>
          <w:tcPr>
            <w:tcW w:w="606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center"/>
              <w:ind w:right="193"/>
              <w:spacing w:after="0" w:line="158" w:lineRule="exact"/>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center"/>
              <w:ind w:right="132"/>
              <w:spacing w:after="0" w:line="158"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0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2021 Term Loan, due 2028</w:t>
            </w:r>
          </w:p>
        </w:tc>
        <w:tc>
          <w:tcPr>
            <w:tcW w:w="680" w:type="dxa"/>
            <w:vAlign w:val="bottom"/>
            <w:tcBorders>
              <w:top w:val="single" w:sz="8" w:color="CFF0FC"/>
            </w:tcBorders>
            <w:gridSpan w:val="2"/>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648,375</w:t>
            </w:r>
          </w:p>
        </w:tc>
        <w:tc>
          <w:tcPr>
            <w:tcW w:w="1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gridSpan w:val="2"/>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60" w:type="dxa"/>
            <w:vAlign w:val="bottom"/>
            <w:gridSpan w:val="3"/>
          </w:tcPr>
          <w:p>
            <w:pPr>
              <w:spacing w:after="0"/>
              <w:rPr>
                <w:sz w:val="20"/>
                <w:szCs w:val="20"/>
                <w:color w:val="auto"/>
              </w:rPr>
            </w:pPr>
            <w:r>
              <w:rPr>
                <w:rFonts w:ascii="Arial" w:cs="Arial" w:eastAsia="Arial" w:hAnsi="Arial"/>
                <w:sz w:val="18"/>
                <w:szCs w:val="18"/>
                <w:color w:val="auto"/>
              </w:rPr>
              <w:t>Senior Notes, due 2029</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350,000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PPP Loan</w:t>
            </w:r>
          </w:p>
        </w:tc>
        <w:tc>
          <w:tcPr>
            <w:tcW w:w="6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2,910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60" w:type="dxa"/>
            <w:vAlign w:val="bottom"/>
            <w:gridSpan w:val="3"/>
          </w:tcPr>
          <w:p>
            <w:pPr>
              <w:spacing w:after="0"/>
              <w:rPr>
                <w:sz w:val="20"/>
                <w:szCs w:val="20"/>
                <w:color w:val="auto"/>
              </w:rPr>
            </w:pPr>
            <w:r>
              <w:rPr>
                <w:rFonts w:ascii="Arial" w:cs="Arial" w:eastAsia="Arial" w:hAnsi="Arial"/>
                <w:sz w:val="18"/>
                <w:szCs w:val="18"/>
                <w:color w:val="auto"/>
              </w:rPr>
              <w:t>2018 Term Loan</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865,642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Less: original issue discounts</w:t>
            </w:r>
          </w:p>
        </w:tc>
        <w:tc>
          <w:tcPr>
            <w:tcW w:w="6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(6,020)</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(3,952)</w:t>
            </w:r>
          </w:p>
        </w:tc>
        <w:tc>
          <w:tcPr>
            <w:tcW w:w="0" w:type="dxa"/>
            <w:vAlign w:val="bottom"/>
          </w:tcPr>
          <w:p>
            <w:pPr>
              <w:spacing w:after="0"/>
              <w:rPr>
                <w:sz w:val="1"/>
                <w:szCs w:val="1"/>
                <w:color w:val="auto"/>
              </w:rPr>
            </w:pPr>
          </w:p>
        </w:tc>
      </w:tr>
      <w:tr>
        <w:trPr>
          <w:trHeight w:val="230"/>
        </w:trPr>
        <w:tc>
          <w:tcPr>
            <w:tcW w:w="7060" w:type="dxa"/>
            <w:vAlign w:val="bottom"/>
            <w:gridSpan w:val="3"/>
          </w:tcPr>
          <w:p>
            <w:pPr>
              <w:spacing w:after="0"/>
              <w:rPr>
                <w:sz w:val="20"/>
                <w:szCs w:val="20"/>
                <w:color w:val="auto"/>
              </w:rPr>
            </w:pPr>
            <w:r>
              <w:rPr>
                <w:rFonts w:ascii="Arial" w:cs="Arial" w:eastAsia="Arial" w:hAnsi="Arial"/>
                <w:sz w:val="18"/>
                <w:szCs w:val="18"/>
                <w:color w:val="auto"/>
              </w:rPr>
              <w:t>Less: unamortized deferred financing costs</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(19,789)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(19,645)</w:t>
            </w:r>
          </w:p>
        </w:tc>
        <w:tc>
          <w:tcPr>
            <w:tcW w:w="0" w:type="dxa"/>
            <w:vAlign w:val="bottom"/>
          </w:tcPr>
          <w:p>
            <w:pPr>
              <w:spacing w:after="0"/>
              <w:rPr>
                <w:sz w:val="1"/>
                <w:szCs w:val="1"/>
                <w:color w:val="auto"/>
              </w:rPr>
            </w:pPr>
          </w:p>
        </w:tc>
      </w:tr>
      <w:tr>
        <w:trPr>
          <w:trHeight w:val="223"/>
        </w:trPr>
        <w:tc>
          <w:tcPr>
            <w:tcW w:w="70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 long-term debt</w:t>
            </w:r>
          </w:p>
        </w:tc>
        <w:tc>
          <w:tcPr>
            <w:tcW w:w="6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975,476</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842,045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gridSpan w:val="3"/>
          </w:tcPr>
          <w:p>
            <w:pPr>
              <w:spacing w:after="0"/>
              <w:rPr>
                <w:sz w:val="20"/>
                <w:szCs w:val="20"/>
                <w:color w:val="auto"/>
              </w:rPr>
            </w:pPr>
            <w:r>
              <w:rPr>
                <w:rFonts w:ascii="Arial" w:cs="Arial" w:eastAsia="Arial" w:hAnsi="Arial"/>
                <w:sz w:val="18"/>
                <w:szCs w:val="18"/>
                <w:color w:val="auto"/>
              </w:rPr>
              <w:t>Less: current portion of long-term debt</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(9,410)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(9,104)</w:t>
            </w:r>
          </w:p>
        </w:tc>
        <w:tc>
          <w:tcPr>
            <w:tcW w:w="0" w:type="dxa"/>
            <w:vAlign w:val="bottom"/>
          </w:tcPr>
          <w:p>
            <w:pPr>
              <w:spacing w:after="0"/>
              <w:rPr>
                <w:sz w:val="1"/>
                <w:szCs w:val="1"/>
                <w:color w:val="auto"/>
              </w:rPr>
            </w:pPr>
          </w:p>
        </w:tc>
      </w:tr>
      <w:tr>
        <w:trPr>
          <w:trHeight w:val="223"/>
        </w:trPr>
        <w:tc>
          <w:tcPr>
            <w:tcW w:w="7060" w:type="dxa"/>
            <w:vAlign w:val="bottom"/>
            <w:tcBorders>
              <w:top w:val="single" w:sz="8" w:color="CFF0FC"/>
              <w:bottom w:val="single" w:sz="8" w:color="CFF0FC"/>
            </w:tcBorders>
            <w:gridSpan w:val="3"/>
            <w:shd w:val="clear" w:color="auto" w:fill="CFF0FC"/>
          </w:tcPr>
          <w:p>
            <w:pPr>
              <w:ind w:left="260"/>
              <w:spacing w:after="0"/>
              <w:rPr>
                <w:sz w:val="20"/>
                <w:szCs w:val="20"/>
                <w:color w:val="auto"/>
              </w:rPr>
            </w:pPr>
            <w:r>
              <w:rPr>
                <w:rFonts w:ascii="Arial" w:cs="Arial" w:eastAsia="Arial" w:hAnsi="Arial"/>
                <w:sz w:val="18"/>
                <w:szCs w:val="18"/>
                <w:color w:val="auto"/>
              </w:rPr>
              <w:t>Total long-term debt, net of current portion</w:t>
            </w:r>
          </w:p>
        </w:tc>
        <w:tc>
          <w:tcPr>
            <w:tcW w:w="68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966,066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832,941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Term Loan and Senior Notes</w:t>
      </w:r>
    </w:p>
    <w:p>
      <w:pPr>
        <w:spacing w:after="0" w:line="252" w:lineRule="exact"/>
        <w:rPr>
          <w:sz w:val="20"/>
          <w:szCs w:val="20"/>
          <w:color w:val="auto"/>
        </w:rPr>
      </w:pPr>
    </w:p>
    <w:p>
      <w:pPr>
        <w:jc w:val="both"/>
        <w:ind w:firstLine="802"/>
        <w:spacing w:after="0" w:line="275" w:lineRule="auto"/>
        <w:rPr>
          <w:sz w:val="20"/>
          <w:szCs w:val="20"/>
          <w:color w:val="auto"/>
        </w:rPr>
      </w:pPr>
      <w:r>
        <w:rPr>
          <w:rFonts w:ascii="Arial" w:cs="Arial" w:eastAsia="Arial" w:hAnsi="Arial"/>
          <w:sz w:val="17"/>
          <w:szCs w:val="17"/>
          <w:color w:val="auto"/>
        </w:rPr>
        <w:t>In March 2021, VM Consolidated, Inc., the Company’s wholly owned subsidiary, entered into an Amendment and Restatement Agreement No.1 to the First Lien Term Loan Credit Agreement (the “</w:t>
      </w:r>
      <w:r>
        <w:rPr>
          <w:rFonts w:ascii="Arial" w:cs="Arial" w:eastAsia="Arial" w:hAnsi="Arial"/>
          <w:sz w:val="17"/>
          <w:szCs w:val="17"/>
          <w:b w:val="1"/>
          <w:bCs w:val="1"/>
          <w:i w:val="1"/>
          <w:iCs w:val="1"/>
          <w:color w:val="auto"/>
        </w:rPr>
        <w:t>2021 Term Loan</w:t>
      </w:r>
      <w:r>
        <w:rPr>
          <w:rFonts w:ascii="Arial" w:cs="Arial" w:eastAsia="Arial" w:hAnsi="Arial"/>
          <w:sz w:val="17"/>
          <w:szCs w:val="17"/>
          <w:color w:val="auto"/>
        </w:rPr>
        <w:t>”) with a syndicate of lenders. The 2021 Term Loan has an aggregate borrowing of $650 million, maturing on March 26, 2028, and an accordion feature providing for an additional $250 million of term loans, subject to satisfaction of certain requirements. In connection with the 2021 Term Loan, the Company had an offering discount cost of $3.3 million and $0.7 million of deferred financing costs, both of which were capitalized and are amortized over the remaining life of the 2021 Term Loan.</w:t>
      </w:r>
    </w:p>
    <w:p>
      <w:pPr>
        <w:spacing w:after="0" w:line="203" w:lineRule="exact"/>
        <w:rPr>
          <w:sz w:val="20"/>
          <w:szCs w:val="20"/>
          <w:color w:val="auto"/>
        </w:rPr>
      </w:pPr>
    </w:p>
    <w:p>
      <w:pPr>
        <w:jc w:val="both"/>
        <w:ind w:right="20" w:firstLine="802"/>
        <w:spacing w:after="0" w:line="277" w:lineRule="auto"/>
        <w:rPr>
          <w:sz w:val="20"/>
          <w:szCs w:val="20"/>
          <w:color w:val="auto"/>
        </w:rPr>
      </w:pPr>
      <w:r>
        <w:rPr>
          <w:rFonts w:ascii="Arial" w:cs="Arial" w:eastAsia="Arial" w:hAnsi="Arial"/>
          <w:sz w:val="18"/>
          <w:szCs w:val="18"/>
          <w:color w:val="auto"/>
        </w:rPr>
        <w:t>In addition, in March 2021, VM Consolidated, Inc. issued an aggregate principal amount of $350 million in Senior Unsecured Notes (the “</w:t>
      </w:r>
      <w:r>
        <w:rPr>
          <w:rFonts w:ascii="Arial" w:cs="Arial" w:eastAsia="Arial" w:hAnsi="Arial"/>
          <w:sz w:val="18"/>
          <w:szCs w:val="18"/>
          <w:b w:val="1"/>
          <w:bCs w:val="1"/>
          <w:i w:val="1"/>
          <w:iCs w:val="1"/>
          <w:color w:val="auto"/>
        </w:rPr>
        <w:t>Senior Notes</w:t>
      </w:r>
      <w:r>
        <w:rPr>
          <w:rFonts w:ascii="Arial" w:cs="Arial" w:eastAsia="Arial" w:hAnsi="Arial"/>
          <w:sz w:val="18"/>
          <w:szCs w:val="18"/>
          <w:color w:val="auto"/>
        </w:rPr>
        <w:t>”), due on April 15, 2029. In connection with the issuance of the Senior Notes,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Company incurred $5.7 million in lender and third-party costs, which were capitalized as deferred financing costs and are being amortized over the remaining life of the Senior Notes.</w:t>
      </w:r>
    </w:p>
    <w:p>
      <w:pPr>
        <w:spacing w:after="0" w:line="197" w:lineRule="exact"/>
        <w:rPr>
          <w:sz w:val="20"/>
          <w:szCs w:val="20"/>
          <w:color w:val="auto"/>
        </w:rPr>
      </w:pPr>
    </w:p>
    <w:p>
      <w:pPr>
        <w:jc w:val="both"/>
        <w:ind w:right="20" w:firstLine="802"/>
        <w:spacing w:after="0" w:line="277" w:lineRule="auto"/>
        <w:rPr>
          <w:sz w:val="20"/>
          <w:szCs w:val="20"/>
          <w:color w:val="auto"/>
        </w:rPr>
      </w:pPr>
      <w:r>
        <w:rPr>
          <w:rFonts w:ascii="Arial" w:cs="Arial" w:eastAsia="Arial" w:hAnsi="Arial"/>
          <w:sz w:val="18"/>
          <w:szCs w:val="18"/>
          <w:color w:val="auto"/>
        </w:rPr>
        <w:t>The net proceeds from both the 2021 Term Loan and the Senior Notes were used to repay in full all outstanding debt which was represented by the existing First Lien Term Loan Credit Agreement (as amended, the “</w:t>
      </w:r>
      <w:r>
        <w:rPr>
          <w:rFonts w:ascii="Arial" w:cs="Arial" w:eastAsia="Arial" w:hAnsi="Arial"/>
          <w:sz w:val="18"/>
          <w:szCs w:val="18"/>
          <w:b w:val="1"/>
          <w:bCs w:val="1"/>
          <w:i w:val="1"/>
          <w:iCs w:val="1"/>
          <w:color w:val="auto"/>
        </w:rPr>
        <w:t>2018 Term Loan</w:t>
      </w:r>
      <w:r>
        <w:rPr>
          <w:rFonts w:ascii="Arial" w:cs="Arial" w:eastAsia="Arial" w:hAnsi="Arial"/>
          <w:sz w:val="18"/>
          <w:szCs w:val="18"/>
          <w:color w:val="auto"/>
        </w:rPr>
        <w:t>”) with a balance of $865.6 million.</w:t>
      </w:r>
    </w:p>
    <w:p>
      <w:pPr>
        <w:spacing w:after="0" w:line="197"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The 2021 Term Loan is repayable at 1.0% per annum of the amount initially borrowed, paid in quarterly installments. It bears interest based, at the Company’s option, on either (1) LIBOR plus an applicable margin of 3.25% per annum, or (2) an alternate base rate plus an applicable margin of 2.25% per annum. As of June 30, 2021, the interest rate on the 2021 Term Loan was 3.4%.</w:t>
      </w:r>
    </w:p>
    <w:p>
      <w:pPr>
        <w:spacing w:after="0" w:line="143"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In addition, the 2021 Term Loan requires mandatory prepayments equal to the product of the excess cash flows of the Company (as defined in the 2021 Term Loan agreement) and the applicable prepayment percentages (calculated as of the last day of the fiscal year, beginning with the year ending December 31, 2022), as set forth in the following table: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Applicable</w:t>
            </w:r>
          </w:p>
        </w:tc>
        <w:tc>
          <w:tcPr>
            <w:tcW w:w="0" w:type="dxa"/>
            <w:vAlign w:val="bottom"/>
          </w:tcPr>
          <w:p>
            <w:pPr>
              <w:spacing w:after="0"/>
              <w:rPr>
                <w:sz w:val="1"/>
                <w:szCs w:val="1"/>
                <w:color w:val="auto"/>
              </w:rPr>
            </w:pPr>
          </w:p>
        </w:tc>
      </w:tr>
      <w:tr>
        <w:trPr>
          <w:trHeight w:val="148"/>
        </w:trPr>
        <w:tc>
          <w:tcPr>
            <w:tcW w:w="894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Consolidated first lien net leverage ratio (as defined by the 2021 Term Loan agreement)</w:t>
            </w:r>
          </w:p>
        </w:tc>
        <w:tc>
          <w:tcPr>
            <w:tcW w:w="23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prepayment</w:t>
            </w:r>
          </w:p>
        </w:tc>
        <w:tc>
          <w:tcPr>
            <w:tcW w:w="0" w:type="dxa"/>
            <w:vAlign w:val="bottom"/>
          </w:tcPr>
          <w:p>
            <w:pPr>
              <w:spacing w:after="0"/>
              <w:rPr>
                <w:sz w:val="1"/>
                <w:szCs w:val="1"/>
                <w:color w:val="auto"/>
              </w:rPr>
            </w:pPr>
          </w:p>
        </w:tc>
      </w:tr>
      <w:tr>
        <w:trPr>
          <w:trHeight w:val="171"/>
        </w:trPr>
        <w:tc>
          <w:tcPr>
            <w:tcW w:w="8940" w:type="dxa"/>
            <w:vAlign w:val="bottom"/>
            <w:gridSpan w:val="6"/>
            <w:vMerge w:val="continue"/>
          </w:tcPr>
          <w:p>
            <w:pPr>
              <w:spacing w:after="0"/>
              <w:rPr>
                <w:sz w:val="14"/>
                <w:szCs w:val="14"/>
                <w:color w:val="auto"/>
              </w:rPr>
            </w:pPr>
          </w:p>
        </w:tc>
        <w:tc>
          <w:tcPr>
            <w:tcW w:w="2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23"/>
        </w:trPr>
        <w:tc>
          <w:tcPr>
            <w:tcW w:w="8720" w:type="dxa"/>
            <w:vAlign w:val="bottom"/>
            <w:tcBorders>
              <w:top w:val="single" w:sz="8" w:color="auto"/>
            </w:tcBorders>
            <w:gridSpan w:val="5"/>
            <w:shd w:val="clear" w:color="auto" w:fill="CFF0FC"/>
          </w:tcPr>
          <w:p>
            <w:pPr>
              <w:jc w:val="center"/>
              <w:spacing w:after="0"/>
              <w:rPr>
                <w:sz w:val="20"/>
                <w:szCs w:val="20"/>
                <w:color w:val="auto"/>
              </w:rPr>
            </w:pPr>
            <w:r>
              <w:rPr>
                <w:rFonts w:ascii="Arial" w:cs="Arial" w:eastAsia="Arial" w:hAnsi="Arial"/>
                <w:sz w:val="18"/>
                <w:szCs w:val="18"/>
                <w:color w:val="auto"/>
                <w:w w:val="92"/>
              </w:rPr>
              <w:t>&gt; 3.70:1.00</w:t>
            </w:r>
          </w:p>
        </w:tc>
        <w:tc>
          <w:tcPr>
            <w:tcW w:w="220" w:type="dxa"/>
            <w:vAlign w:val="bottom"/>
            <w:tcBorders>
              <w:top w:val="single" w:sz="8" w:color="CFF0FC"/>
            </w:tcBorders>
            <w:shd w:val="clear" w:color="auto" w:fill="CFF0FC"/>
          </w:tcPr>
          <w:p>
            <w:pPr>
              <w:spacing w:after="0"/>
              <w:rPr>
                <w:sz w:val="19"/>
                <w:szCs w:val="19"/>
                <w:color w:val="auto"/>
              </w:rPr>
            </w:pPr>
          </w:p>
        </w:tc>
        <w:tc>
          <w:tcPr>
            <w:tcW w:w="21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50%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940" w:type="dxa"/>
            <w:vAlign w:val="bottom"/>
            <w:gridSpan w:val="6"/>
          </w:tcPr>
          <w:p>
            <w:pPr>
              <w:jc w:val="center"/>
              <w:ind w:right="220"/>
              <w:spacing w:after="0" w:line="189" w:lineRule="exact"/>
              <w:rPr>
                <w:sz w:val="20"/>
                <w:szCs w:val="20"/>
                <w:color w:val="auto"/>
              </w:rPr>
            </w:pPr>
            <w:r>
              <w:rPr>
                <w:rFonts w:ascii="Arial" w:cs="Arial" w:eastAsia="Arial" w:hAnsi="Arial"/>
                <w:sz w:val="18"/>
                <w:szCs w:val="18"/>
                <w:color w:val="auto"/>
                <w:w w:val="90"/>
              </w:rPr>
              <w:t>&lt; 3.70:1.00 and &gt; 3.20:1.00</w:t>
            </w:r>
          </w:p>
        </w:tc>
        <w:tc>
          <w:tcPr>
            <w:tcW w:w="2180" w:type="dxa"/>
            <w:vAlign w:val="bottom"/>
          </w:tcPr>
          <w:p>
            <w:pPr>
              <w:jc w:val="center"/>
              <w:spacing w:after="0" w:line="189" w:lineRule="exact"/>
              <w:rPr>
                <w:sz w:val="20"/>
                <w:szCs w:val="20"/>
                <w:color w:val="auto"/>
              </w:rPr>
            </w:pPr>
            <w:r>
              <w:rPr>
                <w:rFonts w:ascii="Arial" w:cs="Arial" w:eastAsia="Arial" w:hAnsi="Arial"/>
                <w:sz w:val="18"/>
                <w:szCs w:val="18"/>
                <w:color w:val="auto"/>
                <w:w w:val="88"/>
              </w:rPr>
              <w:t>25%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720" w:type="dxa"/>
            <w:vAlign w:val="bottom"/>
            <w:gridSpan w:val="5"/>
            <w:shd w:val="clear" w:color="auto" w:fill="CFF0FC"/>
          </w:tcPr>
          <w:p>
            <w:pPr>
              <w:jc w:val="center"/>
              <w:spacing w:after="0" w:line="189" w:lineRule="exact"/>
              <w:rPr>
                <w:sz w:val="20"/>
                <w:szCs w:val="20"/>
                <w:color w:val="auto"/>
              </w:rPr>
            </w:pPr>
            <w:r>
              <w:rPr>
                <w:rFonts w:ascii="Arial" w:cs="Arial" w:eastAsia="Arial" w:hAnsi="Arial"/>
                <w:sz w:val="18"/>
                <w:szCs w:val="18"/>
                <w:color w:val="auto"/>
                <w:w w:val="92"/>
              </w:rPr>
              <w:t>&lt; 3.20:1.00</w:t>
            </w:r>
          </w:p>
        </w:tc>
        <w:tc>
          <w:tcPr>
            <w:tcW w:w="220" w:type="dxa"/>
            <w:vAlign w:val="bottom"/>
            <w:shd w:val="clear" w:color="auto" w:fill="CFF0FC"/>
          </w:tcPr>
          <w:p>
            <w:pPr>
              <w:spacing w:after="0"/>
              <w:rPr>
                <w:sz w:val="16"/>
                <w:szCs w:val="16"/>
                <w:color w:val="auto"/>
              </w:rPr>
            </w:pPr>
          </w:p>
        </w:tc>
        <w:tc>
          <w:tcPr>
            <w:tcW w:w="2180" w:type="dxa"/>
            <w:vAlign w:val="bottom"/>
            <w:shd w:val="clear" w:color="auto" w:fill="CFF0FC"/>
          </w:tcPr>
          <w:p>
            <w:pPr>
              <w:jc w:val="center"/>
              <w:spacing w:after="0" w:line="189" w:lineRule="exact"/>
              <w:rPr>
                <w:sz w:val="20"/>
                <w:szCs w:val="20"/>
                <w:color w:val="auto"/>
              </w:rPr>
            </w:pPr>
            <w:r>
              <w:rPr>
                <w:rFonts w:ascii="Arial" w:cs="Arial" w:eastAsia="Arial" w:hAnsi="Arial"/>
                <w:sz w:val="18"/>
                <w:szCs w:val="18"/>
                <w:color w:val="auto"/>
                <w:w w:val="92"/>
              </w:rPr>
              <w:t>0%</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3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CFF0FC"/>
          </w:tcPr>
          <w:p>
            <w:pPr>
              <w:spacing w:after="0" w:line="20" w:lineRule="exact"/>
              <w:rPr>
                <w:sz w:val="1"/>
                <w:szCs w:val="1"/>
                <w:color w:val="auto"/>
              </w:rPr>
            </w:pPr>
          </w:p>
        </w:tc>
        <w:tc>
          <w:tcPr>
            <w:tcW w:w="46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Interest on the Senior Notes is fixed at 5.50% per annum and is payable on April 15 and October 15 of each year (beginning on October 15, 2021). On or after April 15, 2024, the Company may redeem all or a portion of the Senior Notes at the redemption prices set forth below in percentages by year, plus accrued and unpaid interest: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Year</w:t>
            </w:r>
          </w:p>
        </w:tc>
        <w:tc>
          <w:tcPr>
            <w:tcW w:w="2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Percentage</w:t>
            </w:r>
          </w:p>
        </w:tc>
      </w:tr>
      <w:tr>
        <w:trPr>
          <w:trHeight w:val="223"/>
        </w:trPr>
        <w:tc>
          <w:tcPr>
            <w:tcW w:w="87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2024</w:t>
            </w:r>
          </w:p>
        </w:tc>
        <w:tc>
          <w:tcPr>
            <w:tcW w:w="220" w:type="dxa"/>
            <w:vAlign w:val="bottom"/>
            <w:tcBorders>
              <w:top w:val="single" w:sz="8" w:color="CFF0FC"/>
            </w:tcBorders>
            <w:shd w:val="clear" w:color="auto" w:fill="CFF0FC"/>
          </w:tcPr>
          <w:p>
            <w:pPr>
              <w:spacing w:after="0"/>
              <w:rPr>
                <w:sz w:val="19"/>
                <w:szCs w:val="19"/>
                <w:color w:val="auto"/>
              </w:rPr>
            </w:pPr>
          </w:p>
        </w:tc>
        <w:tc>
          <w:tcPr>
            <w:tcW w:w="21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102.750%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720" w:type="dxa"/>
            <w:vAlign w:val="bottom"/>
          </w:tcPr>
          <w:p>
            <w:pPr>
              <w:jc w:val="center"/>
              <w:spacing w:after="0"/>
              <w:rPr>
                <w:sz w:val="20"/>
                <w:szCs w:val="20"/>
                <w:color w:val="auto"/>
              </w:rPr>
            </w:pPr>
            <w:r>
              <w:rPr>
                <w:rFonts w:ascii="Arial" w:cs="Arial" w:eastAsia="Arial" w:hAnsi="Arial"/>
                <w:sz w:val="18"/>
                <w:szCs w:val="18"/>
                <w:color w:val="auto"/>
                <w:w w:val="89"/>
              </w:rPr>
              <w:t>2025</w:t>
            </w:r>
          </w:p>
        </w:tc>
        <w:tc>
          <w:tcPr>
            <w:tcW w:w="22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8"/>
              </w:rPr>
              <w:t>101.375%</w:t>
            </w:r>
          </w:p>
        </w:tc>
        <w:tc>
          <w:tcPr>
            <w:tcW w:w="120" w:type="dxa"/>
            <w:vAlign w:val="bottom"/>
          </w:tcPr>
          <w:p>
            <w:pPr>
              <w:spacing w:after="0"/>
              <w:rPr>
                <w:sz w:val="19"/>
                <w:szCs w:val="19"/>
                <w:color w:val="auto"/>
              </w:rPr>
            </w:pPr>
          </w:p>
        </w:tc>
      </w:tr>
      <w:tr>
        <w:trPr>
          <w:trHeight w:val="229"/>
        </w:trPr>
        <w:tc>
          <w:tcPr>
            <w:tcW w:w="8940" w:type="dxa"/>
            <w:vAlign w:val="bottom"/>
            <w:gridSpan w:val="2"/>
            <w:shd w:val="clear" w:color="auto" w:fill="CFF0FC"/>
          </w:tcPr>
          <w:p>
            <w:pPr>
              <w:jc w:val="center"/>
              <w:ind w:right="220"/>
              <w:spacing w:after="0"/>
              <w:rPr>
                <w:sz w:val="20"/>
                <w:szCs w:val="20"/>
                <w:color w:val="auto"/>
              </w:rPr>
            </w:pPr>
            <w:r>
              <w:rPr>
                <w:rFonts w:ascii="Arial" w:cs="Arial" w:eastAsia="Arial" w:hAnsi="Arial"/>
                <w:sz w:val="18"/>
                <w:szCs w:val="18"/>
                <w:color w:val="auto"/>
                <w:w w:val="89"/>
              </w:rPr>
              <w:t>2026 and thereafter</w:t>
            </w:r>
          </w:p>
        </w:tc>
        <w:tc>
          <w:tcPr>
            <w:tcW w:w="2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100.000%</w:t>
            </w:r>
          </w:p>
        </w:tc>
        <w:tc>
          <w:tcPr>
            <w:tcW w:w="12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ind w:left="800"/>
        <w:spacing w:after="0"/>
        <w:rPr>
          <w:sz w:val="20"/>
          <w:szCs w:val="20"/>
          <w:color w:val="auto"/>
        </w:rPr>
      </w:pPr>
      <w:r>
        <w:rPr>
          <w:rFonts w:ascii="Arial" w:cs="Arial" w:eastAsia="Arial" w:hAnsi="Arial"/>
          <w:sz w:val="17"/>
          <w:szCs w:val="17"/>
          <w:color w:val="auto"/>
        </w:rPr>
        <w:t>In addition, the Company may redeem up to 40% of the Senior Notes before April 15, 2024, with the net cash proceeds from certain equity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offerings.</w:t>
      </w:r>
    </w:p>
    <w:p>
      <w:pPr>
        <w:spacing w:after="0" w:line="238" w:lineRule="exact"/>
        <w:rPr>
          <w:sz w:val="20"/>
          <w:szCs w:val="20"/>
          <w:color w:val="auto"/>
        </w:rPr>
      </w:pPr>
    </w:p>
    <w:p>
      <w:pPr>
        <w:jc w:val="both"/>
        <w:ind w:firstLine="802"/>
        <w:spacing w:after="0" w:line="279" w:lineRule="auto"/>
        <w:rPr>
          <w:sz w:val="20"/>
          <w:szCs w:val="20"/>
          <w:color w:val="auto"/>
        </w:rPr>
      </w:pPr>
      <w:r>
        <w:rPr>
          <w:rFonts w:ascii="Arial" w:cs="Arial" w:eastAsia="Arial" w:hAnsi="Arial"/>
          <w:sz w:val="17"/>
          <w:szCs w:val="17"/>
          <w:color w:val="auto"/>
        </w:rPr>
        <w:t>The Company evaluated the refinancing transactions on a lender by lender basis and accounted for the portion of the transaction that did not meet the accounting criteria for debt extinguishment as a debt modification. Accordingly, the Company recognized a loss on extinguishment of debt of $5.3 million on the 2018 Term Loan during the six months ended June 30, 2021 consisting of a $4.0 million write-off of pre-existing deferred financing costs and $1.3 million of lender and third-party costs associated with the issuance of the new 2021 Term Loan.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PPP Loan</w:t>
      </w:r>
    </w:p>
    <w:p>
      <w:pPr>
        <w:spacing w:after="0" w:line="252"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color w:val="auto"/>
        </w:rPr>
        <w:t>During fiscal year 2020, Redflex received a loan from the U.S. Small Business Administration (“</w:t>
      </w:r>
      <w:r>
        <w:rPr>
          <w:rFonts w:ascii="Arial" w:cs="Arial" w:eastAsia="Arial" w:hAnsi="Arial"/>
          <w:sz w:val="18"/>
          <w:szCs w:val="18"/>
          <w:b w:val="1"/>
          <w:bCs w:val="1"/>
          <w:i w:val="1"/>
          <w:iCs w:val="1"/>
          <w:color w:val="auto"/>
        </w:rPr>
        <w:t>SBA</w:t>
      </w:r>
      <w:r>
        <w:rPr>
          <w:rFonts w:ascii="Arial" w:cs="Arial" w:eastAsia="Arial" w:hAnsi="Arial"/>
          <w:sz w:val="18"/>
          <w:szCs w:val="18"/>
          <w:color w:val="auto"/>
        </w:rPr>
        <w:t>”) as part of the Paycheck Protection Program (“</w:t>
      </w:r>
      <w:r>
        <w:rPr>
          <w:rFonts w:ascii="Arial" w:cs="Arial" w:eastAsia="Arial" w:hAnsi="Arial"/>
          <w:sz w:val="18"/>
          <w:szCs w:val="18"/>
          <w:b w:val="1"/>
          <w:bCs w:val="1"/>
          <w:i w:val="1"/>
          <w:iCs w:val="1"/>
          <w:color w:val="auto"/>
        </w:rPr>
        <w:t>PPP Loan</w:t>
      </w:r>
      <w:r>
        <w:rPr>
          <w:rFonts w:ascii="Arial" w:cs="Arial" w:eastAsia="Arial" w:hAnsi="Arial"/>
          <w:sz w:val="18"/>
          <w:szCs w:val="18"/>
          <w:color w:val="auto"/>
        </w:rPr>
        <w:t>”) to offset certain employment and other allowable costs incurred as a result of the COVID-19 pandemic. At June 30, 2021, the loan amount outstanding was $2.9 million and is payable within a year, and is included in the current portion of long-term debt. In early 2021, Redflex applied for forgiveness of this loan and awaits approval from the SBA.</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Revolver</w:t>
      </w:r>
    </w:p>
    <w:p>
      <w:pPr>
        <w:spacing w:after="0" w:line="252" w:lineRule="exact"/>
        <w:rPr>
          <w:sz w:val="20"/>
          <w:szCs w:val="20"/>
          <w:color w:val="auto"/>
        </w:rPr>
      </w:pPr>
    </w:p>
    <w:p>
      <w:pPr>
        <w:jc w:val="both"/>
        <w:ind w:firstLine="802"/>
        <w:spacing w:after="0" w:line="273" w:lineRule="auto"/>
        <w:rPr>
          <w:sz w:val="20"/>
          <w:szCs w:val="20"/>
          <w:color w:val="auto"/>
        </w:rPr>
      </w:pPr>
      <w:r>
        <w:rPr>
          <w:rFonts w:ascii="Arial" w:cs="Arial" w:eastAsia="Arial" w:hAnsi="Arial"/>
          <w:sz w:val="17"/>
          <w:szCs w:val="17"/>
          <w:color w:val="auto"/>
        </w:rPr>
        <w:t>The Company has a Revolving Credit Agreement (the “</w:t>
      </w:r>
      <w:r>
        <w:rPr>
          <w:rFonts w:ascii="Arial" w:cs="Arial" w:eastAsia="Arial" w:hAnsi="Arial"/>
          <w:sz w:val="17"/>
          <w:szCs w:val="17"/>
          <w:b w:val="1"/>
          <w:bCs w:val="1"/>
          <w:i w:val="1"/>
          <w:iCs w:val="1"/>
          <w:color w:val="auto"/>
        </w:rPr>
        <w:t>Revolver</w:t>
      </w:r>
      <w:r>
        <w:rPr>
          <w:rFonts w:ascii="Arial" w:cs="Arial" w:eastAsia="Arial" w:hAnsi="Arial"/>
          <w:sz w:val="17"/>
          <w:szCs w:val="17"/>
          <w:color w:val="auto"/>
        </w:rPr>
        <w:t>”) which it entered into in fiscal year 2018 in connection with an acquisition, with a revolving commitment of up to $75 million available for loans and letters of credit. The Revolver matures on February 28, 2023. The terms of the Revolver were not affected by other debt instruments discussed above. Borrowing eligibility under the Revolver is subject to a monthly borrowing base calculation based on (i) certain percentages of eligible accounts receivable and inventory, less (ii) certain reserve items, including outstanding letters of credit and other reserves. The Revolver bears interest on either (1) LIBOR plus an applicable margin, or (2) an alternate base rate, plus an applicable margin. The margin percentage applied to (1) LIBOR is either 1.25%, 1.50%, or 1.75%, or (2) the base rate is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jc w:val="both"/>
        <w:spacing w:after="0" w:line="308" w:lineRule="auto"/>
        <w:rPr>
          <w:sz w:val="20"/>
          <w:szCs w:val="20"/>
          <w:color w:val="auto"/>
        </w:rPr>
      </w:pPr>
      <w:r>
        <w:rPr>
          <w:rFonts w:ascii="Arial" w:cs="Arial" w:eastAsia="Arial" w:hAnsi="Arial"/>
          <w:sz w:val="17"/>
          <w:szCs w:val="17"/>
          <w:color w:val="auto"/>
        </w:rPr>
        <w:t>either 0.25%, 0.50%, or 0.75%, depending on the Company’s average availability to borrow under the commitment. At June 30, 2021, the Company had no outstanding borrowings on the Revolver and availability to borrow was $57.0 million, net of $6.2 million of outstanding letters of credit.</w:t>
      </w:r>
    </w:p>
    <w:p>
      <w:pPr>
        <w:spacing w:after="0" w:line="173"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color w:val="auto"/>
        </w:rPr>
        <w:t>Interest on the unused portion of the Revolver is payable quarterly at 0.375% and the Company is also required to pay participation and fronting fees at 1.38% on $6.2 million of outstanding letters of credit as of June 30, 2021.</w:t>
      </w:r>
    </w:p>
    <w:p>
      <w:pPr>
        <w:spacing w:after="0" w:line="197"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color w:val="auto"/>
        </w:rPr>
        <w:t>All borrowings and other extensions of credits under the 2021 Term Loan, Senior Notes and the Revolver are subject to the satisfaction of customary conditions and restrictive covenants including absence of defaults and accuracy in material respects of representations and warranties. At June 30, 2021, the Company was compliant with all debt covenants. Substantially all of the Company’s assets are pledged as collateral to secure the Company’s indebtedness under the 2021 Term Loan.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52"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The Company recorded interest expense, including amortization of deferred financing costs and discounts, of $11.7 million and $9.5 million for the three months ended June 30, 2021 and 2020, respectively, and $20.8 million and $22.0 million for the six months ended June 30, 2021 and 2020, respectively.</w:t>
      </w:r>
    </w:p>
    <w:p>
      <w:pPr>
        <w:spacing w:after="0" w:line="143" w:lineRule="exact"/>
        <w:rPr>
          <w:sz w:val="20"/>
          <w:szCs w:val="20"/>
          <w:color w:val="auto"/>
        </w:rPr>
      </w:pPr>
    </w:p>
    <w:p>
      <w:pPr>
        <w:jc w:val="both"/>
        <w:ind w:right="20" w:firstLine="802"/>
        <w:spacing w:after="0" w:line="277" w:lineRule="auto"/>
        <w:rPr>
          <w:sz w:val="20"/>
          <w:szCs w:val="20"/>
          <w:color w:val="auto"/>
        </w:rPr>
      </w:pPr>
      <w:r>
        <w:rPr>
          <w:rFonts w:ascii="Arial" w:cs="Arial" w:eastAsia="Arial" w:hAnsi="Arial"/>
          <w:sz w:val="18"/>
          <w:szCs w:val="18"/>
          <w:color w:val="auto"/>
        </w:rPr>
        <w:t>The weighted average effective interest rates on the Company’s outstanding borrowings were 4.1% and 3.4% at June 30, 2021 and December 31, 2020, respectively.</w:t>
      </w:r>
    </w:p>
    <w:p>
      <w:pPr>
        <w:spacing w:after="0" w:line="139" w:lineRule="exact"/>
        <w:rPr>
          <w:sz w:val="20"/>
          <w:szCs w:val="20"/>
          <w:color w:val="auto"/>
        </w:rPr>
      </w:pPr>
    </w:p>
    <w:p>
      <w:pPr>
        <w:ind w:left="400" w:hanging="392"/>
        <w:spacing w:after="0"/>
        <w:tabs>
          <w:tab w:leader="none" w:pos="4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89" w:lineRule="exact"/>
        <w:rPr>
          <w:sz w:val="20"/>
          <w:szCs w:val="20"/>
          <w:color w:val="auto"/>
        </w:rPr>
      </w:pPr>
    </w:p>
    <w:p>
      <w:pPr>
        <w:jc w:val="both"/>
        <w:ind w:firstLine="802"/>
        <w:spacing w:after="0" w:line="286" w:lineRule="auto"/>
        <w:rPr>
          <w:sz w:val="20"/>
          <w:szCs w:val="20"/>
          <w:color w:val="auto"/>
        </w:rPr>
      </w:pPr>
      <w:r>
        <w:rPr>
          <w:rFonts w:ascii="Arial" w:cs="Arial" w:eastAsia="Arial" w:hAnsi="Arial"/>
          <w:sz w:val="17"/>
          <w:szCs w:val="17"/>
          <w:color w:val="auto"/>
        </w:rPr>
        <w:t xml:space="preserve">ASC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includes a single definition of fair value to be used for financial reporting purposes, provides a framework for applying this definition and for measuring fair value under GAAP, and establishes a fair value hierarchy that categorizes into three levels the inputs to valuation techniques used to measure fair value. The three levels of the fair value hierarchy are summarized as follows:</w:t>
      </w:r>
    </w:p>
    <w:p>
      <w:pPr>
        <w:spacing w:after="0" w:line="125"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 xml:space="preserve">Level 1 – </w:t>
      </w:r>
      <w:r>
        <w:rPr>
          <w:rFonts w:ascii="Arial" w:cs="Arial" w:eastAsia="Arial" w:hAnsi="Arial"/>
          <w:sz w:val="18"/>
          <w:szCs w:val="18"/>
          <w:color w:val="auto"/>
        </w:rPr>
        <w:t>Fair value is based on observable inputs such as quoted prices for identical assets or liabilities in active markets.</w:t>
      </w:r>
    </w:p>
    <w:p>
      <w:pPr>
        <w:spacing w:after="0" w:line="185" w:lineRule="exact"/>
        <w:rPr>
          <w:sz w:val="20"/>
          <w:szCs w:val="20"/>
          <w:color w:val="auto"/>
        </w:rPr>
      </w:pPr>
    </w:p>
    <w:p>
      <w:pPr>
        <w:ind w:left="800" w:right="20"/>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Fair value is determined using quoted prices for similar assets or liabilities in active markets, quoted prices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 in markets that are not active or inputs other than quoted prices that are directly or indirectly observable.</w:t>
      </w:r>
    </w:p>
    <w:p>
      <w:pPr>
        <w:spacing w:after="0" w:line="143" w:lineRule="exact"/>
        <w:rPr>
          <w:sz w:val="20"/>
          <w:szCs w:val="20"/>
          <w:color w:val="auto"/>
        </w:rPr>
      </w:pPr>
    </w:p>
    <w:p>
      <w:pPr>
        <w:ind w:left="800"/>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Fair value is determined using one or more significant inputs that are unobservable in active markets at the measurement date,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a pricing model, discounted cash flow, or similar technique.</w:t>
      </w:r>
    </w:p>
    <w:p>
      <w:pPr>
        <w:spacing w:after="0" w:line="130"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color w:val="auto"/>
        </w:rPr>
        <w:t>The carrying amounts reported in the Company’s condensed consolidated balance sheets for cash, accounts receivable, accounts payable, accrued expenses and the PPP Loan approximate fair value due to the immediate to short-term maturity of these financial instruments. The estimated fair value of the Company’s long-term debt was calculated based upon available market information. The carrying value and the estimated fair value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5"/>
              </w:rPr>
              <w:t>Level in</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 2021</w:t>
            </w: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80" w:type="dxa"/>
            <w:vAlign w:val="bottom"/>
            <w:gridSpan w:val="5"/>
          </w:tcPr>
          <w:p>
            <w:pPr>
              <w:ind w:left="72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5"/>
        </w:trPr>
        <w:tc>
          <w:tcPr>
            <w:tcW w:w="10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2"/>
          </w:tcPr>
          <w:p>
            <w:pPr>
              <w:jc w:val="center"/>
              <w:ind w:right="520"/>
              <w:spacing w:after="0" w:line="147" w:lineRule="exact"/>
              <w:rPr>
                <w:sz w:val="20"/>
                <w:szCs w:val="20"/>
                <w:color w:val="auto"/>
              </w:rPr>
            </w:pPr>
            <w:r>
              <w:rPr>
                <w:rFonts w:ascii="Arial" w:cs="Arial" w:eastAsia="Arial" w:hAnsi="Arial"/>
                <w:sz w:val="14"/>
                <w:szCs w:val="14"/>
                <w:b w:val="1"/>
                <w:bCs w:val="1"/>
                <w:color w:val="auto"/>
              </w:rPr>
              <w:t>Carrying</w:t>
            </w:r>
          </w:p>
        </w:tc>
        <w:tc>
          <w:tcPr>
            <w:tcW w:w="3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321"/>
              <w:spacing w:after="0" w:line="147" w:lineRule="exact"/>
              <w:rPr>
                <w:sz w:val="20"/>
                <w:szCs w:val="20"/>
                <w:color w:val="auto"/>
              </w:rPr>
            </w:pPr>
            <w:r>
              <w:rPr>
                <w:rFonts w:ascii="Arial" w:cs="Arial" w:eastAsia="Arial" w:hAnsi="Arial"/>
                <w:sz w:val="14"/>
                <w:szCs w:val="14"/>
                <w:b w:val="1"/>
                <w:bCs w:val="1"/>
                <w:color w:val="auto"/>
                <w:w w:val="98"/>
              </w:rPr>
              <w:t>Estimated</w:t>
            </w:r>
          </w:p>
        </w:tc>
        <w:tc>
          <w:tcPr>
            <w:tcW w:w="2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2"/>
          </w:tcPr>
          <w:p>
            <w:pPr>
              <w:jc w:val="center"/>
              <w:ind w:right="500"/>
              <w:spacing w:after="0" w:line="147" w:lineRule="exact"/>
              <w:rPr>
                <w:sz w:val="20"/>
                <w:szCs w:val="20"/>
                <w:color w:val="auto"/>
              </w:rPr>
            </w:pPr>
            <w:r>
              <w:rPr>
                <w:rFonts w:ascii="Arial" w:cs="Arial" w:eastAsia="Arial" w:hAnsi="Arial"/>
                <w:sz w:val="14"/>
                <w:szCs w:val="14"/>
                <w:b w:val="1"/>
                <w:bCs w:val="1"/>
                <w:color w:val="auto"/>
                <w:w w:val="97"/>
              </w:rPr>
              <w:t>Carrying</w:t>
            </w:r>
          </w:p>
        </w:tc>
        <w:tc>
          <w:tcPr>
            <w:tcW w:w="2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ind w:left="160"/>
              <w:spacing w:after="0" w:line="147" w:lineRule="exact"/>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160" w:type="dxa"/>
            <w:vAlign w:val="bottom"/>
          </w:tcPr>
          <w:p>
            <w:pPr>
              <w:spacing w:after="0"/>
              <w:rPr>
                <w:sz w:val="15"/>
                <w:szCs w:val="15"/>
                <w:color w:val="auto"/>
              </w:rPr>
            </w:pPr>
          </w:p>
        </w:tc>
        <w:tc>
          <w:tcPr>
            <w:tcW w:w="13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Hierarchy</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4"/>
              </w:rPr>
              <w:t>Amount</w:t>
            </w:r>
          </w:p>
        </w:tc>
        <w:tc>
          <w:tcPr>
            <w:tcW w:w="320" w:type="dxa"/>
            <w:vAlign w:val="bottom"/>
          </w:tcPr>
          <w:p>
            <w:pPr>
              <w:spacing w:after="0"/>
              <w:rPr>
                <w:sz w:val="15"/>
                <w:szCs w:val="15"/>
                <w:color w:val="auto"/>
              </w:rPr>
            </w:pPr>
          </w:p>
        </w:tc>
        <w:tc>
          <w:tcPr>
            <w:tcW w:w="1080" w:type="dxa"/>
            <w:vAlign w:val="bottom"/>
          </w:tcPr>
          <w:p>
            <w:pPr>
              <w:jc w:val="right"/>
              <w:ind w:right="301"/>
              <w:spacing w:after="0" w:line="158" w:lineRule="exact"/>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5"/>
                <w:szCs w:val="15"/>
                <w:color w:val="auto"/>
              </w:rPr>
            </w:pPr>
          </w:p>
        </w:tc>
        <w:tc>
          <w:tcPr>
            <w:tcW w:w="1300" w:type="dxa"/>
            <w:vAlign w:val="bottom"/>
            <w:gridSpan w:val="2"/>
          </w:tcPr>
          <w:p>
            <w:pPr>
              <w:ind w:left="140"/>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7"/>
        </w:trPr>
        <w:tc>
          <w:tcPr>
            <w:tcW w:w="31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2021 Term Loan</w:t>
            </w:r>
          </w:p>
        </w:tc>
        <w:tc>
          <w:tcPr>
            <w:tcW w:w="13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2</w:t>
            </w:r>
          </w:p>
        </w:tc>
        <w:tc>
          <w:tcPr>
            <w:tcW w:w="1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627,995</w:t>
            </w:r>
          </w:p>
        </w:tc>
        <w:tc>
          <w:tcPr>
            <w:tcW w:w="26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628,780</w:t>
            </w:r>
          </w:p>
        </w:tc>
        <w:tc>
          <w:tcPr>
            <w:tcW w:w="2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60" w:type="dxa"/>
            <w:vAlign w:val="bottom"/>
            <w:gridSpan w:val="2"/>
          </w:tcPr>
          <w:p>
            <w:pPr>
              <w:spacing w:after="0"/>
              <w:rPr>
                <w:sz w:val="20"/>
                <w:szCs w:val="20"/>
                <w:color w:val="auto"/>
              </w:rPr>
            </w:pPr>
            <w:r>
              <w:rPr>
                <w:rFonts w:ascii="Arial" w:cs="Arial" w:eastAsia="Arial" w:hAnsi="Arial"/>
                <w:sz w:val="18"/>
                <w:szCs w:val="18"/>
                <w:color w:val="auto"/>
              </w:rPr>
              <w:t>Senior Notes</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344,571</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354,047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3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2018 Term Loan</w:t>
            </w:r>
          </w:p>
        </w:tc>
        <w:tc>
          <w:tcPr>
            <w:tcW w:w="1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842,045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861,314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675"/>
        </w:trPr>
        <w:tc>
          <w:tcPr>
            <w:tcW w:w="10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30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jc w:val="both"/>
        <w:ind w:firstLine="802"/>
        <w:spacing w:after="0" w:line="263" w:lineRule="auto"/>
        <w:rPr>
          <w:sz w:val="20"/>
          <w:szCs w:val="20"/>
          <w:color w:val="auto"/>
        </w:rPr>
      </w:pPr>
      <w:r>
        <w:rPr>
          <w:rFonts w:ascii="Arial" w:cs="Arial" w:eastAsia="Arial" w:hAnsi="Arial"/>
          <w:sz w:val="18"/>
          <w:szCs w:val="18"/>
          <w:color w:val="auto"/>
        </w:rPr>
        <w:t>The fair value of the private placement warrant liabilities is measured on a recurring basis and is estimated using the Black-Scholes option pricing model using significant unobservable inputs, primarily related to estimated volatility, and is therefore classified within level 3 of the fair value hierarchy. The key assumptions used were as follows: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540" w:type="dxa"/>
            <w:vAlign w:val="bottom"/>
          </w:tcPr>
          <w:p>
            <w:pPr>
              <w:jc w:val="right"/>
              <w:ind w:right="19"/>
              <w:spacing w:after="0"/>
              <w:rPr>
                <w:sz w:val="20"/>
                <w:szCs w:val="20"/>
                <w:color w:val="auto"/>
              </w:rPr>
            </w:pPr>
            <w:r>
              <w:rPr>
                <w:rFonts w:ascii="Arial" w:cs="Arial" w:eastAsia="Arial" w:hAnsi="Arial"/>
                <w:sz w:val="14"/>
                <w:szCs w:val="14"/>
                <w:b w:val="1"/>
                <w:bCs w:val="1"/>
                <w:color w:val="auto"/>
              </w:rPr>
              <w:t>June 30, 2021</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4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price</w:t>
            </w:r>
          </w:p>
        </w:tc>
        <w:tc>
          <w:tcPr>
            <w:tcW w:w="228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ind w:right="135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15.37</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13.42</w:t>
            </w: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4080" w:type="dxa"/>
            <w:vAlign w:val="bottom"/>
          </w:tcPr>
          <w:p>
            <w:pPr>
              <w:spacing w:after="0"/>
              <w:rPr>
                <w:sz w:val="20"/>
                <w:szCs w:val="20"/>
                <w:color w:val="auto"/>
              </w:rPr>
            </w:pPr>
            <w:r>
              <w:rPr>
                <w:rFonts w:ascii="Arial" w:cs="Arial" w:eastAsia="Arial" w:hAnsi="Arial"/>
                <w:sz w:val="18"/>
                <w:szCs w:val="18"/>
                <w:color w:val="auto"/>
              </w:rPr>
              <w:t>Strike price</w:t>
            </w:r>
          </w:p>
        </w:tc>
        <w:tc>
          <w:tcPr>
            <w:tcW w:w="3820" w:type="dxa"/>
            <w:vAlign w:val="bottom"/>
            <w:gridSpan w:val="2"/>
          </w:tcPr>
          <w:p>
            <w:pPr>
              <w:jc w:val="right"/>
              <w:ind w:right="1359"/>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11.50</w:t>
            </w:r>
          </w:p>
        </w:tc>
        <w:tc>
          <w:tcPr>
            <w:tcW w:w="280" w:type="dxa"/>
            <w:vAlign w:val="bottom"/>
          </w:tcPr>
          <w:p>
            <w:pPr>
              <w:spacing w:after="0"/>
              <w:rPr>
                <w:sz w:val="19"/>
                <w:szCs w:val="19"/>
                <w:color w:val="auto"/>
              </w:rPr>
            </w:pP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11.50</w:t>
            </w:r>
          </w:p>
        </w:tc>
        <w:tc>
          <w:tcPr>
            <w:tcW w:w="180" w:type="dxa"/>
            <w:vAlign w:val="bottom"/>
          </w:tcPr>
          <w:p>
            <w:pPr>
              <w:spacing w:after="0"/>
              <w:rPr>
                <w:sz w:val="19"/>
                <w:szCs w:val="19"/>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22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49.0%</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44.0%</w:t>
            </w:r>
          </w:p>
        </w:tc>
      </w:tr>
      <w:tr>
        <w:trPr>
          <w:trHeight w:val="229"/>
        </w:trPr>
        <w:tc>
          <w:tcPr>
            <w:tcW w:w="4080" w:type="dxa"/>
            <w:vAlign w:val="bottom"/>
          </w:tcPr>
          <w:p>
            <w:pPr>
              <w:spacing w:after="0"/>
              <w:rPr>
                <w:sz w:val="20"/>
                <w:szCs w:val="20"/>
                <w:color w:val="auto"/>
              </w:rPr>
            </w:pPr>
            <w:r>
              <w:rPr>
                <w:rFonts w:ascii="Arial" w:cs="Arial" w:eastAsia="Arial" w:hAnsi="Arial"/>
                <w:sz w:val="18"/>
                <w:szCs w:val="18"/>
                <w:color w:val="auto"/>
              </w:rPr>
              <w:t>Remaining life (in years)</w:t>
            </w:r>
          </w:p>
        </w:tc>
        <w:tc>
          <w:tcPr>
            <w:tcW w:w="2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9"/>
                <w:szCs w:val="19"/>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22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0.31%</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0.16%</w:t>
            </w:r>
          </w:p>
        </w:tc>
      </w:tr>
      <w:tr>
        <w:trPr>
          <w:trHeight w:val="229"/>
        </w:trPr>
        <w:tc>
          <w:tcPr>
            <w:tcW w:w="40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43"/>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Estimated fair value</w:t>
            </w:r>
          </w:p>
        </w:tc>
        <w:tc>
          <w:tcPr>
            <w:tcW w:w="3820" w:type="dxa"/>
            <w:vAlign w:val="bottom"/>
            <w:gridSpan w:val="2"/>
            <w:shd w:val="clear" w:color="auto" w:fill="CFF0FC"/>
          </w:tcPr>
          <w:p>
            <w:pPr>
              <w:jc w:val="right"/>
              <w:ind w:right="1359"/>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w:t>
            </w:r>
          </w:p>
        </w:tc>
        <w:tc>
          <w:tcPr>
            <w:tcW w:w="28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w:t>
            </w:r>
          </w:p>
        </w:tc>
        <w:tc>
          <w:tcPr>
            <w:tcW w:w="180" w:type="dxa"/>
            <w:vAlign w:val="bottom"/>
            <w:shd w:val="clear" w:color="auto" w:fill="CFF0FC"/>
          </w:tcPr>
          <w:p>
            <w:pPr>
              <w:spacing w:after="0"/>
              <w:rPr>
                <w:sz w:val="21"/>
                <w:szCs w:val="21"/>
                <w:color w:val="auto"/>
              </w:rPr>
            </w:pPr>
          </w:p>
        </w:tc>
      </w:tr>
    </w:tbl>
    <w:p>
      <w:pPr>
        <w:spacing w:after="0" w:line="20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summarizes the changes in the private placement warrant liabilities for the respective periods: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480" w:type="dxa"/>
            <w:vAlign w:val="bottom"/>
            <w:gridSpan w:val="6"/>
          </w:tcPr>
          <w:p>
            <w:pPr>
              <w:ind w:left="68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4"/>
                <w:szCs w:val="14"/>
                <w:color w:val="auto"/>
              </w:rPr>
            </w:pPr>
          </w:p>
        </w:tc>
        <w:tc>
          <w:tcPr>
            <w:tcW w:w="288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Six Months Ended June 30,</w:t>
            </w:r>
          </w:p>
        </w:tc>
      </w:tr>
      <w:tr>
        <w:trPr>
          <w:trHeight w:val="237"/>
        </w:trPr>
        <w:tc>
          <w:tcPr>
            <w:tcW w:w="10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0"/>
                <w:szCs w:val="20"/>
                <w:color w:val="auto"/>
              </w:rPr>
            </w:pPr>
          </w:p>
        </w:tc>
      </w:tr>
      <w:tr>
        <w:trPr>
          <w:trHeight w:val="209"/>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(As restated)</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(As restated)</w:t>
            </w:r>
          </w:p>
        </w:tc>
      </w:tr>
      <w:tr>
        <w:trPr>
          <w:trHeight w:val="223"/>
        </w:trPr>
        <w:tc>
          <w:tcPr>
            <w:tcW w:w="4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880" w:type="dxa"/>
            <w:vAlign w:val="bottom"/>
            <w:shd w:val="clear" w:color="auto" w:fill="CFF0FC"/>
          </w:tcPr>
          <w:p>
            <w:pPr>
              <w:jc w:val="right"/>
              <w:ind w:right="69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32,933</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14,266</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30,866</w:t>
            </w:r>
          </w:p>
        </w:tc>
        <w:tc>
          <w:tcPr>
            <w:tcW w:w="4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29,733</w:t>
            </w:r>
          </w:p>
        </w:tc>
        <w:tc>
          <w:tcPr>
            <w:tcW w:w="120" w:type="dxa"/>
            <w:vAlign w:val="bottom"/>
            <w:shd w:val="clear" w:color="auto" w:fill="CFF0FC"/>
          </w:tcPr>
          <w:p>
            <w:pPr>
              <w:spacing w:after="0"/>
              <w:rPr>
                <w:sz w:val="19"/>
                <w:szCs w:val="19"/>
                <w:color w:val="auto"/>
              </w:rPr>
            </w:pPr>
          </w:p>
        </w:tc>
      </w:tr>
      <w:tr>
        <w:trPr>
          <w:trHeight w:val="229"/>
        </w:trPr>
        <w:tc>
          <w:tcPr>
            <w:tcW w:w="4540" w:type="dxa"/>
            <w:vAlign w:val="bottom"/>
            <w:gridSpan w:val="2"/>
          </w:tcPr>
          <w:p>
            <w:pPr>
              <w:spacing w:after="0"/>
              <w:rPr>
                <w:sz w:val="20"/>
                <w:szCs w:val="20"/>
                <w:color w:val="auto"/>
              </w:rPr>
            </w:pPr>
            <w:r>
              <w:rPr>
                <w:rFonts w:ascii="Arial" w:cs="Arial" w:eastAsia="Arial" w:hAnsi="Arial"/>
                <w:sz w:val="18"/>
                <w:szCs w:val="18"/>
                <w:color w:val="auto"/>
              </w:rPr>
              <w:t>Change in fair value included in net income (loss)</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8,067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8,334</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10,134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(7,133)</w:t>
            </w:r>
          </w:p>
        </w:tc>
      </w:tr>
      <w:tr>
        <w:trPr>
          <w:trHeight w:val="223"/>
        </w:trPr>
        <w:tc>
          <w:tcPr>
            <w:tcW w:w="454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Ending balance</w:t>
            </w:r>
          </w:p>
        </w:tc>
        <w:tc>
          <w:tcPr>
            <w:tcW w:w="880" w:type="dxa"/>
            <w:vAlign w:val="bottom"/>
            <w:tcBorders>
              <w:top w:val="single" w:sz="8" w:color="auto"/>
              <w:bottom w:val="single" w:sz="8" w:color="auto"/>
            </w:tcBorders>
            <w:shd w:val="clear" w:color="auto" w:fill="CFF0FC"/>
          </w:tcPr>
          <w:p>
            <w:pPr>
              <w:jc w:val="right"/>
              <w:ind w:right="69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41,000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22,600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41,000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22,600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0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ind w:left="400" w:hanging="392"/>
        <w:spacing w:after="0"/>
        <w:tabs>
          <w:tab w:leader="none" w:pos="4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Share</w:t>
      </w:r>
    </w:p>
    <w:p>
      <w:pPr>
        <w:spacing w:after="0" w:line="189" w:lineRule="exact"/>
        <w:rPr>
          <w:sz w:val="20"/>
          <w:szCs w:val="20"/>
          <w:color w:val="auto"/>
        </w:rPr>
      </w:pPr>
    </w:p>
    <w:p>
      <w:pPr>
        <w:jc w:val="both"/>
        <w:ind w:firstLine="802"/>
        <w:spacing w:after="0" w:line="286" w:lineRule="auto"/>
        <w:rPr>
          <w:sz w:val="20"/>
          <w:szCs w:val="20"/>
          <w:color w:val="auto"/>
        </w:rPr>
      </w:pPr>
      <w:r>
        <w:rPr>
          <w:rFonts w:ascii="Arial" w:cs="Arial" w:eastAsia="Arial" w:hAnsi="Arial"/>
          <w:sz w:val="17"/>
          <w:szCs w:val="17"/>
          <w:color w:val="auto"/>
        </w:rPr>
        <w:t>Basic net income (loss) per share is calculated by dividing net income (loss) by the weighted average shares outstanding during the period, without consideration of common stock equivalents. Diluted net income (loss) per share is calculated by adjusting the weighted average shares outstanding for the dilutive effect of common stock equivalents outstanding for the period, determined using the treasury-stock method.</w:t>
      </w:r>
    </w:p>
    <w:p>
      <w:pPr>
        <w:spacing w:after="0" w:line="13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components of basic and diluted net income (loss) per share are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4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2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4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6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(As restated)</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rPr>
              <w:t>(As restated)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Numerator:</w:t>
            </w:r>
          </w:p>
        </w:tc>
        <w:tc>
          <w:tcPr>
            <w:tcW w:w="2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gridSpan w:val="2"/>
          </w:tcPr>
          <w:p>
            <w:pPr>
              <w:ind w:left="260"/>
              <w:spacing w:after="0"/>
              <w:rPr>
                <w:sz w:val="20"/>
                <w:szCs w:val="20"/>
                <w:color w:val="auto"/>
              </w:rPr>
            </w:pPr>
            <w:r>
              <w:rPr>
                <w:rFonts w:ascii="Arial" w:cs="Arial" w:eastAsia="Arial" w:hAnsi="Arial"/>
                <w:sz w:val="18"/>
                <w:szCs w:val="18"/>
                <w:color w:val="auto"/>
              </w:rPr>
              <w:t>Net income (loss)</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3,992</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(23,722)</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(4,923)</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30"/>
        </w:trPr>
        <w:tc>
          <w:tcPr>
            <w:tcW w:w="4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Denominator:</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gridSpan w:val="2"/>
          </w:tcPr>
          <w:p>
            <w:pPr>
              <w:ind w:left="260"/>
              <w:spacing w:after="0"/>
              <w:rPr>
                <w:sz w:val="20"/>
                <w:szCs w:val="20"/>
                <w:color w:val="auto"/>
              </w:rPr>
            </w:pPr>
            <w:r>
              <w:rPr>
                <w:rFonts w:ascii="Arial" w:cs="Arial" w:eastAsia="Arial" w:hAnsi="Arial"/>
                <w:sz w:val="18"/>
                <w:szCs w:val="18"/>
                <w:color w:val="auto"/>
              </w:rPr>
              <w:t>Weighted average shares - basic</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162,378</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161,710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162,338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161,317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Common stock equivalents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3,650</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80" w:type="dxa"/>
            <w:vAlign w:val="bottom"/>
            <w:gridSpan w:val="2"/>
          </w:tcPr>
          <w:p>
            <w:pPr>
              <w:ind w:left="260"/>
              <w:spacing w:after="0"/>
              <w:rPr>
                <w:sz w:val="20"/>
                <w:szCs w:val="20"/>
                <w:color w:val="auto"/>
              </w:rPr>
            </w:pPr>
            <w:r>
              <w:rPr>
                <w:rFonts w:ascii="Arial" w:cs="Arial" w:eastAsia="Arial" w:hAnsi="Arial"/>
                <w:sz w:val="18"/>
                <w:szCs w:val="18"/>
                <w:color w:val="auto"/>
              </w:rPr>
              <w:t>Weighted average shares - diluted</w:t>
            </w: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166,028</w:t>
            </w: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161,710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162,338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161,317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 (loss) per share - basic</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(0.15)</w:t>
            </w:r>
          </w:p>
        </w:tc>
        <w:tc>
          <w:tcPr>
            <w:tcW w:w="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(0.03)</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4680" w:type="dxa"/>
            <w:vAlign w:val="bottom"/>
            <w:gridSpan w:val="2"/>
          </w:tcPr>
          <w:p>
            <w:pPr>
              <w:spacing w:after="0"/>
              <w:rPr>
                <w:sz w:val="20"/>
                <w:szCs w:val="20"/>
                <w:color w:val="auto"/>
              </w:rPr>
            </w:pPr>
            <w:r>
              <w:rPr>
                <w:rFonts w:ascii="Arial" w:cs="Arial" w:eastAsia="Arial" w:hAnsi="Arial"/>
                <w:sz w:val="18"/>
                <w:szCs w:val="18"/>
                <w:color w:val="auto"/>
              </w:rPr>
              <w:t>Net income (loss) per share - diluted</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0.02</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(0.15)</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5"/>
        </w:trPr>
        <w:tc>
          <w:tcPr>
            <w:tcW w:w="4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Antidilutive shares excluded from diluted net income (loss)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per share </w:t>
            </w:r>
            <w:r>
              <w:rPr>
                <w:rFonts w:ascii="Arial" w:cs="Arial" w:eastAsia="Arial" w:hAnsi="Arial"/>
                <w:sz w:val="15"/>
                <w:szCs w:val="15"/>
                <w:color w:val="auto"/>
              </w:rPr>
              <w:t>(1)</w:t>
            </w: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80" w:type="dxa"/>
            <w:vAlign w:val="bottom"/>
            <w:gridSpan w:val="2"/>
          </w:tcPr>
          <w:p>
            <w:pPr>
              <w:ind w:left="260"/>
              <w:spacing w:after="0"/>
              <w:rPr>
                <w:sz w:val="20"/>
                <w:szCs w:val="20"/>
                <w:color w:val="auto"/>
              </w:rPr>
            </w:pPr>
            <w:r>
              <w:rPr>
                <w:rFonts w:ascii="Arial" w:cs="Arial" w:eastAsia="Arial" w:hAnsi="Arial"/>
                <w:sz w:val="18"/>
                <w:szCs w:val="18"/>
                <w:color w:val="auto"/>
              </w:rPr>
              <w:t xml:space="preserve">Contingently issuable shares </w:t>
            </w:r>
            <w:r>
              <w:rPr>
                <w:rFonts w:ascii="Arial" w:cs="Arial" w:eastAsia="Arial" w:hAnsi="Arial"/>
                <w:sz w:val="15"/>
                <w:szCs w:val="15"/>
                <w:color w:val="auto"/>
              </w:rPr>
              <w:t>(2)</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5,000</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5,000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Public warrants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gridSpan w:val="2"/>
          </w:tcPr>
          <w:p>
            <w:pPr>
              <w:ind w:left="260"/>
              <w:spacing w:after="0"/>
              <w:rPr>
                <w:sz w:val="20"/>
                <w:szCs w:val="20"/>
                <w:color w:val="auto"/>
              </w:rPr>
            </w:pPr>
            <w:r>
              <w:rPr>
                <w:rFonts w:ascii="Arial" w:cs="Arial" w:eastAsia="Arial" w:hAnsi="Arial"/>
                <w:sz w:val="18"/>
                <w:szCs w:val="18"/>
                <w:color w:val="auto"/>
              </w:rPr>
              <w:t>Private placement warrants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6,667</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6,667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6,667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Non-qualified stock options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1,039</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gridSpan w:val="2"/>
          </w:tcPr>
          <w:p>
            <w:pPr>
              <w:ind w:left="260"/>
              <w:spacing w:after="0"/>
              <w:rPr>
                <w:sz w:val="20"/>
                <w:szCs w:val="20"/>
                <w:color w:val="auto"/>
              </w:rPr>
            </w:pPr>
            <w:r>
              <w:rPr>
                <w:rFonts w:ascii="Arial" w:cs="Arial" w:eastAsia="Arial" w:hAnsi="Arial"/>
                <w:sz w:val="18"/>
                <w:szCs w:val="18"/>
                <w:color w:val="auto"/>
              </w:rPr>
              <w:t>Performance share units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Restricted stock units</w:t>
            </w: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gridSpan w:val="2"/>
          </w:tcPr>
          <w:p>
            <w:pPr>
              <w:ind w:left="380"/>
              <w:spacing w:after="0"/>
              <w:rPr>
                <w:sz w:val="20"/>
                <w:szCs w:val="20"/>
                <w:color w:val="auto"/>
              </w:rPr>
            </w:pPr>
            <w:r>
              <w:rPr>
                <w:rFonts w:ascii="Arial" w:cs="Arial" w:eastAsia="Arial" w:hAnsi="Arial"/>
                <w:sz w:val="18"/>
                <w:szCs w:val="18"/>
                <w:color w:val="auto"/>
              </w:rPr>
              <w:t>Total antidilutive shares excluded</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12,732</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29,192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28,973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22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212"/>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8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0" w:name="page21"/>
    <w:bookmarkEnd w:id="20"/>
    <w:p>
      <w:pPr>
        <w:ind w:left="800" w:hanging="401"/>
        <w:spacing w:after="0"/>
        <w:tabs>
          <w:tab w:leader="none" w:pos="8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These amounts represent the outstanding shares as of the three and six months ended June 30, 2021 and 2020.</w:t>
      </w:r>
    </w:p>
    <w:p>
      <w:pPr>
        <w:spacing w:after="0" w:line="252" w:lineRule="exact"/>
        <w:rPr>
          <w:rFonts w:ascii="Arial" w:cs="Arial" w:eastAsia="Arial" w:hAnsi="Arial"/>
          <w:sz w:val="18"/>
          <w:szCs w:val="18"/>
          <w:color w:val="auto"/>
        </w:rPr>
      </w:pPr>
    </w:p>
    <w:p>
      <w:pPr>
        <w:ind w:left="800" w:hanging="401"/>
        <w:spacing w:after="0"/>
        <w:tabs>
          <w:tab w:leader="none" w:pos="8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 xml:space="preserve">Contingently issuable shares relate to the earn-out agreement as discussed in Note 12,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w:t>
      </w:r>
    </w:p>
    <w:p>
      <w:pPr>
        <w:spacing w:after="0" w:line="248" w:lineRule="exact"/>
        <w:rPr>
          <w:rFonts w:ascii="Arial" w:cs="Arial" w:eastAsia="Arial" w:hAnsi="Arial"/>
          <w:sz w:val="18"/>
          <w:szCs w:val="18"/>
          <w:color w:val="auto"/>
        </w:rPr>
      </w:pPr>
    </w:p>
    <w:p>
      <w:pPr>
        <w:ind w:left="400" w:hanging="392"/>
        <w:spacing w:after="0"/>
        <w:tabs>
          <w:tab w:leader="none" w:pos="4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jc w:val="both"/>
        <w:ind w:firstLine="802"/>
        <w:spacing w:after="0" w:line="279" w:lineRule="auto"/>
        <w:rPr>
          <w:sz w:val="20"/>
          <w:szCs w:val="20"/>
          <w:color w:val="auto"/>
        </w:rPr>
      </w:pPr>
      <w:r>
        <w:rPr>
          <w:rFonts w:ascii="Arial" w:cs="Arial" w:eastAsia="Arial" w:hAnsi="Arial"/>
          <w:sz w:val="17"/>
          <w:szCs w:val="17"/>
          <w:color w:val="auto"/>
        </w:rPr>
        <w:t>The Company’s interim income tax provision is determined using an estimated annual effective tax rate, adjusted for discrete items arising in that period. The estimated annual effective tax rate requires judgment and is dependent upon several factors. The Company provides for income taxes under the liability method. This approach requires the recognition of deferred tax assets and liabilities for the expected future tax consequences of differences between the tax basis of assets or liabilities and their carrying amounts in the financial statements.</w:t>
      </w:r>
    </w:p>
    <w:p>
      <w:pPr>
        <w:spacing w:after="0" w:line="144" w:lineRule="exact"/>
        <w:rPr>
          <w:sz w:val="20"/>
          <w:szCs w:val="20"/>
          <w:color w:val="auto"/>
        </w:rPr>
      </w:pPr>
    </w:p>
    <w:p>
      <w:pPr>
        <w:jc w:val="both"/>
        <w:ind w:firstLine="802"/>
        <w:spacing w:after="0" w:line="279" w:lineRule="auto"/>
        <w:rPr>
          <w:sz w:val="20"/>
          <w:szCs w:val="20"/>
          <w:color w:val="auto"/>
        </w:rPr>
      </w:pPr>
      <w:r>
        <w:rPr>
          <w:rFonts w:ascii="Arial" w:cs="Arial" w:eastAsia="Arial" w:hAnsi="Arial"/>
          <w:sz w:val="17"/>
          <w:szCs w:val="17"/>
          <w:color w:val="auto"/>
        </w:rPr>
        <w:t>The Company provides a valuation allowance for deferred tax assets if it is more likely than not that these items will expire before the Company is able to realize their benefit. The Company calculates the valuation allowance in accordance with the authoritative guidance relating to income taxes, which requires an assessment of both positive and negative evidence regarding the realizability of these deferred tax assets, when measuring the need for a valuation allowance. Significant judgment is required in determining any valuation allowance against deferred tax assets.</w:t>
      </w:r>
    </w:p>
    <w:p>
      <w:pPr>
        <w:spacing w:after="0" w:line="131" w:lineRule="exact"/>
        <w:rPr>
          <w:sz w:val="20"/>
          <w:szCs w:val="20"/>
          <w:color w:val="auto"/>
        </w:rPr>
      </w:pPr>
    </w:p>
    <w:p>
      <w:pPr>
        <w:jc w:val="both"/>
        <w:ind w:firstLine="802"/>
        <w:spacing w:after="0" w:line="279" w:lineRule="auto"/>
        <w:rPr>
          <w:sz w:val="20"/>
          <w:szCs w:val="20"/>
          <w:color w:val="auto"/>
        </w:rPr>
      </w:pPr>
      <w:r>
        <w:rPr>
          <w:rFonts w:ascii="Arial" w:cs="Arial" w:eastAsia="Arial" w:hAnsi="Arial"/>
          <w:sz w:val="17"/>
          <w:szCs w:val="17"/>
          <w:color w:val="auto"/>
        </w:rPr>
        <w:t>In December 2019, COVID-19 emerged and spread throughout the world causing severe disruption to the global economy. In March 2020, the Coronavirus Aid, Relief, and Economic Security Act (“</w:t>
      </w:r>
      <w:r>
        <w:rPr>
          <w:rFonts w:ascii="Arial" w:cs="Arial" w:eastAsia="Arial" w:hAnsi="Arial"/>
          <w:sz w:val="17"/>
          <w:szCs w:val="17"/>
          <w:b w:val="1"/>
          <w:bCs w:val="1"/>
          <w:i w:val="1"/>
          <w:iCs w:val="1"/>
          <w:color w:val="auto"/>
        </w:rPr>
        <w:t>CARES Act</w:t>
      </w:r>
      <w:r>
        <w:rPr>
          <w:rFonts w:ascii="Arial" w:cs="Arial" w:eastAsia="Arial" w:hAnsi="Arial"/>
          <w:sz w:val="17"/>
          <w:szCs w:val="17"/>
          <w:color w:val="auto"/>
        </w:rPr>
        <w:t>”) was signed into law after COVID-19 was declared a pandemic. There were several income tax provisions and other non-tax matters incorporated into law as a result of the enactment of the CARES Act. The Company elected to delay the employer-side of the FICA payments with the intention of making the payments in 2021 and 2022.</w:t>
      </w:r>
    </w:p>
    <w:p>
      <w:pPr>
        <w:spacing w:after="0" w:line="131"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The Company’s effective income tax rate was 69.0% and 14.5% for the three months ended June 30, 2021 and 2020, respectively, and 549.6% and 33.9% for the six months ended June 30, 2021 and 2020, respectively. The primary driver of the effective tax rate variance is due to the Company’s permanent differences related to the mark-to-market adjustment on the private placement warrants.</w:t>
      </w:r>
    </w:p>
    <w:p>
      <w:pPr>
        <w:spacing w:after="0" w:line="157"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color w:val="auto"/>
        </w:rPr>
        <w:t>The total amount of unrecognized tax benefits increased by $0.2 million during fiscal year 2021 primarily due to prior year tax positions. As of June 30, 2021, the total amount of unrecognized tax benefits was $1.1 million, of which $0.5 million would affect our effective tax rate if recognized. The Company recognizes interest and penalties related to unrecognized tax benefits through income tax expense. As of June 30, 2021, the Company had less than $0.1 million accrued for the payment of interest and penalties.</w:t>
      </w:r>
    </w:p>
    <w:p>
      <w:pPr>
        <w:spacing w:after="0" w:line="146" w:lineRule="exact"/>
        <w:rPr>
          <w:sz w:val="20"/>
          <w:szCs w:val="20"/>
          <w:color w:val="auto"/>
        </w:rPr>
      </w:pPr>
    </w:p>
    <w:p>
      <w:pPr>
        <w:jc w:val="both"/>
        <w:ind w:firstLine="802"/>
        <w:spacing w:after="0" w:line="273" w:lineRule="auto"/>
        <w:rPr>
          <w:sz w:val="20"/>
          <w:szCs w:val="20"/>
          <w:color w:val="auto"/>
        </w:rPr>
      </w:pPr>
      <w:r>
        <w:rPr>
          <w:rFonts w:ascii="Arial" w:cs="Arial" w:eastAsia="Arial" w:hAnsi="Arial"/>
          <w:sz w:val="17"/>
          <w:szCs w:val="17"/>
          <w:color w:val="auto"/>
        </w:rPr>
        <w:t>The Company is subject to examination by the Internal Revenue Service and taxing authorities in various states. The Company’s U.S. federal income tax returns remain subject to examination by tax authorities for the years 2017 to 2019. The Company’s state income tax returns are no longer subject to income tax examination by tax authorities prior to 2016; however, the Company’s net operating loss carryforwards and research credit carryforwards arising prior to that year are subject to adjustment. The Company is currently under audit by the State of Georgia for the years 2018 and 2019, however, no material adjustments are anticipated. The Company regularly assesses the likelihood of tax deficiencies in each of the tax jurisdictions and, accordingly, makes appropriate adjustments to the tax provision as deemed necessary.</w:t>
      </w:r>
    </w:p>
    <w:p>
      <w:pPr>
        <w:spacing w:after="0" w:line="13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color w:val="auto"/>
        </w:rPr>
        <w:t>Stock-Based Compensation</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details the components of stock-based compensation for the periods presented: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540" w:type="dxa"/>
            <w:vAlign w:val="bottom"/>
            <w:vMerge w:val="restart"/>
          </w:tcPr>
          <w:p>
            <w:pPr>
              <w:spacing w:after="0"/>
              <w:rPr>
                <w:sz w:val="14"/>
                <w:szCs w:val="14"/>
                <w:color w:val="auto"/>
              </w:rPr>
            </w:pPr>
          </w:p>
        </w:tc>
        <w:tc>
          <w:tcPr>
            <w:tcW w:w="340" w:type="dxa"/>
            <w:vAlign w:val="bottom"/>
          </w:tcPr>
          <w:p>
            <w:pPr>
              <w:spacing w:after="0"/>
              <w:rPr>
                <w:sz w:val="14"/>
                <w:szCs w:val="14"/>
                <w:color w:val="auto"/>
              </w:rPr>
            </w:pPr>
          </w:p>
        </w:tc>
        <w:tc>
          <w:tcPr>
            <w:tcW w:w="310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4"/>
                <w:szCs w:val="14"/>
                <w:color w:val="auto"/>
              </w:rPr>
            </w:pPr>
          </w:p>
        </w:tc>
        <w:tc>
          <w:tcPr>
            <w:tcW w:w="2940" w:type="dxa"/>
            <w:vAlign w:val="bottom"/>
            <w:gridSpan w:val="5"/>
          </w:tcPr>
          <w:p>
            <w:pPr>
              <w:ind w:left="4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3540" w:type="dxa"/>
            <w:vAlign w:val="bottom"/>
            <w:vMerge w:val="continue"/>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96"/>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495"/>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497"/>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515"/>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5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2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2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2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3,325</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2,977</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6,039</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Total stock-based compensation expense</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3,573</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3,271</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6,481</w:t>
            </w: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0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176"/>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1" w:name="page22"/>
    <w:bookmarkEnd w:id="21"/>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Related Party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98" w:lineRule="exact"/>
        <w:rPr>
          <w:sz w:val="20"/>
          <w:szCs w:val="20"/>
          <w:color w:val="auto"/>
        </w:rPr>
      </w:pPr>
    </w:p>
    <w:p>
      <w:pPr>
        <w:jc w:val="both"/>
        <w:ind w:firstLine="802"/>
        <w:spacing w:after="0" w:line="271" w:lineRule="auto"/>
        <w:rPr>
          <w:sz w:val="20"/>
          <w:szCs w:val="20"/>
          <w:color w:val="auto"/>
        </w:rPr>
      </w:pPr>
      <w:r>
        <w:rPr>
          <w:rFonts w:ascii="Arial" w:cs="Arial" w:eastAsia="Arial" w:hAnsi="Arial"/>
          <w:sz w:val="17"/>
          <w:szCs w:val="17"/>
          <w:color w:val="auto"/>
        </w:rPr>
        <w:t>At the closing of the Business Combination, the Company entered into the Tax Receivable Agreement (“</w:t>
      </w:r>
      <w:r>
        <w:rPr>
          <w:rFonts w:ascii="Arial" w:cs="Arial" w:eastAsia="Arial" w:hAnsi="Arial"/>
          <w:sz w:val="17"/>
          <w:szCs w:val="17"/>
          <w:b w:val="1"/>
          <w:bCs w:val="1"/>
          <w:i w:val="1"/>
          <w:iCs w:val="1"/>
          <w:color w:val="auto"/>
        </w:rPr>
        <w:t>TRA</w:t>
      </w:r>
      <w:r>
        <w:rPr>
          <w:rFonts w:ascii="Arial" w:cs="Arial" w:eastAsia="Arial" w:hAnsi="Arial"/>
          <w:sz w:val="17"/>
          <w:szCs w:val="17"/>
          <w:color w:val="auto"/>
        </w:rPr>
        <w:t>”) with PE Greenlight Holdings, LLC (the “</w:t>
      </w:r>
      <w:r>
        <w:rPr>
          <w:rFonts w:ascii="Arial" w:cs="Arial" w:eastAsia="Arial" w:hAnsi="Arial"/>
          <w:sz w:val="17"/>
          <w:szCs w:val="17"/>
          <w:b w:val="1"/>
          <w:bCs w:val="1"/>
          <w:i w:val="1"/>
          <w:iCs w:val="1"/>
          <w:color w:val="auto"/>
        </w:rPr>
        <w:t>Platinum Stockholder</w:t>
      </w:r>
      <w:r>
        <w:rPr>
          <w:rFonts w:ascii="Arial" w:cs="Arial" w:eastAsia="Arial" w:hAnsi="Arial"/>
          <w:sz w:val="17"/>
          <w:szCs w:val="17"/>
          <w:color w:val="auto"/>
        </w:rPr>
        <w:t>”) and Greenlight Holding II Corporation as the stockholder representative. The TRA generally provides for the payment by the post-closing company to the Platinum Stockholder of 50% of the net cash savings, if any, in U.S. federal, state and local income tax that the post-closing company actually realizes (or is deemed to realize in certain circumstances) in periods after the closing of the Business Combination as a result of the increase in the tax basis of the intangible assets which resulted from an acquisition by the Company prior to the Business Combination. The post-closing company generally will retain the benefit of the remaining 50% of these cash savings. The Company estimated the potential maximum benefit to be paid would be approximately $70.0 million, and recorded an initial liability and corresponding charge to equity at the closing of the Business Combination. Subsequently, the Company adjusted this amount.</w:t>
      </w:r>
    </w:p>
    <w:p>
      <w:pPr>
        <w:spacing w:after="0" w:line="138"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color w:val="auto"/>
        </w:rPr>
        <w:t>At June 30, 2021, the TRA liability was approximately $69.5 million of which $5.2 million was the current portion and $64.3 million was the non-current portion, both of which are included in the respective payable to related party pursuant to tax receivable agreement line items on the condensed consolidated balance sheet. The Company made a $4.8 million payment during the first quarter of 2021 related to the current portion payable as of December 31, 2020.</w:t>
      </w:r>
    </w:p>
    <w:p>
      <w:pPr>
        <w:spacing w:after="0" w:line="146"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The Company recorded a $1.7 million charge for the three and six months ended June 30, 2021 and a $4.4 million charge for the three and six months ended June 30, 2020. The TRA liability adjustment in 2021 is arising from higher estimated state tax rates due to changes in statutory rates, whereas in 2020 it is arising from higher estimated state tax rates due to a change in apportionment.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Earn-Out Agreement</w:t>
      </w:r>
    </w:p>
    <w:p>
      <w:pPr>
        <w:spacing w:after="0" w:line="185"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color w:val="auto"/>
        </w:rPr>
        <w:t>Under the Merger Agreement, the Platinum Stockholder is entitled to receive additional shares of Class A Common Stock (the “</w:t>
      </w:r>
      <w:r>
        <w:rPr>
          <w:rFonts w:ascii="Arial" w:cs="Arial" w:eastAsia="Arial" w:hAnsi="Arial"/>
          <w:sz w:val="18"/>
          <w:szCs w:val="18"/>
          <w:b w:val="1"/>
          <w:bCs w:val="1"/>
          <w:i w:val="1"/>
          <w:iCs w:val="1"/>
          <w:color w:val="auto"/>
        </w:rPr>
        <w:t>Earn-Out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if the volume weighted average closing sale price of one share of Class A Common Stock on the Nasdaq exceeds certain thresholds for a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at least 10 days out of 20 consecutive trading days at any time during the five-year period following the closing of the Business Combination (the “</w:t>
      </w:r>
      <w:r>
        <w:rPr>
          <w:rFonts w:ascii="Arial" w:cs="Arial" w:eastAsia="Arial" w:hAnsi="Arial"/>
          <w:sz w:val="18"/>
          <w:szCs w:val="18"/>
          <w:b w:val="1"/>
          <w:bCs w:val="1"/>
          <w:i w:val="1"/>
          <w:iCs w:val="1"/>
          <w:color w:val="auto"/>
        </w:rPr>
        <w:t>Common Stock Price</w:t>
      </w:r>
      <w:r>
        <w:rPr>
          <w:rFonts w:ascii="Arial" w:cs="Arial" w:eastAsia="Arial" w:hAnsi="Arial"/>
          <w:sz w:val="18"/>
          <w:szCs w:val="18"/>
          <w:color w:val="auto"/>
        </w:rPr>
        <w:t>”).</w:t>
      </w:r>
    </w:p>
    <w:p>
      <w:pPr>
        <w:spacing w:after="0" w:line="14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Earn-Out Shares are issued by the Company to the Platinum Stockholder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Common Stock Price thresholds</w:t>
            </w:r>
          </w:p>
        </w:tc>
        <w:tc>
          <w:tcPr>
            <w:tcW w:w="4260" w:type="dxa"/>
            <w:vAlign w:val="bottom"/>
            <w:gridSpan w:val="2"/>
          </w:tcPr>
          <w:p>
            <w:pPr>
              <w:ind w:left="1220"/>
              <w:spacing w:after="0"/>
              <w:rPr>
                <w:sz w:val="20"/>
                <w:szCs w:val="20"/>
                <w:color w:val="auto"/>
              </w:rPr>
            </w:pPr>
            <w:r>
              <w:rPr>
                <w:rFonts w:ascii="Arial" w:cs="Arial" w:eastAsia="Arial" w:hAnsi="Arial"/>
                <w:sz w:val="14"/>
                <w:szCs w:val="14"/>
                <w:b w:val="1"/>
                <w:bCs w:val="1"/>
                <w:color w:val="auto"/>
              </w:rPr>
              <w:t>One-time issuance of shares</w:t>
            </w:r>
          </w:p>
        </w:tc>
      </w:tr>
      <w:tr>
        <w:trPr>
          <w:trHeight w:val="223"/>
        </w:trPr>
        <w:tc>
          <w:tcPr>
            <w:tcW w:w="64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 xml:space="preserve">&gt; $13.00 </w:t>
            </w:r>
            <w:r>
              <w:rPr>
                <w:rFonts w:ascii="Arial" w:cs="Arial" w:eastAsia="Arial" w:hAnsi="Arial"/>
                <w:sz w:val="15"/>
                <w:szCs w:val="15"/>
                <w:color w:val="auto"/>
                <w:w w:val="91"/>
              </w:rPr>
              <w:t>(a)</w:t>
            </w:r>
          </w:p>
        </w:tc>
        <w:tc>
          <w:tcPr>
            <w:tcW w:w="520" w:type="dxa"/>
            <w:vAlign w:val="bottom"/>
            <w:tcBorders>
              <w:top w:val="single" w:sz="8" w:color="CFF0FC"/>
            </w:tcBorders>
            <w:shd w:val="clear" w:color="auto" w:fill="CFF0FC"/>
          </w:tcPr>
          <w:p>
            <w:pPr>
              <w:spacing w:after="0"/>
              <w:rPr>
                <w:sz w:val="19"/>
                <w:szCs w:val="19"/>
                <w:color w:val="auto"/>
              </w:rPr>
            </w:pPr>
          </w:p>
        </w:tc>
        <w:tc>
          <w:tcPr>
            <w:tcW w:w="4140" w:type="dxa"/>
            <w:vAlign w:val="bottom"/>
            <w:tcBorders>
              <w:top w:val="single" w:sz="8" w:color="auto"/>
            </w:tcBorders>
            <w:shd w:val="clear" w:color="auto" w:fill="CFF0FC"/>
          </w:tcPr>
          <w:p>
            <w:pPr>
              <w:jc w:val="right"/>
              <w:ind w:right="1574"/>
              <w:spacing w:after="0"/>
              <w:rPr>
                <w:sz w:val="20"/>
                <w:szCs w:val="20"/>
                <w:color w:val="auto"/>
              </w:rPr>
            </w:pPr>
            <w:r>
              <w:rPr>
                <w:rFonts w:ascii="Arial" w:cs="Arial" w:eastAsia="Arial" w:hAnsi="Arial"/>
                <w:sz w:val="18"/>
                <w:szCs w:val="18"/>
                <w:color w:val="auto"/>
              </w:rPr>
              <w:t>2,500,000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6980" w:type="dxa"/>
            <w:vAlign w:val="bottom"/>
            <w:gridSpan w:val="2"/>
          </w:tcPr>
          <w:p>
            <w:pPr>
              <w:jc w:val="center"/>
              <w:ind w:right="520"/>
              <w:spacing w:after="0"/>
              <w:rPr>
                <w:sz w:val="20"/>
                <w:szCs w:val="20"/>
                <w:color w:val="auto"/>
              </w:rPr>
            </w:pPr>
            <w:r>
              <w:rPr>
                <w:rFonts w:ascii="Arial" w:cs="Arial" w:eastAsia="Arial" w:hAnsi="Arial"/>
                <w:sz w:val="18"/>
                <w:szCs w:val="18"/>
                <w:color w:val="auto"/>
                <w:w w:val="91"/>
              </w:rPr>
              <w:t xml:space="preserve">&gt; $15.50 </w:t>
            </w:r>
            <w:r>
              <w:rPr>
                <w:rFonts w:ascii="Arial" w:cs="Arial" w:eastAsia="Arial" w:hAnsi="Arial"/>
                <w:sz w:val="15"/>
                <w:szCs w:val="15"/>
                <w:color w:val="auto"/>
                <w:w w:val="91"/>
              </w:rPr>
              <w:t>(a)</w:t>
            </w:r>
          </w:p>
        </w:tc>
        <w:tc>
          <w:tcPr>
            <w:tcW w:w="4140" w:type="dxa"/>
            <w:vAlign w:val="bottom"/>
          </w:tcPr>
          <w:p>
            <w:pPr>
              <w:jc w:val="right"/>
              <w:ind w:right="1574"/>
              <w:spacing w:after="0"/>
              <w:rPr>
                <w:sz w:val="20"/>
                <w:szCs w:val="20"/>
                <w:color w:val="auto"/>
              </w:rPr>
            </w:pPr>
            <w:r>
              <w:rPr>
                <w:rFonts w:ascii="Arial" w:cs="Arial" w:eastAsia="Arial" w:hAnsi="Arial"/>
                <w:sz w:val="18"/>
                <w:szCs w:val="18"/>
                <w:color w:val="auto"/>
              </w:rPr>
              <w:t>2,500,000</w:t>
            </w:r>
          </w:p>
        </w:tc>
        <w:tc>
          <w:tcPr>
            <w:tcW w:w="120" w:type="dxa"/>
            <w:vAlign w:val="bottom"/>
          </w:tcPr>
          <w:p>
            <w:pPr>
              <w:spacing w:after="0"/>
              <w:rPr>
                <w:sz w:val="19"/>
                <w:szCs w:val="19"/>
                <w:color w:val="auto"/>
              </w:rPr>
            </w:pPr>
          </w:p>
        </w:tc>
      </w:tr>
      <w:tr>
        <w:trPr>
          <w:trHeight w:val="230"/>
        </w:trPr>
        <w:tc>
          <w:tcPr>
            <w:tcW w:w="6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&gt; $18.00</w:t>
            </w:r>
          </w:p>
        </w:tc>
        <w:tc>
          <w:tcPr>
            <w:tcW w:w="520" w:type="dxa"/>
            <w:vAlign w:val="bottom"/>
            <w:shd w:val="clear" w:color="auto" w:fill="CFF0FC"/>
          </w:tcPr>
          <w:p>
            <w:pPr>
              <w:spacing w:after="0"/>
              <w:rPr>
                <w:sz w:val="19"/>
                <w:szCs w:val="19"/>
                <w:color w:val="auto"/>
              </w:rPr>
            </w:pPr>
          </w:p>
        </w:tc>
        <w:tc>
          <w:tcPr>
            <w:tcW w:w="4140" w:type="dxa"/>
            <w:vAlign w:val="bottom"/>
            <w:shd w:val="clear" w:color="auto" w:fill="CFF0FC"/>
          </w:tcPr>
          <w:p>
            <w:pPr>
              <w:jc w:val="right"/>
              <w:ind w:right="1574"/>
              <w:spacing w:after="0"/>
              <w:rPr>
                <w:sz w:val="20"/>
                <w:szCs w:val="20"/>
                <w:color w:val="auto"/>
              </w:rPr>
            </w:pPr>
            <w:r>
              <w:rPr>
                <w:rFonts w:ascii="Arial" w:cs="Arial" w:eastAsia="Arial" w:hAnsi="Arial"/>
                <w:sz w:val="18"/>
                <w:szCs w:val="18"/>
                <w:color w:val="auto"/>
              </w:rPr>
              <w:t>2,500,000</w:t>
            </w:r>
          </w:p>
        </w:tc>
        <w:tc>
          <w:tcPr>
            <w:tcW w:w="120" w:type="dxa"/>
            <w:vAlign w:val="bottom"/>
            <w:shd w:val="clear" w:color="auto" w:fill="CFF0FC"/>
          </w:tcPr>
          <w:p>
            <w:pPr>
              <w:spacing w:after="0"/>
              <w:rPr>
                <w:sz w:val="19"/>
                <w:szCs w:val="19"/>
                <w:color w:val="auto"/>
              </w:rPr>
            </w:pPr>
          </w:p>
        </w:tc>
      </w:tr>
      <w:tr>
        <w:trPr>
          <w:trHeight w:val="230"/>
        </w:trPr>
        <w:tc>
          <w:tcPr>
            <w:tcW w:w="6460" w:type="dxa"/>
            <w:vAlign w:val="bottom"/>
          </w:tcPr>
          <w:p>
            <w:pPr>
              <w:jc w:val="center"/>
              <w:spacing w:after="0"/>
              <w:rPr>
                <w:sz w:val="20"/>
                <w:szCs w:val="20"/>
                <w:color w:val="auto"/>
              </w:rPr>
            </w:pPr>
            <w:r>
              <w:rPr>
                <w:rFonts w:ascii="Arial" w:cs="Arial" w:eastAsia="Arial" w:hAnsi="Arial"/>
                <w:sz w:val="18"/>
                <w:szCs w:val="18"/>
                <w:color w:val="auto"/>
                <w:w w:val="90"/>
              </w:rPr>
              <w:t>&gt; $20.50</w:t>
            </w:r>
          </w:p>
        </w:tc>
        <w:tc>
          <w:tcPr>
            <w:tcW w:w="520" w:type="dxa"/>
            <w:vAlign w:val="bottom"/>
          </w:tcPr>
          <w:p>
            <w:pPr>
              <w:spacing w:after="0"/>
              <w:rPr>
                <w:sz w:val="20"/>
                <w:szCs w:val="20"/>
                <w:color w:val="auto"/>
              </w:rPr>
            </w:pPr>
          </w:p>
        </w:tc>
        <w:tc>
          <w:tcPr>
            <w:tcW w:w="4140" w:type="dxa"/>
            <w:vAlign w:val="bottom"/>
          </w:tcPr>
          <w:p>
            <w:pPr>
              <w:jc w:val="right"/>
              <w:ind w:right="1574"/>
              <w:spacing w:after="0"/>
              <w:rPr>
                <w:sz w:val="20"/>
                <w:szCs w:val="20"/>
                <w:color w:val="auto"/>
              </w:rPr>
            </w:pPr>
            <w:r>
              <w:rPr>
                <w:rFonts w:ascii="Arial" w:cs="Arial" w:eastAsia="Arial" w:hAnsi="Arial"/>
                <w:sz w:val="18"/>
                <w:szCs w:val="18"/>
                <w:color w:val="auto"/>
              </w:rPr>
              <w:t>2,500,000</w:t>
            </w:r>
          </w:p>
        </w:tc>
        <w:tc>
          <w:tcPr>
            <w:tcW w:w="120" w:type="dxa"/>
            <w:vAlign w:val="bottom"/>
          </w:tcPr>
          <w:p>
            <w:pPr>
              <w:spacing w:after="0"/>
              <w:rPr>
                <w:sz w:val="20"/>
                <w:szCs w:val="20"/>
                <w:color w:val="auto"/>
              </w:rPr>
            </w:pPr>
          </w:p>
        </w:tc>
      </w:tr>
    </w:tbl>
    <w:p>
      <w:pPr>
        <w:spacing w:after="0" w:line="228"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8"/>
          <w:szCs w:val="18"/>
          <w:color w:val="auto"/>
        </w:rPr>
        <w:t>(a)</w:t>
        <w:tab/>
        <w:t>The first and second tranches of Earn-Out Shares have been issued, as discussed below.</w:t>
      </w:r>
    </w:p>
    <w:p>
      <w:pPr>
        <w:spacing w:after="0" w:line="252" w:lineRule="exact"/>
        <w:rPr>
          <w:sz w:val="20"/>
          <w:szCs w:val="20"/>
          <w:color w:val="auto"/>
        </w:rPr>
      </w:pPr>
    </w:p>
    <w:p>
      <w:pPr>
        <w:jc w:val="both"/>
        <w:ind w:firstLine="802"/>
        <w:spacing w:after="0" w:line="286" w:lineRule="auto"/>
        <w:rPr>
          <w:sz w:val="20"/>
          <w:szCs w:val="20"/>
          <w:color w:val="auto"/>
        </w:rPr>
      </w:pPr>
      <w:r>
        <w:rPr>
          <w:rFonts w:ascii="Arial" w:cs="Arial" w:eastAsia="Arial" w:hAnsi="Arial"/>
          <w:sz w:val="17"/>
          <w:szCs w:val="17"/>
          <w:color w:val="auto"/>
        </w:rPr>
        <w:t>If any of the Common Stock Price thresholds above (each, a “</w:t>
      </w:r>
      <w:r>
        <w:rPr>
          <w:rFonts w:ascii="Arial" w:cs="Arial" w:eastAsia="Arial" w:hAnsi="Arial"/>
          <w:sz w:val="17"/>
          <w:szCs w:val="17"/>
          <w:b w:val="1"/>
          <w:bCs w:val="1"/>
          <w:i w:val="1"/>
          <w:iCs w:val="1"/>
          <w:color w:val="auto"/>
        </w:rPr>
        <w:t>Triggering Event</w:t>
      </w:r>
      <w:r>
        <w:rPr>
          <w:rFonts w:ascii="Arial" w:cs="Arial" w:eastAsia="Arial" w:hAnsi="Arial"/>
          <w:sz w:val="17"/>
          <w:szCs w:val="17"/>
          <w:color w:val="auto"/>
        </w:rPr>
        <w:t>”) are not achieved within the five-year period following the closing of the Business Combination, the Company will not be required to issue the Earn-Out Shares in respect of such Common Stock Price threshold. In no event shall the Platinum Stockholder be entitled to receive more than an aggregate of 10,000,000 Earn-Out Shares.</w:t>
      </w:r>
    </w:p>
    <w:p>
      <w:pPr>
        <w:spacing w:after="0" w:line="138" w:lineRule="exact"/>
        <w:rPr>
          <w:sz w:val="20"/>
          <w:szCs w:val="20"/>
          <w:color w:val="auto"/>
        </w:rPr>
      </w:pPr>
    </w:p>
    <w:p>
      <w:pPr>
        <w:jc w:val="both"/>
        <w:ind w:firstLine="802"/>
        <w:spacing w:after="0" w:line="255" w:lineRule="auto"/>
        <w:rPr>
          <w:sz w:val="20"/>
          <w:szCs w:val="20"/>
          <w:color w:val="auto"/>
        </w:rPr>
      </w:pPr>
      <w:r>
        <w:rPr>
          <w:rFonts w:ascii="Arial" w:cs="Arial" w:eastAsia="Arial" w:hAnsi="Arial"/>
          <w:sz w:val="18"/>
          <w:szCs w:val="18"/>
          <w:color w:val="auto"/>
        </w:rPr>
        <w:t>If, during the earn-out period, there is a change of control (as defined in the Merger Agreement) that will result in the holders of the Company’s Class A Common Stock receiving a per share price equal to or in excess of the applicable Common Stock Price required in connection with any Triggering Event (an “</w:t>
      </w:r>
      <w:r>
        <w:rPr>
          <w:rFonts w:ascii="Arial" w:cs="Arial" w:eastAsia="Arial" w:hAnsi="Arial"/>
          <w:sz w:val="18"/>
          <w:szCs w:val="18"/>
          <w:b w:val="1"/>
          <w:bCs w:val="1"/>
          <w:i w:val="1"/>
          <w:iCs w:val="1"/>
          <w:color w:val="auto"/>
        </w:rPr>
        <w:t>Acceleration Event</w:t>
      </w:r>
      <w:r>
        <w:rPr>
          <w:rFonts w:ascii="Arial" w:cs="Arial" w:eastAsia="Arial" w:hAnsi="Arial"/>
          <w:sz w:val="18"/>
          <w:szCs w:val="18"/>
          <w:color w:val="auto"/>
        </w:rPr>
        <w:t>”), then immediately prior to the consummation of such change of control: (a) any such Triggering Event that has not previously occurred shall be deemed to have occurred; and (b) the Company shall issue the applicable Earn-Out Shares to the cash consideration stockholders (as defined in the Merger Agreement) (in accordance with their respective pro rata cash share), and the recipients of the issued Earn-Out Shares shall be eligible to participate in such change of control.</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2" w:name="page23"/>
    <w:bookmarkEnd w:id="22"/>
    <w:p>
      <w:pPr>
        <w:jc w:val="both"/>
        <w:ind w:firstLine="802"/>
        <w:spacing w:after="0" w:line="291" w:lineRule="auto"/>
        <w:rPr>
          <w:sz w:val="20"/>
          <w:szCs w:val="20"/>
          <w:color w:val="auto"/>
        </w:rPr>
      </w:pPr>
      <w:r>
        <w:rPr>
          <w:rFonts w:ascii="Arial" w:cs="Arial" w:eastAsia="Arial" w:hAnsi="Arial"/>
          <w:sz w:val="16"/>
          <w:szCs w:val="16"/>
          <w:color w:val="auto"/>
        </w:rPr>
        <w:t>The Company estimated the original fair value of the contingently issuable shares to be $73.15 million, of which $36.6 million remains contingently issuable as of June 30, 2021. The estimated value is not subject to future revisions during the five-year period discussed above. The Company used a Monte Carlo simulation option-pricing model to arrive at its original estimate. Each tranche was valued separately giving specific consideration to the tranche’s price target. The simulation considered volatility and risk-free rates utilizing a peer group based on a five-year term. This was initially recorded as a distribution to shareholders and was presented as common stock contingent consideration. Upon the occurrence of a Triggering Event, any issuable shares would be transferred from common stock contingent consideration to common stock and additional paid-in capital accounts. Any contingently issuable shares not issued as a result of a Triggering Event not being attained by the end of the earn-out period will be canceled.</w:t>
      </w:r>
    </w:p>
    <w:p>
      <w:pPr>
        <w:spacing w:after="0" w:line="126" w:lineRule="exact"/>
        <w:rPr>
          <w:sz w:val="20"/>
          <w:szCs w:val="20"/>
          <w:color w:val="auto"/>
        </w:rPr>
      </w:pPr>
    </w:p>
    <w:p>
      <w:pPr>
        <w:jc w:val="both"/>
        <w:ind w:firstLine="802"/>
        <w:spacing w:after="0" w:line="255" w:lineRule="auto"/>
        <w:rPr>
          <w:sz w:val="20"/>
          <w:szCs w:val="20"/>
          <w:color w:val="auto"/>
        </w:rPr>
      </w:pPr>
      <w:r>
        <w:rPr>
          <w:rFonts w:ascii="Arial" w:cs="Arial" w:eastAsia="Arial" w:hAnsi="Arial"/>
          <w:sz w:val="18"/>
          <w:szCs w:val="18"/>
          <w:color w:val="auto"/>
        </w:rPr>
        <w:t>On April 26, 2019 and on January 27, 2020, the Triggering Events for the issuance of the first and second tranches of Earn-Out Shares occurred, as the volume weighted average closing sale price per share of the Company’s Class A Common Stock as of that date had been greater than $13.00 and $15.50, respectively, for 10 out of 20 consecutive trading days. These Triggering Events resulted in the issuance of an aggregate 5,000,000 shares of the Company’s Class A Common Stock to the Platinum Stockholder and an increase in the Company’s common stock and additional paid-in capital accounts of $36.6 million, with a corresponding decrease to the common stock contingent consideration account. At June 30, 2021, the potential future Earn-Out Shares issuable are between zero and 5.0 million.</w:t>
      </w:r>
    </w:p>
    <w:p>
      <w:pPr>
        <w:spacing w:after="0" w:line="16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Commitments and Contingencies</w:t>
      </w:r>
    </w:p>
    <w:p>
      <w:pPr>
        <w:spacing w:after="0" w:line="189"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The Company has issued various letters of credit under contractual arrangements with certain of its domestic vendors and customers. Outstanding letters of credit under these arrangements totaled $6.2 million at June 30, 2021. In addition, the Company has $3.0 million of bank guarantees and bonds at June 30, 2021 required to support bids and contracts with certain international customers.</w:t>
      </w:r>
    </w:p>
    <w:p>
      <w:pPr>
        <w:spacing w:after="0" w:line="143"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color w:val="auto"/>
        </w:rPr>
        <w:t>The Company has non-cancelable purchase commitments to certain vendors. The aggregate non-cancelable purchase commitments outstanding at June 30, 2021 were $38.2 million.</w:t>
      </w:r>
    </w:p>
    <w:p>
      <w:pPr>
        <w:spacing w:after="0" w:line="130"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Company is subject to tax audits in the normal course of business and does not have material contingencies recorded related to such audits.</w:t>
      </w:r>
    </w:p>
    <w:p>
      <w:pPr>
        <w:spacing w:after="0" w:line="248" w:lineRule="exact"/>
        <w:rPr>
          <w:sz w:val="20"/>
          <w:szCs w:val="20"/>
          <w:color w:val="auto"/>
        </w:rPr>
      </w:pPr>
    </w:p>
    <w:p>
      <w:pPr>
        <w:jc w:val="both"/>
        <w:ind w:firstLine="802"/>
        <w:spacing w:after="0" w:line="296" w:lineRule="auto"/>
        <w:rPr>
          <w:sz w:val="20"/>
          <w:szCs w:val="20"/>
          <w:color w:val="auto"/>
        </w:rPr>
      </w:pPr>
      <w:r>
        <w:rPr>
          <w:rFonts w:ascii="Arial" w:cs="Arial" w:eastAsia="Arial" w:hAnsi="Arial"/>
          <w:sz w:val="16"/>
          <w:szCs w:val="16"/>
          <w:color w:val="auto"/>
        </w:rPr>
        <w:t>The Company accrues for claims and contingencies when losses become probable and reasonably estimable. As of the end of each applicable reporting period, the Company reviews each of its matters and, where it is probable that a liability has been or will be incurred, the Company accrues for all probable and reasonably estimable losses. Where the Company can reasonably estimate a range of loss it may incur regarding such a matter, the Company records an accrual for the amount within the range that constitutes its best estimate. If the Company can reasonably estimate a range but no amount within the range appears to be a better estimate than any other, the Company uses the amount that is the low end of such range.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NYC Investigation</w:t>
      </w:r>
    </w:p>
    <w:p>
      <w:pPr>
        <w:spacing w:after="0" w:line="225"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color w:val="auto"/>
        </w:rPr>
        <w:t>In January 2021, the New York City Law Department advised the Company that the City of New York was investigating certain matters related to the Company’s installation work for its largest customer, NYCDOT. The Company was informed in March 2021 by the NYC Law Department that it had concluded its investigation, and an agreement was reached in principle to resolve the matter for approximately $1.3 million, which was accrued during the three months ended March 31, 2021, subject to final administrative approvals.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Legal Proceedings</w:t>
      </w:r>
    </w:p>
    <w:p>
      <w:pPr>
        <w:spacing w:after="0" w:line="198" w:lineRule="exact"/>
        <w:rPr>
          <w:sz w:val="20"/>
          <w:szCs w:val="20"/>
          <w:color w:val="auto"/>
        </w:rPr>
      </w:pPr>
    </w:p>
    <w:p>
      <w:pPr>
        <w:jc w:val="both"/>
        <w:ind w:firstLine="802"/>
        <w:spacing w:after="0" w:line="293" w:lineRule="auto"/>
        <w:rPr>
          <w:sz w:val="20"/>
          <w:szCs w:val="20"/>
          <w:color w:val="auto"/>
        </w:rPr>
      </w:pPr>
      <w:r>
        <w:rPr>
          <w:rFonts w:ascii="Arial" w:cs="Arial" w:eastAsia="Arial" w:hAnsi="Arial"/>
          <w:sz w:val="16"/>
          <w:szCs w:val="16"/>
          <w:color w:val="auto"/>
        </w:rPr>
        <w:t>The Company is subject to legal and regulatory actions that arise from time to time in the ordinary course of business. The Company records a liability when it believes it is probable a loss will be incurred and the amount of loss or range of loss can be reasonably estimated. The assessment as to whether a loss is probable, reasonably possible or remote, and as to whether a loss or a range of such loss is estimable, often involves significant judgment about future events. The Company has determined that resolution of pending matters is not probable to have a material adverse impact on its results of operations, cash flows, or financial position, and accordingly, no material contingency accruals are recorded. However, the outcome of litigation is inherently uncertain. As additional information becomes available, the Company reassesses the potential liability.</w:t>
      </w:r>
    </w:p>
    <w:p>
      <w:pPr>
        <w:spacing w:after="0" w:line="124" w:lineRule="exact"/>
        <w:rPr>
          <w:sz w:val="20"/>
          <w:szCs w:val="20"/>
          <w:color w:val="auto"/>
        </w:rPr>
      </w:pPr>
    </w:p>
    <w:p>
      <w:pPr>
        <w:jc w:val="both"/>
        <w:ind w:firstLine="802"/>
        <w:spacing w:after="0" w:line="254" w:lineRule="auto"/>
        <w:rPr>
          <w:sz w:val="20"/>
          <w:szCs w:val="20"/>
          <w:color w:val="auto"/>
        </w:rPr>
      </w:pPr>
      <w:r>
        <w:rPr>
          <w:rFonts w:ascii="Arial" w:cs="Arial" w:eastAsia="Arial" w:hAnsi="Arial"/>
          <w:sz w:val="18"/>
          <w:szCs w:val="18"/>
          <w:i w:val="1"/>
          <w:iCs w:val="1"/>
          <w:color w:val="auto"/>
        </w:rPr>
        <w:t xml:space="preserve">Brantley v. City of Gretna </w:t>
      </w:r>
      <w:r>
        <w:rPr>
          <w:rFonts w:ascii="Arial" w:cs="Arial" w:eastAsia="Arial" w:hAnsi="Arial"/>
          <w:sz w:val="18"/>
          <w:szCs w:val="18"/>
          <w:color w:val="auto"/>
        </w:rPr>
        <w:t>is a class action lawsuit filed in the 24th Judicial District Court of Jefferson Parish, Louisiana against the City of</w:t>
      </w:r>
      <w:r>
        <w:rPr>
          <w:rFonts w:ascii="Arial" w:cs="Arial" w:eastAsia="Arial" w:hAnsi="Arial"/>
          <w:sz w:val="18"/>
          <w:szCs w:val="18"/>
          <w:i w:val="1"/>
          <w:iCs w:val="1"/>
          <w:color w:val="auto"/>
        </w:rPr>
        <w:t xml:space="preserve"> </w:t>
      </w:r>
      <w:r>
        <w:rPr>
          <w:rFonts w:ascii="Arial" w:cs="Arial" w:eastAsia="Arial" w:hAnsi="Arial"/>
          <w:sz w:val="18"/>
          <w:szCs w:val="18"/>
          <w:color w:val="auto"/>
        </w:rPr>
        <w:t>Gretna (“</w:t>
      </w:r>
      <w:r>
        <w:rPr>
          <w:rFonts w:ascii="Arial" w:cs="Arial" w:eastAsia="Arial" w:hAnsi="Arial"/>
          <w:sz w:val="18"/>
          <w:szCs w:val="18"/>
          <w:b w:val="1"/>
          <w:bCs w:val="1"/>
          <w:i w:val="1"/>
          <w:iCs w:val="1"/>
          <w:color w:val="auto"/>
        </w:rPr>
        <w:t>City</w:t>
      </w:r>
      <w:r>
        <w:rPr>
          <w:rFonts w:ascii="Arial" w:cs="Arial" w:eastAsia="Arial" w:hAnsi="Arial"/>
          <w:sz w:val="18"/>
          <w:szCs w:val="18"/>
          <w:color w:val="auto"/>
        </w:rPr>
        <w:t>”) and its safety camera vendor, Redflex Traffic Systems, Inc. in April 2016. The plaintiff class, which was certified on March 30, 2021, alleges that the City’s safety camera program was implemented and operated in violation of local ordinances and the state constitution, including that the City’s hearing process violated the plaintiffs’ due process rights for lack of a “neutral” arbiter of liability for traffic infractions. Plaintiffs seek recovery of traffic infraction fines paid. The City and Redflex Traffic Systems, Inc. have initiated an appeal of the trial court’s ruling granting class certification, which remains pending. Based on the information available to the Company at present, it cannot reasonably estimate a range of loss for this action and, accordingly, it has not accrued any liability associated with this action.</w:t>
      </w:r>
    </w:p>
    <w:p>
      <w:pPr>
        <w:spacing w:after="0" w:line="15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Segment Reporting</w:t>
      </w:r>
    </w:p>
    <w:p>
      <w:pPr>
        <w:spacing w:after="0" w:line="189" w:lineRule="exact"/>
        <w:rPr>
          <w:sz w:val="20"/>
          <w:szCs w:val="20"/>
          <w:color w:val="auto"/>
        </w:rPr>
      </w:pPr>
    </w:p>
    <w:p>
      <w:pPr>
        <w:jc w:val="both"/>
        <w:ind w:firstLine="802"/>
        <w:spacing w:after="0" w:line="255" w:lineRule="auto"/>
        <w:rPr>
          <w:sz w:val="20"/>
          <w:szCs w:val="20"/>
          <w:color w:val="auto"/>
        </w:rPr>
      </w:pPr>
      <w:r>
        <w:rPr>
          <w:rFonts w:ascii="Arial" w:cs="Arial" w:eastAsia="Arial" w:hAnsi="Arial"/>
          <w:sz w:val="18"/>
          <w:szCs w:val="18"/>
          <w:color w:val="auto"/>
        </w:rPr>
        <w:t>The Company has two operating and reportable segments, Commercial Services and Government Solutions. Commercial Services offers toll and violation management solutions and title and registration services to commercial fleet vehicle owners, rental car companies and violation-issuing authorities. Government Solutions implements and administers traffic safety programs and products for municipalities and local and foreign government agencies of all sizes. The Company’s Chief Operating Decision Maker function (“</w:t>
      </w:r>
      <w:r>
        <w:rPr>
          <w:rFonts w:ascii="Arial" w:cs="Arial" w:eastAsia="Arial" w:hAnsi="Arial"/>
          <w:sz w:val="18"/>
          <w:szCs w:val="18"/>
          <w:b w:val="1"/>
          <w:bCs w:val="1"/>
          <w:i w:val="1"/>
          <w:iCs w:val="1"/>
          <w:color w:val="auto"/>
        </w:rPr>
        <w:t>CODM</w:t>
      </w:r>
      <w:r>
        <w:rPr>
          <w:rFonts w:ascii="Arial" w:cs="Arial" w:eastAsia="Arial" w:hAnsi="Arial"/>
          <w:sz w:val="18"/>
          <w:szCs w:val="18"/>
          <w:color w:val="auto"/>
        </w:rPr>
        <w:t>”) is comprised of the Company’s CEO and certain defined representatives of the Company’s executive management team. The Company’s CODM monitors operating performance, allocates resources and deploys capital based on these two segments.</w:t>
      </w:r>
    </w:p>
    <w:p>
      <w:pPr>
        <w:spacing w:after="0" w:line="165" w:lineRule="exact"/>
        <w:rPr>
          <w:sz w:val="20"/>
          <w:szCs w:val="20"/>
          <w:color w:val="auto"/>
        </w:rPr>
      </w:pPr>
    </w:p>
    <w:p>
      <w:pPr>
        <w:jc w:val="both"/>
        <w:ind w:firstLine="802"/>
        <w:spacing w:after="0" w:line="255" w:lineRule="auto"/>
        <w:rPr>
          <w:sz w:val="20"/>
          <w:szCs w:val="20"/>
          <w:color w:val="auto"/>
        </w:rPr>
      </w:pPr>
      <w:r>
        <w:rPr>
          <w:rFonts w:ascii="Arial" w:cs="Arial" w:eastAsia="Arial" w:hAnsi="Arial"/>
          <w:sz w:val="18"/>
          <w:szCs w:val="18"/>
          <w:color w:val="auto"/>
        </w:rPr>
        <w:t>Segment performance is based on revenues and income (loss) from operations before depreciation, amortization, gain (loss) on disposal of assets, net, and stock-based compensation. The measure also excludes interest expense, net, income taxes and certain other transactions and is inclusive of other income, net. The tables below refer to this measure as segment profit (loss). The aforementioned items are not indicative of operating performance, and, as a result are not included in the measures that are reviewed by the CODM for the segments. Other income, net consists primarily of credit card rebates earned on the prepayment of tolling transactions and is therefore included in segment profit (loss). There are no significant non-cash items reported in segment profit (loss).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4" w:name="page25"/>
    <w:bookmarkEnd w:id="24"/>
    <w:p>
      <w:pPr>
        <w:ind w:left="800"/>
        <w:spacing w:after="0"/>
        <w:rPr>
          <w:sz w:val="20"/>
          <w:szCs w:val="20"/>
          <w:color w:val="auto"/>
        </w:rPr>
      </w:pPr>
      <w:r>
        <w:rPr>
          <w:rFonts w:ascii="Arial" w:cs="Arial" w:eastAsia="Arial" w:hAnsi="Arial"/>
          <w:sz w:val="18"/>
          <w:szCs w:val="18"/>
          <w:color w:val="auto"/>
        </w:rPr>
        <w:t>The following tables set forth financial information by segment for the respective periods: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w w:val="99"/>
              </w:rPr>
              <w:t>For the Three Months Ended June 30, 2021</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92"/>
              </w:rPr>
              <w:t>Commercial</w:t>
            </w:r>
          </w:p>
        </w:tc>
        <w:tc>
          <w:tcPr>
            <w:tcW w:w="120" w:type="dxa"/>
            <w:vAlign w:val="bottom"/>
          </w:tcPr>
          <w:p>
            <w:pPr>
              <w:spacing w:after="0"/>
              <w:rPr>
                <w:sz w:val="12"/>
                <w:szCs w:val="12"/>
                <w:color w:val="auto"/>
              </w:rPr>
            </w:pPr>
          </w:p>
        </w:tc>
        <w:tc>
          <w:tcPr>
            <w:tcW w:w="116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2"/>
              </w:rPr>
              <w:t>Government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5"/>
              </w:rPr>
              <w:t>Corporate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86"/>
              </w:rPr>
              <w:t>Services</w:t>
            </w:r>
          </w:p>
        </w:tc>
        <w:tc>
          <w:tcPr>
            <w:tcW w:w="120" w:type="dxa"/>
            <w:vAlign w:val="bottom"/>
          </w:tcPr>
          <w:p>
            <w:pPr>
              <w:spacing w:after="0"/>
              <w:rPr>
                <w:sz w:val="15"/>
                <w:szCs w:val="15"/>
                <w:color w:val="auto"/>
              </w:rPr>
            </w:pPr>
          </w:p>
        </w:tc>
        <w:tc>
          <w:tcPr>
            <w:tcW w:w="11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87"/>
              </w:rPr>
              <w:t>Solutions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6"/>
              </w:rPr>
              <w:t>and Other</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17"/>
        </w:trPr>
        <w:tc>
          <w:tcPr>
            <w:tcW w:w="46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Service revenue</w:t>
            </w:r>
          </w:p>
        </w:tc>
        <w:tc>
          <w:tcPr>
            <w:tcW w:w="9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66,480</w:t>
            </w:r>
          </w:p>
        </w:tc>
        <w:tc>
          <w:tcPr>
            <w:tcW w:w="3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49,946</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116,426</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00" w:type="dxa"/>
            <w:vAlign w:val="bottom"/>
            <w:gridSpan w:val="2"/>
          </w:tcPr>
          <w:p>
            <w:pPr>
              <w:spacing w:after="0"/>
              <w:rPr>
                <w:sz w:val="20"/>
                <w:szCs w:val="20"/>
                <w:color w:val="auto"/>
              </w:rPr>
            </w:pPr>
            <w:r>
              <w:rPr>
                <w:rFonts w:ascii="Arial" w:cs="Arial" w:eastAsia="Arial" w:hAnsi="Arial"/>
                <w:sz w:val="18"/>
                <w:szCs w:val="18"/>
                <w:color w:val="auto"/>
              </w:rPr>
              <w:t>Product sales</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12,231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Borders>
              <w:top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Total revenue</w:t>
            </w:r>
          </w:p>
        </w:tc>
        <w:tc>
          <w:tcPr>
            <w:tcW w:w="9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66,480</w:t>
            </w: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62,177</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128,657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gridSpan w:val="2"/>
          </w:tcPr>
          <w:p>
            <w:pPr>
              <w:spacing w:after="0"/>
              <w:rPr>
                <w:sz w:val="20"/>
                <w:szCs w:val="20"/>
                <w:color w:val="auto"/>
              </w:rPr>
            </w:pPr>
            <w:r>
              <w:rPr>
                <w:rFonts w:ascii="Arial" w:cs="Arial" w:eastAsia="Arial" w:hAnsi="Arial"/>
                <w:sz w:val="18"/>
                <w:szCs w:val="18"/>
                <w:color w:val="auto"/>
              </w:rPr>
              <w:t>Cost of service revenue</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905</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product sales</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15,990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20,196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36,186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9,479</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10,119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(2,594)</w:t>
            </w: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(2,798)</w:t>
            </w:r>
          </w:p>
        </w:tc>
        <w:tc>
          <w:tcPr>
            <w:tcW w:w="0" w:type="dxa"/>
            <w:vAlign w:val="bottom"/>
          </w:tcPr>
          <w:p>
            <w:pPr>
              <w:spacing w:after="0"/>
              <w:rPr>
                <w:sz w:val="1"/>
                <w:szCs w:val="1"/>
                <w:color w:val="auto"/>
              </w:rPr>
            </w:pPr>
          </w:p>
        </w:tc>
      </w:tr>
      <w:tr>
        <w:trPr>
          <w:trHeight w:val="223"/>
        </w:trPr>
        <w:tc>
          <w:tcPr>
            <w:tcW w:w="460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b w:val="1"/>
                <w:bCs w:val="1"/>
                <w:color w:val="auto"/>
              </w:rPr>
              <w:t>Segment profit (loss)</w:t>
            </w:r>
          </w:p>
        </w:tc>
        <w:tc>
          <w:tcPr>
            <w:tcW w:w="9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42,700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25,495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64,889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rPr>
              <w:t>Segment profit (loss)</w:t>
            </w:r>
          </w:p>
        </w:tc>
        <w:tc>
          <w:tcPr>
            <w:tcW w:w="10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42,700</w:t>
            </w:r>
          </w:p>
        </w:tc>
        <w:tc>
          <w:tcPr>
            <w:tcW w:w="3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64,889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27,013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gridSpan w:val="2"/>
          </w:tcPr>
          <w:p>
            <w:pPr>
              <w:spacing w:after="0"/>
              <w:rPr>
                <w:sz w:val="20"/>
                <w:szCs w:val="20"/>
                <w:color w:val="auto"/>
              </w:rPr>
            </w:pPr>
            <w:r>
              <w:rPr>
                <w:rFonts w:ascii="Arial" w:cs="Arial" w:eastAsia="Arial" w:hAnsi="Arial"/>
                <w:sz w:val="18"/>
                <w:szCs w:val="18"/>
                <w:color w:val="auto"/>
              </w:rPr>
              <w:t>Gain on disposal of assets, net</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Change in fair value of private placement warrants</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gridSpan w:val="2"/>
          </w:tcPr>
          <w:p>
            <w:pPr>
              <w:spacing w:after="0"/>
              <w:rPr>
                <w:sz w:val="20"/>
                <w:szCs w:val="20"/>
                <w:color w:val="auto"/>
              </w:rPr>
            </w:pPr>
            <w:r>
              <w:rPr>
                <w:rFonts w:ascii="Arial" w:cs="Arial" w:eastAsia="Arial" w:hAnsi="Arial"/>
                <w:sz w:val="18"/>
                <w:szCs w:val="18"/>
                <w:color w:val="auto"/>
              </w:rPr>
              <w:t>Tax receivable agreement liability adjustment</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1,661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11,680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Income (loss) before income tax provision</w:t>
            </w:r>
          </w:p>
        </w:tc>
        <w:tc>
          <w:tcPr>
            <w:tcW w:w="9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42,700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25,496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(55,300)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12,896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w w:val="99"/>
              </w:rPr>
              <w:t>For the Three Months Ended June 30, 2020</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92"/>
              </w:rPr>
              <w:t>Commercial</w:t>
            </w:r>
          </w:p>
        </w:tc>
        <w:tc>
          <w:tcPr>
            <w:tcW w:w="120" w:type="dxa"/>
            <w:vAlign w:val="bottom"/>
          </w:tcPr>
          <w:p>
            <w:pPr>
              <w:spacing w:after="0"/>
              <w:rPr>
                <w:sz w:val="12"/>
                <w:szCs w:val="12"/>
                <w:color w:val="auto"/>
              </w:rPr>
            </w:pPr>
          </w:p>
        </w:tc>
        <w:tc>
          <w:tcPr>
            <w:tcW w:w="116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2"/>
              </w:rPr>
              <w:t>Government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5"/>
              </w:rPr>
              <w:t>Corporate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600" w:type="dxa"/>
            <w:vAlign w:val="bottom"/>
            <w:vMerge w:val="restart"/>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Services</w:t>
            </w:r>
          </w:p>
        </w:tc>
        <w:tc>
          <w:tcPr>
            <w:tcW w:w="12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Solutions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and Other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7"/>
        </w:trPr>
        <w:tc>
          <w:tcPr>
            <w:tcW w:w="1000" w:type="dxa"/>
            <w:vAlign w:val="bottom"/>
            <w:tcBorders>
              <w:bottom w:val="single" w:sz="8" w:color="auto"/>
            </w:tcBorders>
            <w:vMerge w:val="continue"/>
          </w:tcPr>
          <w:p>
            <w:pPr>
              <w:spacing w:after="0"/>
              <w:rPr>
                <w:sz w:val="12"/>
                <w:szCs w:val="12"/>
                <w:color w:val="auto"/>
              </w:rPr>
            </w:pPr>
          </w:p>
        </w:tc>
        <w:tc>
          <w:tcPr>
            <w:tcW w:w="360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center"/>
              <w:ind w:right="92"/>
              <w:spacing w:after="0" w:line="142" w:lineRule="exact"/>
              <w:rPr>
                <w:sz w:val="20"/>
                <w:szCs w:val="20"/>
                <w:color w:val="auto"/>
              </w:rPr>
            </w:pPr>
            <w:r>
              <w:rPr>
                <w:rFonts w:ascii="Arial" w:cs="Arial" w:eastAsia="Arial" w:hAnsi="Arial"/>
                <w:sz w:val="14"/>
                <w:szCs w:val="14"/>
                <w:b w:val="1"/>
                <w:bCs w:val="1"/>
                <w:color w:val="auto"/>
                <w:w w:val="91"/>
              </w:rPr>
              <w:t>(As restated)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ind w:right="71"/>
              <w:spacing w:after="0" w:line="142" w:lineRule="exact"/>
              <w:rPr>
                <w:sz w:val="20"/>
                <w:szCs w:val="20"/>
                <w:color w:val="auto"/>
              </w:rPr>
            </w:pPr>
            <w:r>
              <w:rPr>
                <w:rFonts w:ascii="Arial" w:cs="Arial" w:eastAsia="Arial" w:hAnsi="Arial"/>
                <w:sz w:val="14"/>
                <w:szCs w:val="14"/>
                <w:b w:val="1"/>
                <w:bCs w:val="1"/>
                <w:color w:val="auto"/>
                <w:w w:val="93"/>
              </w:rPr>
              <w:t>(As restated)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Service revenue</w:t>
            </w:r>
          </w:p>
        </w:tc>
        <w:tc>
          <w:tcPr>
            <w:tcW w:w="1060" w:type="dxa"/>
            <w:vAlign w:val="bottom"/>
            <w:gridSpan w:val="2"/>
            <w:shd w:val="clear" w:color="auto" w:fill="CFF0FC"/>
          </w:tcPr>
          <w:p>
            <w:pPr>
              <w:ind w:left="9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27,272</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35,543</w:t>
            </w:r>
          </w:p>
        </w:tc>
        <w:tc>
          <w:tcPr>
            <w:tcW w:w="1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gridSpan w:val="2"/>
          </w:tcPr>
          <w:p>
            <w:pPr>
              <w:spacing w:after="0"/>
              <w:rPr>
                <w:sz w:val="20"/>
                <w:szCs w:val="20"/>
                <w:color w:val="auto"/>
              </w:rPr>
            </w:pPr>
            <w:r>
              <w:rPr>
                <w:rFonts w:ascii="Arial" w:cs="Arial" w:eastAsia="Arial" w:hAnsi="Arial"/>
                <w:sz w:val="18"/>
                <w:szCs w:val="18"/>
                <w:color w:val="auto"/>
              </w:rPr>
              <w:t>Product sales</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16,994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Borders>
              <w:top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Total revenue</w:t>
            </w:r>
          </w:p>
        </w:tc>
        <w:tc>
          <w:tcPr>
            <w:tcW w:w="9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27,272</w:t>
            </w: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52,537</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79,809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gridSpan w:val="2"/>
          </w:tcPr>
          <w:p>
            <w:pPr>
              <w:spacing w:after="0"/>
              <w:rPr>
                <w:sz w:val="20"/>
                <w:szCs w:val="20"/>
                <w:color w:val="auto"/>
              </w:rPr>
            </w:pPr>
            <w:r>
              <w:rPr>
                <w:rFonts w:ascii="Arial" w:cs="Arial" w:eastAsia="Arial" w:hAnsi="Arial"/>
                <w:sz w:val="18"/>
                <w:szCs w:val="18"/>
                <w:color w:val="auto"/>
              </w:rPr>
              <w:t>Cost of service revenue</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product sales</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10,750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15,655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26,405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10,191</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(1,507)</w:t>
            </w: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23"/>
        </w:trPr>
        <w:tc>
          <w:tcPr>
            <w:tcW w:w="460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b w:val="1"/>
                <w:bCs w:val="1"/>
                <w:color w:val="auto"/>
              </w:rPr>
              <w:t>Segment profit (loss)</w:t>
            </w:r>
          </w:p>
        </w:tc>
        <w:tc>
          <w:tcPr>
            <w:tcW w:w="9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20,321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27,010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rPr>
              <w:t>Segment profit (loss)</w:t>
            </w:r>
          </w:p>
        </w:tc>
        <w:tc>
          <w:tcPr>
            <w:tcW w:w="10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7,192</w:t>
            </w:r>
          </w:p>
        </w:tc>
        <w:tc>
          <w:tcPr>
            <w:tcW w:w="3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29,159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Loss on disposal of assets, net</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Change in fair value of private placement warrants</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Tax receivable agreement liability adjustment</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4,446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9,539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Income (loss) before income tax benefit</w:t>
            </w:r>
          </w:p>
        </w:tc>
        <w:tc>
          <w:tcPr>
            <w:tcW w:w="9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7,187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20,319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(55,252)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(27,746)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0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020" w:type="dxa"/>
            <w:vAlign w:val="bottom"/>
            <w:gridSpan w:val="3"/>
          </w:tcPr>
          <w:p>
            <w:pPr>
              <w:ind w:left="940"/>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For the Six Months Ended June 30, 2021</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92"/>
              </w:rPr>
              <w:t>Commercial</w:t>
            </w:r>
          </w:p>
        </w:tc>
        <w:tc>
          <w:tcPr>
            <w:tcW w:w="120" w:type="dxa"/>
            <w:vAlign w:val="bottom"/>
          </w:tcPr>
          <w:p>
            <w:pPr>
              <w:spacing w:after="0"/>
              <w:rPr>
                <w:sz w:val="12"/>
                <w:szCs w:val="12"/>
                <w:color w:val="auto"/>
              </w:rPr>
            </w:pPr>
          </w:p>
        </w:tc>
        <w:tc>
          <w:tcPr>
            <w:tcW w:w="116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Government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5"/>
              </w:rPr>
              <w:t>Corporate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86"/>
              </w:rPr>
              <w:t>Services</w:t>
            </w:r>
          </w:p>
        </w:tc>
        <w:tc>
          <w:tcPr>
            <w:tcW w:w="120" w:type="dxa"/>
            <w:vAlign w:val="bottom"/>
          </w:tcPr>
          <w:p>
            <w:pPr>
              <w:spacing w:after="0"/>
              <w:rPr>
                <w:sz w:val="15"/>
                <w:szCs w:val="15"/>
                <w:color w:val="auto"/>
              </w:rPr>
            </w:pPr>
          </w:p>
        </w:tc>
        <w:tc>
          <w:tcPr>
            <w:tcW w:w="1160" w:type="dxa"/>
            <w:vAlign w:val="bottom"/>
            <w:gridSpan w:val="2"/>
          </w:tcPr>
          <w:p>
            <w:pPr>
              <w:ind w:left="140"/>
              <w:spacing w:after="0" w:line="158" w:lineRule="exact"/>
              <w:rPr>
                <w:sz w:val="20"/>
                <w:szCs w:val="20"/>
                <w:color w:val="auto"/>
              </w:rPr>
            </w:pPr>
            <w:r>
              <w:rPr>
                <w:rFonts w:ascii="Arial" w:cs="Arial" w:eastAsia="Arial" w:hAnsi="Arial"/>
                <w:sz w:val="14"/>
                <w:szCs w:val="14"/>
                <w:b w:val="1"/>
                <w:bCs w:val="1"/>
                <w:color w:val="auto"/>
              </w:rPr>
              <w:t>Solutions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6"/>
              </w:rPr>
              <w:t>and Other</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16"/>
        </w:trPr>
        <w:tc>
          <w:tcPr>
            <w:tcW w:w="46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Service revenue</w:t>
            </w:r>
          </w:p>
        </w:tc>
        <w:tc>
          <w:tcPr>
            <w:tcW w:w="9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112,169</w:t>
            </w:r>
          </w:p>
        </w:tc>
        <w:tc>
          <w:tcPr>
            <w:tcW w:w="3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94,020</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206,189</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Product sales</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12,326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Borders>
              <w:top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Total revenue</w:t>
            </w:r>
          </w:p>
        </w:tc>
        <w:tc>
          <w:tcPr>
            <w:tcW w:w="9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112,169</w:t>
            </w: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106,346</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218,515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Cost of service revenue</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product sales</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30,196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36,288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66,484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20,271</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20,930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(4,664)</w:t>
            </w: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(1,147)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(5,811)</w:t>
            </w:r>
          </w:p>
        </w:tc>
        <w:tc>
          <w:tcPr>
            <w:tcW w:w="0" w:type="dxa"/>
            <w:vAlign w:val="bottom"/>
          </w:tcPr>
          <w:p>
            <w:pPr>
              <w:spacing w:after="0"/>
              <w:rPr>
                <w:sz w:val="1"/>
                <w:szCs w:val="1"/>
                <w:color w:val="auto"/>
              </w:rPr>
            </w:pPr>
          </w:p>
        </w:tc>
      </w:tr>
      <w:tr>
        <w:trPr>
          <w:trHeight w:val="223"/>
        </w:trPr>
        <w:tc>
          <w:tcPr>
            <w:tcW w:w="460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b w:val="1"/>
                <w:bCs w:val="1"/>
                <w:color w:val="auto"/>
              </w:rPr>
              <w:t>Segment profit (loss)</w:t>
            </w:r>
          </w:p>
        </w:tc>
        <w:tc>
          <w:tcPr>
            <w:tcW w:w="9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64,930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43,328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(7,432)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100,826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rPr>
              <w:t>Segment profit (loss)</w:t>
            </w:r>
          </w:p>
        </w:tc>
        <w:tc>
          <w:tcPr>
            <w:tcW w:w="10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64,930</w:t>
            </w:r>
          </w:p>
        </w:tc>
        <w:tc>
          <w:tcPr>
            <w:tcW w:w="3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(7,432)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100,826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55,227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Loss on disposal of assets, net</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Change in fair value of private placement warrants</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gridSpan w:val="2"/>
          </w:tcPr>
          <w:p>
            <w:pPr>
              <w:spacing w:after="0"/>
              <w:rPr>
                <w:sz w:val="20"/>
                <w:szCs w:val="20"/>
                <w:color w:val="auto"/>
              </w:rPr>
            </w:pPr>
            <w:r>
              <w:rPr>
                <w:rFonts w:ascii="Arial" w:cs="Arial" w:eastAsia="Arial" w:hAnsi="Arial"/>
                <w:sz w:val="18"/>
                <w:szCs w:val="18"/>
                <w:color w:val="auto"/>
              </w:rPr>
              <w:t>Tax receivable agreement liability adjustment</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1,661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20,844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20,844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gridSpan w:val="2"/>
          </w:tcPr>
          <w:p>
            <w:pPr>
              <w:ind w:left="140"/>
              <w:spacing w:after="0"/>
              <w:rPr>
                <w:sz w:val="20"/>
                <w:szCs w:val="20"/>
                <w:color w:val="auto"/>
              </w:rPr>
            </w:pPr>
            <w:r>
              <w:rPr>
                <w:rFonts w:ascii="Arial" w:cs="Arial" w:eastAsia="Arial" w:hAnsi="Arial"/>
                <w:sz w:val="18"/>
                <w:szCs w:val="18"/>
                <w:color w:val="auto"/>
              </w:rPr>
              <w:t>Income (loss) before income tax provision</w:t>
            </w:r>
          </w:p>
        </w:tc>
        <w:tc>
          <w:tcPr>
            <w:tcW w:w="9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64,930</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43,278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(107,113)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For the Six Months Ended June 30, 2020</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92"/>
              </w:rPr>
              <w:t>Commercial</w:t>
            </w:r>
          </w:p>
        </w:tc>
        <w:tc>
          <w:tcPr>
            <w:tcW w:w="120" w:type="dxa"/>
            <w:vAlign w:val="bottom"/>
          </w:tcPr>
          <w:p>
            <w:pPr>
              <w:spacing w:after="0"/>
              <w:rPr>
                <w:sz w:val="12"/>
                <w:szCs w:val="12"/>
                <w:color w:val="auto"/>
              </w:rPr>
            </w:pPr>
          </w:p>
        </w:tc>
        <w:tc>
          <w:tcPr>
            <w:tcW w:w="116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Government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5"/>
              </w:rPr>
              <w:t>Corporate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600" w:type="dxa"/>
            <w:vAlign w:val="bottom"/>
            <w:vMerge w:val="restart"/>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Services</w:t>
            </w:r>
          </w:p>
        </w:tc>
        <w:tc>
          <w:tcPr>
            <w:tcW w:w="120" w:type="dxa"/>
            <w:vAlign w:val="bottom"/>
          </w:tcPr>
          <w:p>
            <w:pPr>
              <w:spacing w:after="0"/>
              <w:rPr>
                <w:sz w:val="14"/>
                <w:szCs w:val="14"/>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Solutions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and Other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7"/>
        </w:trPr>
        <w:tc>
          <w:tcPr>
            <w:tcW w:w="1000" w:type="dxa"/>
            <w:vAlign w:val="bottom"/>
            <w:tcBorders>
              <w:bottom w:val="single" w:sz="8" w:color="auto"/>
            </w:tcBorders>
            <w:vMerge w:val="continue"/>
          </w:tcPr>
          <w:p>
            <w:pPr>
              <w:spacing w:after="0"/>
              <w:rPr>
                <w:sz w:val="12"/>
                <w:szCs w:val="12"/>
                <w:color w:val="auto"/>
              </w:rPr>
            </w:pPr>
          </w:p>
        </w:tc>
        <w:tc>
          <w:tcPr>
            <w:tcW w:w="360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center"/>
              <w:ind w:right="92"/>
              <w:spacing w:after="0" w:line="142" w:lineRule="exact"/>
              <w:rPr>
                <w:sz w:val="20"/>
                <w:szCs w:val="20"/>
                <w:color w:val="auto"/>
              </w:rPr>
            </w:pPr>
            <w:r>
              <w:rPr>
                <w:rFonts w:ascii="Arial" w:cs="Arial" w:eastAsia="Arial" w:hAnsi="Arial"/>
                <w:sz w:val="14"/>
                <w:szCs w:val="14"/>
                <w:b w:val="1"/>
                <w:bCs w:val="1"/>
                <w:color w:val="auto"/>
                <w:w w:val="91"/>
              </w:rPr>
              <w:t>(As restated)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ind w:right="71"/>
              <w:spacing w:after="0" w:line="142" w:lineRule="exact"/>
              <w:rPr>
                <w:sz w:val="20"/>
                <w:szCs w:val="20"/>
                <w:color w:val="auto"/>
              </w:rPr>
            </w:pPr>
            <w:r>
              <w:rPr>
                <w:rFonts w:ascii="Arial" w:cs="Arial" w:eastAsia="Arial" w:hAnsi="Arial"/>
                <w:sz w:val="14"/>
                <w:szCs w:val="14"/>
                <w:b w:val="1"/>
                <w:bCs w:val="1"/>
                <w:color w:val="auto"/>
                <w:w w:val="93"/>
              </w:rPr>
              <w:t>(As restated)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Service revenue</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88,514</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73,798</w:t>
            </w:r>
          </w:p>
        </w:tc>
        <w:tc>
          <w:tcPr>
            <w:tcW w:w="1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162,312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Product sales</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34,210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34,210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Borders>
              <w:top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Total revenue</w:t>
            </w:r>
          </w:p>
        </w:tc>
        <w:tc>
          <w:tcPr>
            <w:tcW w:w="9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88,514</w:t>
            </w: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108,008</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196,522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Cost of service revenue</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1,453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product sales</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17,750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27,280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31,164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58,444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23,575</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16,819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(4,396)</w:t>
            </w: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(4,448)</w:t>
            </w:r>
          </w:p>
        </w:tc>
        <w:tc>
          <w:tcPr>
            <w:tcW w:w="0" w:type="dxa"/>
            <w:vAlign w:val="bottom"/>
          </w:tcPr>
          <w:p>
            <w:pPr>
              <w:spacing w:after="0"/>
              <w:rPr>
                <w:sz w:val="1"/>
                <w:szCs w:val="1"/>
                <w:color w:val="auto"/>
              </w:rPr>
            </w:pPr>
          </w:p>
        </w:tc>
      </w:tr>
      <w:tr>
        <w:trPr>
          <w:trHeight w:val="223"/>
        </w:trPr>
        <w:tc>
          <w:tcPr>
            <w:tcW w:w="460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b w:val="1"/>
                <w:bCs w:val="1"/>
                <w:color w:val="auto"/>
              </w:rPr>
              <w:t>Segment profit (loss)</w:t>
            </w:r>
          </w:p>
        </w:tc>
        <w:tc>
          <w:tcPr>
            <w:tcW w:w="9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40,602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41,548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81,362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rPr>
              <w:t>Segment profit (loss)</w:t>
            </w:r>
          </w:p>
        </w:tc>
        <w:tc>
          <w:tcPr>
            <w:tcW w:w="10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40,602</w:t>
            </w:r>
          </w:p>
        </w:tc>
        <w:tc>
          <w:tcPr>
            <w:tcW w:w="3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81,362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58,409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gridSpan w:val="2"/>
          </w:tcPr>
          <w:p>
            <w:pPr>
              <w:spacing w:after="0"/>
              <w:rPr>
                <w:sz w:val="20"/>
                <w:szCs w:val="20"/>
                <w:color w:val="auto"/>
              </w:rPr>
            </w:pPr>
            <w:r>
              <w:rPr>
                <w:rFonts w:ascii="Arial" w:cs="Arial" w:eastAsia="Arial" w:hAnsi="Arial"/>
                <w:sz w:val="18"/>
                <w:szCs w:val="18"/>
                <w:color w:val="auto"/>
              </w:rPr>
              <w:t>Loss (gain) on disposal of assets, net</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Change in fair value of private placement warrants</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(7,133)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(7,133)</w:t>
            </w: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Tax receivable agreement liability adjustment</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4,446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21,990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21,990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Income (loss) before income tax benefit</w:t>
            </w:r>
          </w:p>
        </w:tc>
        <w:tc>
          <w:tcPr>
            <w:tcW w:w="9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40,597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41,550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(84,539)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ind w:firstLine="802"/>
        <w:spacing w:after="0" w:line="257" w:lineRule="auto"/>
        <w:rPr>
          <w:sz w:val="20"/>
          <w:szCs w:val="20"/>
          <w:color w:val="auto"/>
        </w:rPr>
      </w:pPr>
      <w:r>
        <w:rPr>
          <w:rFonts w:ascii="Arial" w:cs="Arial" w:eastAsia="Arial" w:hAnsi="Arial"/>
          <w:sz w:val="18"/>
          <w:szCs w:val="18"/>
          <w:color w:val="auto"/>
        </w:rPr>
        <w:t xml:space="preserve">The Company primarily operates within the United States, Australia, Europe and Canada. Revenues are attributable to countries based upon the location of the customer. Revenues from international customers were $5.0 million and $3.0 million for the three months ended June 30, 2021 and 2020, respectively, and were $7.8 million and $6.9 million for the six months ended June 30, 2021 and 2020, respectively. The Company does not disaggregate assets by segment other than certain customer equipment and vehicles related to the Government Solutions segment. Refer to Note 5, </w:t>
      </w:r>
      <w:r>
        <w:rPr>
          <w:rFonts w:ascii="Arial" w:cs="Arial" w:eastAsia="Arial" w:hAnsi="Arial"/>
          <w:sz w:val="18"/>
          <w:szCs w:val="18"/>
          <w:i w:val="1"/>
          <w:iCs w:val="1"/>
          <w:color w:val="auto"/>
        </w:rPr>
        <w:t>Goodwill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Intangible Assets </w:t>
      </w:r>
      <w:r>
        <w:rPr>
          <w:rFonts w:ascii="Arial" w:cs="Arial" w:eastAsia="Arial" w:hAnsi="Arial"/>
          <w:sz w:val="18"/>
          <w:szCs w:val="18"/>
          <w:color w:val="auto"/>
        </w:rPr>
        <w:t>for goodwill balances by segment.</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6" w:name="page27"/>
    <w:bookmarkEnd w:id="26"/>
    <w:p>
      <w:pPr>
        <w:spacing w:after="0"/>
        <w:tabs>
          <w:tab w:leader="none" w:pos="3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Guarantor/Non-Guarantor Financial Information</w:t>
      </w:r>
    </w:p>
    <w:p>
      <w:pPr>
        <w:spacing w:after="0" w:line="189" w:lineRule="exact"/>
        <w:rPr>
          <w:sz w:val="20"/>
          <w:szCs w:val="20"/>
          <w:color w:val="auto"/>
        </w:rPr>
      </w:pPr>
    </w:p>
    <w:p>
      <w:pPr>
        <w:jc w:val="both"/>
        <w:ind w:firstLine="802"/>
        <w:spacing w:after="0" w:line="273" w:lineRule="auto"/>
        <w:rPr>
          <w:sz w:val="20"/>
          <w:szCs w:val="20"/>
          <w:color w:val="auto"/>
        </w:rPr>
      </w:pPr>
      <w:r>
        <w:rPr>
          <w:rFonts w:ascii="Arial" w:cs="Arial" w:eastAsia="Arial" w:hAnsi="Arial"/>
          <w:sz w:val="17"/>
          <w:szCs w:val="17"/>
          <w:color w:val="auto"/>
        </w:rPr>
        <w:t>VM Consolidated, Inc., a wholly owned subsidiary of the Company, is the lead borrower of the 2021 Term Loan, Senior Notes and the Revolver. VM Consolidated, Inc. is owned by the Company through a series of holding companies that ultimately end with the Company. VM Consolidated, Inc. is wholly owned by Greenlight Acquisition Corporation, which is wholly owned by Greenlight Intermediate Holding Corporation, which is wholly owned by Greenlight Holding Corporation, which is wholly owned by Verra Mobility Holdings, LLC, which is wholly owned by Verra Mobility Corporation or the Company. The principal elimination entries relate to investments in subsidiaries and intercompany balances and transactions, including transactions with the Company’s wholly owned subsidiary guarantor and non-guarantor subsidiaries.</w:t>
      </w:r>
    </w:p>
    <w:p>
      <w:pPr>
        <w:spacing w:after="0" w:line="151"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color w:val="auto"/>
        </w:rPr>
        <w:t>The following financial information presents the condensed consolidated balance sheets as of June 30, 2021 and the related condensed consolidated statements of operations and comprehensive income (loss) for the three and six months ended June 30, 2021 and the condensed consolidated statements of cash flows for the six months ended June 30, 2021 for the Company, the combined guarantor subsidiary and the combined non-guarantor subsidiaries.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Verra Mobility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 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48"/>
              <w:spacing w:after="0"/>
              <w:rPr>
                <w:sz w:val="20"/>
                <w:szCs w:val="20"/>
                <w:color w:val="auto"/>
              </w:rPr>
            </w:pPr>
            <w:r>
              <w:rPr>
                <w:rFonts w:ascii="Arial" w:cs="Arial" w:eastAsia="Arial" w:hAnsi="Arial"/>
                <w:sz w:val="14"/>
                <w:szCs w:val="14"/>
                <w:b w:val="1"/>
                <w:bCs w:val="1"/>
                <w:color w:val="auto"/>
              </w:rPr>
              <w:t>VM</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9"/>
              </w:rPr>
              <w:t>Verra Mobility</w:t>
            </w:r>
          </w:p>
        </w:tc>
        <w:tc>
          <w:tcPr>
            <w:tcW w:w="120" w:type="dxa"/>
            <w:vAlign w:val="bottom"/>
          </w:tcPr>
          <w:p>
            <w:pPr>
              <w:spacing w:after="0"/>
              <w:rPr>
                <w:sz w:val="12"/>
                <w:szCs w:val="12"/>
                <w:color w:val="auto"/>
              </w:rPr>
            </w:pPr>
          </w:p>
        </w:tc>
        <w:tc>
          <w:tcPr>
            <w:tcW w:w="104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9"/>
              </w:rPr>
              <w:t>Inc.</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2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Corporation</w:t>
            </w:r>
          </w:p>
        </w:tc>
        <w:tc>
          <w:tcPr>
            <w:tcW w:w="120" w:type="dxa"/>
            <w:vAlign w:val="bottom"/>
          </w:tcPr>
          <w:p>
            <w:pPr>
              <w:spacing w:after="0"/>
              <w:rPr>
                <w:sz w:val="12"/>
                <w:szCs w:val="12"/>
                <w:color w:val="auto"/>
              </w:rPr>
            </w:pPr>
          </w:p>
        </w:tc>
        <w:tc>
          <w:tcPr>
            <w:tcW w:w="104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6"/>
              </w:rPr>
              <w:t>(Guarantor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guarantor</w:t>
            </w:r>
          </w:p>
        </w:tc>
        <w:tc>
          <w:tcPr>
            <w:tcW w:w="140" w:type="dxa"/>
            <w:vAlign w:val="bottom"/>
          </w:tcPr>
          <w:p>
            <w:pPr>
              <w:spacing w:after="0"/>
              <w:rPr>
                <w:sz w:val="12"/>
                <w:szCs w:val="12"/>
                <w:color w:val="auto"/>
              </w:rPr>
            </w:pPr>
          </w:p>
        </w:tc>
        <w:tc>
          <w:tcPr>
            <w:tcW w:w="11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vMerge w:val="continue"/>
          </w:tcPr>
          <w:p>
            <w:pPr>
              <w:spacing w:after="0"/>
              <w:rPr>
                <w:sz w:val="15"/>
                <w:szCs w:val="15"/>
                <w:color w:val="auto"/>
              </w:rPr>
            </w:pPr>
          </w:p>
        </w:tc>
        <w:tc>
          <w:tcPr>
            <w:tcW w:w="32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3"/>
          </w:tcPr>
          <w:p>
            <w:pPr>
              <w:jc w:val="center"/>
              <w:ind w:right="260"/>
              <w:spacing w:after="0" w:line="158" w:lineRule="exact"/>
              <w:rPr>
                <w:sz w:val="20"/>
                <w:szCs w:val="20"/>
                <w:color w:val="auto"/>
              </w:rPr>
            </w:pPr>
            <w:r>
              <w:rPr>
                <w:rFonts w:ascii="Arial" w:cs="Arial" w:eastAsia="Arial" w:hAnsi="Arial"/>
                <w:sz w:val="14"/>
                <w:szCs w:val="14"/>
                <w:b w:val="1"/>
                <w:bCs w:val="1"/>
                <w:color w:val="auto"/>
                <w:w w:val="96"/>
              </w:rPr>
              <w:t>(Ultimate Parent)</w:t>
            </w:r>
          </w:p>
        </w:tc>
        <w:tc>
          <w:tcPr>
            <w:tcW w:w="120" w:type="dxa"/>
            <w:vAlign w:val="bottom"/>
          </w:tcPr>
          <w:p>
            <w:pPr>
              <w:spacing w:after="0"/>
              <w:rPr>
                <w:sz w:val="15"/>
                <w:szCs w:val="15"/>
                <w:color w:val="auto"/>
              </w:rPr>
            </w:pPr>
          </w:p>
        </w:tc>
        <w:tc>
          <w:tcPr>
            <w:tcW w:w="1040" w:type="dxa"/>
            <w:vAlign w:val="bottom"/>
          </w:tcPr>
          <w:p>
            <w:pPr>
              <w:jc w:val="center"/>
              <w:ind w:right="68"/>
              <w:spacing w:after="0" w:line="158" w:lineRule="exact"/>
              <w:rPr>
                <w:sz w:val="20"/>
                <w:szCs w:val="20"/>
                <w:color w:val="auto"/>
              </w:rPr>
            </w:pPr>
            <w:r>
              <w:rPr>
                <w:rFonts w:ascii="Arial" w:cs="Arial" w:eastAsia="Arial" w:hAnsi="Arial"/>
                <w:sz w:val="14"/>
                <w:szCs w:val="14"/>
                <w:b w:val="1"/>
                <w:bCs w:val="1"/>
                <w:color w:val="auto"/>
                <w:w w:val="91"/>
              </w:rPr>
              <w:t>Subsidiary)</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220" w:type="dxa"/>
            <w:vAlign w:val="bottom"/>
            <w:tcBorders>
              <w:top w:val="single" w:sz="8" w:color="CFF0FC"/>
            </w:tcBorders>
            <w:gridSpan w:val="2"/>
            <w:shd w:val="clear" w:color="auto" w:fill="CFF0FC"/>
          </w:tcPr>
          <w:p>
            <w:pPr>
              <w:spacing w:after="0" w:line="149" w:lineRule="exact"/>
              <w:rPr>
                <w:sz w:val="20"/>
                <w:szCs w:val="20"/>
                <w:color w:val="auto"/>
              </w:rPr>
            </w:pPr>
            <w:r>
              <w:rPr>
                <w:rFonts w:ascii="Arial" w:cs="Arial" w:eastAsia="Arial" w:hAnsi="Arial"/>
                <w:sz w:val="14"/>
                <w:szCs w:val="14"/>
                <w:b w:val="1"/>
                <w:bCs w:val="1"/>
                <w:color w:val="auto"/>
              </w:rPr>
              <w:t>Assets</w:t>
            </w:r>
          </w:p>
        </w:tc>
        <w:tc>
          <w:tcPr>
            <w:tcW w:w="1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20" w:type="dxa"/>
            <w:vAlign w:val="bottom"/>
            <w:gridSpan w:val="2"/>
          </w:tcPr>
          <w:p>
            <w:pPr>
              <w:ind w:left="140"/>
              <w:spacing w:after="0"/>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Cash and cash equivalents</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124,422</w:t>
            </w:r>
          </w:p>
        </w:tc>
        <w:tc>
          <w:tcPr>
            <w:tcW w:w="360" w:type="dxa"/>
            <w:vAlign w:val="bottom"/>
            <w:gridSpan w:val="2"/>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22,924</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147,346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tcPr>
          <w:p>
            <w:pPr>
              <w:ind w:left="260"/>
              <w:spacing w:after="0"/>
              <w:rPr>
                <w:sz w:val="20"/>
                <w:szCs w:val="20"/>
                <w:color w:val="auto"/>
              </w:rPr>
            </w:pPr>
            <w:r>
              <w:rPr>
                <w:rFonts w:ascii="Arial" w:cs="Arial" w:eastAsia="Arial" w:hAnsi="Arial"/>
                <w:sz w:val="14"/>
                <w:szCs w:val="14"/>
                <w:color w:val="auto"/>
              </w:rPr>
              <w:t>Restricted cash</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734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2,425</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3,159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220" w:type="dxa"/>
            <w:vAlign w:val="bottom"/>
            <w:gridSpan w:val="2"/>
            <w:shd w:val="clear" w:color="auto" w:fill="CFF0FC"/>
          </w:tcPr>
          <w:p>
            <w:pPr>
              <w:ind w:left="260"/>
              <w:spacing w:after="0" w:line="143" w:lineRule="exact"/>
              <w:rPr>
                <w:sz w:val="20"/>
                <w:szCs w:val="20"/>
                <w:color w:val="auto"/>
              </w:rPr>
            </w:pPr>
            <w:r>
              <w:rPr>
                <w:rFonts w:ascii="Arial" w:cs="Arial" w:eastAsia="Arial" w:hAnsi="Arial"/>
                <w:sz w:val="14"/>
                <w:szCs w:val="14"/>
                <w:color w:val="auto"/>
              </w:rPr>
              <w:t>Accounts receivable (net of allowance for credit loss of $12.7</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2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million )</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205,254</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9,671</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214,925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tcPr>
          <w:p>
            <w:pPr>
              <w:ind w:left="260"/>
              <w:spacing w:after="0"/>
              <w:rPr>
                <w:sz w:val="20"/>
                <w:szCs w:val="20"/>
                <w:color w:val="auto"/>
              </w:rPr>
            </w:pPr>
            <w:r>
              <w:rPr>
                <w:rFonts w:ascii="Arial" w:cs="Arial" w:eastAsia="Arial" w:hAnsi="Arial"/>
                <w:sz w:val="14"/>
                <w:szCs w:val="14"/>
                <w:color w:val="auto"/>
              </w:rPr>
              <w:t>Unbilled receivables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16,733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7,138</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23,871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Investment in subsidiary</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147,166</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211,612</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(358,778)</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220" w:type="dxa"/>
            <w:vAlign w:val="bottom"/>
            <w:gridSpan w:val="2"/>
          </w:tcPr>
          <w:p>
            <w:pPr>
              <w:ind w:left="260"/>
              <w:spacing w:after="0"/>
              <w:rPr>
                <w:sz w:val="20"/>
                <w:szCs w:val="20"/>
                <w:color w:val="auto"/>
              </w:rPr>
            </w:pPr>
            <w:r>
              <w:rPr>
                <w:rFonts w:ascii="Arial" w:cs="Arial" w:eastAsia="Arial" w:hAnsi="Arial"/>
                <w:sz w:val="14"/>
                <w:szCs w:val="14"/>
                <w:color w:val="auto"/>
              </w:rPr>
              <w:t>Prepaid expenses and other current assets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23,771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8,484</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32,255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20" w:type="dxa"/>
            <w:vAlign w:val="bottom"/>
            <w:tcBorders>
              <w:top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Total current assets</w:t>
            </w: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147,166</w:t>
            </w:r>
          </w:p>
        </w:tc>
        <w:tc>
          <w:tcPr>
            <w:tcW w:w="2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582,526</w:t>
            </w:r>
          </w:p>
        </w:tc>
        <w:tc>
          <w:tcPr>
            <w:tcW w:w="2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50,642</w:t>
            </w:r>
          </w:p>
        </w:tc>
        <w:tc>
          <w:tcPr>
            <w:tcW w:w="2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(358,778)</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421,556</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20" w:type="dxa"/>
            <w:vAlign w:val="bottom"/>
            <w:gridSpan w:val="2"/>
          </w:tcPr>
          <w:p>
            <w:pPr>
              <w:ind w:left="140"/>
              <w:spacing w:after="0"/>
              <w:rPr>
                <w:sz w:val="20"/>
                <w:szCs w:val="20"/>
                <w:color w:val="auto"/>
              </w:rPr>
            </w:pPr>
            <w:r>
              <w:rPr>
                <w:rFonts w:ascii="Arial" w:cs="Arial" w:eastAsia="Arial" w:hAnsi="Arial"/>
                <w:sz w:val="14"/>
                <w:szCs w:val="14"/>
                <w:color w:val="auto"/>
              </w:rPr>
              <w:t>Installation and service parts, net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8,145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2,041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10,186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Property and equipment, net</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66,319</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27,989</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94,308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tcPr>
          <w:p>
            <w:pPr>
              <w:ind w:left="140"/>
              <w:spacing w:after="0"/>
              <w:rPr>
                <w:sz w:val="20"/>
                <w:szCs w:val="20"/>
                <w:color w:val="auto"/>
              </w:rPr>
            </w:pPr>
            <w:r>
              <w:rPr>
                <w:rFonts w:ascii="Arial" w:cs="Arial" w:eastAsia="Arial" w:hAnsi="Arial"/>
                <w:sz w:val="14"/>
                <w:szCs w:val="14"/>
                <w:color w:val="auto"/>
              </w:rPr>
              <w:t>Operating lease assets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29,512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5,150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34,662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Intangible assets, net</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274,101</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66,536</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340,637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tcPr>
          <w:p>
            <w:pPr>
              <w:ind w:left="140"/>
              <w:spacing w:after="0"/>
              <w:rPr>
                <w:sz w:val="20"/>
                <w:szCs w:val="20"/>
                <w:color w:val="auto"/>
              </w:rPr>
            </w:pPr>
            <w:r>
              <w:rPr>
                <w:rFonts w:ascii="Arial" w:cs="Arial" w:eastAsia="Arial" w:hAnsi="Arial"/>
                <w:sz w:val="14"/>
                <w:szCs w:val="14"/>
                <w:color w:val="auto"/>
              </w:rPr>
              <w:t>Goodwill</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524,766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116,751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641,517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Due from affiliates</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169,259</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(169,259)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220" w:type="dxa"/>
            <w:vAlign w:val="bottom"/>
            <w:gridSpan w:val="2"/>
          </w:tcPr>
          <w:p>
            <w:pPr>
              <w:ind w:left="140"/>
              <w:spacing w:after="0"/>
              <w:rPr>
                <w:sz w:val="20"/>
                <w:szCs w:val="20"/>
                <w:color w:val="auto"/>
              </w:rPr>
            </w:pPr>
            <w:r>
              <w:rPr>
                <w:rFonts w:ascii="Arial" w:cs="Arial" w:eastAsia="Arial" w:hAnsi="Arial"/>
                <w:sz w:val="14"/>
                <w:szCs w:val="14"/>
                <w:color w:val="auto"/>
              </w:rPr>
              <w:t>Other non-current assets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2,660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13,665</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16,325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20" w:type="dxa"/>
            <w:vAlign w:val="bottom"/>
            <w:tcBorders>
              <w:top w:val="single" w:sz="8" w:color="CFF0FC"/>
              <w:bottom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Total assets</w:t>
            </w: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316,425</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1,488,029</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282,774</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(528,037)</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1,559,191</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2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Current liabilities:</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tcPr>
          <w:p>
            <w:pPr>
              <w:ind w:left="260"/>
              <w:spacing w:after="0"/>
              <w:rPr>
                <w:sz w:val="20"/>
                <w:szCs w:val="20"/>
                <w:color w:val="auto"/>
              </w:rPr>
            </w:pPr>
            <w:r>
              <w:rPr>
                <w:rFonts w:ascii="Arial" w:cs="Arial" w:eastAsia="Arial" w:hAnsi="Arial"/>
                <w:sz w:val="14"/>
                <w:szCs w:val="14"/>
                <w:color w:val="auto"/>
              </w:rPr>
              <w:t>Accounts payable</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28,124</w:t>
            </w:r>
          </w:p>
        </w:tc>
        <w:tc>
          <w:tcPr>
            <w:tcW w:w="36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19,279</w:t>
            </w:r>
          </w:p>
        </w:tc>
        <w:tc>
          <w:tcPr>
            <w:tcW w:w="2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47,403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Accrued liabilities</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26,511</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18,217</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44,728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220" w:type="dxa"/>
            <w:vAlign w:val="bottom"/>
            <w:gridSpan w:val="2"/>
          </w:tcPr>
          <w:p>
            <w:pPr>
              <w:ind w:left="260"/>
              <w:spacing w:after="0" w:line="143" w:lineRule="exact"/>
              <w:rPr>
                <w:sz w:val="20"/>
                <w:szCs w:val="20"/>
                <w:color w:val="auto"/>
              </w:rPr>
            </w:pPr>
            <w:r>
              <w:rPr>
                <w:rFonts w:ascii="Arial" w:cs="Arial" w:eastAsia="Arial" w:hAnsi="Arial"/>
                <w:sz w:val="14"/>
                <w:szCs w:val="14"/>
                <w:color w:val="auto"/>
              </w:rPr>
              <w:t>Payable to related party pursuant to tax receivable agreement,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20" w:type="dxa"/>
            <w:vAlign w:val="bottom"/>
            <w:gridSpan w:val="2"/>
          </w:tcPr>
          <w:p>
            <w:pPr>
              <w:ind w:left="260"/>
              <w:spacing w:after="0"/>
              <w:rPr>
                <w:sz w:val="20"/>
                <w:szCs w:val="20"/>
                <w:color w:val="auto"/>
              </w:rPr>
            </w:pPr>
            <w:r>
              <w:rPr>
                <w:rFonts w:ascii="Arial" w:cs="Arial" w:eastAsia="Arial" w:hAnsi="Arial"/>
                <w:sz w:val="14"/>
                <w:szCs w:val="14"/>
                <w:color w:val="auto"/>
              </w:rPr>
              <w:t>current portion</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5,202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5,202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Current portion of long-term debt</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6,500</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2,910</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9,410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20" w:type="dxa"/>
            <w:vAlign w:val="bottom"/>
            <w:gridSpan w:val="2"/>
          </w:tcPr>
          <w:p>
            <w:pPr>
              <w:spacing w:after="0" w:line="155" w:lineRule="exact"/>
              <w:rPr>
                <w:sz w:val="20"/>
                <w:szCs w:val="20"/>
                <w:color w:val="auto"/>
              </w:rPr>
            </w:pPr>
            <w:r>
              <w:rPr>
                <w:rFonts w:ascii="Arial" w:cs="Arial" w:eastAsia="Arial" w:hAnsi="Arial"/>
                <w:sz w:val="14"/>
                <w:szCs w:val="14"/>
                <w:color w:val="auto"/>
              </w:rPr>
              <w:t>Total current liabilities</w:t>
            </w: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66,337</w:t>
            </w: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40,406</w:t>
            </w: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106,743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2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Long-term debt, net of current portion</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966,066</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966,066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tcPr>
          <w:p>
            <w:pPr>
              <w:ind w:left="140"/>
              <w:spacing w:after="0"/>
              <w:rPr>
                <w:sz w:val="20"/>
                <w:szCs w:val="20"/>
                <w:color w:val="auto"/>
              </w:rPr>
            </w:pPr>
            <w:r>
              <w:rPr>
                <w:rFonts w:ascii="Arial" w:cs="Arial" w:eastAsia="Arial" w:hAnsi="Arial"/>
                <w:sz w:val="14"/>
                <w:szCs w:val="14"/>
                <w:color w:val="auto"/>
              </w:rPr>
              <w:t>Operating lease liabilities, net of current portion</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28,337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4,383</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32,720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220" w:type="dxa"/>
            <w:vAlign w:val="bottom"/>
            <w:gridSpan w:val="2"/>
            <w:shd w:val="clear" w:color="auto" w:fill="CFF0FC"/>
          </w:tcPr>
          <w:p>
            <w:pPr>
              <w:ind w:left="140"/>
              <w:spacing w:after="0" w:line="143" w:lineRule="exact"/>
              <w:rPr>
                <w:sz w:val="20"/>
                <w:szCs w:val="20"/>
                <w:color w:val="auto"/>
              </w:rPr>
            </w:pPr>
            <w:r>
              <w:rPr>
                <w:rFonts w:ascii="Arial" w:cs="Arial" w:eastAsia="Arial" w:hAnsi="Arial"/>
                <w:sz w:val="14"/>
                <w:szCs w:val="14"/>
                <w:color w:val="auto"/>
                <w:w w:val="95"/>
              </w:rPr>
              <w:t>Payable to related party pursuant to tax receivable agreement, net of</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2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current portion</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64,329</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64,329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tcPr>
          <w:p>
            <w:pPr>
              <w:ind w:left="140"/>
              <w:spacing w:after="0"/>
              <w:rPr>
                <w:sz w:val="20"/>
                <w:szCs w:val="20"/>
                <w:color w:val="auto"/>
              </w:rPr>
            </w:pPr>
            <w:r>
              <w:rPr>
                <w:rFonts w:ascii="Arial" w:cs="Arial" w:eastAsia="Arial" w:hAnsi="Arial"/>
                <w:sz w:val="14"/>
                <w:szCs w:val="14"/>
                <w:color w:val="auto"/>
              </w:rPr>
              <w:t>Private placement warrant liabilities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41,000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41,000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Due to affiliates</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151,830</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17,429</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(169,259)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220" w:type="dxa"/>
            <w:vAlign w:val="bottom"/>
            <w:gridSpan w:val="2"/>
          </w:tcPr>
          <w:p>
            <w:pPr>
              <w:ind w:left="140"/>
              <w:spacing w:after="0"/>
              <w:rPr>
                <w:sz w:val="20"/>
                <w:szCs w:val="20"/>
                <w:color w:val="auto"/>
              </w:rPr>
            </w:pPr>
            <w:r>
              <w:rPr>
                <w:rFonts w:ascii="Arial" w:cs="Arial" w:eastAsia="Arial" w:hAnsi="Arial"/>
                <w:sz w:val="14"/>
                <w:szCs w:val="14"/>
                <w:color w:val="auto"/>
              </w:rPr>
              <w:t>Asset retirement obligation</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6,439</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3,620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10,059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Deferred tax liabilities, net</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15,974</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4,816</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20,790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tcPr>
          <w:p>
            <w:pPr>
              <w:ind w:left="140"/>
              <w:spacing w:after="0"/>
              <w:rPr>
                <w:sz w:val="20"/>
                <w:szCs w:val="20"/>
                <w:color w:val="auto"/>
              </w:rPr>
            </w:pPr>
            <w:r>
              <w:rPr>
                <w:rFonts w:ascii="Arial" w:cs="Arial" w:eastAsia="Arial" w:hAnsi="Arial"/>
                <w:sz w:val="14"/>
                <w:szCs w:val="14"/>
                <w:color w:val="auto"/>
              </w:rPr>
              <w:t>Other long-term liabilities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551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508</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1,059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20" w:type="dxa"/>
            <w:vAlign w:val="bottom"/>
            <w:tcBorders>
              <w:top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Total liabilities</w:t>
            </w: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1,340,863</w:t>
            </w:r>
          </w:p>
        </w:tc>
        <w:tc>
          <w:tcPr>
            <w:tcW w:w="2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71,162</w:t>
            </w:r>
          </w:p>
        </w:tc>
        <w:tc>
          <w:tcPr>
            <w:tcW w:w="2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(169,259)</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1,242,766</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20" w:type="dxa"/>
            <w:vAlign w:val="bottom"/>
            <w:tcBorders>
              <w:bottom w:val="single" w:sz="8" w:color="CFF0FC"/>
            </w:tcBorders>
            <w:gridSpan w:val="2"/>
          </w:tcPr>
          <w:p>
            <w:pPr>
              <w:spacing w:after="0" w:line="155" w:lineRule="exact"/>
              <w:rPr>
                <w:sz w:val="20"/>
                <w:szCs w:val="20"/>
                <w:color w:val="auto"/>
              </w:rPr>
            </w:pPr>
            <w:r>
              <w:rPr>
                <w:rFonts w:ascii="Arial" w:cs="Arial" w:eastAsia="Arial" w:hAnsi="Arial"/>
                <w:sz w:val="14"/>
                <w:szCs w:val="14"/>
                <w:color w:val="auto"/>
              </w:rPr>
              <w:t>Total stockholders' equity</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316,425</w:t>
            </w:r>
          </w:p>
        </w:tc>
        <w:tc>
          <w:tcPr>
            <w:tcW w:w="2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147,166</w:t>
            </w:r>
          </w:p>
        </w:tc>
        <w:tc>
          <w:tcPr>
            <w:tcW w:w="2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211,612</w:t>
            </w:r>
          </w:p>
        </w:tc>
        <w:tc>
          <w:tcPr>
            <w:tcW w:w="2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(358,778)</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316,425</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20" w:type="dxa"/>
            <w:vAlign w:val="bottom"/>
            <w:tcBorders>
              <w:bottom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Total liabilities and stockholders' equity</w:t>
            </w:r>
          </w:p>
        </w:tc>
        <w:tc>
          <w:tcPr>
            <w:tcW w:w="18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316,425</w:t>
            </w:r>
          </w:p>
        </w:tc>
        <w:tc>
          <w:tcPr>
            <w:tcW w:w="2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1,488,029</w:t>
            </w:r>
          </w:p>
        </w:tc>
        <w:tc>
          <w:tcPr>
            <w:tcW w:w="2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282,774</w:t>
            </w:r>
          </w:p>
        </w:tc>
        <w:tc>
          <w:tcPr>
            <w:tcW w:w="24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(528,037)</w:t>
            </w:r>
          </w:p>
        </w:tc>
        <w:tc>
          <w:tcPr>
            <w:tcW w:w="1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1,559,191</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Verra Mobility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VM</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7"/>
              </w:rPr>
              <w:t>Verra Mobility</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Inc.</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22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Corporation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(Guarantor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guarantor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00" w:type="dxa"/>
            <w:vAlign w:val="bottom"/>
          </w:tcPr>
          <w:p>
            <w:pPr>
              <w:spacing w:after="0"/>
              <w:rPr>
                <w:sz w:val="12"/>
                <w:szCs w:val="12"/>
                <w:color w:val="auto"/>
              </w:rPr>
            </w:pPr>
          </w:p>
        </w:tc>
        <w:tc>
          <w:tcPr>
            <w:tcW w:w="11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vMerge w:val="continue"/>
          </w:tcPr>
          <w:p>
            <w:pPr>
              <w:spacing w:after="0"/>
              <w:rPr>
                <w:sz w:val="15"/>
                <w:szCs w:val="15"/>
                <w:color w:val="auto"/>
              </w:rPr>
            </w:pPr>
          </w:p>
        </w:tc>
        <w:tc>
          <w:tcPr>
            <w:tcW w:w="32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(Ultimate Parent)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4"/>
              </w:rPr>
              <w:t>Subsidiary)</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88"/>
              </w:rPr>
              <w:t>Subsidiaries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220" w:type="dxa"/>
            <w:vAlign w:val="bottom"/>
            <w:tcBorders>
              <w:top w:val="single" w:sz="8" w:color="CFF0FC"/>
            </w:tcBorders>
            <w:gridSpan w:val="2"/>
            <w:shd w:val="clear" w:color="auto" w:fill="CFF0FC"/>
          </w:tcPr>
          <w:p>
            <w:pPr>
              <w:spacing w:after="0" w:line="149" w:lineRule="exact"/>
              <w:rPr>
                <w:sz w:val="20"/>
                <w:szCs w:val="20"/>
                <w:color w:val="auto"/>
              </w:rPr>
            </w:pPr>
            <w:r>
              <w:rPr>
                <w:rFonts w:ascii="Arial" w:cs="Arial" w:eastAsia="Arial" w:hAnsi="Arial"/>
                <w:sz w:val="14"/>
                <w:szCs w:val="14"/>
                <w:color w:val="auto"/>
              </w:rPr>
              <w:t>Service revenue</w:t>
            </w:r>
          </w:p>
        </w:tc>
        <w:tc>
          <w:tcPr>
            <w:tcW w:w="3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110,201</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6,225</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116,426</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20" w:type="dxa"/>
            <w:vAlign w:val="bottom"/>
            <w:gridSpan w:val="2"/>
          </w:tcPr>
          <w:p>
            <w:pPr>
              <w:spacing w:after="0"/>
              <w:rPr>
                <w:sz w:val="20"/>
                <w:szCs w:val="20"/>
                <w:color w:val="auto"/>
              </w:rPr>
            </w:pPr>
            <w:r>
              <w:rPr>
                <w:rFonts w:ascii="Arial" w:cs="Arial" w:eastAsia="Arial" w:hAnsi="Arial"/>
                <w:sz w:val="14"/>
                <w:szCs w:val="14"/>
                <w:color w:val="auto"/>
              </w:rPr>
              <w:t>Product sales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11,986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12,231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20" w:type="dxa"/>
            <w:vAlign w:val="bottom"/>
            <w:tcBorders>
              <w:top w:val="single" w:sz="8" w:color="CFF0FC"/>
            </w:tcBorders>
            <w:gridSpan w:val="2"/>
            <w:shd w:val="clear" w:color="auto" w:fill="CFF0FC"/>
          </w:tcPr>
          <w:p>
            <w:pPr>
              <w:ind w:left="140"/>
              <w:spacing w:after="0" w:line="155" w:lineRule="exact"/>
              <w:rPr>
                <w:sz w:val="20"/>
                <w:szCs w:val="20"/>
                <w:color w:val="auto"/>
              </w:rPr>
            </w:pPr>
            <w:r>
              <w:rPr>
                <w:rFonts w:ascii="Arial" w:cs="Arial" w:eastAsia="Arial" w:hAnsi="Arial"/>
                <w:sz w:val="14"/>
                <w:szCs w:val="14"/>
                <w:b w:val="1"/>
                <w:bCs w:val="1"/>
                <w:color w:val="auto"/>
              </w:rPr>
              <w:t>Total revenue</w:t>
            </w:r>
          </w:p>
        </w:tc>
        <w:tc>
          <w:tcPr>
            <w:tcW w:w="3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122,187</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6,470</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128,657</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20" w:type="dxa"/>
            <w:vAlign w:val="bottom"/>
            <w:gridSpan w:val="2"/>
          </w:tcPr>
          <w:p>
            <w:pPr>
              <w:spacing w:after="0"/>
              <w:rPr>
                <w:sz w:val="20"/>
                <w:szCs w:val="20"/>
                <w:color w:val="auto"/>
              </w:rPr>
            </w:pPr>
            <w:r>
              <w:rPr>
                <w:rFonts w:ascii="Arial" w:cs="Arial" w:eastAsia="Arial" w:hAnsi="Arial"/>
                <w:sz w:val="14"/>
                <w:szCs w:val="14"/>
                <w:color w:val="auto"/>
              </w:rPr>
              <w:t>Cost of service revenue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521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811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1,332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Cost of product sales</w:t>
            </w:r>
          </w:p>
        </w:tc>
        <w:tc>
          <w:tcPr>
            <w:tcW w:w="3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6,037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6,144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tcPr>
          <w:p>
            <w:pPr>
              <w:spacing w:after="0"/>
              <w:rPr>
                <w:sz w:val="20"/>
                <w:szCs w:val="20"/>
                <w:color w:val="auto"/>
              </w:rPr>
            </w:pPr>
            <w:r>
              <w:rPr>
                <w:rFonts w:ascii="Arial" w:cs="Arial" w:eastAsia="Arial" w:hAnsi="Arial"/>
                <w:sz w:val="14"/>
                <w:szCs w:val="14"/>
                <w:color w:val="auto"/>
              </w:rPr>
              <w:t>Operating expenses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32,369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4,065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36,434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Selling, general and administrative expenses</w:t>
            </w:r>
          </w:p>
        </w:tc>
        <w:tc>
          <w:tcPr>
            <w:tcW w:w="3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24,261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1,968</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26,229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tcPr>
          <w:p>
            <w:pPr>
              <w:spacing w:after="0"/>
              <w:rPr>
                <w:sz w:val="20"/>
                <w:szCs w:val="20"/>
                <w:color w:val="auto"/>
              </w:rPr>
            </w:pPr>
            <w:r>
              <w:rPr>
                <w:rFonts w:ascii="Arial" w:cs="Arial" w:eastAsia="Arial" w:hAnsi="Arial"/>
                <w:sz w:val="14"/>
                <w:szCs w:val="14"/>
                <w:color w:val="auto"/>
                <w:w w:val="99"/>
              </w:rPr>
              <w:t>Depreciation, amortization and (gain) loss on disposal of assets, net</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25,023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1,989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20" w:type="dxa"/>
            <w:vAlign w:val="bottom"/>
            <w:tcBorders>
              <w:top w:val="single" w:sz="8" w:color="CFF0FC"/>
            </w:tcBorders>
            <w:gridSpan w:val="2"/>
            <w:shd w:val="clear" w:color="auto" w:fill="CFF0FC"/>
          </w:tcPr>
          <w:p>
            <w:pPr>
              <w:ind w:left="140"/>
              <w:spacing w:after="0" w:line="155" w:lineRule="exact"/>
              <w:rPr>
                <w:sz w:val="20"/>
                <w:szCs w:val="20"/>
                <w:color w:val="auto"/>
              </w:rPr>
            </w:pPr>
            <w:r>
              <w:rPr>
                <w:rFonts w:ascii="Arial" w:cs="Arial" w:eastAsia="Arial" w:hAnsi="Arial"/>
                <w:sz w:val="14"/>
                <w:szCs w:val="14"/>
                <w:color w:val="auto"/>
              </w:rPr>
              <w:t>Total costs and expenses</w:t>
            </w:r>
          </w:p>
        </w:tc>
        <w:tc>
          <w:tcPr>
            <w:tcW w:w="3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88,211</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8,940</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97,151</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2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Income (loss) from operations</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33,976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(2,470)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31,506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(Income) loss from equity investment</w:t>
            </w:r>
          </w:p>
        </w:tc>
        <w:tc>
          <w:tcPr>
            <w:tcW w:w="3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(3,992)</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2,610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1,382</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220" w:type="dxa"/>
            <w:vAlign w:val="bottom"/>
            <w:gridSpan w:val="2"/>
          </w:tcPr>
          <w:p>
            <w:pPr>
              <w:spacing w:after="0"/>
              <w:rPr>
                <w:sz w:val="20"/>
                <w:szCs w:val="20"/>
                <w:color w:val="auto"/>
              </w:rPr>
            </w:pPr>
            <w:r>
              <w:rPr>
                <w:rFonts w:ascii="Arial" w:cs="Arial" w:eastAsia="Arial" w:hAnsi="Arial"/>
                <w:sz w:val="14"/>
                <w:szCs w:val="14"/>
                <w:color w:val="auto"/>
              </w:rPr>
              <w:t>Interest expense, net</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11,680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11,680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Change in fair value of private placement warrants</w:t>
            </w:r>
          </w:p>
        </w:tc>
        <w:tc>
          <w:tcPr>
            <w:tcW w:w="3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8,067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8,067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tcPr>
          <w:p>
            <w:pPr>
              <w:spacing w:after="0"/>
              <w:rPr>
                <w:sz w:val="20"/>
                <w:szCs w:val="20"/>
                <w:color w:val="auto"/>
              </w:rPr>
            </w:pPr>
            <w:r>
              <w:rPr>
                <w:rFonts w:ascii="Arial" w:cs="Arial" w:eastAsia="Arial" w:hAnsi="Arial"/>
                <w:sz w:val="14"/>
                <w:szCs w:val="14"/>
                <w:color w:val="auto"/>
              </w:rPr>
              <w:t>Tax receivable agreement liability adjustment</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1,661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1,661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Other income, net</w:t>
            </w:r>
          </w:p>
        </w:tc>
        <w:tc>
          <w:tcPr>
            <w:tcW w:w="3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(2,809)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(2,798)</w:t>
            </w:r>
          </w:p>
        </w:tc>
        <w:tc>
          <w:tcPr>
            <w:tcW w:w="0" w:type="dxa"/>
            <w:vAlign w:val="bottom"/>
          </w:tcPr>
          <w:p>
            <w:pPr>
              <w:spacing w:after="0"/>
              <w:rPr>
                <w:sz w:val="1"/>
                <w:szCs w:val="1"/>
                <w:color w:val="auto"/>
              </w:rPr>
            </w:pPr>
          </w:p>
        </w:tc>
      </w:tr>
      <w:tr>
        <w:trPr>
          <w:trHeight w:val="155"/>
        </w:trPr>
        <w:tc>
          <w:tcPr>
            <w:tcW w:w="4220" w:type="dxa"/>
            <w:vAlign w:val="bottom"/>
            <w:tcBorders>
              <w:bottom w:val="single" w:sz="8" w:color="CFF0FC"/>
            </w:tcBorders>
            <w:gridSpan w:val="2"/>
          </w:tcPr>
          <w:p>
            <w:pPr>
              <w:ind w:left="140"/>
              <w:spacing w:after="0" w:line="155" w:lineRule="exact"/>
              <w:rPr>
                <w:sz w:val="20"/>
                <w:szCs w:val="20"/>
                <w:color w:val="auto"/>
              </w:rPr>
            </w:pPr>
            <w:r>
              <w:rPr>
                <w:rFonts w:ascii="Arial" w:cs="Arial" w:eastAsia="Arial" w:hAnsi="Arial"/>
                <w:sz w:val="14"/>
                <w:szCs w:val="14"/>
                <w:color w:val="auto"/>
              </w:rPr>
              <w:t>Total other expenses</w:t>
            </w:r>
          </w:p>
        </w:tc>
        <w:tc>
          <w:tcPr>
            <w:tcW w:w="34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(3,992)</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21,209</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1,382</w:t>
            </w:r>
          </w:p>
        </w:tc>
        <w:tc>
          <w:tcPr>
            <w:tcW w:w="24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18,610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2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Income (loss) before income taxes</w:t>
            </w:r>
          </w:p>
        </w:tc>
        <w:tc>
          <w:tcPr>
            <w:tcW w:w="3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3,992</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12,767</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(2,481)</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(1,382)</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12,896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20" w:type="dxa"/>
            <w:vAlign w:val="bottom"/>
            <w:gridSpan w:val="2"/>
          </w:tcPr>
          <w:p>
            <w:pPr>
              <w:spacing w:after="0"/>
              <w:rPr>
                <w:sz w:val="20"/>
                <w:szCs w:val="20"/>
                <w:color w:val="auto"/>
              </w:rPr>
            </w:pPr>
            <w:r>
              <w:rPr>
                <w:rFonts w:ascii="Arial" w:cs="Arial" w:eastAsia="Arial" w:hAnsi="Arial"/>
                <w:sz w:val="14"/>
                <w:szCs w:val="14"/>
                <w:color w:val="auto"/>
              </w:rPr>
              <w:t>Income tax provision</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8,775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8,904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20" w:type="dxa"/>
            <w:vAlign w:val="bottom"/>
            <w:tcBorders>
              <w:top w:val="single" w:sz="8" w:color="CFF0FC"/>
              <w:bottom w:val="single" w:sz="8" w:color="CFF0FC"/>
            </w:tcBorders>
            <w:gridSpan w:val="2"/>
            <w:shd w:val="clear" w:color="auto" w:fill="CFF0FC"/>
          </w:tcPr>
          <w:p>
            <w:pPr>
              <w:ind w:left="140"/>
              <w:spacing w:after="0" w:line="155" w:lineRule="exact"/>
              <w:rPr>
                <w:sz w:val="20"/>
                <w:szCs w:val="20"/>
                <w:color w:val="auto"/>
              </w:rPr>
            </w:pPr>
            <w:r>
              <w:rPr>
                <w:rFonts w:ascii="Arial" w:cs="Arial" w:eastAsia="Arial" w:hAnsi="Arial"/>
                <w:sz w:val="14"/>
                <w:szCs w:val="14"/>
                <w:b w:val="1"/>
                <w:bCs w:val="1"/>
                <w:color w:val="auto"/>
              </w:rPr>
              <w:t>Net income (loss)</w:t>
            </w:r>
          </w:p>
        </w:tc>
        <w:tc>
          <w:tcPr>
            <w:tcW w:w="3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3,992</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3,992</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(2,610)</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(1,382)</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3,992</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Other comprehensive income:</w:t>
            </w: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Change in foreign currency translation adjustment</w:t>
            </w:r>
          </w:p>
        </w:tc>
        <w:tc>
          <w:tcPr>
            <w:tcW w:w="3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351</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20" w:type="dxa"/>
            <w:vAlign w:val="bottom"/>
            <w:gridSpan w:val="2"/>
          </w:tcPr>
          <w:p>
            <w:pPr>
              <w:ind w:left="140"/>
              <w:spacing w:after="0" w:line="155" w:lineRule="exact"/>
              <w:rPr>
                <w:sz w:val="20"/>
                <w:szCs w:val="20"/>
                <w:color w:val="auto"/>
              </w:rPr>
            </w:pPr>
            <w:r>
              <w:rPr>
                <w:rFonts w:ascii="Arial" w:cs="Arial" w:eastAsia="Arial" w:hAnsi="Arial"/>
                <w:sz w:val="14"/>
                <w:szCs w:val="14"/>
                <w:color w:val="auto"/>
              </w:rPr>
              <w:t>Total comprehensive income</w:t>
            </w:r>
          </w:p>
        </w:tc>
        <w:tc>
          <w:tcPr>
            <w:tcW w:w="3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3,992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3,992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(2,259)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(1,382)</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4,343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Verra Mobility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VM</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Verra Mobility</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Inc.</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22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Corporation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(Guarantor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guarantor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8"/>
              </w:rPr>
              <w:t>Eliminations</w:t>
            </w:r>
          </w:p>
        </w:tc>
        <w:tc>
          <w:tcPr>
            <w:tcW w:w="100" w:type="dxa"/>
            <w:vAlign w:val="bottom"/>
          </w:tcPr>
          <w:p>
            <w:pPr>
              <w:spacing w:after="0"/>
              <w:rPr>
                <w:sz w:val="12"/>
                <w:szCs w:val="12"/>
                <w:color w:val="auto"/>
              </w:rPr>
            </w:pPr>
          </w:p>
        </w:tc>
        <w:tc>
          <w:tcPr>
            <w:tcW w:w="11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vMerge w:val="continue"/>
          </w:tcPr>
          <w:p>
            <w:pPr>
              <w:spacing w:after="0"/>
              <w:rPr>
                <w:sz w:val="15"/>
                <w:szCs w:val="15"/>
                <w:color w:val="auto"/>
              </w:rPr>
            </w:pPr>
          </w:p>
        </w:tc>
        <w:tc>
          <w:tcPr>
            <w:tcW w:w="32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(Ultimate Parent)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4"/>
              </w:rPr>
              <w:t>Subsidiary)</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88"/>
              </w:rPr>
              <w:t>Subsidiaries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220" w:type="dxa"/>
            <w:vAlign w:val="bottom"/>
            <w:tcBorders>
              <w:top w:val="single" w:sz="8" w:color="CFF0FC"/>
            </w:tcBorders>
            <w:gridSpan w:val="2"/>
            <w:shd w:val="clear" w:color="auto" w:fill="CFF0FC"/>
          </w:tcPr>
          <w:p>
            <w:pPr>
              <w:spacing w:after="0" w:line="149" w:lineRule="exact"/>
              <w:rPr>
                <w:sz w:val="20"/>
                <w:szCs w:val="20"/>
                <w:color w:val="auto"/>
              </w:rPr>
            </w:pPr>
            <w:r>
              <w:rPr>
                <w:rFonts w:ascii="Arial" w:cs="Arial" w:eastAsia="Arial" w:hAnsi="Arial"/>
                <w:sz w:val="14"/>
                <w:szCs w:val="14"/>
                <w:color w:val="auto"/>
              </w:rPr>
              <w:t>Service revenue</w:t>
            </w:r>
          </w:p>
        </w:tc>
        <w:tc>
          <w:tcPr>
            <w:tcW w:w="3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197,204</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8,985</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206,189</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20" w:type="dxa"/>
            <w:vAlign w:val="bottom"/>
            <w:gridSpan w:val="2"/>
          </w:tcPr>
          <w:p>
            <w:pPr>
              <w:spacing w:after="0"/>
              <w:rPr>
                <w:sz w:val="20"/>
                <w:szCs w:val="20"/>
                <w:color w:val="auto"/>
              </w:rPr>
            </w:pPr>
            <w:r>
              <w:rPr>
                <w:rFonts w:ascii="Arial" w:cs="Arial" w:eastAsia="Arial" w:hAnsi="Arial"/>
                <w:sz w:val="14"/>
                <w:szCs w:val="14"/>
                <w:color w:val="auto"/>
              </w:rPr>
              <w:t>Product sales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12,081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12,326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20" w:type="dxa"/>
            <w:vAlign w:val="bottom"/>
            <w:tcBorders>
              <w:top w:val="single" w:sz="8" w:color="CFF0FC"/>
            </w:tcBorders>
            <w:gridSpan w:val="2"/>
            <w:shd w:val="clear" w:color="auto" w:fill="CFF0FC"/>
          </w:tcPr>
          <w:p>
            <w:pPr>
              <w:ind w:left="140"/>
              <w:spacing w:after="0" w:line="155" w:lineRule="exact"/>
              <w:rPr>
                <w:sz w:val="20"/>
                <w:szCs w:val="20"/>
                <w:color w:val="auto"/>
              </w:rPr>
            </w:pPr>
            <w:r>
              <w:rPr>
                <w:rFonts w:ascii="Arial" w:cs="Arial" w:eastAsia="Arial" w:hAnsi="Arial"/>
                <w:sz w:val="14"/>
                <w:szCs w:val="14"/>
                <w:b w:val="1"/>
                <w:bCs w:val="1"/>
                <w:color w:val="auto"/>
              </w:rPr>
              <w:t>Total revenue</w:t>
            </w:r>
          </w:p>
        </w:tc>
        <w:tc>
          <w:tcPr>
            <w:tcW w:w="3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209,285</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9,230</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218,515</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20" w:type="dxa"/>
            <w:vAlign w:val="bottom"/>
            <w:gridSpan w:val="2"/>
          </w:tcPr>
          <w:p>
            <w:pPr>
              <w:spacing w:after="0"/>
              <w:rPr>
                <w:sz w:val="20"/>
                <w:szCs w:val="20"/>
                <w:color w:val="auto"/>
              </w:rPr>
            </w:pPr>
            <w:r>
              <w:rPr>
                <w:rFonts w:ascii="Arial" w:cs="Arial" w:eastAsia="Arial" w:hAnsi="Arial"/>
                <w:sz w:val="14"/>
                <w:szCs w:val="14"/>
                <w:color w:val="auto"/>
              </w:rPr>
              <w:t>Cost of service revenue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916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1,296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Cost of product sales</w:t>
            </w:r>
          </w:p>
        </w:tc>
        <w:tc>
          <w:tcPr>
            <w:tcW w:w="3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6,064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6,171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tcPr>
          <w:p>
            <w:pPr>
              <w:spacing w:after="0"/>
              <w:rPr>
                <w:sz w:val="20"/>
                <w:szCs w:val="20"/>
                <w:color w:val="auto"/>
              </w:rPr>
            </w:pPr>
            <w:r>
              <w:rPr>
                <w:rFonts w:ascii="Arial" w:cs="Arial" w:eastAsia="Arial" w:hAnsi="Arial"/>
                <w:sz w:val="14"/>
                <w:szCs w:val="14"/>
                <w:color w:val="auto"/>
              </w:rPr>
              <w:t>Operating expenses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60,452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6,474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66,926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Selling, general and administrative expenses</w:t>
            </w:r>
          </w:p>
        </w:tc>
        <w:tc>
          <w:tcPr>
            <w:tcW w:w="3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51,684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2,988</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54,672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tcPr>
          <w:p>
            <w:pPr>
              <w:spacing w:after="0"/>
              <w:rPr>
                <w:sz w:val="20"/>
                <w:szCs w:val="20"/>
                <w:color w:val="auto"/>
              </w:rPr>
            </w:pPr>
            <w:r>
              <w:rPr>
                <w:rFonts w:ascii="Arial" w:cs="Arial" w:eastAsia="Arial" w:hAnsi="Arial"/>
                <w:sz w:val="14"/>
                <w:szCs w:val="14"/>
                <w:color w:val="auto"/>
                <w:w w:val="99"/>
              </w:rPr>
              <w:t>Depreciation, amortization and (gain) loss on disposal of assets, net</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52,241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3,036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55,277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20" w:type="dxa"/>
            <w:vAlign w:val="bottom"/>
            <w:tcBorders>
              <w:top w:val="single" w:sz="8" w:color="CFF0FC"/>
            </w:tcBorders>
            <w:gridSpan w:val="2"/>
            <w:shd w:val="clear" w:color="auto" w:fill="CFF0FC"/>
          </w:tcPr>
          <w:p>
            <w:pPr>
              <w:ind w:left="140"/>
              <w:spacing w:after="0" w:line="155" w:lineRule="exact"/>
              <w:rPr>
                <w:sz w:val="20"/>
                <w:szCs w:val="20"/>
                <w:color w:val="auto"/>
              </w:rPr>
            </w:pPr>
            <w:r>
              <w:rPr>
                <w:rFonts w:ascii="Arial" w:cs="Arial" w:eastAsia="Arial" w:hAnsi="Arial"/>
                <w:sz w:val="14"/>
                <w:szCs w:val="14"/>
                <w:color w:val="auto"/>
              </w:rPr>
              <w:t>Total costs and expenses</w:t>
            </w:r>
          </w:p>
        </w:tc>
        <w:tc>
          <w:tcPr>
            <w:tcW w:w="3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171,357</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13,901</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185,258</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2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Income (loss) from operations</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37,928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(4,671)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33,257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Loss from equity investment</w:t>
            </w:r>
          </w:p>
        </w:tc>
        <w:tc>
          <w:tcPr>
            <w:tcW w:w="3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4,923</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4,479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(9,402)</w:t>
            </w: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220" w:type="dxa"/>
            <w:vAlign w:val="bottom"/>
            <w:gridSpan w:val="2"/>
          </w:tcPr>
          <w:p>
            <w:pPr>
              <w:spacing w:after="0"/>
              <w:rPr>
                <w:sz w:val="20"/>
                <w:szCs w:val="20"/>
                <w:color w:val="auto"/>
              </w:rPr>
            </w:pPr>
            <w:r>
              <w:rPr>
                <w:rFonts w:ascii="Arial" w:cs="Arial" w:eastAsia="Arial" w:hAnsi="Arial"/>
                <w:sz w:val="14"/>
                <w:szCs w:val="14"/>
                <w:color w:val="auto"/>
              </w:rPr>
              <w:t>Interest expense, net</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20,844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20,844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Change in fair value of private placement warrants</w:t>
            </w:r>
          </w:p>
        </w:tc>
        <w:tc>
          <w:tcPr>
            <w:tcW w:w="3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10,134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10,134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tcPr>
          <w:p>
            <w:pPr>
              <w:spacing w:after="0"/>
              <w:rPr>
                <w:sz w:val="20"/>
                <w:szCs w:val="20"/>
                <w:color w:val="auto"/>
              </w:rPr>
            </w:pPr>
            <w:r>
              <w:rPr>
                <w:rFonts w:ascii="Arial" w:cs="Arial" w:eastAsia="Arial" w:hAnsi="Arial"/>
                <w:sz w:val="14"/>
                <w:szCs w:val="14"/>
                <w:color w:val="auto"/>
              </w:rPr>
              <w:t>Tax receivable agreement liability adjustment</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1,661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1,661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Loss on extinguishment of debt</w:t>
            </w:r>
          </w:p>
        </w:tc>
        <w:tc>
          <w:tcPr>
            <w:tcW w:w="3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5,334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5,334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20" w:type="dxa"/>
            <w:vAlign w:val="bottom"/>
            <w:gridSpan w:val="2"/>
          </w:tcPr>
          <w:p>
            <w:pPr>
              <w:spacing w:after="0"/>
              <w:rPr>
                <w:sz w:val="20"/>
                <w:szCs w:val="20"/>
                <w:color w:val="auto"/>
              </w:rPr>
            </w:pPr>
            <w:r>
              <w:rPr>
                <w:rFonts w:ascii="Arial" w:cs="Arial" w:eastAsia="Arial" w:hAnsi="Arial"/>
                <w:sz w:val="14"/>
                <w:szCs w:val="14"/>
                <w:color w:val="auto"/>
              </w:rPr>
              <w:t>Other income, net</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(5,823)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(5,811)</w:t>
            </w:r>
          </w:p>
        </w:tc>
        <w:tc>
          <w:tcPr>
            <w:tcW w:w="0" w:type="dxa"/>
            <w:vAlign w:val="bottom"/>
          </w:tcPr>
          <w:p>
            <w:pPr>
              <w:spacing w:after="0"/>
              <w:rPr>
                <w:sz w:val="1"/>
                <w:szCs w:val="1"/>
                <w:color w:val="auto"/>
              </w:rPr>
            </w:pPr>
          </w:p>
        </w:tc>
      </w:tr>
      <w:tr>
        <w:trPr>
          <w:trHeight w:val="156"/>
        </w:trPr>
        <w:tc>
          <w:tcPr>
            <w:tcW w:w="4220" w:type="dxa"/>
            <w:vAlign w:val="bottom"/>
            <w:tcBorders>
              <w:top w:val="single" w:sz="8" w:color="CFF0FC"/>
            </w:tcBorders>
            <w:gridSpan w:val="2"/>
            <w:shd w:val="clear" w:color="auto" w:fill="CFF0FC"/>
          </w:tcPr>
          <w:p>
            <w:pPr>
              <w:ind w:left="140"/>
              <w:spacing w:after="0" w:line="155" w:lineRule="exact"/>
              <w:rPr>
                <w:sz w:val="20"/>
                <w:szCs w:val="20"/>
                <w:color w:val="auto"/>
              </w:rPr>
            </w:pPr>
            <w:r>
              <w:rPr>
                <w:rFonts w:ascii="Arial" w:cs="Arial" w:eastAsia="Arial" w:hAnsi="Arial"/>
                <w:sz w:val="14"/>
                <w:szCs w:val="14"/>
                <w:color w:val="auto"/>
              </w:rPr>
              <w:t>Total other expenses</w:t>
            </w:r>
          </w:p>
        </w:tc>
        <w:tc>
          <w:tcPr>
            <w:tcW w:w="3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4,923</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36,629</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(9,402)</w:t>
            </w: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32,162</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20" w:type="dxa"/>
            <w:vAlign w:val="bottom"/>
            <w:gridSpan w:val="2"/>
          </w:tcPr>
          <w:p>
            <w:pPr>
              <w:spacing w:after="0" w:line="155" w:lineRule="exact"/>
              <w:rPr>
                <w:sz w:val="20"/>
                <w:szCs w:val="20"/>
                <w:color w:val="auto"/>
              </w:rPr>
            </w:pPr>
            <w:r>
              <w:rPr>
                <w:rFonts w:ascii="Arial" w:cs="Arial" w:eastAsia="Arial" w:hAnsi="Arial"/>
                <w:sz w:val="14"/>
                <w:szCs w:val="14"/>
                <w:color w:val="auto"/>
              </w:rPr>
              <w:t>(Loss) income before income taxes</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(4,923)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1,299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(4,683)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line="155" w:lineRule="exact"/>
              <w:rPr>
                <w:sz w:val="20"/>
                <w:szCs w:val="20"/>
                <w:color w:val="auto"/>
              </w:rPr>
            </w:pPr>
            <w:r>
              <w:rPr>
                <w:rFonts w:ascii="Arial" w:cs="Arial" w:eastAsia="Arial" w:hAnsi="Arial"/>
                <w:sz w:val="14"/>
                <w:szCs w:val="14"/>
                <w:color w:val="auto"/>
              </w:rPr>
              <w:t>9,402</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1,095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Income tax provision (benefit)</w:t>
            </w:r>
          </w:p>
        </w:tc>
        <w:tc>
          <w:tcPr>
            <w:tcW w:w="3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6,222</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(204)</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6,018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220" w:type="dxa"/>
            <w:vAlign w:val="bottom"/>
            <w:tcBorders>
              <w:bottom w:val="single" w:sz="8" w:color="CFF0FC"/>
            </w:tcBorders>
            <w:gridSpan w:val="2"/>
          </w:tcPr>
          <w:p>
            <w:pPr>
              <w:ind w:left="140"/>
              <w:spacing w:after="0" w:line="155" w:lineRule="exact"/>
              <w:rPr>
                <w:sz w:val="20"/>
                <w:szCs w:val="20"/>
                <w:color w:val="auto"/>
              </w:rPr>
            </w:pPr>
            <w:r>
              <w:rPr>
                <w:rFonts w:ascii="Arial" w:cs="Arial" w:eastAsia="Arial" w:hAnsi="Arial"/>
                <w:sz w:val="14"/>
                <w:szCs w:val="14"/>
                <w:b w:val="1"/>
                <w:bCs w:val="1"/>
                <w:color w:val="auto"/>
              </w:rPr>
              <w:t>Net loss</w:t>
            </w:r>
          </w:p>
        </w:tc>
        <w:tc>
          <w:tcPr>
            <w:tcW w:w="340" w:type="dxa"/>
            <w:vAlign w:val="bottom"/>
            <w:tcBorders>
              <w:bottom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(4,923)</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(4,923)</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(4,479)</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9,402</w:t>
            </w:r>
          </w:p>
        </w:tc>
        <w:tc>
          <w:tcPr>
            <w:tcW w:w="24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(4,923)</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22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Other comprehensive income:</w:t>
            </w:r>
          </w:p>
        </w:tc>
        <w:tc>
          <w:tcPr>
            <w:tcW w:w="3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20" w:type="dxa"/>
            <w:vAlign w:val="bottom"/>
            <w:gridSpan w:val="2"/>
          </w:tcPr>
          <w:p>
            <w:pPr>
              <w:spacing w:after="0"/>
              <w:rPr>
                <w:sz w:val="20"/>
                <w:szCs w:val="20"/>
                <w:color w:val="auto"/>
              </w:rPr>
            </w:pPr>
            <w:r>
              <w:rPr>
                <w:rFonts w:ascii="Arial" w:cs="Arial" w:eastAsia="Arial" w:hAnsi="Arial"/>
                <w:sz w:val="14"/>
                <w:szCs w:val="14"/>
                <w:color w:val="auto"/>
              </w:rPr>
              <w:t>Change in foreign currency translation adjustment</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20" w:type="dxa"/>
            <w:vAlign w:val="bottom"/>
            <w:tcBorders>
              <w:top w:val="single" w:sz="8" w:color="CFF0FC"/>
              <w:bottom w:val="single" w:sz="8" w:color="CFF0FC"/>
            </w:tcBorders>
            <w:gridSpan w:val="2"/>
            <w:shd w:val="clear" w:color="auto" w:fill="CFF0FC"/>
          </w:tcPr>
          <w:p>
            <w:pPr>
              <w:ind w:left="140"/>
              <w:spacing w:after="0" w:line="155" w:lineRule="exact"/>
              <w:rPr>
                <w:sz w:val="20"/>
                <w:szCs w:val="20"/>
                <w:color w:val="auto"/>
              </w:rPr>
            </w:pPr>
            <w:r>
              <w:rPr>
                <w:rFonts w:ascii="Arial" w:cs="Arial" w:eastAsia="Arial" w:hAnsi="Arial"/>
                <w:sz w:val="14"/>
                <w:szCs w:val="14"/>
                <w:color w:val="auto"/>
              </w:rPr>
              <w:t>Total comprehensive loss</w:t>
            </w:r>
          </w:p>
        </w:tc>
        <w:tc>
          <w:tcPr>
            <w:tcW w:w="3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(4,923)</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(4,923)</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(4,318)</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9,402</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(4,762)</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Verra Mobility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VM</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9"/>
              </w:rPr>
              <w:t>Verra Mobility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Inc.</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56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Corporation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(Guarantor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tcPr>
          <w:p>
            <w:pPr>
              <w:spacing w:after="0"/>
              <w:rPr>
                <w:sz w:val="12"/>
                <w:szCs w:val="12"/>
                <w:color w:val="auto"/>
              </w:rPr>
            </w:pPr>
          </w:p>
        </w:tc>
        <w:tc>
          <w:tcPr>
            <w:tcW w:w="11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vMerge w:val="continue"/>
          </w:tcPr>
          <w:p>
            <w:pPr>
              <w:spacing w:after="0"/>
              <w:rPr>
                <w:sz w:val="15"/>
                <w:szCs w:val="15"/>
                <w:color w:val="auto"/>
              </w:rPr>
            </w:pPr>
          </w:p>
        </w:tc>
        <w:tc>
          <w:tcPr>
            <w:tcW w:w="3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(Ultimate Parent)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1"/>
              </w:rPr>
              <w:t>Subsidiary)</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1"/>
              </w:rPr>
              <w:t>Subsidiaries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560" w:type="dxa"/>
            <w:vAlign w:val="bottom"/>
            <w:tcBorders>
              <w:top w:val="single" w:sz="8" w:color="CFF0FC"/>
            </w:tcBorders>
            <w:gridSpan w:val="2"/>
            <w:shd w:val="clear" w:color="auto" w:fill="CFF0FC"/>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56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180" w:type="dxa"/>
            <w:vAlign w:val="bottom"/>
            <w:gridSpan w:val="2"/>
          </w:tcPr>
          <w:p>
            <w:pPr>
              <w:ind w:left="100"/>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(4,923)</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(4,923)</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(4,479)</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9,402</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(4,923)</w:t>
            </w:r>
          </w:p>
        </w:tc>
        <w:tc>
          <w:tcPr>
            <w:tcW w:w="0" w:type="dxa"/>
            <w:vAlign w:val="bottom"/>
          </w:tcPr>
          <w:p>
            <w:pPr>
              <w:spacing w:after="0"/>
              <w:rPr>
                <w:sz w:val="1"/>
                <w:szCs w:val="1"/>
                <w:color w:val="auto"/>
              </w:rPr>
            </w:pPr>
          </w:p>
        </w:tc>
      </w:tr>
      <w:tr>
        <w:trPr>
          <w:trHeight w:val="162"/>
        </w:trPr>
        <w:tc>
          <w:tcPr>
            <w:tcW w:w="4560" w:type="dxa"/>
            <w:vAlign w:val="bottom"/>
            <w:gridSpan w:val="2"/>
            <w:shd w:val="clear" w:color="auto" w:fill="CFF0FC"/>
          </w:tcPr>
          <w:p>
            <w:pPr>
              <w:spacing w:after="0"/>
              <w:rPr>
                <w:sz w:val="20"/>
                <w:szCs w:val="20"/>
                <w:color w:val="auto"/>
              </w:rPr>
            </w:pPr>
            <w:r>
              <w:rPr>
                <w:rFonts w:ascii="Arial" w:cs="Arial" w:eastAsia="Arial" w:hAnsi="Arial"/>
                <w:sz w:val="14"/>
                <w:szCs w:val="14"/>
                <w:color w:val="auto"/>
                <w:w w:val="95"/>
              </w:rPr>
              <w:t>Adjustments to reconcile net loss to net cash provided by operating activities:</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gridSpan w:val="2"/>
          </w:tcPr>
          <w:p>
            <w:pPr>
              <w:ind w:left="260"/>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52,191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3,036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55,227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Amortization of deferred financing costs and discounts</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2,722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2,722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gridSpan w:val="2"/>
          </w:tcPr>
          <w:p>
            <w:pPr>
              <w:ind w:left="260"/>
              <w:spacing w:after="0"/>
              <w:rPr>
                <w:sz w:val="20"/>
                <w:szCs w:val="20"/>
                <w:color w:val="auto"/>
              </w:rPr>
            </w:pPr>
            <w:r>
              <w:rPr>
                <w:rFonts w:ascii="Arial" w:cs="Arial" w:eastAsia="Arial" w:hAnsi="Arial"/>
                <w:sz w:val="14"/>
                <w:szCs w:val="14"/>
                <w:color w:val="auto"/>
              </w:rPr>
              <w:t>Change in fair value of private placement warrants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10,134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10,134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Tax receivable agreement liability adjustment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1,661</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gridSpan w:val="2"/>
          </w:tcPr>
          <w:p>
            <w:pPr>
              <w:ind w:left="260"/>
              <w:spacing w:after="0"/>
              <w:rPr>
                <w:sz w:val="20"/>
                <w:szCs w:val="20"/>
                <w:color w:val="auto"/>
              </w:rPr>
            </w:pPr>
            <w:r>
              <w:rPr>
                <w:rFonts w:ascii="Arial" w:cs="Arial" w:eastAsia="Arial" w:hAnsi="Arial"/>
                <w:sz w:val="14"/>
                <w:szCs w:val="14"/>
                <w:color w:val="auto"/>
              </w:rPr>
              <w:t>Loss on extinguishment of debt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5,334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5,334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Credit loss expense</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3,770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3,863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gridSpan w:val="2"/>
          </w:tcPr>
          <w:p>
            <w:pPr>
              <w:ind w:left="260"/>
              <w:spacing w:after="0"/>
              <w:rPr>
                <w:sz w:val="20"/>
                <w:szCs w:val="20"/>
                <w:color w:val="auto"/>
              </w:rPr>
            </w:pPr>
            <w:r>
              <w:rPr>
                <w:rFonts w:ascii="Arial" w:cs="Arial" w:eastAsia="Arial" w:hAnsi="Arial"/>
                <w:sz w:val="14"/>
                <w:szCs w:val="14"/>
                <w:color w:val="auto"/>
              </w:rPr>
              <w:t>Deferred income taxes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(825)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(825)</w:t>
            </w:r>
          </w:p>
        </w:tc>
        <w:tc>
          <w:tcPr>
            <w:tcW w:w="0" w:type="dxa"/>
            <w:vAlign w:val="bottom"/>
          </w:tcPr>
          <w:p>
            <w:pPr>
              <w:spacing w:after="0"/>
              <w:rPr>
                <w:sz w:val="1"/>
                <w:szCs w:val="1"/>
                <w:color w:val="auto"/>
              </w:rPr>
            </w:pPr>
          </w:p>
        </w:tc>
      </w:tr>
      <w:tr>
        <w:trPr>
          <w:trHeight w:val="162"/>
        </w:trPr>
        <w:tc>
          <w:tcPr>
            <w:tcW w:w="45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Stock-based compensation</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6,481</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6,481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gridSpan w:val="2"/>
          </w:tcPr>
          <w:p>
            <w:pPr>
              <w:ind w:left="260"/>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Loss from equity investment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4,923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4,479</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(9,402)</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560" w:type="dxa"/>
            <w:vAlign w:val="bottom"/>
            <w:gridSpan w:val="2"/>
          </w:tcPr>
          <w:p>
            <w:pPr>
              <w:spacing w:after="0"/>
              <w:rPr>
                <w:sz w:val="20"/>
                <w:szCs w:val="20"/>
                <w:color w:val="auto"/>
              </w:rPr>
            </w:pPr>
            <w:r>
              <w:rPr>
                <w:rFonts w:ascii="Arial" w:cs="Arial" w:eastAsia="Arial" w:hAnsi="Arial"/>
                <w:sz w:val="14"/>
                <w:szCs w:val="14"/>
                <w:color w:val="auto"/>
              </w:rPr>
              <w:t>Changes in operating assets and liabilities: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Accounts receivable, net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(42,276)</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(694)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(42,970)</w:t>
            </w:r>
          </w:p>
        </w:tc>
        <w:tc>
          <w:tcPr>
            <w:tcW w:w="0" w:type="dxa"/>
            <w:vAlign w:val="bottom"/>
          </w:tcPr>
          <w:p>
            <w:pPr>
              <w:spacing w:after="0"/>
              <w:rPr>
                <w:sz w:val="1"/>
                <w:szCs w:val="1"/>
                <w:color w:val="auto"/>
              </w:rPr>
            </w:pPr>
          </w:p>
        </w:tc>
      </w:tr>
      <w:tr>
        <w:trPr>
          <w:trHeight w:val="162"/>
        </w:trPr>
        <w:tc>
          <w:tcPr>
            <w:tcW w:w="4560" w:type="dxa"/>
            <w:vAlign w:val="bottom"/>
            <w:gridSpan w:val="2"/>
          </w:tcPr>
          <w:p>
            <w:pPr>
              <w:ind w:left="260"/>
              <w:spacing w:after="0"/>
              <w:rPr>
                <w:sz w:val="20"/>
                <w:szCs w:val="20"/>
                <w:color w:val="auto"/>
              </w:rPr>
            </w:pPr>
            <w:r>
              <w:rPr>
                <w:rFonts w:ascii="Arial" w:cs="Arial" w:eastAsia="Arial" w:hAnsi="Arial"/>
                <w:sz w:val="14"/>
                <w:szCs w:val="14"/>
                <w:color w:val="auto"/>
              </w:rPr>
              <w:t>Unbilled receivables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(3,281)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1,183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(2,098)</w:t>
            </w:r>
          </w:p>
        </w:tc>
        <w:tc>
          <w:tcPr>
            <w:tcW w:w="0" w:type="dxa"/>
            <w:vAlign w:val="bottom"/>
          </w:tcPr>
          <w:p>
            <w:pPr>
              <w:spacing w:after="0"/>
              <w:rPr>
                <w:sz w:val="1"/>
                <w:szCs w:val="1"/>
                <w:color w:val="auto"/>
              </w:rPr>
            </w:pPr>
          </w:p>
        </w:tc>
      </w:tr>
      <w:tr>
        <w:trPr>
          <w:trHeight w:val="162"/>
        </w:trPr>
        <w:tc>
          <w:tcPr>
            <w:tcW w:w="45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Prepaid expenses and other assets</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(1,344)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(1,177)</w:t>
            </w:r>
          </w:p>
        </w:tc>
        <w:tc>
          <w:tcPr>
            <w:tcW w:w="0" w:type="dxa"/>
            <w:vAlign w:val="bottom"/>
          </w:tcPr>
          <w:p>
            <w:pPr>
              <w:spacing w:after="0"/>
              <w:rPr>
                <w:sz w:val="1"/>
                <w:szCs w:val="1"/>
                <w:color w:val="auto"/>
              </w:rPr>
            </w:pPr>
          </w:p>
        </w:tc>
      </w:tr>
      <w:tr>
        <w:trPr>
          <w:trHeight w:val="162"/>
        </w:trPr>
        <w:tc>
          <w:tcPr>
            <w:tcW w:w="4560" w:type="dxa"/>
            <w:vAlign w:val="bottom"/>
            <w:gridSpan w:val="2"/>
          </w:tcPr>
          <w:p>
            <w:pPr>
              <w:ind w:left="260"/>
              <w:spacing w:after="0"/>
              <w:rPr>
                <w:sz w:val="20"/>
                <w:szCs w:val="20"/>
                <w:color w:val="auto"/>
              </w:rPr>
            </w:pPr>
            <w:r>
              <w:rPr>
                <w:rFonts w:ascii="Arial" w:cs="Arial" w:eastAsia="Arial" w:hAnsi="Arial"/>
                <w:sz w:val="14"/>
                <w:szCs w:val="14"/>
                <w:color w:val="auto"/>
              </w:rPr>
              <w:t>Accounts payable and accrued liabilities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11,979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(7,642)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4,337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Due to affiliates</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(11,731)</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11,731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560" w:type="dxa"/>
            <w:vAlign w:val="bottom"/>
            <w:gridSpan w:val="2"/>
          </w:tcPr>
          <w:p>
            <w:pPr>
              <w:ind w:left="260"/>
              <w:spacing w:after="0"/>
              <w:rPr>
                <w:sz w:val="20"/>
                <w:szCs w:val="20"/>
                <w:color w:val="auto"/>
              </w:rPr>
            </w:pPr>
            <w:r>
              <w:rPr>
                <w:rFonts w:ascii="Arial" w:cs="Arial" w:eastAsia="Arial" w:hAnsi="Arial"/>
                <w:sz w:val="14"/>
                <w:szCs w:val="14"/>
                <w:color w:val="auto"/>
              </w:rPr>
              <w:t>Other liabilities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445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(990)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(545)</w:t>
            </w:r>
          </w:p>
        </w:tc>
        <w:tc>
          <w:tcPr>
            <w:tcW w:w="0" w:type="dxa"/>
            <w:vAlign w:val="bottom"/>
          </w:tcPr>
          <w:p>
            <w:pPr>
              <w:spacing w:after="0"/>
              <w:rPr>
                <w:sz w:val="1"/>
                <w:szCs w:val="1"/>
                <w:color w:val="auto"/>
              </w:rPr>
            </w:pPr>
          </w:p>
        </w:tc>
      </w:tr>
      <w:tr>
        <w:trPr>
          <w:trHeight w:val="156"/>
        </w:trPr>
        <w:tc>
          <w:tcPr>
            <w:tcW w:w="4560" w:type="dxa"/>
            <w:vAlign w:val="bottom"/>
            <w:tcBorders>
              <w:top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Net cash provided by operating activities</w:t>
            </w: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37,409</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69</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37,478</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60" w:type="dxa"/>
            <w:vAlign w:val="bottom"/>
            <w:gridSpan w:val="2"/>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Acquisition of business, net of cash and restricted cash acquired</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(107,004)</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(107,004)</w:t>
            </w:r>
          </w:p>
        </w:tc>
        <w:tc>
          <w:tcPr>
            <w:tcW w:w="0" w:type="dxa"/>
            <w:vAlign w:val="bottom"/>
          </w:tcPr>
          <w:p>
            <w:pPr>
              <w:spacing w:after="0"/>
              <w:rPr>
                <w:sz w:val="1"/>
                <w:szCs w:val="1"/>
                <w:color w:val="auto"/>
              </w:rPr>
            </w:pPr>
          </w:p>
        </w:tc>
      </w:tr>
      <w:tr>
        <w:trPr>
          <w:trHeight w:val="162"/>
        </w:trPr>
        <w:tc>
          <w:tcPr>
            <w:tcW w:w="4560" w:type="dxa"/>
            <w:vAlign w:val="bottom"/>
            <w:gridSpan w:val="2"/>
          </w:tcPr>
          <w:p>
            <w:pPr>
              <w:ind w:left="260"/>
              <w:spacing w:after="0"/>
              <w:rPr>
                <w:sz w:val="20"/>
                <w:szCs w:val="20"/>
                <w:color w:val="auto"/>
              </w:rPr>
            </w:pPr>
            <w:r>
              <w:rPr>
                <w:rFonts w:ascii="Arial" w:cs="Arial" w:eastAsia="Arial" w:hAnsi="Arial"/>
                <w:sz w:val="14"/>
                <w:szCs w:val="14"/>
                <w:color w:val="auto"/>
                <w:w w:val="96"/>
              </w:rPr>
              <w:t>Purchases of installation and service parts and property and equipment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(7,834)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(423)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(8,257)</w:t>
            </w:r>
          </w:p>
        </w:tc>
        <w:tc>
          <w:tcPr>
            <w:tcW w:w="0" w:type="dxa"/>
            <w:vAlign w:val="bottom"/>
          </w:tcPr>
          <w:p>
            <w:pPr>
              <w:spacing w:after="0"/>
              <w:rPr>
                <w:sz w:val="1"/>
                <w:szCs w:val="1"/>
                <w:color w:val="auto"/>
              </w:rPr>
            </w:pPr>
          </w:p>
        </w:tc>
      </w:tr>
      <w:tr>
        <w:trPr>
          <w:trHeight w:val="162"/>
        </w:trPr>
        <w:tc>
          <w:tcPr>
            <w:tcW w:w="45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Cash proceeds from the sale of assets</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159</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gridSpan w:val="2"/>
          </w:tcPr>
          <w:p>
            <w:pPr>
              <w:ind w:left="260"/>
              <w:spacing w:after="0"/>
              <w:rPr>
                <w:sz w:val="20"/>
                <w:szCs w:val="20"/>
                <w:color w:val="auto"/>
              </w:rPr>
            </w:pPr>
            <w:r>
              <w:rPr>
                <w:rFonts w:ascii="Arial" w:cs="Arial" w:eastAsia="Arial" w:hAnsi="Arial"/>
                <w:sz w:val="14"/>
                <w:szCs w:val="14"/>
                <w:color w:val="auto"/>
              </w:rPr>
              <w:t>Cash contribution to subsidiary</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(23,219)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23,219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560" w:type="dxa"/>
            <w:vAlign w:val="bottom"/>
            <w:tcBorders>
              <w:top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Net cash used in investing activities</w:t>
            </w: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(137,898)</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(423)</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23,219</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(115,102)</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60" w:type="dxa"/>
            <w:vAlign w:val="bottom"/>
            <w:gridSpan w:val="2"/>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Borrowings of long-term debt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996,750</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996,750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gridSpan w:val="2"/>
          </w:tcPr>
          <w:p>
            <w:pPr>
              <w:ind w:left="260"/>
              <w:spacing w:after="0"/>
              <w:rPr>
                <w:sz w:val="20"/>
                <w:szCs w:val="20"/>
                <w:color w:val="auto"/>
              </w:rPr>
            </w:pPr>
            <w:r>
              <w:rPr>
                <w:rFonts w:ascii="Arial" w:cs="Arial" w:eastAsia="Arial" w:hAnsi="Arial"/>
                <w:sz w:val="14"/>
                <w:szCs w:val="14"/>
                <w:color w:val="auto"/>
              </w:rPr>
              <w:t>Repayment of long-term debt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(867,268)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(14,013)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(881,281)</w:t>
            </w:r>
          </w:p>
        </w:tc>
        <w:tc>
          <w:tcPr>
            <w:tcW w:w="0" w:type="dxa"/>
            <w:vAlign w:val="bottom"/>
          </w:tcPr>
          <w:p>
            <w:pPr>
              <w:spacing w:after="0"/>
              <w:rPr>
                <w:sz w:val="1"/>
                <w:szCs w:val="1"/>
                <w:color w:val="auto"/>
              </w:rPr>
            </w:pPr>
          </w:p>
        </w:tc>
      </w:tr>
      <w:tr>
        <w:trPr>
          <w:trHeight w:val="162"/>
        </w:trPr>
        <w:tc>
          <w:tcPr>
            <w:tcW w:w="45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Payment of debt issuance costs</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(6,507)</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(6,507)</w:t>
            </w:r>
          </w:p>
        </w:tc>
        <w:tc>
          <w:tcPr>
            <w:tcW w:w="0" w:type="dxa"/>
            <w:vAlign w:val="bottom"/>
          </w:tcPr>
          <w:p>
            <w:pPr>
              <w:spacing w:after="0"/>
              <w:rPr>
                <w:sz w:val="1"/>
                <w:szCs w:val="1"/>
                <w:color w:val="auto"/>
              </w:rPr>
            </w:pPr>
          </w:p>
        </w:tc>
      </w:tr>
      <w:tr>
        <w:trPr>
          <w:trHeight w:val="162"/>
        </w:trPr>
        <w:tc>
          <w:tcPr>
            <w:tcW w:w="4560" w:type="dxa"/>
            <w:vAlign w:val="bottom"/>
            <w:gridSpan w:val="2"/>
          </w:tcPr>
          <w:p>
            <w:pPr>
              <w:ind w:left="260"/>
              <w:spacing w:after="0"/>
              <w:rPr>
                <w:sz w:val="20"/>
                <w:szCs w:val="20"/>
                <w:color w:val="auto"/>
              </w:rPr>
            </w:pPr>
            <w:r>
              <w:rPr>
                <w:rFonts w:ascii="Arial" w:cs="Arial" w:eastAsia="Arial" w:hAnsi="Arial"/>
                <w:sz w:val="14"/>
                <w:szCs w:val="14"/>
                <w:color w:val="auto"/>
              </w:rPr>
              <w:t>Payment of debt extinguishment costs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(1,066)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(1,066)</w:t>
            </w:r>
          </w:p>
        </w:tc>
        <w:tc>
          <w:tcPr>
            <w:tcW w:w="0" w:type="dxa"/>
            <w:vAlign w:val="bottom"/>
          </w:tcPr>
          <w:p>
            <w:pPr>
              <w:spacing w:after="0"/>
              <w:rPr>
                <w:sz w:val="1"/>
                <w:szCs w:val="1"/>
                <w:color w:val="auto"/>
              </w:rPr>
            </w:pPr>
          </w:p>
        </w:tc>
      </w:tr>
      <w:tr>
        <w:trPr>
          <w:trHeight w:val="162"/>
        </w:trPr>
        <w:tc>
          <w:tcPr>
            <w:tcW w:w="45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Proceeds from exercise of stock options</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60" w:type="dxa"/>
            <w:vAlign w:val="bottom"/>
            <w:gridSpan w:val="2"/>
          </w:tcPr>
          <w:p>
            <w:pPr>
              <w:ind w:left="260"/>
              <w:spacing w:after="0"/>
              <w:rPr>
                <w:sz w:val="20"/>
                <w:szCs w:val="20"/>
                <w:color w:val="auto"/>
              </w:rPr>
            </w:pPr>
            <w:r>
              <w:rPr>
                <w:rFonts w:ascii="Arial" w:cs="Arial" w:eastAsia="Arial" w:hAnsi="Arial"/>
                <w:sz w:val="14"/>
                <w:szCs w:val="14"/>
                <w:color w:val="auto"/>
              </w:rPr>
              <w:t>Capital contribution from VM Consolidated Inc.</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23,219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(23,219)</w:t>
            </w:r>
          </w:p>
        </w:tc>
        <w:tc>
          <w:tcPr>
            <w:tcW w:w="10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5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Payment of employee tax withholding related to RSUs vesting</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(953)</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(953)</w:t>
            </w:r>
          </w:p>
        </w:tc>
        <w:tc>
          <w:tcPr>
            <w:tcW w:w="0" w:type="dxa"/>
            <w:vAlign w:val="bottom"/>
          </w:tcPr>
          <w:p>
            <w:pPr>
              <w:spacing w:after="0"/>
              <w:rPr>
                <w:sz w:val="1"/>
                <w:szCs w:val="1"/>
                <w:color w:val="auto"/>
              </w:rPr>
            </w:pPr>
          </w:p>
        </w:tc>
      </w:tr>
      <w:tr>
        <w:trPr>
          <w:trHeight w:val="155"/>
        </w:trPr>
        <w:tc>
          <w:tcPr>
            <w:tcW w:w="4560" w:type="dxa"/>
            <w:vAlign w:val="bottom"/>
            <w:tcBorders>
              <w:bottom w:val="single" w:sz="8" w:color="CFF0FC"/>
            </w:tcBorders>
            <w:gridSpan w:val="2"/>
          </w:tcPr>
          <w:p>
            <w:pPr>
              <w:spacing w:after="0" w:line="155" w:lineRule="exact"/>
              <w:rPr>
                <w:sz w:val="20"/>
                <w:szCs w:val="20"/>
                <w:color w:val="auto"/>
              </w:rPr>
            </w:pPr>
            <w:r>
              <w:rPr>
                <w:rFonts w:ascii="Arial" w:cs="Arial" w:eastAsia="Arial" w:hAnsi="Arial"/>
                <w:sz w:val="14"/>
                <w:szCs w:val="14"/>
                <w:color w:val="auto"/>
              </w:rPr>
              <w:t>Net cash provided by financing activities</w:t>
            </w:r>
          </w:p>
        </w:tc>
        <w:tc>
          <w:tcPr>
            <w:tcW w:w="10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121,043</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9,206</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(23,219)</w:t>
            </w:r>
          </w:p>
        </w:tc>
        <w:tc>
          <w:tcPr>
            <w:tcW w:w="2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107,030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6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Effect of exchange rate changes on cash and cash equivalents</w:t>
            </w:r>
          </w:p>
        </w:tc>
        <w:tc>
          <w:tcPr>
            <w:tcW w:w="10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207</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60" w:type="dxa"/>
            <w:vAlign w:val="bottom"/>
            <w:gridSpan w:val="2"/>
          </w:tcPr>
          <w:p>
            <w:pPr>
              <w:spacing w:after="0" w:line="155" w:lineRule="exact"/>
              <w:rPr>
                <w:sz w:val="20"/>
                <w:szCs w:val="20"/>
                <w:color w:val="auto"/>
              </w:rPr>
            </w:pPr>
            <w:r>
              <w:rPr>
                <w:rFonts w:ascii="Arial" w:cs="Arial" w:eastAsia="Arial" w:hAnsi="Arial"/>
                <w:sz w:val="14"/>
                <w:szCs w:val="14"/>
                <w:color w:val="auto"/>
              </w:rPr>
              <w:t>Net increase in cash, cash equivalents and restricted cash</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line="155" w:lineRule="exact"/>
              <w:rPr>
                <w:sz w:val="20"/>
                <w:szCs w:val="20"/>
                <w:color w:val="auto"/>
              </w:rPr>
            </w:pPr>
            <w:r>
              <w:rPr>
                <w:rFonts w:ascii="Arial" w:cs="Arial" w:eastAsia="Arial" w:hAnsi="Arial"/>
                <w:sz w:val="14"/>
                <w:szCs w:val="14"/>
                <w:color w:val="auto"/>
              </w:rPr>
              <w:t>20,554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9,059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29,613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Cash, cash equivalents and restricted cash - beginning of period</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104,602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16,290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120,892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60" w:type="dxa"/>
            <w:vAlign w:val="bottom"/>
            <w:gridSpan w:val="2"/>
          </w:tcPr>
          <w:p>
            <w:pPr>
              <w:spacing w:after="0" w:line="155" w:lineRule="exact"/>
              <w:rPr>
                <w:sz w:val="20"/>
                <w:szCs w:val="20"/>
                <w:color w:val="auto"/>
              </w:rPr>
            </w:pPr>
            <w:r>
              <w:rPr>
                <w:rFonts w:ascii="Arial" w:cs="Arial" w:eastAsia="Arial" w:hAnsi="Arial"/>
                <w:sz w:val="14"/>
                <w:szCs w:val="14"/>
                <w:color w:val="auto"/>
              </w:rPr>
              <w:t>Cash, cash equivalents and restricted cash - end of period</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125,156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25,349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150,505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Verra Mobility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VM</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9"/>
              </w:rPr>
              <w:t>Verra Mobility</w:t>
            </w:r>
          </w:p>
        </w:tc>
        <w:tc>
          <w:tcPr>
            <w:tcW w:w="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0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Non-</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Inc.</w:t>
            </w: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Corporation</w:t>
            </w:r>
          </w:p>
        </w:tc>
        <w:tc>
          <w:tcPr>
            <w:tcW w:w="8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(Guarantor</w:t>
            </w:r>
          </w:p>
        </w:tc>
        <w:tc>
          <w:tcPr>
            <w:tcW w:w="1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guarantor</w:t>
            </w:r>
          </w:p>
        </w:tc>
        <w:tc>
          <w:tcPr>
            <w:tcW w:w="80" w:type="dxa"/>
            <w:vAlign w:val="bottom"/>
          </w:tcPr>
          <w:p>
            <w:pPr>
              <w:spacing w:after="0"/>
              <w:rPr>
                <w:sz w:val="12"/>
                <w:szCs w:val="12"/>
                <w:color w:val="auto"/>
              </w:rPr>
            </w:pPr>
          </w:p>
        </w:tc>
        <w:tc>
          <w:tcPr>
            <w:tcW w:w="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6"/>
              </w:rPr>
              <w:t>(Ultimate Parent)</w:t>
            </w:r>
          </w:p>
        </w:tc>
        <w:tc>
          <w:tcPr>
            <w:tcW w:w="8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Subsidiary)</w:t>
            </w:r>
          </w:p>
        </w:tc>
        <w:tc>
          <w:tcPr>
            <w:tcW w:w="10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Subsidiaries</w:t>
            </w:r>
          </w:p>
        </w:tc>
        <w:tc>
          <w:tcPr>
            <w:tcW w:w="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6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Supplemental cash flow information:</w:t>
            </w:r>
          </w:p>
        </w:tc>
        <w:tc>
          <w:tcPr>
            <w:tcW w:w="8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60" w:type="dxa"/>
            <w:vAlign w:val="bottom"/>
          </w:tcPr>
          <w:p>
            <w:pPr>
              <w:ind w:left="260"/>
              <w:spacing w:after="0"/>
              <w:rPr>
                <w:sz w:val="20"/>
                <w:szCs w:val="20"/>
                <w:color w:val="auto"/>
              </w:rPr>
            </w:pPr>
            <w:r>
              <w:rPr>
                <w:rFonts w:ascii="Arial" w:cs="Arial" w:eastAsia="Arial" w:hAnsi="Arial"/>
                <w:sz w:val="14"/>
                <w:szCs w:val="14"/>
                <w:color w:val="auto"/>
              </w:rPr>
              <w:t>Interest paid</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13,054</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ind w:left="760"/>
              <w:spacing w:after="0"/>
              <w:rPr>
                <w:sz w:val="20"/>
                <w:szCs w:val="20"/>
                <w:color w:val="auto"/>
              </w:rPr>
            </w:pPr>
            <w:r>
              <w:rPr>
                <w:rFonts w:ascii="Arial" w:cs="Arial" w:eastAsia="Arial" w:hAnsi="Arial"/>
                <w:sz w:val="14"/>
                <w:szCs w:val="14"/>
                <w:color w:val="auto"/>
                <w:w w:val="99"/>
              </w:rPr>
              <w:t>—</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13,054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Income taxes paid, net of refunds</w:t>
            </w: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ind w:left="8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4,945</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ind w:left="740"/>
              <w:spacing w:after="0"/>
              <w:rPr>
                <w:sz w:val="20"/>
                <w:szCs w:val="20"/>
                <w:color w:val="auto"/>
              </w:rPr>
            </w:pPr>
            <w:r>
              <w:rPr>
                <w:rFonts w:ascii="Arial" w:cs="Arial" w:eastAsia="Arial" w:hAnsi="Arial"/>
                <w:sz w:val="14"/>
                <w:szCs w:val="14"/>
                <w:color w:val="auto"/>
                <w:w w:val="89"/>
              </w:rPr>
              <w:t>50</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ind w:left="760"/>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4,995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60" w:type="dxa"/>
            <w:vAlign w:val="bottom"/>
          </w:tcPr>
          <w:p>
            <w:pPr>
              <w:spacing w:after="0"/>
              <w:rPr>
                <w:sz w:val="20"/>
                <w:szCs w:val="20"/>
                <w:color w:val="auto"/>
              </w:rPr>
            </w:pPr>
            <w:r>
              <w:rPr>
                <w:rFonts w:ascii="Arial" w:cs="Arial" w:eastAsia="Arial" w:hAnsi="Arial"/>
                <w:sz w:val="14"/>
                <w:szCs w:val="14"/>
                <w:color w:val="auto"/>
              </w:rPr>
              <w:t>Supplemental non-cash investing and financing activities:</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516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w w:val="94"/>
              </w:rPr>
              <w:t>Purchases of installation and service parts and property and equipment in accounts</w:t>
            </w:r>
          </w:p>
        </w:tc>
        <w:tc>
          <w:tcPr>
            <w:tcW w:w="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1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payable and accrued liabilities at period-end</w:t>
            </w: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ind w:left="8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3,358</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ind w:left="7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ind w:left="760"/>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3,358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880" w:hanging="872"/>
        <w:spacing w:after="0"/>
        <w:tabs>
          <w:tab w:leader="none" w:pos="8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56" w:lineRule="exact"/>
        <w:rPr>
          <w:sz w:val="20"/>
          <w:szCs w:val="20"/>
          <w:color w:val="auto"/>
        </w:rPr>
      </w:pPr>
    </w:p>
    <w:p>
      <w:pPr>
        <w:jc w:val="both"/>
        <w:ind w:firstLine="802"/>
        <w:spacing w:after="0" w:line="257" w:lineRule="auto"/>
        <w:rPr>
          <w:sz w:val="20"/>
          <w:szCs w:val="20"/>
          <w:color w:val="auto"/>
        </w:rPr>
      </w:pPr>
      <w:r>
        <w:rPr>
          <w:rFonts w:ascii="Arial" w:cs="Arial" w:eastAsia="Arial" w:hAnsi="Arial"/>
          <w:sz w:val="18"/>
          <w:szCs w:val="18"/>
          <w:color w:val="auto"/>
        </w:rPr>
        <w:t>On July 29, 2021, the Company’s Board of Directors authorized a share repurchase program for up to an aggregate amount of $100 million of its outstanding shares of Class A common stock over the next twelve months. The level at which the Company repurchases depends on a number of factors, including its financial condition, capital requirements, cash flows, results of operations, future business prospects and other factors its management may deem relevant. The timing, volume and nature of repurchases are subject to market conditions, applicable securities laws and other factors and may be amended, suspended or discontinued at any time.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jc w:val="both"/>
        <w:ind w:firstLine="802"/>
        <w:spacing w:after="0" w:line="273" w:lineRule="auto"/>
        <w:rPr>
          <w:sz w:val="20"/>
          <w:szCs w:val="20"/>
          <w:color w:val="auto"/>
        </w:rPr>
      </w:pPr>
      <w:r>
        <w:rPr>
          <w:rFonts w:ascii="Arial" w:cs="Arial" w:eastAsia="Arial" w:hAnsi="Arial"/>
          <w:sz w:val="17"/>
          <w:szCs w:val="17"/>
          <w:i w:val="1"/>
          <w:iCs w:val="1"/>
          <w:color w:val="auto"/>
        </w:rPr>
        <w:t>The following discussion and analysis should be read together with our Annual Report on Form 10-K/A for the year ended December 31, 2020 filed on May 17, 2021, and our financial statements included in Part I, Item 1 “Financial Statements” of this Quarterly Report on Form 10-Q. This discussion contains forward-looking statements based upon current expectations that involve risks and uncertainties. Our actual results may differ materially from those anticipated in these forward-looking statements as a result of various factors, including those set forth in Part II, Item 1A “Risk Factors” in this Quarterly Report on Form 10-Q and those set forth in Part I, Item 1A “Risk Factors” in our Annual Report on Form 10-K/A for the year ended December 31, 2020 filed on May 17, 2021. Please also refer to the section entitled “Cautionary Note Regarding Forward-Looking Statements.”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02" w:lineRule="exact"/>
        <w:rPr>
          <w:sz w:val="20"/>
          <w:szCs w:val="20"/>
          <w:color w:val="auto"/>
        </w:rPr>
      </w:pPr>
    </w:p>
    <w:p>
      <w:pPr>
        <w:jc w:val="both"/>
        <w:ind w:firstLine="802"/>
        <w:spacing w:after="0" w:line="272" w:lineRule="auto"/>
        <w:rPr>
          <w:sz w:val="20"/>
          <w:szCs w:val="20"/>
          <w:color w:val="auto"/>
        </w:rPr>
      </w:pPr>
      <w:r>
        <w:rPr>
          <w:rFonts w:ascii="Arial" w:cs="Arial" w:eastAsia="Arial" w:hAnsi="Arial"/>
          <w:sz w:val="17"/>
          <w:szCs w:val="17"/>
          <w:color w:val="auto"/>
        </w:rPr>
        <w:t>We believe we are a leading provider of smart mobility technology solutions and services to customers located throughout the world, primarily within the United States, Australia, Europe and Canada. These solutions and services include toll and violations management, automated safety solutions, title and registration, and other data-driven solutions to our customers, which include rental car companies (“</w:t>
      </w:r>
      <w:r>
        <w:rPr>
          <w:rFonts w:ascii="Arial" w:cs="Arial" w:eastAsia="Arial" w:hAnsi="Arial"/>
          <w:sz w:val="17"/>
          <w:szCs w:val="17"/>
          <w:b w:val="1"/>
          <w:bCs w:val="1"/>
          <w:i w:val="1"/>
          <w:iCs w:val="1"/>
          <w:color w:val="auto"/>
        </w:rPr>
        <w:t>RACs</w:t>
      </w:r>
      <w:r>
        <w:rPr>
          <w:rFonts w:ascii="Arial" w:cs="Arial" w:eastAsia="Arial" w:hAnsi="Arial"/>
          <w:sz w:val="17"/>
          <w:szCs w:val="17"/>
          <w:color w:val="auto"/>
        </w:rPr>
        <w:t>”), fleet management companies (“</w:t>
      </w:r>
      <w:r>
        <w:rPr>
          <w:rFonts w:ascii="Arial" w:cs="Arial" w:eastAsia="Arial" w:hAnsi="Arial"/>
          <w:sz w:val="17"/>
          <w:szCs w:val="17"/>
          <w:b w:val="1"/>
          <w:bCs w:val="1"/>
          <w:i w:val="1"/>
          <w:iCs w:val="1"/>
          <w:color w:val="auto"/>
        </w:rPr>
        <w:t>FMC</w:t>
      </w:r>
      <w:r>
        <w:rPr>
          <w:rFonts w:ascii="Arial" w:cs="Arial" w:eastAsia="Arial" w:hAnsi="Arial"/>
          <w:sz w:val="17"/>
          <w:szCs w:val="17"/>
          <w:color w:val="auto"/>
        </w:rPr>
        <w:t>s”), other large fleet owners, state and local government agencies (both domestic and international), school districts and violation-issuing authorities. Our solutions simplify the smart mobility ecosystem by utilizing what we believe are industry-leading capabilities, information and technology expertise, and integrated hardware and software to efficiently facilitate the automated processing of tolls and violations and safety solutions for hundreds of agencies and millions of end users annually, while also making cities and roadways safer for everyone.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Redflex Acquisition</w:t>
      </w:r>
    </w:p>
    <w:p>
      <w:pPr>
        <w:spacing w:after="0" w:line="252" w:lineRule="exact"/>
        <w:rPr>
          <w:sz w:val="20"/>
          <w:szCs w:val="20"/>
          <w:color w:val="auto"/>
        </w:rPr>
      </w:pPr>
    </w:p>
    <w:p>
      <w:pPr>
        <w:jc w:val="both"/>
        <w:ind w:firstLine="802"/>
        <w:spacing w:after="0" w:line="255" w:lineRule="auto"/>
        <w:rPr>
          <w:sz w:val="20"/>
          <w:szCs w:val="20"/>
          <w:color w:val="auto"/>
        </w:rPr>
      </w:pPr>
      <w:r>
        <w:rPr>
          <w:rFonts w:ascii="Arial" w:cs="Arial" w:eastAsia="Arial" w:hAnsi="Arial"/>
          <w:sz w:val="18"/>
          <w:szCs w:val="18"/>
          <w:color w:val="auto"/>
        </w:rPr>
        <w:t>On June 17, 2021, we completed the previously announced acquisition of Redflex Holdings Limited (“</w:t>
      </w:r>
      <w:r>
        <w:rPr>
          <w:rFonts w:ascii="Arial" w:cs="Arial" w:eastAsia="Arial" w:hAnsi="Arial"/>
          <w:sz w:val="18"/>
          <w:szCs w:val="18"/>
          <w:b w:val="1"/>
          <w:bCs w:val="1"/>
          <w:i w:val="1"/>
          <w:iCs w:val="1"/>
          <w:color w:val="auto"/>
        </w:rPr>
        <w:t>Redflex</w:t>
      </w:r>
      <w:r>
        <w:rPr>
          <w:rFonts w:ascii="Arial" w:cs="Arial" w:eastAsia="Arial" w:hAnsi="Arial"/>
          <w:sz w:val="18"/>
          <w:szCs w:val="18"/>
          <w:color w:val="auto"/>
        </w:rPr>
        <w:t>”), a public company limited by shares, incorporated in Australia and listed on the Australian Securities Exchange. Redflex is a provider of intelligent traffic management products and services that are sold and managed in the Asia Pacific, North America, United Kingdom, Europe, and Middle East regions. Redflex develops, manufactures, and operates a wide range of platform-based solutions, utilizing advanced sensor and image capture technologies that enable active management of state and local motorways. We included the financial results of Redflex in the condensed consolidated financial statements from the date of acquisition, which were not material.</w:t>
      </w:r>
    </w:p>
    <w:p>
      <w:pPr>
        <w:spacing w:after="0" w:line="219"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color w:val="auto"/>
        </w:rPr>
        <w:t>Pursuant to the Scheme Implementation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entered into by us and Redflex on January 21, 2021, as amended by the Deed of Amendment and Consent, dated April 30, 2021, VM Consolidated, Inc., our indirect wholly owned subsidiary, purchased one hundred percent of the outstanding equity of Redflex at A$0.96 per share resulting in consideration of A$152.5 million, or approximately US$117.9 million. See Note 3</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Acquisition, </w:t>
      </w:r>
      <w:r>
        <w:rPr>
          <w:rFonts w:ascii="Arial" w:cs="Arial" w:eastAsia="Arial" w:hAnsi="Arial"/>
          <w:sz w:val="18"/>
          <w:szCs w:val="18"/>
          <w:color w:val="auto"/>
        </w:rPr>
        <w:t>for additional details on the Redflex acquisition.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Unsecured Senior Notes Offering and Refinancing</w:t>
      </w:r>
    </w:p>
    <w:p>
      <w:pPr>
        <w:spacing w:after="0" w:line="252" w:lineRule="exact"/>
        <w:rPr>
          <w:sz w:val="20"/>
          <w:szCs w:val="20"/>
          <w:color w:val="auto"/>
        </w:rPr>
      </w:pPr>
    </w:p>
    <w:p>
      <w:pPr>
        <w:jc w:val="both"/>
        <w:ind w:firstLine="802"/>
        <w:spacing w:after="0" w:line="273" w:lineRule="auto"/>
        <w:rPr>
          <w:sz w:val="20"/>
          <w:szCs w:val="20"/>
          <w:color w:val="auto"/>
        </w:rPr>
      </w:pPr>
      <w:r>
        <w:rPr>
          <w:rFonts w:ascii="Arial" w:cs="Arial" w:eastAsia="Arial" w:hAnsi="Arial"/>
          <w:sz w:val="17"/>
          <w:szCs w:val="17"/>
          <w:color w:val="auto"/>
        </w:rPr>
        <w:t>On March 26, 2021, VM Consolidated Inc., our indirect wholly owned subsidiary, completed a private offering (the “</w:t>
      </w:r>
      <w:r>
        <w:rPr>
          <w:rFonts w:ascii="Arial" w:cs="Arial" w:eastAsia="Arial" w:hAnsi="Arial"/>
          <w:sz w:val="17"/>
          <w:szCs w:val="17"/>
          <w:b w:val="1"/>
          <w:bCs w:val="1"/>
          <w:i w:val="1"/>
          <w:iCs w:val="1"/>
          <w:color w:val="auto"/>
        </w:rPr>
        <w:t>Offering</w:t>
      </w:r>
      <w:r>
        <w:rPr>
          <w:rFonts w:ascii="Arial" w:cs="Arial" w:eastAsia="Arial" w:hAnsi="Arial"/>
          <w:sz w:val="17"/>
          <w:szCs w:val="17"/>
          <w:color w:val="auto"/>
        </w:rPr>
        <w:t>”) of $350.0 million aggregate principal amount of its 5.50% Senior Notes due 2029 (the “</w:t>
      </w:r>
      <w:r>
        <w:rPr>
          <w:rFonts w:ascii="Arial" w:cs="Arial" w:eastAsia="Arial" w:hAnsi="Arial"/>
          <w:sz w:val="17"/>
          <w:szCs w:val="17"/>
          <w:b w:val="1"/>
          <w:bCs w:val="1"/>
          <w:i w:val="1"/>
          <w:iCs w:val="1"/>
          <w:color w:val="auto"/>
        </w:rPr>
        <w:t>Senior Notes</w:t>
      </w:r>
      <w:r>
        <w:rPr>
          <w:rFonts w:ascii="Arial" w:cs="Arial" w:eastAsia="Arial" w:hAnsi="Arial"/>
          <w:sz w:val="17"/>
          <w:szCs w:val="17"/>
          <w:color w:val="auto"/>
        </w:rPr>
        <w:t>”). We used the net proceeds from the Offering, together with the proceeds of the term loan incurred pursuant to an amendment and restatement agreement no. 1 (the “</w:t>
      </w:r>
      <w:r>
        <w:rPr>
          <w:rFonts w:ascii="Arial" w:cs="Arial" w:eastAsia="Arial" w:hAnsi="Arial"/>
          <w:sz w:val="17"/>
          <w:szCs w:val="17"/>
          <w:b w:val="1"/>
          <w:bCs w:val="1"/>
          <w:i w:val="1"/>
          <w:iCs w:val="1"/>
          <w:color w:val="auto"/>
        </w:rPr>
        <w:t>Restatement Agreement</w:t>
      </w:r>
      <w:r>
        <w:rPr>
          <w:rFonts w:ascii="Arial" w:cs="Arial" w:eastAsia="Arial" w:hAnsi="Arial"/>
          <w:sz w:val="17"/>
          <w:szCs w:val="17"/>
          <w:color w:val="auto"/>
        </w:rPr>
        <w:t>”) to our First Lien Term Loan Credit Agreement dated as of March 1, 2018, as amended (the “</w:t>
      </w:r>
      <w:r>
        <w:rPr>
          <w:rFonts w:ascii="Arial" w:cs="Arial" w:eastAsia="Arial" w:hAnsi="Arial"/>
          <w:sz w:val="17"/>
          <w:szCs w:val="17"/>
          <w:b w:val="1"/>
          <w:bCs w:val="1"/>
          <w:i w:val="1"/>
          <w:iCs w:val="1"/>
          <w:color w:val="auto"/>
        </w:rPr>
        <w:t>Credit Agreement</w:t>
      </w:r>
      <w:r>
        <w:rPr>
          <w:rFonts w:ascii="Arial" w:cs="Arial" w:eastAsia="Arial" w:hAnsi="Arial"/>
          <w:sz w:val="17"/>
          <w:szCs w:val="17"/>
          <w:color w:val="auto"/>
        </w:rPr>
        <w:t>”), to refinance our outstanding term loan (the “</w:t>
      </w:r>
      <w:r>
        <w:rPr>
          <w:rFonts w:ascii="Arial" w:cs="Arial" w:eastAsia="Arial" w:hAnsi="Arial"/>
          <w:sz w:val="17"/>
          <w:szCs w:val="17"/>
          <w:b w:val="1"/>
          <w:bCs w:val="1"/>
          <w:i w:val="1"/>
          <w:iCs w:val="1"/>
          <w:color w:val="auto"/>
        </w:rPr>
        <w:t>Refinancing</w:t>
      </w:r>
      <w:r>
        <w:rPr>
          <w:rFonts w:ascii="Arial" w:cs="Arial" w:eastAsia="Arial" w:hAnsi="Arial"/>
          <w:sz w:val="17"/>
          <w:szCs w:val="17"/>
          <w:color w:val="auto"/>
        </w:rPr>
        <w:t>”) and to pay fees and expenses in connection with the Offering and Refinancing. We used the remainder of the net proceeds, together with cash on hand, to pay approximately $118.0 million of cash purchase consideration for our acquisition of Redflex.</w:t>
      </w:r>
    </w:p>
    <w:p>
      <w:pPr>
        <w:spacing w:after="0" w:line="205"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color w:val="auto"/>
        </w:rPr>
        <w:t>In connection with the Offering, we entered into the Restatement Agreement, which includes, among other changes, amending certain provisions of the Credit Agreement as follows:</w:t>
      </w:r>
    </w:p>
    <w:p>
      <w:pPr>
        <w:spacing w:after="0" w:line="197" w:lineRule="exact"/>
        <w:rPr>
          <w:sz w:val="20"/>
          <w:szCs w:val="20"/>
          <w:color w:val="auto"/>
        </w:rPr>
      </w:pPr>
    </w:p>
    <w:p>
      <w:pPr>
        <w:ind w:left="1200" w:right="20" w:hanging="396"/>
        <w:spacing w:after="0" w:line="277" w:lineRule="auto"/>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permit and account for the repayment of the then outstanding term loan, together with all accrued and unpaid interest, and the incurrence of the new term loan on March 26, 2021 in the original principal amount of $650.0 million due March 26, 2028;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3" w:name="page34"/>
    <w:bookmarkEnd w:id="33"/>
    <w:p>
      <w:pPr>
        <w:ind w:left="1200" w:right="20" w:hanging="396"/>
        <w:spacing w:after="0" w:line="274" w:lineRule="auto"/>
        <w:tabs>
          <w:tab w:leader="none" w:pos="12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permit the issuance of the Senior Notes, which were issued on the effective date of the Restatement Agreement, and our related incurrence of indebtedness in respect of such Senior Notes and the guarantee by our subsidiary guarantor of such Senior Notes;</w:t>
      </w:r>
    </w:p>
    <w:p>
      <w:pPr>
        <w:ind w:left="1200" w:hanging="396"/>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expressly permit the acquisition of Redflex by VM Consolidated Inc.; and</w:t>
      </w:r>
    </w:p>
    <w:p>
      <w:pPr>
        <w:spacing w:after="0" w:line="9" w:lineRule="exact"/>
        <w:rPr>
          <w:rFonts w:ascii="Arial" w:cs="Arial" w:eastAsia="Arial" w:hAnsi="Arial"/>
          <w:sz w:val="18"/>
          <w:szCs w:val="18"/>
          <w:color w:val="auto"/>
        </w:rPr>
      </w:pPr>
    </w:p>
    <w:p>
      <w:pPr>
        <w:ind w:left="1200" w:hanging="396"/>
        <w:spacing w:after="0" w:line="260" w:lineRule="auto"/>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amend certain provisions dealing with interest rate replacement provisions in the case where any interest rate benchmark applicable to the loans and commitment fees in the future ceases to be available.</w:t>
      </w:r>
    </w:p>
    <w:p>
      <w:pPr>
        <w:spacing w:after="0" w:line="14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See Note 7</w:t>
      </w:r>
      <w:r>
        <w:rPr>
          <w:rFonts w:ascii="Arial" w:cs="Arial" w:eastAsia="Arial" w:hAnsi="Arial"/>
          <w:sz w:val="16"/>
          <w:szCs w:val="16"/>
          <w:i w:val="1"/>
          <w:iCs w:val="1"/>
          <w:color w:val="auto"/>
        </w:rPr>
        <w:t>. Long-term Debt</w:t>
      </w:r>
      <w:r>
        <w:rPr>
          <w:rFonts w:ascii="Arial" w:cs="Arial" w:eastAsia="Arial" w:hAnsi="Arial"/>
          <w:sz w:val="16"/>
          <w:szCs w:val="16"/>
          <w:color w:val="auto"/>
        </w:rPr>
        <w:t xml:space="preserve"> for more information on interest payments, redemption options and costs incurred for the Offering and Refinancing.</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We have two operating and reportable segments, Commercial Services and Government Solutions:</w:t>
      </w:r>
    </w:p>
    <w:p>
      <w:pPr>
        <w:spacing w:after="0" w:line="185" w:lineRule="exact"/>
        <w:rPr>
          <w:sz w:val="20"/>
          <w:szCs w:val="20"/>
          <w:color w:val="auto"/>
        </w:rPr>
      </w:pPr>
    </w:p>
    <w:p>
      <w:pPr>
        <w:jc w:val="both"/>
        <w:ind w:left="1200" w:right="20" w:hanging="396"/>
        <w:spacing w:after="0" w:line="263" w:lineRule="auto"/>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Commercial Services segment offers toll and violation management solutions and title and registration services for RACs and FMCs in North America. In Europe, we provide violations processing through Euro Parking Collection plc (“</w:t>
      </w:r>
      <w:r>
        <w:rPr>
          <w:rFonts w:ascii="Arial" w:cs="Arial" w:eastAsia="Arial" w:hAnsi="Arial"/>
          <w:sz w:val="18"/>
          <w:szCs w:val="18"/>
          <w:b w:val="1"/>
          <w:bCs w:val="1"/>
          <w:i w:val="1"/>
          <w:iCs w:val="1"/>
          <w:color w:val="auto"/>
        </w:rPr>
        <w:t>EPC</w:t>
      </w:r>
      <w:r>
        <w:rPr>
          <w:rFonts w:ascii="Arial" w:cs="Arial" w:eastAsia="Arial" w:hAnsi="Arial"/>
          <w:sz w:val="18"/>
          <w:szCs w:val="18"/>
          <w:color w:val="auto"/>
        </w:rPr>
        <w:t>”) and consumer tolling services through Pagatelia S.L (“</w:t>
      </w:r>
      <w:r>
        <w:rPr>
          <w:rFonts w:ascii="Arial" w:cs="Arial" w:eastAsia="Arial" w:hAnsi="Arial"/>
          <w:sz w:val="18"/>
          <w:szCs w:val="18"/>
          <w:b w:val="1"/>
          <w:bCs w:val="1"/>
          <w:i w:val="1"/>
          <w:iCs w:val="1"/>
          <w:color w:val="auto"/>
        </w:rPr>
        <w:t>Pagatelia</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jc w:val="both"/>
        <w:ind w:left="1200" w:hanging="396"/>
        <w:spacing w:after="0" w:line="255" w:lineRule="auto"/>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Government Solutions segment offers photo enforcement solutions and services to its customers. Through our recent acquisition of Redflex on June 17, 2021, we expanded our current footprint in the United States and gained access to international markets. We provide complete, end-to-end speed, red-light, school bus stop arm and bus lane enforcement solutions within the United States and Canada. We implement and administer traffic safety programs for municipalities, counties, school districts and law enforcement agencies. The newly acquired international operations through Redflex primarily involve the sale of traffic enforcement products and related maintenance services.</w:t>
      </w:r>
    </w:p>
    <w:p>
      <w:pPr>
        <w:spacing w:after="0" w:line="152"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Segment performance is based on revenues and income (loss) from operations before depreciation, amortization, gain (loss) on disposal of assets, net, and stock-based compensation. The measure also excludes interest expense, net, income taxes and certain other transactions and is inclusive of other income, net.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89"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We operate under long-term contracts and have a highly reoccurring service revenue model. We continue to execute on our strategy of growing revenues with existing customers, expanding offerings into adjacent markets through innovation or acquisition and reducing operating costs. During the periods presented, we:</w:t>
      </w:r>
    </w:p>
    <w:p>
      <w:pPr>
        <w:spacing w:after="0" w:line="143" w:lineRule="exact"/>
        <w:rPr>
          <w:sz w:val="20"/>
          <w:szCs w:val="20"/>
          <w:color w:val="auto"/>
        </w:rPr>
      </w:pPr>
    </w:p>
    <w:p>
      <w:pPr>
        <w:jc w:val="both"/>
        <w:ind w:left="1200" w:hanging="396"/>
        <w:spacing w:after="0" w:line="259" w:lineRule="auto"/>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grew total revenue $22.0 million from $196.5 million for the six months ended June 30, 2020 to $218.5 million for the six months ended June 30, 2021. The increase was attributable to service revenue resulting from improved travel demand that positively impacted the rental car industry in our Commercial Services segment, and growth in both speed and red-light programs in our Government Solutions segment; and</w:t>
      </w:r>
    </w:p>
    <w:p>
      <w:pPr>
        <w:spacing w:after="0" w:line="146" w:lineRule="exact"/>
        <w:rPr>
          <w:rFonts w:ascii="Arial" w:cs="Arial" w:eastAsia="Arial" w:hAnsi="Arial"/>
          <w:sz w:val="18"/>
          <w:szCs w:val="18"/>
          <w:color w:val="auto"/>
        </w:rPr>
      </w:pPr>
    </w:p>
    <w:p>
      <w:pPr>
        <w:ind w:left="1200" w:right="20" w:hanging="396"/>
        <w:spacing w:after="0" w:line="277" w:lineRule="auto"/>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generated cash flows from operations of $37.5 million and $22.5 million for the six months ended June 30, 2021 and 2020, respectively. Our cash on hand was $147.3 million as of June 30,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Components of Our Operating Results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color w:val="auto"/>
        </w:rPr>
        <w:t>Total revenue consists of service revenue generated by our Commercial Services and Government Solutions segments and product sales generated by the Government Solutions segment.</w:t>
      </w:r>
    </w:p>
    <w:p>
      <w:pPr>
        <w:spacing w:after="0" w:line="130" w:lineRule="exact"/>
        <w:rPr>
          <w:sz w:val="20"/>
          <w:szCs w:val="20"/>
          <w:color w:val="auto"/>
        </w:rPr>
      </w:pPr>
    </w:p>
    <w:p>
      <w:pPr>
        <w:jc w:val="both"/>
        <w:ind w:firstLine="802"/>
        <w:spacing w:after="0" w:line="273" w:lineRule="auto"/>
        <w:rPr>
          <w:sz w:val="20"/>
          <w:szCs w:val="20"/>
          <w:color w:val="auto"/>
        </w:rPr>
      </w:pPr>
      <w:r>
        <w:rPr>
          <w:rFonts w:ascii="Arial" w:cs="Arial" w:eastAsia="Arial" w:hAnsi="Arial"/>
          <w:sz w:val="17"/>
          <w:szCs w:val="17"/>
          <w:i w:val="1"/>
          <w:iCs w:val="1"/>
          <w:color w:val="auto"/>
        </w:rPr>
        <w:t>Service Revenue</w:t>
      </w:r>
      <w:r>
        <w:rPr>
          <w:rFonts w:ascii="Arial" w:cs="Arial" w:eastAsia="Arial" w:hAnsi="Arial"/>
          <w:sz w:val="17"/>
          <w:szCs w:val="17"/>
          <w:color w:val="auto"/>
        </w:rPr>
        <w:t>. Our Commercial Services segment generates service revenue primarily through the management and operation of tolling</w:t>
      </w:r>
      <w:r>
        <w:rPr>
          <w:rFonts w:ascii="Arial" w:cs="Arial" w:eastAsia="Arial" w:hAnsi="Arial"/>
          <w:sz w:val="17"/>
          <w:szCs w:val="17"/>
          <w:i w:val="1"/>
          <w:iCs w:val="1"/>
          <w:color w:val="auto"/>
        </w:rPr>
        <w:t xml:space="preserve"> </w:t>
      </w:r>
      <w:r>
        <w:rPr>
          <w:rFonts w:ascii="Arial" w:cs="Arial" w:eastAsia="Arial" w:hAnsi="Arial"/>
          <w:sz w:val="17"/>
          <w:szCs w:val="17"/>
          <w:color w:val="auto"/>
        </w:rPr>
        <w:t>programs and processing violations for RACs, FMCs and other large fleet customers. These solutions are full service offerings by which we enroll plates of our customers’ vehicles and transponders with tolling authority accounts, pay tolls and violations on the customers’ behalf and, through proprietary technology, integrate with customer data to match the toll or violation to the driver and then bill the driver (or our customer, as applicable) for use of the service. The cost of certain tolls, violations and our customers’ share of administration fees are netted against revenue. We also generate service revenue in our Commercial Services segment through processing titles and registrations for our customers.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jc w:val="both"/>
        <w:ind w:firstLine="802"/>
        <w:spacing w:after="0" w:line="257" w:lineRule="auto"/>
        <w:rPr>
          <w:sz w:val="20"/>
          <w:szCs w:val="20"/>
          <w:color w:val="auto"/>
        </w:rPr>
      </w:pPr>
      <w:r>
        <w:rPr>
          <w:rFonts w:ascii="Arial" w:cs="Arial" w:eastAsia="Arial" w:hAnsi="Arial"/>
          <w:sz w:val="18"/>
          <w:szCs w:val="18"/>
          <w:color w:val="auto"/>
        </w:rPr>
        <w:t>Our Government Solutions segment generates service revenue through the operation and maintenance of photo enforcement systems. This revenue is generally tied to long-term contracts, and revenue is recognized either when services are performed or when citations are issued or paid, depending on the terms of the customer contract. Revenue drivers in this segment include the number of systems installed and the monthly revenue per system. Ancillary service revenue is generated in our Government Solutions segment from payment processing, pass-through fees for collection expense, and other fees.</w:t>
      </w:r>
    </w:p>
    <w:p>
      <w:pPr>
        <w:spacing w:after="0" w:line="161"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i w:val="1"/>
          <w:iCs w:val="1"/>
          <w:color w:val="auto"/>
        </w:rPr>
        <w:t xml:space="preserve">Product Sales. </w:t>
      </w:r>
      <w:r>
        <w:rPr>
          <w:rFonts w:ascii="Arial" w:cs="Arial" w:eastAsia="Arial" w:hAnsi="Arial"/>
          <w:sz w:val="18"/>
          <w:szCs w:val="18"/>
          <w:color w:val="auto"/>
        </w:rPr>
        <w:t>Product sales are generated by the sale of photo enforcement equipment primarily to international customers in the Government</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segment. These international customers along with certain domestic customers purchase this equipment, and their buying patterns vary greatly from period to period. We recognize product sales revenue when the equipment is accepted or installed.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and Expenses</w:t>
      </w:r>
    </w:p>
    <w:p>
      <w:pPr>
        <w:spacing w:after="0" w:line="185"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i w:val="1"/>
          <w:iCs w:val="1"/>
          <w:color w:val="auto"/>
        </w:rPr>
        <w:t xml:space="preserve">Cost of Service Revenue. </w:t>
      </w:r>
      <w:r>
        <w:rPr>
          <w:rFonts w:ascii="Arial" w:cs="Arial" w:eastAsia="Arial" w:hAnsi="Arial"/>
          <w:sz w:val="18"/>
          <w:szCs w:val="18"/>
          <w:color w:val="auto"/>
        </w:rPr>
        <w:t>Cost of service revenue consists of collection and other professional services provided by third parties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delivery of certain ancillary services performed by both our Government Solutions and Commercial Services segments.</w:t>
      </w:r>
    </w:p>
    <w:p>
      <w:pPr>
        <w:spacing w:after="0" w:line="143" w:lineRule="exact"/>
        <w:rPr>
          <w:sz w:val="20"/>
          <w:szCs w:val="20"/>
          <w:color w:val="auto"/>
        </w:rPr>
      </w:pPr>
    </w:p>
    <w:p>
      <w:pPr>
        <w:jc w:val="both"/>
        <w:ind w:right="20" w:firstLine="802"/>
        <w:spacing w:after="0" w:line="277" w:lineRule="auto"/>
        <w:rPr>
          <w:sz w:val="20"/>
          <w:szCs w:val="20"/>
          <w:color w:val="auto"/>
        </w:rPr>
      </w:pPr>
      <w:r>
        <w:rPr>
          <w:rFonts w:ascii="Arial" w:cs="Arial" w:eastAsia="Arial" w:hAnsi="Arial"/>
          <w:sz w:val="18"/>
          <w:szCs w:val="18"/>
          <w:i w:val="1"/>
          <w:iCs w:val="1"/>
          <w:color w:val="auto"/>
        </w:rPr>
        <w:t xml:space="preserve">Cost of Product Sales. </w:t>
      </w:r>
      <w:r>
        <w:rPr>
          <w:rFonts w:ascii="Arial" w:cs="Arial" w:eastAsia="Arial" w:hAnsi="Arial"/>
          <w:sz w:val="18"/>
          <w:szCs w:val="18"/>
          <w:color w:val="auto"/>
        </w:rPr>
        <w:t>Cost of product sales consists of the cost to acquire and install photo enforcement equipment purchased by our</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Solutions customers.</w:t>
      </w:r>
    </w:p>
    <w:p>
      <w:pPr>
        <w:spacing w:after="0" w:line="130" w:lineRule="exact"/>
        <w:rPr>
          <w:sz w:val="20"/>
          <w:szCs w:val="20"/>
          <w:color w:val="auto"/>
        </w:rPr>
      </w:pPr>
    </w:p>
    <w:p>
      <w:pPr>
        <w:jc w:val="both"/>
        <w:ind w:firstLine="802"/>
        <w:spacing w:after="0" w:line="308" w:lineRule="auto"/>
        <w:rPr>
          <w:sz w:val="20"/>
          <w:szCs w:val="20"/>
          <w:color w:val="auto"/>
        </w:rPr>
      </w:pPr>
      <w:r>
        <w:rPr>
          <w:rFonts w:ascii="Arial" w:cs="Arial" w:eastAsia="Arial" w:hAnsi="Arial"/>
          <w:sz w:val="17"/>
          <w:szCs w:val="17"/>
          <w:i w:val="1"/>
          <w:iCs w:val="1"/>
          <w:color w:val="auto"/>
        </w:rPr>
        <w:t>Operating Expenses</w:t>
      </w:r>
      <w:r>
        <w:rPr>
          <w:rFonts w:ascii="Arial" w:cs="Arial" w:eastAsia="Arial" w:hAnsi="Arial"/>
          <w:sz w:val="17"/>
          <w:szCs w:val="17"/>
          <w:color w:val="auto"/>
        </w:rPr>
        <w:t>. Operating expenses include payroll and payroll-related costs (including stock-based compensation), costs related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 of our call centers and other operational costs, including transaction processing, print, postage and communication costs.</w:t>
      </w:r>
    </w:p>
    <w:p>
      <w:pPr>
        <w:spacing w:after="0" w:line="106" w:lineRule="exact"/>
        <w:rPr>
          <w:sz w:val="20"/>
          <w:szCs w:val="20"/>
          <w:color w:val="auto"/>
        </w:rPr>
      </w:pPr>
    </w:p>
    <w:p>
      <w:pPr>
        <w:jc w:val="both"/>
        <w:ind w:firstLine="802"/>
        <w:spacing w:after="0" w:line="308" w:lineRule="auto"/>
        <w:rPr>
          <w:sz w:val="20"/>
          <w:szCs w:val="20"/>
          <w:color w:val="auto"/>
        </w:rPr>
      </w:pPr>
      <w:r>
        <w:rPr>
          <w:rFonts w:ascii="Arial" w:cs="Arial" w:eastAsia="Arial" w:hAnsi="Arial"/>
          <w:sz w:val="17"/>
          <w:szCs w:val="17"/>
          <w:i w:val="1"/>
          <w:iCs w:val="1"/>
          <w:color w:val="auto"/>
        </w:rPr>
        <w:t>Selling, General and Administrative Expenses</w:t>
      </w:r>
      <w:r>
        <w:rPr>
          <w:rFonts w:ascii="Arial" w:cs="Arial" w:eastAsia="Arial" w:hAnsi="Arial"/>
          <w:sz w:val="17"/>
          <w:szCs w:val="17"/>
          <w:color w:val="auto"/>
        </w:rPr>
        <w:t>. Selling, general and administrative expenses include payroll and payroll-related costs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stock-based compensation), real estate lease expense, insurance costs, professional services fees and general corporate expenses.</w:t>
      </w:r>
    </w:p>
    <w:p>
      <w:pPr>
        <w:spacing w:after="0" w:line="119"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i w:val="1"/>
          <w:iCs w:val="1"/>
          <w:color w:val="auto"/>
        </w:rPr>
        <w:t>Depreciation, Amortization and (Gain) Loss on Disposal of Assets, Net</w:t>
      </w:r>
      <w:r>
        <w:rPr>
          <w:rFonts w:ascii="Arial" w:cs="Arial" w:eastAsia="Arial" w:hAnsi="Arial"/>
          <w:sz w:val="18"/>
          <w:szCs w:val="18"/>
          <w:color w:val="auto"/>
        </w:rPr>
        <w:t>. Depreciation, amortization and (gain) loss on disposal of assets, net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depreciation on property, plant and equipment, and amortization of definite-lived intangible assets. This line item also includes any one-time gains or losses incurred in connection with the disposal of certain assets.</w:t>
      </w:r>
    </w:p>
    <w:p>
      <w:pPr>
        <w:spacing w:after="0" w:line="143" w:lineRule="exact"/>
        <w:rPr>
          <w:sz w:val="20"/>
          <w:szCs w:val="20"/>
          <w:color w:val="auto"/>
        </w:rPr>
      </w:pPr>
    </w:p>
    <w:p>
      <w:pPr>
        <w:ind w:left="800"/>
        <w:spacing w:after="0"/>
        <w:rPr>
          <w:sz w:val="20"/>
          <w:szCs w:val="20"/>
          <w:color w:val="auto"/>
        </w:rPr>
      </w:pPr>
      <w:r>
        <w:rPr>
          <w:rFonts w:ascii="Arial" w:cs="Arial" w:eastAsia="Arial" w:hAnsi="Arial"/>
          <w:sz w:val="16"/>
          <w:szCs w:val="16"/>
          <w:i w:val="1"/>
          <w:iCs w:val="1"/>
          <w:color w:val="auto"/>
        </w:rPr>
        <w:t>Interest Expense, Net</w:t>
      </w:r>
      <w:r>
        <w:rPr>
          <w:rFonts w:ascii="Arial" w:cs="Arial" w:eastAsia="Arial" w:hAnsi="Arial"/>
          <w:sz w:val="16"/>
          <w:szCs w:val="16"/>
          <w:color w:val="auto"/>
        </w:rPr>
        <w:t>. This includes interest expense and amortization of deferred financing costs and discounts and is net of interest income.</w:t>
      </w:r>
    </w:p>
    <w:p>
      <w:pPr>
        <w:spacing w:after="0" w:line="208"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i w:val="1"/>
          <w:iCs w:val="1"/>
          <w:color w:val="auto"/>
        </w:rPr>
        <w:t>Change in Fair Value of Private Placement Warrants</w:t>
      </w:r>
      <w:r>
        <w:rPr>
          <w:rFonts w:ascii="Arial" w:cs="Arial" w:eastAsia="Arial" w:hAnsi="Arial"/>
          <w:sz w:val="18"/>
          <w:szCs w:val="18"/>
          <w:color w:val="auto"/>
        </w:rPr>
        <w:t>. Change in fair value of private placement warrants consists of adjustments to the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the 6,666,666 warrants originally issued to Gores Sponsor II, LLC in a private placement in connection with our initial public offering (the “</w:t>
      </w:r>
      <w:r>
        <w:rPr>
          <w:rFonts w:ascii="Arial" w:cs="Arial" w:eastAsia="Arial" w:hAnsi="Arial"/>
          <w:sz w:val="18"/>
          <w:szCs w:val="18"/>
          <w:b w:val="1"/>
          <w:bCs w:val="1"/>
          <w:i w:val="1"/>
          <w:iCs w:val="1"/>
          <w:color w:val="auto"/>
        </w:rPr>
        <w:t>Private Placement Warrants</w:t>
      </w:r>
      <w:r>
        <w:rPr>
          <w:rFonts w:ascii="Arial" w:cs="Arial" w:eastAsia="Arial" w:hAnsi="Arial"/>
          <w:sz w:val="18"/>
          <w:szCs w:val="18"/>
          <w:color w:val="auto"/>
        </w:rPr>
        <w:t>”) from the remeasurement to fair value at the end of each reporting period.</w:t>
      </w:r>
    </w:p>
    <w:p>
      <w:pPr>
        <w:spacing w:after="0" w:line="157"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i w:val="1"/>
          <w:iCs w:val="1"/>
          <w:color w:val="auto"/>
        </w:rPr>
        <w:t>Tax Receivable Agreement Liability Adjustment</w:t>
      </w:r>
      <w:r>
        <w:rPr>
          <w:rFonts w:ascii="Arial" w:cs="Arial" w:eastAsia="Arial" w:hAnsi="Arial"/>
          <w:sz w:val="18"/>
          <w:szCs w:val="18"/>
          <w:color w:val="auto"/>
        </w:rPr>
        <w:t>. Tax receivable agreement liability adjustment consists of adjustments made to our Tax</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Agreement (the “</w:t>
      </w:r>
      <w:r>
        <w:rPr>
          <w:rFonts w:ascii="Arial" w:cs="Arial" w:eastAsia="Arial" w:hAnsi="Arial"/>
          <w:sz w:val="18"/>
          <w:szCs w:val="18"/>
          <w:b w:val="1"/>
          <w:bCs w:val="1"/>
          <w:i w:val="1"/>
          <w:iCs w:val="1"/>
          <w:color w:val="auto"/>
        </w:rPr>
        <w:t>TRA</w:t>
      </w:r>
      <w:r>
        <w:rPr>
          <w:rFonts w:ascii="Arial" w:cs="Arial" w:eastAsia="Arial" w:hAnsi="Arial"/>
          <w:sz w:val="18"/>
          <w:szCs w:val="18"/>
          <w:color w:val="auto"/>
        </w:rPr>
        <w:t>”) with PE Greenlight Holdings, LLC and Greenlight Holding II Corporation due to changes in estimates.</w:t>
      </w:r>
    </w:p>
    <w:p>
      <w:pPr>
        <w:spacing w:after="0" w:line="170" w:lineRule="exact"/>
        <w:rPr>
          <w:sz w:val="20"/>
          <w:szCs w:val="20"/>
          <w:color w:val="auto"/>
        </w:rPr>
      </w:pPr>
    </w:p>
    <w:p>
      <w:pPr>
        <w:jc w:val="both"/>
        <w:ind w:right="20" w:firstLine="802"/>
        <w:spacing w:after="0" w:line="277" w:lineRule="auto"/>
        <w:rPr>
          <w:sz w:val="20"/>
          <w:szCs w:val="20"/>
          <w:color w:val="auto"/>
        </w:rPr>
      </w:pPr>
      <w:r>
        <w:rPr>
          <w:rFonts w:ascii="Arial" w:cs="Arial" w:eastAsia="Arial" w:hAnsi="Arial"/>
          <w:sz w:val="18"/>
          <w:szCs w:val="18"/>
          <w:i w:val="1"/>
          <w:iCs w:val="1"/>
          <w:color w:val="auto"/>
        </w:rPr>
        <w:t xml:space="preserve">Loss on Extinguishment of Debt. </w:t>
      </w:r>
      <w:r>
        <w:rPr>
          <w:rFonts w:ascii="Arial" w:cs="Arial" w:eastAsia="Arial" w:hAnsi="Arial"/>
          <w:sz w:val="18"/>
          <w:szCs w:val="18"/>
          <w:color w:val="auto"/>
        </w:rPr>
        <w:t>Loss on extinguishment of debt generally consists of early payment penalties, the write-off of original issue</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discounts and deferred financing costs associated with debt extinguishment.</w:t>
      </w:r>
    </w:p>
    <w:p>
      <w:pPr>
        <w:spacing w:after="0" w:line="130"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i w:val="1"/>
          <w:iCs w:val="1"/>
          <w:color w:val="auto"/>
        </w:rPr>
        <w:t>Other Income, Net</w:t>
      </w:r>
      <w:r>
        <w:rPr>
          <w:rFonts w:ascii="Arial" w:cs="Arial" w:eastAsia="Arial" w:hAnsi="Arial"/>
          <w:sz w:val="18"/>
          <w:szCs w:val="18"/>
          <w:color w:val="auto"/>
        </w:rPr>
        <w:t>. Other income, net primarily consists of volume rebates earned from total spend on purchasing cards and gain or loss on</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currency transactions.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2021 Compared to Three Months Ended June 30, 2020</w:t>
      </w:r>
    </w:p>
    <w:p>
      <w:pPr>
        <w:spacing w:after="0" w:line="185"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The following table sets forth our statements of operations data and expresses each item as a percentage of total revenue for the periods presented as well as the changes between periods. The tables and information provided in this section were derived from exact numbers and may have immaterial rounding differences.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4"/>
          </w:tcPr>
          <w:p>
            <w:pPr>
              <w:jc w:val="right"/>
              <w:ind w:right="78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20" w:type="dxa"/>
            <w:vAlign w:val="bottom"/>
            <w:gridSpan w:val="4"/>
            <w:vMerge w:val="restart"/>
          </w:tcPr>
          <w:p>
            <w:pPr>
              <w:jc w:val="right"/>
              <w:ind w:right="920"/>
              <w:spacing w:after="0"/>
              <w:rPr>
                <w:sz w:val="20"/>
                <w:szCs w:val="20"/>
                <w:color w:val="auto"/>
              </w:rPr>
            </w:pPr>
            <w:r>
              <w:rPr>
                <w:rFonts w:ascii="Arial" w:cs="Arial" w:eastAsia="Arial" w:hAnsi="Arial"/>
                <w:sz w:val="14"/>
                <w:szCs w:val="14"/>
                <w:b w:val="1"/>
                <w:bCs w:val="1"/>
                <w:color w:val="auto"/>
              </w:rPr>
              <w:t>Percentage of Revenue</w:t>
            </w:r>
          </w:p>
        </w:tc>
        <w:tc>
          <w:tcPr>
            <w:tcW w:w="220" w:type="dxa"/>
            <w:vAlign w:val="bottom"/>
          </w:tcPr>
          <w:p>
            <w:pPr>
              <w:spacing w:after="0"/>
              <w:rPr>
                <w:sz w:val="11"/>
                <w:szCs w:val="11"/>
                <w:color w:val="auto"/>
              </w:rPr>
            </w:pPr>
          </w:p>
        </w:tc>
        <w:tc>
          <w:tcPr>
            <w:tcW w:w="1740" w:type="dxa"/>
            <w:vAlign w:val="bottom"/>
            <w:gridSpan w:val="4"/>
          </w:tcPr>
          <w:p>
            <w:pPr>
              <w:jc w:val="center"/>
              <w:ind w:right="175"/>
              <w:spacing w:after="0" w:line="133" w:lineRule="exact"/>
              <w:rPr>
                <w:sz w:val="20"/>
                <w:szCs w:val="20"/>
                <w:color w:val="auto"/>
              </w:rPr>
            </w:pPr>
            <w:r>
              <w:rPr>
                <w:rFonts w:ascii="Arial" w:cs="Arial" w:eastAsia="Arial" w:hAnsi="Arial"/>
                <w:sz w:val="14"/>
                <w:szCs w:val="14"/>
                <w:b w:val="1"/>
                <w:bCs w:val="1"/>
                <w:color w:val="auto"/>
                <w:w w:val="90"/>
              </w:rPr>
              <w:t>Increase (Decrease)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282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3"/>
          </w:tcPr>
          <w:p>
            <w:pPr>
              <w:jc w:val="center"/>
              <w:ind w:left="216"/>
              <w:spacing w:after="0"/>
              <w:rPr>
                <w:sz w:val="20"/>
                <w:szCs w:val="20"/>
                <w:color w:val="auto"/>
              </w:rPr>
            </w:pPr>
            <w:r>
              <w:rPr>
                <w:rFonts w:ascii="Arial" w:cs="Arial" w:eastAsia="Arial" w:hAnsi="Arial"/>
                <w:sz w:val="14"/>
                <w:szCs w:val="14"/>
                <w:b w:val="1"/>
                <w:bCs w:val="1"/>
                <w:color w:val="auto"/>
                <w:w w:val="91"/>
              </w:rPr>
              <w:t>2021 vs 2020</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58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Borders>
              <w:top w:val="single" w:sz="8" w:color="auto"/>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000" w:type="dxa"/>
            <w:vAlign w:val="bottom"/>
            <w:tcBorders>
              <w:bottom w:val="single" w:sz="8" w:color="auto"/>
            </w:tcBorders>
            <w:vMerge w:val="continue"/>
          </w:tcPr>
          <w:p>
            <w:pPr>
              <w:spacing w:after="0"/>
              <w:rPr>
                <w:sz w:val="12"/>
                <w:szCs w:val="12"/>
                <w:color w:val="auto"/>
              </w:rPr>
            </w:pPr>
          </w:p>
        </w:tc>
        <w:tc>
          <w:tcPr>
            <w:tcW w:w="2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w w:val="91"/>
              </w:rPr>
              <w:t>(As restated)</w:t>
            </w: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Service revenue</w:t>
            </w: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116,426</w:t>
            </w:r>
          </w:p>
        </w:tc>
        <w:tc>
          <w:tcPr>
            <w:tcW w:w="16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62,815</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90.5%</w:t>
            </w:r>
          </w:p>
        </w:tc>
        <w:tc>
          <w:tcPr>
            <w:tcW w:w="14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78.7%</w:t>
            </w:r>
          </w:p>
        </w:tc>
        <w:tc>
          <w:tcPr>
            <w:tcW w:w="220" w:type="dxa"/>
            <w:vAlign w:val="bottom"/>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53,611</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85.3%</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7"/>
                <w:szCs w:val="17"/>
                <w:color w:val="auto"/>
              </w:rPr>
              <w:t>Product sales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12,231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16,994</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9.5%</w:t>
            </w: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21.3%</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(4,763)</w:t>
            </w:r>
          </w:p>
        </w:tc>
        <w:tc>
          <w:tcPr>
            <w:tcW w:w="2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(28.0)%</w:t>
            </w:r>
          </w:p>
        </w:tc>
        <w:tc>
          <w:tcPr>
            <w:tcW w:w="0" w:type="dxa"/>
            <w:vAlign w:val="bottom"/>
          </w:tcPr>
          <w:p>
            <w:pPr>
              <w:spacing w:after="0"/>
              <w:rPr>
                <w:sz w:val="1"/>
                <w:szCs w:val="1"/>
                <w:color w:val="auto"/>
              </w:rPr>
            </w:pPr>
          </w:p>
        </w:tc>
      </w:tr>
      <w:tr>
        <w:trPr>
          <w:trHeight w:val="20"/>
        </w:trPr>
        <w:tc>
          <w:tcPr>
            <w:tcW w:w="3580" w:type="dxa"/>
            <w:vAlign w:val="bottom"/>
            <w:gridSpan w:val="2"/>
            <w:vMerge w:val="restart"/>
            <w:shd w:val="clear" w:color="auto" w:fill="CFF0FC"/>
          </w:tcPr>
          <w:p>
            <w:pPr>
              <w:ind w:left="260"/>
              <w:spacing w:after="0"/>
              <w:rPr>
                <w:sz w:val="20"/>
                <w:szCs w:val="20"/>
                <w:color w:val="auto"/>
              </w:rPr>
            </w:pPr>
            <w:r>
              <w:rPr>
                <w:rFonts w:ascii="Arial" w:cs="Arial" w:eastAsia="Arial" w:hAnsi="Arial"/>
                <w:sz w:val="17"/>
                <w:szCs w:val="17"/>
                <w:b w:val="1"/>
                <w:bCs w:val="1"/>
                <w:color w:val="auto"/>
              </w:rPr>
              <w:t>Total revenue</w:t>
            </w: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6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7"/>
                <w:szCs w:val="17"/>
                <w:color w:val="auto"/>
              </w:rPr>
              <w:t>61.2%</w:t>
            </w:r>
          </w:p>
        </w:tc>
        <w:tc>
          <w:tcPr>
            <w:tcW w:w="0" w:type="dxa"/>
            <w:vAlign w:val="bottom"/>
          </w:tcPr>
          <w:p>
            <w:pPr>
              <w:spacing w:after="0" w:line="20" w:lineRule="exact"/>
              <w:rPr>
                <w:sz w:val="1"/>
                <w:szCs w:val="1"/>
                <w:color w:val="auto"/>
              </w:rPr>
            </w:pPr>
          </w:p>
        </w:tc>
      </w:tr>
      <w:tr>
        <w:trPr>
          <w:trHeight w:val="209"/>
        </w:trPr>
        <w:tc>
          <w:tcPr>
            <w:tcW w:w="358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128,657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79,809</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100.0%</w:t>
            </w:r>
          </w:p>
        </w:tc>
        <w:tc>
          <w:tcPr>
            <w:tcW w:w="14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100.0%</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48,848</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7"/>
                <w:szCs w:val="17"/>
                <w:color w:val="auto"/>
              </w:rPr>
              <w:t>Cost of service revenue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1,332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1,013</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1.0%</w:t>
            </w: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1.3%</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319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31.5%</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Cost of product sales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6,144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9,060</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4.8%</w:t>
            </w:r>
          </w:p>
        </w:tc>
        <w:tc>
          <w:tcPr>
            <w:tcW w:w="14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11.4%</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(2,916)</w:t>
            </w:r>
          </w:p>
        </w:tc>
        <w:tc>
          <w:tcPr>
            <w:tcW w:w="2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(32.2)%</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36,434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26,699</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28.3%</w:t>
            </w: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33.4%</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9,735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36.5%</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Selling, general and administrative expenses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26,229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20,821</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20.4%</w:t>
            </w:r>
          </w:p>
        </w:tc>
        <w:tc>
          <w:tcPr>
            <w:tcW w:w="14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26.1%</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5,408</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26.0%</w:t>
            </w:r>
          </w:p>
        </w:tc>
        <w:tc>
          <w:tcPr>
            <w:tcW w:w="0" w:type="dxa"/>
            <w:vAlign w:val="bottom"/>
          </w:tcPr>
          <w:p>
            <w:pPr>
              <w:spacing w:after="0"/>
              <w:rPr>
                <w:sz w:val="1"/>
                <w:szCs w:val="1"/>
                <w:color w:val="auto"/>
              </w:rPr>
            </w:pPr>
          </w:p>
        </w:tc>
      </w:tr>
      <w:tr>
        <w:trPr>
          <w:trHeight w:val="198"/>
        </w:trPr>
        <w:tc>
          <w:tcPr>
            <w:tcW w:w="3580" w:type="dxa"/>
            <w:vAlign w:val="bottom"/>
            <w:gridSpan w:val="2"/>
          </w:tcPr>
          <w:p>
            <w:pPr>
              <w:spacing w:after="0"/>
              <w:rPr>
                <w:sz w:val="20"/>
                <w:szCs w:val="20"/>
                <w:color w:val="auto"/>
              </w:rPr>
            </w:pPr>
            <w:r>
              <w:rPr>
                <w:rFonts w:ascii="Arial" w:cs="Arial" w:eastAsia="Arial" w:hAnsi="Arial"/>
                <w:sz w:val="17"/>
                <w:szCs w:val="17"/>
                <w:color w:val="auto"/>
              </w:rPr>
              <w:t>Depreciation, amortization and (gain) loss on</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580" w:type="dxa"/>
            <w:vAlign w:val="bottom"/>
            <w:gridSpan w:val="2"/>
          </w:tcPr>
          <w:p>
            <w:pPr>
              <w:spacing w:after="0"/>
              <w:rPr>
                <w:sz w:val="20"/>
                <w:szCs w:val="20"/>
                <w:color w:val="auto"/>
              </w:rPr>
            </w:pPr>
            <w:r>
              <w:rPr>
                <w:rFonts w:ascii="Arial" w:cs="Arial" w:eastAsia="Arial" w:hAnsi="Arial"/>
                <w:sz w:val="17"/>
                <w:szCs w:val="17"/>
                <w:color w:val="auto"/>
              </w:rPr>
              <w:t>disposal of assets, net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27,012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29,166</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21.0%</w:t>
            </w: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36.5%</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(2,154)</w:t>
            </w:r>
          </w:p>
        </w:tc>
        <w:tc>
          <w:tcPr>
            <w:tcW w:w="2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0"/>
        </w:trPr>
        <w:tc>
          <w:tcPr>
            <w:tcW w:w="3580" w:type="dxa"/>
            <w:vAlign w:val="bottom"/>
            <w:gridSpan w:val="2"/>
            <w:vMerge w:val="restart"/>
            <w:shd w:val="clear" w:color="auto" w:fill="CFF0FC"/>
          </w:tcPr>
          <w:p>
            <w:pPr>
              <w:ind w:left="260"/>
              <w:spacing w:after="0"/>
              <w:rPr>
                <w:sz w:val="20"/>
                <w:szCs w:val="20"/>
                <w:color w:val="auto"/>
              </w:rPr>
            </w:pPr>
            <w:r>
              <w:rPr>
                <w:rFonts w:ascii="Arial" w:cs="Arial" w:eastAsia="Arial" w:hAnsi="Arial"/>
                <w:sz w:val="17"/>
                <w:szCs w:val="17"/>
                <w:color w:val="auto"/>
              </w:rPr>
              <w:t>Total costs and expenses</w:t>
            </w: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6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7"/>
                <w:szCs w:val="17"/>
                <w:color w:val="auto"/>
              </w:rPr>
              <w:t>12.0%</w:t>
            </w:r>
          </w:p>
        </w:tc>
        <w:tc>
          <w:tcPr>
            <w:tcW w:w="0" w:type="dxa"/>
            <w:vAlign w:val="bottom"/>
          </w:tcPr>
          <w:p>
            <w:pPr>
              <w:spacing w:after="0" w:line="20" w:lineRule="exact"/>
              <w:rPr>
                <w:sz w:val="1"/>
                <w:szCs w:val="1"/>
                <w:color w:val="auto"/>
              </w:rPr>
            </w:pPr>
          </w:p>
        </w:tc>
      </w:tr>
      <w:tr>
        <w:trPr>
          <w:trHeight w:val="212"/>
        </w:trPr>
        <w:tc>
          <w:tcPr>
            <w:tcW w:w="358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97,151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86,759</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75.5%</w:t>
            </w:r>
          </w:p>
        </w:tc>
        <w:tc>
          <w:tcPr>
            <w:tcW w:w="14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108.7%</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10,392</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ind w:left="260"/>
              <w:spacing w:after="0"/>
              <w:rPr>
                <w:sz w:val="20"/>
                <w:szCs w:val="20"/>
                <w:color w:val="auto"/>
              </w:rPr>
            </w:pPr>
            <w:r>
              <w:rPr>
                <w:rFonts w:ascii="Arial" w:cs="Arial" w:eastAsia="Arial" w:hAnsi="Arial"/>
                <w:sz w:val="17"/>
                <w:szCs w:val="17"/>
                <w:b w:val="1"/>
                <w:bCs w:val="1"/>
                <w:color w:val="auto"/>
              </w:rPr>
              <w:t>Income (loss) from operations</w:t>
            </w: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553.3%</w:t>
            </w:r>
          </w:p>
        </w:tc>
        <w:tc>
          <w:tcPr>
            <w:tcW w:w="0" w:type="dxa"/>
            <w:vAlign w:val="bottom"/>
          </w:tcPr>
          <w:p>
            <w:pPr>
              <w:spacing w:after="0" w:line="20" w:lineRule="exact"/>
              <w:rPr>
                <w:sz w:val="1"/>
                <w:szCs w:val="1"/>
                <w:color w:val="auto"/>
              </w:rPr>
            </w:pPr>
          </w:p>
        </w:tc>
      </w:tr>
      <w:tr>
        <w:trPr>
          <w:trHeight w:val="210"/>
        </w:trPr>
        <w:tc>
          <w:tcPr>
            <w:tcW w:w="35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31,506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(6,950)</w:t>
            </w:r>
          </w:p>
        </w:tc>
        <w:tc>
          <w:tcPr>
            <w:tcW w:w="260" w:type="dxa"/>
            <w:vAlign w:val="bottom"/>
            <w:vMerge w:val="continue"/>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24.5%</w:t>
            </w: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(8.7)%</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38,456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Interest expense, net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11,680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9,539</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9.1%</w:t>
            </w:r>
          </w:p>
        </w:tc>
        <w:tc>
          <w:tcPr>
            <w:tcW w:w="14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11.9%</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2,141</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22.4%</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7"/>
                <w:szCs w:val="17"/>
                <w:color w:val="auto"/>
                <w:w w:val="93"/>
              </w:rPr>
              <w:t>Change in fair value of private placement warrants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8,067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8,334</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6.3%</w:t>
            </w: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10.4%</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(267)</w:t>
            </w:r>
          </w:p>
        </w:tc>
        <w:tc>
          <w:tcPr>
            <w:tcW w:w="2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Tax receivable agreement liability adjustment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1,661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4,446</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1.3%</w:t>
            </w:r>
          </w:p>
        </w:tc>
        <w:tc>
          <w:tcPr>
            <w:tcW w:w="14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5.6%</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(2,785)</w:t>
            </w:r>
          </w:p>
        </w:tc>
        <w:tc>
          <w:tcPr>
            <w:tcW w:w="2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(62.6)%</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7"/>
                <w:szCs w:val="17"/>
                <w:color w:val="auto"/>
              </w:rPr>
              <w:t>Other income, net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(2,798)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(1,523)</w:t>
            </w: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(2.2)%</w:t>
            </w: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(1.9)%</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(1,275)</w:t>
            </w:r>
          </w:p>
        </w:tc>
        <w:tc>
          <w:tcPr>
            <w:tcW w:w="2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83.7%</w:t>
            </w:r>
          </w:p>
        </w:tc>
        <w:tc>
          <w:tcPr>
            <w:tcW w:w="0" w:type="dxa"/>
            <w:vAlign w:val="bottom"/>
          </w:tcPr>
          <w:p>
            <w:pPr>
              <w:spacing w:after="0"/>
              <w:rPr>
                <w:sz w:val="1"/>
                <w:szCs w:val="1"/>
                <w:color w:val="auto"/>
              </w:rPr>
            </w:pPr>
          </w:p>
        </w:tc>
      </w:tr>
      <w:tr>
        <w:trPr>
          <w:trHeight w:val="20"/>
        </w:trPr>
        <w:tc>
          <w:tcPr>
            <w:tcW w:w="3580" w:type="dxa"/>
            <w:vAlign w:val="bottom"/>
            <w:gridSpan w:val="2"/>
            <w:vMerge w:val="restart"/>
            <w:shd w:val="clear" w:color="auto" w:fill="CFF0FC"/>
          </w:tcPr>
          <w:p>
            <w:pPr>
              <w:spacing w:after="0"/>
              <w:rPr>
                <w:sz w:val="20"/>
                <w:szCs w:val="20"/>
                <w:color w:val="auto"/>
              </w:rPr>
            </w:pPr>
            <w:r>
              <w:rPr>
                <w:rFonts w:ascii="Arial" w:cs="Arial" w:eastAsia="Arial" w:hAnsi="Arial"/>
                <w:sz w:val="17"/>
                <w:szCs w:val="17"/>
                <w:color w:val="auto"/>
              </w:rPr>
              <w:t>Total other expenses</w:t>
            </w: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7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7"/>
                <w:szCs w:val="17"/>
                <w:color w:val="auto"/>
              </w:rPr>
              <w:t>(10.5)%</w:t>
            </w:r>
          </w:p>
        </w:tc>
        <w:tc>
          <w:tcPr>
            <w:tcW w:w="0" w:type="dxa"/>
            <w:vAlign w:val="bottom"/>
          </w:tcPr>
          <w:p>
            <w:pPr>
              <w:spacing w:after="0" w:line="20" w:lineRule="exact"/>
              <w:rPr>
                <w:sz w:val="1"/>
                <w:szCs w:val="1"/>
                <w:color w:val="auto"/>
              </w:rPr>
            </w:pPr>
          </w:p>
        </w:tc>
      </w:tr>
      <w:tr>
        <w:trPr>
          <w:trHeight w:val="210"/>
        </w:trPr>
        <w:tc>
          <w:tcPr>
            <w:tcW w:w="358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18,610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20,796</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14.5%</w:t>
            </w:r>
          </w:p>
        </w:tc>
        <w:tc>
          <w:tcPr>
            <w:tcW w:w="14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26.0%</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(2,186)</w:t>
            </w:r>
          </w:p>
        </w:tc>
        <w:tc>
          <w:tcPr>
            <w:tcW w:w="260" w:type="dxa"/>
            <w:vAlign w:val="bottom"/>
            <w:vMerge w:val="continue"/>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7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spacing w:after="0"/>
              <w:rPr>
                <w:sz w:val="20"/>
                <w:szCs w:val="20"/>
                <w:color w:val="auto"/>
              </w:rPr>
            </w:pPr>
            <w:r>
              <w:rPr>
                <w:rFonts w:ascii="Arial" w:cs="Arial" w:eastAsia="Arial" w:hAnsi="Arial"/>
                <w:sz w:val="17"/>
                <w:szCs w:val="17"/>
                <w:color w:val="auto"/>
              </w:rPr>
              <w:t>Income (loss) before income taxes</w:t>
            </w: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146.5%</w:t>
            </w:r>
          </w:p>
        </w:tc>
        <w:tc>
          <w:tcPr>
            <w:tcW w:w="0" w:type="dxa"/>
            <w:vAlign w:val="bottom"/>
          </w:tcPr>
          <w:p>
            <w:pPr>
              <w:spacing w:after="0" w:line="20" w:lineRule="exact"/>
              <w:rPr>
                <w:sz w:val="1"/>
                <w:szCs w:val="1"/>
                <w:color w:val="auto"/>
              </w:rPr>
            </w:pPr>
          </w:p>
        </w:tc>
      </w:tr>
      <w:tr>
        <w:trPr>
          <w:trHeight w:val="209"/>
        </w:trPr>
        <w:tc>
          <w:tcPr>
            <w:tcW w:w="35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12,896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(27,746)</w:t>
            </w:r>
          </w:p>
        </w:tc>
        <w:tc>
          <w:tcPr>
            <w:tcW w:w="260" w:type="dxa"/>
            <w:vAlign w:val="bottom"/>
            <w:vMerge w:val="continue"/>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10.0%</w:t>
            </w: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(34.7)%</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40,642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Income tax provision (benefit)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8,904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(4,024)</w:t>
            </w: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6.9%</w:t>
            </w:r>
          </w:p>
        </w:tc>
        <w:tc>
          <w:tcPr>
            <w:tcW w:w="14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(5.0)%</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12,928</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321.3%</w:t>
            </w: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ind w:left="260"/>
              <w:spacing w:after="0"/>
              <w:rPr>
                <w:sz w:val="20"/>
                <w:szCs w:val="20"/>
                <w:color w:val="auto"/>
              </w:rPr>
            </w:pPr>
            <w:r>
              <w:rPr>
                <w:rFonts w:ascii="Arial" w:cs="Arial" w:eastAsia="Arial" w:hAnsi="Arial"/>
                <w:sz w:val="17"/>
                <w:szCs w:val="17"/>
                <w:b w:val="1"/>
                <w:bCs w:val="1"/>
                <w:color w:val="auto"/>
              </w:rPr>
              <w:t>Net income (loss)</w:t>
            </w:r>
          </w:p>
        </w:tc>
        <w:tc>
          <w:tcPr>
            <w:tcW w:w="1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116.8%</w:t>
            </w:r>
          </w:p>
        </w:tc>
        <w:tc>
          <w:tcPr>
            <w:tcW w:w="0" w:type="dxa"/>
            <w:vAlign w:val="bottom"/>
          </w:tcPr>
          <w:p>
            <w:pPr>
              <w:spacing w:after="0" w:line="20" w:lineRule="exact"/>
              <w:rPr>
                <w:sz w:val="1"/>
                <w:szCs w:val="1"/>
                <w:color w:val="auto"/>
              </w:rPr>
            </w:pPr>
          </w:p>
        </w:tc>
      </w:tr>
      <w:tr>
        <w:trPr>
          <w:trHeight w:val="210"/>
        </w:trPr>
        <w:tc>
          <w:tcPr>
            <w:tcW w:w="358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3,992</w:t>
            </w:r>
          </w:p>
        </w:tc>
        <w:tc>
          <w:tcPr>
            <w:tcW w:w="16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(23,722)</w:t>
            </w:r>
          </w:p>
        </w:tc>
        <w:tc>
          <w:tcPr>
            <w:tcW w:w="260" w:type="dxa"/>
            <w:vAlign w:val="bottom"/>
            <w:vMerge w:val="continue"/>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3.1%</w:t>
            </w: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(29.7)%</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27,714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i w:val="1"/>
          <w:iCs w:val="1"/>
          <w:color w:val="auto"/>
        </w:rPr>
        <w:t xml:space="preserve">Service Revenue. </w:t>
      </w:r>
      <w:r>
        <w:rPr>
          <w:rFonts w:ascii="Arial" w:cs="Arial" w:eastAsia="Arial" w:hAnsi="Arial"/>
          <w:sz w:val="18"/>
          <w:szCs w:val="18"/>
          <w:color w:val="auto"/>
        </w:rPr>
        <w:t>Service revenue increased by $53.6 million, or 85.3%, to $116.4 million for the three months ended June 30, 2021 from</w:t>
      </w:r>
      <w:r>
        <w:rPr>
          <w:rFonts w:ascii="Arial" w:cs="Arial" w:eastAsia="Arial" w:hAnsi="Arial"/>
          <w:sz w:val="18"/>
          <w:szCs w:val="18"/>
          <w:i w:val="1"/>
          <w:iCs w:val="1"/>
          <w:color w:val="auto"/>
        </w:rPr>
        <w:t xml:space="preserve"> </w:t>
      </w:r>
      <w:r>
        <w:rPr>
          <w:rFonts w:ascii="Arial" w:cs="Arial" w:eastAsia="Arial" w:hAnsi="Arial"/>
          <w:sz w:val="18"/>
          <w:szCs w:val="18"/>
          <w:color w:val="auto"/>
        </w:rPr>
        <w:t>$62.8 million for the three months ended June 30, 2020, representing 90.5% and 78.7% of total revenue, respectively. The following table depicts service revenue by segment:</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rPr>
              <w:t>Three Months Ended June 30,</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20" w:type="dxa"/>
            <w:vAlign w:val="bottom"/>
            <w:gridSpan w:val="4"/>
            <w:vMerge w:val="restart"/>
          </w:tcPr>
          <w:p>
            <w:pPr>
              <w:jc w:val="right"/>
              <w:ind w:right="780"/>
              <w:spacing w:after="0"/>
              <w:rPr>
                <w:sz w:val="20"/>
                <w:szCs w:val="20"/>
                <w:color w:val="auto"/>
              </w:rPr>
            </w:pPr>
            <w:r>
              <w:rPr>
                <w:rFonts w:ascii="Arial" w:cs="Arial" w:eastAsia="Arial" w:hAnsi="Arial"/>
                <w:sz w:val="14"/>
                <w:szCs w:val="14"/>
                <w:b w:val="1"/>
                <w:bCs w:val="1"/>
                <w:color w:val="auto"/>
              </w:rPr>
              <w:t>Percentage of Revenue</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80" w:type="dxa"/>
            <w:vAlign w:val="bottom"/>
            <w:gridSpan w:val="4"/>
          </w:tcPr>
          <w:p>
            <w:pPr>
              <w:ind w:left="240"/>
              <w:spacing w:after="0" w:line="133" w:lineRule="exact"/>
              <w:rPr>
                <w:sz w:val="20"/>
                <w:szCs w:val="20"/>
                <w:color w:val="auto"/>
              </w:rPr>
            </w:pPr>
            <w:r>
              <w:rPr>
                <w:rFonts w:ascii="Arial" w:cs="Arial" w:eastAsia="Arial" w:hAnsi="Arial"/>
                <w:sz w:val="14"/>
                <w:szCs w:val="14"/>
                <w:b w:val="1"/>
                <w:bCs w:val="1"/>
                <w:color w:val="auto"/>
              </w:rPr>
              <w:t>Increase (Decrease)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1740" w:type="dxa"/>
            <w:vAlign w:val="bottom"/>
            <w:vMerge w:val="restart"/>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ind w:right="27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ind w:right="278"/>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262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3"/>
          </w:tcPr>
          <w:p>
            <w:pPr>
              <w:ind w:left="460"/>
              <w:spacing w:after="0"/>
              <w:rPr>
                <w:sz w:val="20"/>
                <w:szCs w:val="20"/>
                <w:color w:val="auto"/>
              </w:rPr>
            </w:pPr>
            <w:r>
              <w:rPr>
                <w:rFonts w:ascii="Arial" w:cs="Arial" w:eastAsia="Arial" w:hAnsi="Arial"/>
                <w:sz w:val="14"/>
                <w:szCs w:val="14"/>
                <w:b w:val="1"/>
                <w:bCs w:val="1"/>
                <w:color w:val="auto"/>
                <w:w w:val="98"/>
              </w:rPr>
              <w:t>2021 vs 2020</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Borders>
              <w:top w:val="single" w:sz="8" w:color="auto"/>
            </w:tcBorders>
          </w:tcPr>
          <w:p>
            <w:pPr>
              <w:jc w:val="right"/>
              <w:ind w:right="281"/>
              <w:spacing w:after="0" w:line="142"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278"/>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358"/>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7"/>
                <w:szCs w:val="17"/>
                <w:b w:val="1"/>
                <w:bCs w:val="1"/>
                <w:color w:val="auto"/>
              </w:rPr>
              <w:t>Service revenue</w:t>
            </w:r>
          </w:p>
        </w:tc>
        <w:tc>
          <w:tcPr>
            <w:tcW w:w="9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gridSpan w:val="2"/>
          </w:tcPr>
          <w:p>
            <w:pPr>
              <w:ind w:left="260"/>
              <w:spacing w:after="0"/>
              <w:rPr>
                <w:sz w:val="20"/>
                <w:szCs w:val="20"/>
                <w:color w:val="auto"/>
              </w:rPr>
            </w:pPr>
            <w:r>
              <w:rPr>
                <w:rFonts w:ascii="Arial" w:cs="Arial" w:eastAsia="Arial" w:hAnsi="Arial"/>
                <w:sz w:val="17"/>
                <w:szCs w:val="17"/>
                <w:color w:val="auto"/>
              </w:rPr>
              <w:t>Commercial Services</w:t>
            </w:r>
          </w:p>
        </w:tc>
        <w:tc>
          <w:tcPr>
            <w:tcW w:w="1180" w:type="dxa"/>
            <w:vAlign w:val="bottom"/>
            <w:gridSpan w:val="2"/>
          </w:tcPr>
          <w:p>
            <w:pPr>
              <w:jc w:val="right"/>
              <w:ind w:right="65"/>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66,480</w:t>
            </w:r>
          </w:p>
        </w:tc>
        <w:tc>
          <w:tcPr>
            <w:tcW w:w="24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27,272</w:t>
            </w:r>
          </w:p>
        </w:tc>
        <w:tc>
          <w:tcPr>
            <w:tcW w:w="2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7"/>
                <w:szCs w:val="17"/>
                <w:color w:val="auto"/>
              </w:rPr>
              <w:t>51.7%</w:t>
            </w: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34.2%</w:t>
            </w:r>
          </w:p>
        </w:tc>
        <w:tc>
          <w:tcPr>
            <w:tcW w:w="280" w:type="dxa"/>
            <w:vAlign w:val="bottom"/>
            <w:gridSpan w:val="2"/>
          </w:tcPr>
          <w:p>
            <w:pPr>
              <w:jc w:val="right"/>
              <w:ind w:right="152"/>
              <w:spacing w:after="0"/>
              <w:rPr>
                <w:sz w:val="20"/>
                <w:szCs w:val="20"/>
                <w:color w:val="auto"/>
              </w:rPr>
            </w:pPr>
            <w:r>
              <w:rPr>
                <w:rFonts w:ascii="Arial" w:cs="Arial" w:eastAsia="Arial" w:hAnsi="Arial"/>
                <w:sz w:val="15"/>
                <w:szCs w:val="15"/>
                <w:color w:val="auto"/>
                <w:w w:val="71"/>
              </w:rPr>
              <w:t>$</w:t>
            </w:r>
          </w:p>
        </w:tc>
        <w:tc>
          <w:tcPr>
            <w:tcW w:w="720" w:type="dxa"/>
            <w:vAlign w:val="bottom"/>
          </w:tcPr>
          <w:p>
            <w:pPr>
              <w:ind w:left="240"/>
              <w:spacing w:after="0"/>
              <w:rPr>
                <w:sz w:val="20"/>
                <w:szCs w:val="20"/>
                <w:color w:val="auto"/>
              </w:rPr>
            </w:pPr>
            <w:r>
              <w:rPr>
                <w:rFonts w:ascii="Arial" w:cs="Arial" w:eastAsia="Arial" w:hAnsi="Arial"/>
                <w:sz w:val="17"/>
                <w:szCs w:val="17"/>
                <w:color w:val="auto"/>
                <w:w w:val="88"/>
              </w:rPr>
              <w:t>39,208</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143.8%</w:t>
            </w: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FF0FC"/>
          </w:tcPr>
          <w:p>
            <w:pPr>
              <w:ind w:left="260"/>
              <w:spacing w:after="0"/>
              <w:rPr>
                <w:sz w:val="20"/>
                <w:szCs w:val="20"/>
                <w:color w:val="auto"/>
              </w:rPr>
            </w:pPr>
            <w:r>
              <w:rPr>
                <w:rFonts w:ascii="Arial" w:cs="Arial" w:eastAsia="Arial" w:hAnsi="Arial"/>
                <w:sz w:val="17"/>
                <w:szCs w:val="17"/>
                <w:color w:val="auto"/>
              </w:rPr>
              <w:t>Government Solutions</w:t>
            </w: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49,946</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35,543</w:t>
            </w:r>
          </w:p>
        </w:tc>
        <w:tc>
          <w:tcPr>
            <w:tcW w:w="2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38.8%</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44.5%</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ind w:left="240"/>
              <w:spacing w:after="0"/>
              <w:rPr>
                <w:sz w:val="20"/>
                <w:szCs w:val="20"/>
                <w:color w:val="auto"/>
              </w:rPr>
            </w:pPr>
            <w:r>
              <w:rPr>
                <w:rFonts w:ascii="Arial" w:cs="Arial" w:eastAsia="Arial" w:hAnsi="Arial"/>
                <w:sz w:val="17"/>
                <w:szCs w:val="17"/>
                <w:color w:val="auto"/>
                <w:w w:val="88"/>
              </w:rPr>
              <w:t>14,403</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40.5%</w:t>
            </w:r>
          </w:p>
        </w:tc>
        <w:tc>
          <w:tcPr>
            <w:tcW w:w="0" w:type="dxa"/>
            <w:vAlign w:val="bottom"/>
          </w:tcPr>
          <w:p>
            <w:pPr>
              <w:spacing w:after="0"/>
              <w:rPr>
                <w:sz w:val="1"/>
                <w:szCs w:val="1"/>
                <w:color w:val="auto"/>
              </w:rPr>
            </w:pPr>
          </w:p>
        </w:tc>
      </w:tr>
      <w:tr>
        <w:trPr>
          <w:trHeight w:val="20"/>
        </w:trPr>
        <w:tc>
          <w:tcPr>
            <w:tcW w:w="2740" w:type="dxa"/>
            <w:vAlign w:val="bottom"/>
            <w:gridSpan w:val="2"/>
            <w:vMerge w:val="restart"/>
          </w:tcPr>
          <w:p>
            <w:pPr>
              <w:spacing w:after="0"/>
              <w:rPr>
                <w:sz w:val="20"/>
                <w:szCs w:val="20"/>
                <w:color w:val="auto"/>
              </w:rPr>
            </w:pPr>
            <w:r>
              <w:rPr>
                <w:rFonts w:ascii="Arial" w:cs="Arial" w:eastAsia="Arial" w:hAnsi="Arial"/>
                <w:sz w:val="17"/>
                <w:szCs w:val="17"/>
                <w:color w:val="auto"/>
              </w:rPr>
              <w:t>Total service revenue</w:t>
            </w:r>
          </w:p>
        </w:tc>
        <w:tc>
          <w:tcPr>
            <w:tcW w:w="9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85.3%</w:t>
            </w:r>
          </w:p>
        </w:tc>
        <w:tc>
          <w:tcPr>
            <w:tcW w:w="0" w:type="dxa"/>
            <w:vAlign w:val="bottom"/>
          </w:tcPr>
          <w:p>
            <w:pPr>
              <w:spacing w:after="0" w:line="20" w:lineRule="exact"/>
              <w:rPr>
                <w:sz w:val="1"/>
                <w:szCs w:val="1"/>
                <w:color w:val="auto"/>
              </w:rPr>
            </w:pPr>
          </w:p>
        </w:tc>
      </w:tr>
      <w:tr>
        <w:trPr>
          <w:trHeight w:val="209"/>
        </w:trPr>
        <w:tc>
          <w:tcPr>
            <w:tcW w:w="274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116,426</w:t>
            </w:r>
          </w:p>
        </w:tc>
        <w:tc>
          <w:tcPr>
            <w:tcW w:w="24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62,815</w:t>
            </w:r>
          </w:p>
        </w:tc>
        <w:tc>
          <w:tcPr>
            <w:tcW w:w="2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7"/>
                <w:szCs w:val="17"/>
                <w:color w:val="auto"/>
              </w:rPr>
              <w:t>90.5%</w:t>
            </w: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78.7%</w:t>
            </w:r>
          </w:p>
        </w:tc>
        <w:tc>
          <w:tcPr>
            <w:tcW w:w="20" w:type="dxa"/>
            <w:vAlign w:val="bottom"/>
            <w:vMerge w:val="continue"/>
          </w:tcPr>
          <w:p>
            <w:pPr>
              <w:spacing w:after="0"/>
              <w:rPr>
                <w:sz w:val="18"/>
                <w:szCs w:val="18"/>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720" w:type="dxa"/>
            <w:vAlign w:val="bottom"/>
          </w:tcPr>
          <w:p>
            <w:pPr>
              <w:ind w:left="240"/>
              <w:spacing w:after="0"/>
              <w:rPr>
                <w:sz w:val="20"/>
                <w:szCs w:val="20"/>
                <w:color w:val="auto"/>
              </w:rPr>
            </w:pPr>
            <w:r>
              <w:rPr>
                <w:rFonts w:ascii="Arial" w:cs="Arial" w:eastAsia="Arial" w:hAnsi="Arial"/>
                <w:sz w:val="17"/>
                <w:szCs w:val="17"/>
                <w:color w:val="auto"/>
                <w:w w:val="88"/>
              </w:rPr>
              <w:t>53,611</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02"/>
        <w:spacing w:after="0" w:line="286" w:lineRule="auto"/>
        <w:rPr>
          <w:sz w:val="20"/>
          <w:szCs w:val="20"/>
          <w:color w:val="auto"/>
        </w:rPr>
      </w:pPr>
      <w:r>
        <w:rPr>
          <w:rFonts w:ascii="Arial" w:cs="Arial" w:eastAsia="Arial" w:hAnsi="Arial"/>
          <w:sz w:val="17"/>
          <w:szCs w:val="17"/>
          <w:color w:val="auto"/>
        </w:rPr>
        <w:t>Commercial Services service revenue increased by $39.2 million, or 143.8%, from $27.3 million for the three months ended June 30, 2020 to $66.5 million for the three months ended June 30, 2021. This increase was primarily due to the increased travel demand in the RAC industry that impacted volume in the three months ended June 30, 2021 compared to the prior year which was negatively impacted by the COVID-19 pandemic.</w:t>
      </w:r>
    </w:p>
    <w:p>
      <w:pPr>
        <w:spacing w:after="0" w:line="192"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color w:val="auto"/>
        </w:rPr>
        <w:t>Government Solutions service revenue includes revenue from speed, red-light, school bus stop arm and bus lane photo enforcement systems. Service revenue increased by $14.4 million to $49.9 million for the three months ended June 30, 2021 from $35.5 million in the same period in 2020. Our speed program revenue grew approximately $9.4 million during the three months ended June 30, 2021 compared to the same period in 2020, due to an increase in the total number of camera systems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36" w:name="page37"/>
    <w:bookmarkEnd w:id="36"/>
    <w:p>
      <w:pPr>
        <w:jc w:val="both"/>
        <w:spacing w:after="0" w:line="259" w:lineRule="auto"/>
        <w:rPr>
          <w:sz w:val="20"/>
          <w:szCs w:val="20"/>
          <w:color w:val="auto"/>
        </w:rPr>
      </w:pPr>
      <w:r>
        <w:rPr>
          <w:rFonts w:ascii="Arial" w:cs="Arial" w:eastAsia="Arial" w:hAnsi="Arial"/>
          <w:sz w:val="18"/>
          <w:szCs w:val="18"/>
          <w:color w:val="auto"/>
        </w:rPr>
        <w:t>installed in 2020 that had a full year impact in 2021, and this trend should continue into future quarters. In addition, revenue from red-light programs increased by $3.5 million which was mainly attributable to the inclusion of Redflex operations for twelve days in June 2021 with no comparable amounts in the prior year, and general increase in travel and related vehicle traffic in 2021 compared to prior year which was negatively impacted by the COVID-19 pandemic.</w:t>
      </w:r>
    </w:p>
    <w:p>
      <w:pPr>
        <w:spacing w:after="0" w:line="146" w:lineRule="exact"/>
        <w:rPr>
          <w:sz w:val="20"/>
          <w:szCs w:val="20"/>
          <w:color w:val="auto"/>
        </w:rPr>
      </w:pPr>
    </w:p>
    <w:p>
      <w:pPr>
        <w:jc w:val="both"/>
        <w:ind w:firstLine="802"/>
        <w:spacing w:after="0" w:line="311" w:lineRule="auto"/>
        <w:rPr>
          <w:sz w:val="20"/>
          <w:szCs w:val="20"/>
          <w:color w:val="auto"/>
        </w:rPr>
      </w:pPr>
      <w:r>
        <w:rPr>
          <w:rFonts w:ascii="Arial" w:cs="Arial" w:eastAsia="Arial" w:hAnsi="Arial"/>
          <w:sz w:val="16"/>
          <w:szCs w:val="16"/>
          <w:color w:val="auto"/>
        </w:rPr>
        <w:t>We maintained an average of 5,966 active camera systems during the three months ended June 30, 2021 compared to an average of 3,293 for the three months ended June 30, 2020, excluding Redflex cameras for each respective period. The increase in active camera systems was primarily due to the expansion of speed enforcement systems with existing customers and the restart of cameras that were temporarily inactive due to COVID-19.</w:t>
      </w:r>
    </w:p>
    <w:p>
      <w:pPr>
        <w:spacing w:after="0" w:line="122"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i w:val="1"/>
          <w:iCs w:val="1"/>
          <w:color w:val="auto"/>
        </w:rPr>
        <w:t xml:space="preserve">Product Sales. </w:t>
      </w:r>
      <w:r>
        <w:rPr>
          <w:rFonts w:ascii="Arial" w:cs="Arial" w:eastAsia="Arial" w:hAnsi="Arial"/>
          <w:sz w:val="18"/>
          <w:szCs w:val="18"/>
          <w:color w:val="auto"/>
        </w:rPr>
        <w:t>Product sales were $12.2 million and $17.0 million for the three months ended June 30, 2021 and 2020, respectively.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sales decreased $4.8 million due to the timing of installations for a single customer that is expanding its school zone speed program. Product sales revenue is generated from international customers and certain domestic customers in the Government Solutions segment who purchase their equipment and their buying patterns vary greatly from year to year.</w:t>
      </w:r>
    </w:p>
    <w:p>
      <w:pPr>
        <w:spacing w:after="0" w:line="146"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i w:val="1"/>
          <w:iCs w:val="1"/>
          <w:color w:val="auto"/>
        </w:rPr>
        <w:t xml:space="preserve">Cost of Service Revenue. </w:t>
      </w:r>
      <w:r>
        <w:rPr>
          <w:rFonts w:ascii="Arial" w:cs="Arial" w:eastAsia="Arial" w:hAnsi="Arial"/>
          <w:sz w:val="18"/>
          <w:szCs w:val="18"/>
          <w:color w:val="auto"/>
        </w:rPr>
        <w:t>Cost of service revenue increased slightly from $1.0 million for the three months ended June 30, 2020 to $1.3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June 30, 2021. The increase resulted from increased costs from third-party professional services associated with the delivery of certain ancillary services.</w:t>
      </w:r>
    </w:p>
    <w:p>
      <w:pPr>
        <w:spacing w:after="0" w:line="143"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i w:val="1"/>
          <w:iCs w:val="1"/>
          <w:color w:val="auto"/>
        </w:rPr>
        <w:t xml:space="preserve">Cost of Product Sales. </w:t>
      </w:r>
      <w:r>
        <w:rPr>
          <w:rFonts w:ascii="Arial" w:cs="Arial" w:eastAsia="Arial" w:hAnsi="Arial"/>
          <w:sz w:val="18"/>
          <w:szCs w:val="18"/>
          <w:color w:val="auto"/>
        </w:rPr>
        <w:t>Cost of product sales decreased by $2.9 million from $9.1 million in the three months ended June 30, 2020 to $6.1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three months ended June 30, 2021, which was consistent with the decrease in product sales.</w:t>
      </w:r>
    </w:p>
    <w:p>
      <w:pPr>
        <w:spacing w:after="0" w:line="143" w:lineRule="exact"/>
        <w:rPr>
          <w:sz w:val="20"/>
          <w:szCs w:val="20"/>
          <w:color w:val="auto"/>
        </w:rPr>
      </w:pPr>
    </w:p>
    <w:p>
      <w:pPr>
        <w:jc w:val="both"/>
        <w:ind w:firstLine="802"/>
        <w:spacing w:after="0" w:line="255"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Operating expenses increased by $9.7 million, or 36.5%, from $26.7 million for the three months ended June 30, 2020 to</w:t>
      </w:r>
      <w:r>
        <w:rPr>
          <w:rFonts w:ascii="Arial" w:cs="Arial" w:eastAsia="Arial" w:hAnsi="Arial"/>
          <w:sz w:val="18"/>
          <w:szCs w:val="18"/>
          <w:i w:val="1"/>
          <w:iCs w:val="1"/>
          <w:color w:val="auto"/>
        </w:rPr>
        <w:t xml:space="preserve"> </w:t>
      </w:r>
      <w:r>
        <w:rPr>
          <w:rFonts w:ascii="Arial" w:cs="Arial" w:eastAsia="Arial" w:hAnsi="Arial"/>
          <w:sz w:val="18"/>
          <w:szCs w:val="18"/>
          <w:color w:val="auto"/>
        </w:rPr>
        <w:t>$36.4 million for the three months ended June 30, 2021. The increase was primarily attributable to increase in wages expense, recurring services, and subcontractor expenses resulting from increased operations in 2021, which were lower in the 2020 period due to the impact from the COVID-19 pandemic. The increase is partially due to the inclusion of Redflex operations for the 12 days of June 2021 with no comparable amount in prior year. Operating expenses as a percentage of total revenue decreased from 33.4% to 28.3% for the three months ended June 30, 2020 and 2021, respectively. The following table presents operating expenses by segment:</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w w:val="99"/>
              </w:rPr>
              <w:t>Three Months Ended June 30,</w:t>
            </w: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20" w:type="dxa"/>
            <w:vAlign w:val="bottom"/>
            <w:gridSpan w:val="4"/>
            <w:vMerge w:val="restart"/>
          </w:tcPr>
          <w:p>
            <w:pPr>
              <w:jc w:val="right"/>
              <w:ind w:right="660"/>
              <w:spacing w:after="0"/>
              <w:rPr>
                <w:sz w:val="20"/>
                <w:szCs w:val="20"/>
                <w:color w:val="auto"/>
              </w:rPr>
            </w:pPr>
            <w:r>
              <w:rPr>
                <w:rFonts w:ascii="Arial" w:cs="Arial" w:eastAsia="Arial" w:hAnsi="Arial"/>
                <w:sz w:val="14"/>
                <w:szCs w:val="14"/>
                <w:b w:val="1"/>
                <w:bCs w:val="1"/>
                <w:color w:val="auto"/>
              </w:rPr>
              <w:t>Percentage of Revenue</w:t>
            </w:r>
          </w:p>
        </w:tc>
        <w:tc>
          <w:tcPr>
            <w:tcW w:w="260" w:type="dxa"/>
            <w:vAlign w:val="bottom"/>
          </w:tcPr>
          <w:p>
            <w:pPr>
              <w:spacing w:after="0"/>
              <w:rPr>
                <w:sz w:val="11"/>
                <w:szCs w:val="11"/>
                <w:color w:val="auto"/>
              </w:rPr>
            </w:pPr>
          </w:p>
        </w:tc>
        <w:tc>
          <w:tcPr>
            <w:tcW w:w="1820" w:type="dxa"/>
            <w:vAlign w:val="bottom"/>
            <w:gridSpan w:val="4"/>
          </w:tcPr>
          <w:p>
            <w:pPr>
              <w:jc w:val="center"/>
              <w:ind w:right="177"/>
              <w:spacing w:after="0" w:line="133" w:lineRule="exact"/>
              <w:rPr>
                <w:sz w:val="20"/>
                <w:szCs w:val="20"/>
                <w:color w:val="auto"/>
              </w:rPr>
            </w:pPr>
            <w:r>
              <w:rPr>
                <w:rFonts w:ascii="Arial" w:cs="Arial" w:eastAsia="Arial" w:hAnsi="Arial"/>
                <w:sz w:val="14"/>
                <w:szCs w:val="14"/>
                <w:b w:val="1"/>
                <w:bCs w:val="1"/>
                <w:color w:val="auto"/>
                <w:w w:val="90"/>
              </w:rPr>
              <w:t>Increase (Decrease)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2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242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3"/>
          </w:tcPr>
          <w:p>
            <w:pPr>
              <w:jc w:val="center"/>
              <w:ind w:left="260"/>
              <w:spacing w:after="0"/>
              <w:rPr>
                <w:sz w:val="20"/>
                <w:szCs w:val="20"/>
                <w:color w:val="auto"/>
              </w:rPr>
            </w:pPr>
            <w:r>
              <w:rPr>
                <w:rFonts w:ascii="Arial" w:cs="Arial" w:eastAsia="Arial" w:hAnsi="Arial"/>
                <w:sz w:val="14"/>
                <w:szCs w:val="14"/>
                <w:b w:val="1"/>
                <w:bCs w:val="1"/>
                <w:color w:val="auto"/>
                <w:w w:val="88"/>
              </w:rPr>
              <w:t>2021 vs 2020</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32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Borders>
              <w:top w:val="single" w:sz="8" w:color="auto"/>
            </w:tcBorders>
          </w:tcPr>
          <w:p>
            <w:pPr>
              <w:jc w:val="right"/>
              <w:ind w:right="240"/>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340"/>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2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7"/>
                <w:szCs w:val="17"/>
                <w:b w:val="1"/>
                <w:bCs w:val="1"/>
                <w:color w:val="auto"/>
              </w:rPr>
              <w:t>Operating expenses</w:t>
            </w:r>
          </w:p>
        </w:tc>
        <w:tc>
          <w:tcPr>
            <w:tcW w:w="18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ind w:left="260"/>
              <w:spacing w:after="0"/>
              <w:rPr>
                <w:sz w:val="20"/>
                <w:szCs w:val="20"/>
                <w:color w:val="auto"/>
              </w:rPr>
            </w:pPr>
            <w:r>
              <w:rPr>
                <w:rFonts w:ascii="Arial" w:cs="Arial" w:eastAsia="Arial" w:hAnsi="Arial"/>
                <w:sz w:val="17"/>
                <w:szCs w:val="17"/>
                <w:color w:val="auto"/>
              </w:rPr>
              <w:t>Commercial Services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15,990</w:t>
            </w:r>
          </w:p>
        </w:tc>
        <w:tc>
          <w:tcPr>
            <w:tcW w:w="24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10,750</w:t>
            </w:r>
          </w:p>
        </w:tc>
        <w:tc>
          <w:tcPr>
            <w:tcW w:w="2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12.4%</w:t>
            </w: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13.5%</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5,240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48.7%</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FF0FC"/>
          </w:tcPr>
          <w:p>
            <w:pPr>
              <w:ind w:left="260"/>
              <w:spacing w:after="0"/>
              <w:rPr>
                <w:sz w:val="20"/>
                <w:szCs w:val="20"/>
                <w:color w:val="auto"/>
              </w:rPr>
            </w:pPr>
            <w:r>
              <w:rPr>
                <w:rFonts w:ascii="Arial" w:cs="Arial" w:eastAsia="Arial" w:hAnsi="Arial"/>
                <w:sz w:val="17"/>
                <w:szCs w:val="17"/>
                <w:color w:val="auto"/>
              </w:rPr>
              <w:t>Government Solutions</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20,196</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15,655</w:t>
            </w: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15.7%</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19.6%</w:t>
            </w: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4,541</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29.0%</w:t>
            </w: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Arial" w:cs="Arial" w:eastAsia="Arial" w:hAnsi="Arial"/>
                <w:sz w:val="17"/>
                <w:szCs w:val="17"/>
                <w:color w:val="auto"/>
                <w:w w:val="92"/>
              </w:rPr>
              <w:t>Total operating expenses before stock-based compensation</w:t>
            </w: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37.0%</w:t>
            </w:r>
          </w:p>
        </w:tc>
        <w:tc>
          <w:tcPr>
            <w:tcW w:w="0" w:type="dxa"/>
            <w:vAlign w:val="bottom"/>
          </w:tcPr>
          <w:p>
            <w:pPr>
              <w:spacing w:after="0" w:line="20" w:lineRule="exact"/>
              <w:rPr>
                <w:sz w:val="1"/>
                <w:szCs w:val="1"/>
                <w:color w:val="auto"/>
              </w:rPr>
            </w:pPr>
          </w:p>
        </w:tc>
      </w:tr>
      <w:tr>
        <w:trPr>
          <w:trHeight w:val="210"/>
        </w:trPr>
        <w:tc>
          <w:tcPr>
            <w:tcW w:w="42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36,186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26,405</w:t>
            </w:r>
          </w:p>
        </w:tc>
        <w:tc>
          <w:tcPr>
            <w:tcW w:w="2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28.1%</w:t>
            </w: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33.1%</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9,781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Stock-based compensation</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248</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294</w:t>
            </w: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0.2%</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0.3%</w:t>
            </w:r>
          </w:p>
        </w:tc>
        <w:tc>
          <w:tcPr>
            <w:tcW w:w="2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(46)</w:t>
            </w:r>
          </w:p>
        </w:tc>
        <w:tc>
          <w:tcPr>
            <w:tcW w:w="3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(15.6)%</w:t>
            </w: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Arial" w:cs="Arial" w:eastAsia="Arial" w:hAnsi="Arial"/>
                <w:sz w:val="17"/>
                <w:szCs w:val="17"/>
                <w:color w:val="auto"/>
              </w:rPr>
              <w:t>Total operating expenses</w:t>
            </w: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36.5%</w:t>
            </w:r>
          </w:p>
        </w:tc>
        <w:tc>
          <w:tcPr>
            <w:tcW w:w="0" w:type="dxa"/>
            <w:vAlign w:val="bottom"/>
          </w:tcPr>
          <w:p>
            <w:pPr>
              <w:spacing w:after="0" w:line="20" w:lineRule="exact"/>
              <w:rPr>
                <w:sz w:val="1"/>
                <w:szCs w:val="1"/>
                <w:color w:val="auto"/>
              </w:rPr>
            </w:pPr>
          </w:p>
        </w:tc>
      </w:tr>
      <w:tr>
        <w:trPr>
          <w:trHeight w:val="210"/>
        </w:trPr>
        <w:tc>
          <w:tcPr>
            <w:tcW w:w="4200" w:type="dxa"/>
            <w:vAlign w:val="bottom"/>
            <w:gridSpan w:val="2"/>
            <w:vMerge w:val="continue"/>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36,434</w:t>
            </w:r>
          </w:p>
        </w:tc>
        <w:tc>
          <w:tcPr>
            <w:tcW w:w="24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26,699</w:t>
            </w:r>
          </w:p>
        </w:tc>
        <w:tc>
          <w:tcPr>
            <w:tcW w:w="2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28.3%</w:t>
            </w: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33.4%</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9,735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jc w:val="both"/>
        <w:ind w:firstLine="802"/>
        <w:spacing w:after="0" w:line="272"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Selling, general and administrative expenses increased to $26.2 million for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30, 2021 compared to $20.8 million for the same period in 2020. The increase is primarily due to $3.3 million of transaction costs incurred related to the Reflex acquisition, increased wages expense due to the reinstatement of employee bonus accrual in 2021, and the inclusion of Redflex operations for the 12 days of June 2021 with no comparable amounts in prior year. These increases were partially offset by a $3.9 million reduction to the credit loss expense resulting from changes in loss rate estimates based on improved economic conditions. Selling, general and administrative expenses as a percentage of total revenue decreased from 26.1% to 20.4% for the three months ended June 30, 2020 and 2021, respectively. The following table presents selling, general and administrative expenses by segment: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w w:val="99"/>
              </w:rPr>
              <w:t>Three Months Ended June 30,</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20" w:type="dxa"/>
            <w:vAlign w:val="bottom"/>
            <w:gridSpan w:val="4"/>
            <w:vMerge w:val="restart"/>
          </w:tcPr>
          <w:p>
            <w:pPr>
              <w:jc w:val="right"/>
              <w:ind w:right="580"/>
              <w:spacing w:after="0"/>
              <w:rPr>
                <w:sz w:val="20"/>
                <w:szCs w:val="20"/>
                <w:color w:val="auto"/>
              </w:rPr>
            </w:pPr>
            <w:r>
              <w:rPr>
                <w:rFonts w:ascii="Arial" w:cs="Arial" w:eastAsia="Arial" w:hAnsi="Arial"/>
                <w:sz w:val="14"/>
                <w:szCs w:val="14"/>
                <w:b w:val="1"/>
                <w:bCs w:val="1"/>
                <w:color w:val="auto"/>
              </w:rPr>
              <w:t>Percentage of Revenue</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20" w:type="dxa"/>
            <w:vAlign w:val="bottom"/>
            <w:gridSpan w:val="4"/>
          </w:tcPr>
          <w:p>
            <w:pPr>
              <w:jc w:val="center"/>
              <w:ind w:right="176"/>
              <w:spacing w:after="0" w:line="133" w:lineRule="exact"/>
              <w:rPr>
                <w:sz w:val="20"/>
                <w:szCs w:val="20"/>
                <w:color w:val="auto"/>
              </w:rPr>
            </w:pPr>
            <w:r>
              <w:rPr>
                <w:rFonts w:ascii="Arial" w:cs="Arial" w:eastAsia="Arial" w:hAnsi="Arial"/>
                <w:sz w:val="14"/>
                <w:szCs w:val="14"/>
                <w:b w:val="1"/>
                <w:bCs w:val="1"/>
                <w:color w:val="auto"/>
                <w:w w:val="90"/>
              </w:rPr>
              <w:t>Increase (Decrease)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840" w:type="dxa"/>
            <w:vAlign w:val="bottom"/>
            <w:vMerge w:val="restart"/>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232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tcPr>
          <w:p>
            <w:pPr>
              <w:jc w:val="center"/>
              <w:ind w:left="279"/>
              <w:spacing w:after="0"/>
              <w:rPr>
                <w:sz w:val="20"/>
                <w:szCs w:val="20"/>
                <w:color w:val="auto"/>
              </w:rPr>
            </w:pPr>
            <w:r>
              <w:rPr>
                <w:rFonts w:ascii="Arial" w:cs="Arial" w:eastAsia="Arial" w:hAnsi="Arial"/>
                <w:sz w:val="14"/>
                <w:szCs w:val="14"/>
                <w:b w:val="1"/>
                <w:bCs w:val="1"/>
                <w:color w:val="auto"/>
                <w:w w:val="91"/>
              </w:rPr>
              <w:t>2021 vs 2020</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28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359"/>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8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7"/>
                <w:szCs w:val="17"/>
                <w:b w:val="1"/>
                <w:bCs w:val="1"/>
                <w:color w:val="auto"/>
              </w:rPr>
              <w:t>Selling, general and administrative expenses</w:t>
            </w:r>
          </w:p>
        </w:tc>
        <w:tc>
          <w:tcPr>
            <w:tcW w:w="4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ind w:left="260"/>
              <w:spacing w:after="0"/>
              <w:rPr>
                <w:sz w:val="20"/>
                <w:szCs w:val="20"/>
                <w:color w:val="auto"/>
              </w:rPr>
            </w:pPr>
            <w:r>
              <w:rPr>
                <w:rFonts w:ascii="Arial" w:cs="Arial" w:eastAsia="Arial" w:hAnsi="Arial"/>
                <w:sz w:val="17"/>
                <w:szCs w:val="17"/>
                <w:color w:val="auto"/>
              </w:rPr>
              <w:t>Commercial Services</w:t>
            </w:r>
          </w:p>
        </w:tc>
        <w:tc>
          <w:tcPr>
            <w:tcW w:w="620" w:type="dxa"/>
            <w:vAlign w:val="bottom"/>
            <w:gridSpan w:val="2"/>
          </w:tcPr>
          <w:p>
            <w:pPr>
              <w:jc w:val="right"/>
              <w:ind w:right="45"/>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9,479</w:t>
            </w:r>
          </w:p>
        </w:tc>
        <w:tc>
          <w:tcPr>
            <w:tcW w:w="22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10,191</w:t>
            </w:r>
          </w:p>
        </w:tc>
        <w:tc>
          <w:tcPr>
            <w:tcW w:w="2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7.4%</w:t>
            </w: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12.8%</w:t>
            </w:r>
          </w:p>
        </w:tc>
        <w:tc>
          <w:tcPr>
            <w:tcW w:w="320" w:type="dxa"/>
            <w:vAlign w:val="bottom"/>
            <w:gridSpan w:val="2"/>
          </w:tcPr>
          <w:p>
            <w:pPr>
              <w:jc w:val="right"/>
              <w:ind w:right="85"/>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(712)</w:t>
            </w: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FF0FC"/>
          </w:tcPr>
          <w:p>
            <w:pPr>
              <w:ind w:left="260"/>
              <w:spacing w:after="0"/>
              <w:rPr>
                <w:sz w:val="20"/>
                <w:szCs w:val="20"/>
                <w:color w:val="auto"/>
              </w:rPr>
            </w:pPr>
            <w:r>
              <w:rPr>
                <w:rFonts w:ascii="Arial" w:cs="Arial" w:eastAsia="Arial" w:hAnsi="Arial"/>
                <w:sz w:val="17"/>
                <w:szCs w:val="17"/>
                <w:color w:val="auto"/>
              </w:rPr>
              <w:t>Government Solutions</w:t>
            </w: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10,119</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7,150</w:t>
            </w: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7.8%</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9.0%</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2,969</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41.5%</w:t>
            </w:r>
          </w:p>
        </w:tc>
        <w:tc>
          <w:tcPr>
            <w:tcW w:w="0" w:type="dxa"/>
            <w:vAlign w:val="bottom"/>
          </w:tcPr>
          <w:p>
            <w:pPr>
              <w:spacing w:after="0"/>
              <w:rPr>
                <w:sz w:val="1"/>
                <w:szCs w:val="1"/>
                <w:color w:val="auto"/>
              </w:rPr>
            </w:pPr>
          </w:p>
        </w:tc>
      </w:tr>
      <w:tr>
        <w:trPr>
          <w:trHeight w:val="216"/>
        </w:trPr>
        <w:tc>
          <w:tcPr>
            <w:tcW w:w="3840" w:type="dxa"/>
            <w:vAlign w:val="bottom"/>
            <w:gridSpan w:val="2"/>
          </w:tcPr>
          <w:p>
            <w:pPr>
              <w:ind w:left="260"/>
              <w:spacing w:after="0"/>
              <w:rPr>
                <w:sz w:val="20"/>
                <w:szCs w:val="20"/>
                <w:color w:val="auto"/>
              </w:rPr>
            </w:pPr>
            <w:r>
              <w:rPr>
                <w:rFonts w:ascii="Arial" w:cs="Arial" w:eastAsia="Arial" w:hAnsi="Arial"/>
                <w:sz w:val="17"/>
                <w:szCs w:val="17"/>
                <w:color w:val="auto"/>
              </w:rPr>
              <w:t>Corporate and other</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3,306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503</w:t>
            </w:r>
          </w:p>
        </w:tc>
        <w:tc>
          <w:tcPr>
            <w:tcW w:w="2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2.6%</w:t>
            </w: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0.6%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2,803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557.3%</w:t>
            </w:r>
          </w:p>
        </w:tc>
        <w:tc>
          <w:tcPr>
            <w:tcW w:w="0" w:type="dxa"/>
            <w:vAlign w:val="bottom"/>
          </w:tcPr>
          <w:p>
            <w:pPr>
              <w:spacing w:after="0"/>
              <w:rPr>
                <w:sz w:val="1"/>
                <w:szCs w:val="1"/>
                <w:color w:val="auto"/>
              </w:rPr>
            </w:pPr>
          </w:p>
        </w:tc>
      </w:tr>
      <w:tr>
        <w:trPr>
          <w:trHeight w:val="192"/>
        </w:trPr>
        <w:tc>
          <w:tcPr>
            <w:tcW w:w="3840" w:type="dxa"/>
            <w:vAlign w:val="bottom"/>
            <w:tcBorders>
              <w:top w:val="single" w:sz="8" w:color="CFF0FC"/>
            </w:tcBorders>
            <w:gridSpan w:val="2"/>
            <w:shd w:val="clear" w:color="auto" w:fill="CFF0FC"/>
          </w:tcPr>
          <w:p>
            <w:pPr>
              <w:spacing w:after="0" w:line="192" w:lineRule="exact"/>
              <w:rPr>
                <w:sz w:val="20"/>
                <w:szCs w:val="20"/>
                <w:color w:val="auto"/>
              </w:rPr>
            </w:pPr>
            <w:r>
              <w:rPr>
                <w:rFonts w:ascii="Arial" w:cs="Arial" w:eastAsia="Arial" w:hAnsi="Arial"/>
                <w:sz w:val="17"/>
                <w:szCs w:val="17"/>
                <w:color w:val="auto"/>
              </w:rPr>
              <w:t>Total selling, general and administrative</w:t>
            </w:r>
          </w:p>
        </w:tc>
        <w:tc>
          <w:tcPr>
            <w:tcW w:w="42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280" w:type="dxa"/>
            <w:vAlign w:val="bottom"/>
            <w:tcBorders>
              <w:top w:val="single" w:sz="8" w:color="CFF0FC"/>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320" w:type="dxa"/>
            <w:vAlign w:val="bottom"/>
            <w:tcBorders>
              <w:top w:val="single" w:sz="8" w:color="CFF0FC"/>
            </w:tcBorders>
            <w:shd w:val="clear" w:color="auto" w:fill="CFF0FC"/>
          </w:tcPr>
          <w:p>
            <w:pPr>
              <w:spacing w:after="0"/>
              <w:rPr>
                <w:sz w:val="16"/>
                <w:szCs w:val="16"/>
                <w:color w:val="auto"/>
              </w:rPr>
            </w:pPr>
          </w:p>
        </w:tc>
        <w:tc>
          <w:tcPr>
            <w:tcW w:w="60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8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expenses before stock-based compensation</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22,904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17,844</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17.8%</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22.4%</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5,060</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28.4%</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7"/>
                <w:szCs w:val="17"/>
                <w:color w:val="auto"/>
              </w:rPr>
              <w:t>Stock-based compensation</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3,325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2,977</w:t>
            </w:r>
          </w:p>
        </w:tc>
        <w:tc>
          <w:tcPr>
            <w:tcW w:w="2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2.6%</w:t>
            </w: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3.7%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348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11.7%</w:t>
            </w:r>
          </w:p>
        </w:tc>
        <w:tc>
          <w:tcPr>
            <w:tcW w:w="0" w:type="dxa"/>
            <w:vAlign w:val="bottom"/>
          </w:tcPr>
          <w:p>
            <w:pPr>
              <w:spacing w:after="0"/>
              <w:rPr>
                <w:sz w:val="1"/>
                <w:szCs w:val="1"/>
                <w:color w:val="auto"/>
              </w:rPr>
            </w:pPr>
          </w:p>
        </w:tc>
      </w:tr>
      <w:tr>
        <w:trPr>
          <w:trHeight w:val="20"/>
        </w:trPr>
        <w:tc>
          <w:tcPr>
            <w:tcW w:w="3840" w:type="dxa"/>
            <w:vAlign w:val="bottom"/>
            <w:gridSpan w:val="2"/>
            <w:vMerge w:val="restart"/>
            <w:shd w:val="clear" w:color="auto" w:fill="CFF0FC"/>
          </w:tcPr>
          <w:p>
            <w:pPr>
              <w:spacing w:after="0"/>
              <w:rPr>
                <w:sz w:val="20"/>
                <w:szCs w:val="20"/>
                <w:color w:val="auto"/>
              </w:rPr>
            </w:pPr>
            <w:r>
              <w:rPr>
                <w:rFonts w:ascii="Arial" w:cs="Arial" w:eastAsia="Arial" w:hAnsi="Arial"/>
                <w:sz w:val="17"/>
                <w:szCs w:val="17"/>
                <w:color w:val="auto"/>
              </w:rPr>
              <w:t>Total selling, general and administrative expenses</w:t>
            </w:r>
          </w:p>
        </w:tc>
        <w:tc>
          <w:tcPr>
            <w:tcW w:w="42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2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7"/>
                <w:szCs w:val="17"/>
                <w:color w:val="auto"/>
              </w:rPr>
              <w:t>26.0%</w:t>
            </w:r>
          </w:p>
        </w:tc>
        <w:tc>
          <w:tcPr>
            <w:tcW w:w="0" w:type="dxa"/>
            <w:vAlign w:val="bottom"/>
          </w:tcPr>
          <w:p>
            <w:pPr>
              <w:spacing w:after="0" w:line="20" w:lineRule="exact"/>
              <w:rPr>
                <w:sz w:val="1"/>
                <w:szCs w:val="1"/>
                <w:color w:val="auto"/>
              </w:rPr>
            </w:pPr>
          </w:p>
        </w:tc>
      </w:tr>
      <w:tr>
        <w:trPr>
          <w:trHeight w:val="210"/>
        </w:trPr>
        <w:tc>
          <w:tcPr>
            <w:tcW w:w="3840" w:type="dxa"/>
            <w:vAlign w:val="bottom"/>
            <w:gridSpan w:val="2"/>
            <w:vMerge w:val="continue"/>
            <w:shd w:val="clear" w:color="auto" w:fill="CFF0FC"/>
          </w:tcPr>
          <w:p>
            <w:pPr>
              <w:spacing w:after="0"/>
              <w:rPr>
                <w:sz w:val="18"/>
                <w:szCs w:val="18"/>
                <w:color w:val="auto"/>
              </w:rPr>
            </w:pPr>
          </w:p>
        </w:tc>
        <w:tc>
          <w:tcPr>
            <w:tcW w:w="42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26,229</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20,821</w:t>
            </w: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20.4%</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26.1%</w:t>
            </w:r>
          </w:p>
        </w:tc>
        <w:tc>
          <w:tcPr>
            <w:tcW w:w="8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5,408</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Borders>
              <w:top w:val="single" w:sz="8" w:color="CFF0FC"/>
            </w:tcBorders>
          </w:tcPr>
          <w:p>
            <w:pPr>
              <w:spacing w:after="0" w:line="20" w:lineRule="exact"/>
              <w:rPr>
                <w:sz w:val="1"/>
                <w:szCs w:val="1"/>
                <w:color w:val="auto"/>
              </w:rPr>
            </w:pPr>
          </w:p>
        </w:tc>
        <w:tc>
          <w:tcPr>
            <w:tcW w:w="284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i w:val="1"/>
          <w:iCs w:val="1"/>
          <w:color w:val="auto"/>
        </w:rPr>
        <w:t xml:space="preserve">Depreciation, Amortization and (Gain) Loss on Disposal of Assets, Net. </w:t>
      </w:r>
      <w:r>
        <w:rPr>
          <w:rFonts w:ascii="Arial" w:cs="Arial" w:eastAsia="Arial" w:hAnsi="Arial"/>
          <w:sz w:val="18"/>
          <w:szCs w:val="18"/>
          <w:color w:val="auto"/>
        </w:rPr>
        <w:t>Depreciation, amortization and (gain) loss on disposal of assets, net,</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decreased from $29.2 million for the three months ended June 30, 2020 to $27.0 million for the same period in 2021. The decrease was mainly due to certain trademark intangibles being fully amortized for the three months ended June 30, 2021.</w:t>
      </w:r>
    </w:p>
    <w:p>
      <w:pPr>
        <w:spacing w:after="0" w:line="143"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Interest expense, net increased by $2.2 million from $9.5 million for the three months ended June 30, 2020 to $11.7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same period in 2021. This increase is primarily due to the increased borrowings as part of the debt restructuring in March 2021 in conjunction with the fixed rate on the Senior Notes which is approximately 200 basis points higher than the 2021 Term Loan interest rate during the three months ended June 30, 2021. See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w:t>
      </w:r>
    </w:p>
    <w:p>
      <w:pPr>
        <w:spacing w:after="0" w:line="160" w:lineRule="exact"/>
        <w:rPr>
          <w:sz w:val="20"/>
          <w:szCs w:val="20"/>
          <w:color w:val="auto"/>
        </w:rPr>
      </w:pPr>
    </w:p>
    <w:p>
      <w:pPr>
        <w:jc w:val="both"/>
        <w:ind w:firstLine="802"/>
        <w:spacing w:after="0" w:line="286" w:lineRule="auto"/>
        <w:rPr>
          <w:sz w:val="20"/>
          <w:szCs w:val="20"/>
          <w:color w:val="auto"/>
        </w:rPr>
      </w:pPr>
      <w:r>
        <w:rPr>
          <w:rFonts w:ascii="Arial" w:cs="Arial" w:eastAsia="Arial" w:hAnsi="Arial"/>
          <w:sz w:val="17"/>
          <w:szCs w:val="17"/>
          <w:i w:val="1"/>
          <w:iCs w:val="1"/>
          <w:color w:val="auto"/>
        </w:rPr>
        <w:t>Change in Fair Value of Private Placement Warrants</w:t>
      </w:r>
      <w:r>
        <w:rPr>
          <w:rFonts w:ascii="Arial" w:cs="Arial" w:eastAsia="Arial" w:hAnsi="Arial"/>
          <w:sz w:val="17"/>
          <w:szCs w:val="17"/>
          <w:color w:val="auto"/>
        </w:rPr>
        <w:t>. We recorded a loss of $8.1 million and $8.3 million for the three months ended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2021 and 2020, respectively, related to the changes in fair value of our Private Placement Warrants which are accounted for as liabilities on our condensed consolidated balance sheets. The change in fair value is the result of remeasurement of the liability at the end of each reporting period.</w:t>
      </w:r>
    </w:p>
    <w:p>
      <w:pPr>
        <w:spacing w:after="0" w:line="125"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i w:val="1"/>
          <w:iCs w:val="1"/>
          <w:color w:val="auto"/>
        </w:rPr>
        <w:t>Tax Receivable Agreement Liability Adjustment</w:t>
      </w:r>
      <w:r>
        <w:rPr>
          <w:rFonts w:ascii="Arial" w:cs="Arial" w:eastAsia="Arial" w:hAnsi="Arial"/>
          <w:sz w:val="18"/>
          <w:szCs w:val="18"/>
          <w:color w:val="auto"/>
        </w:rPr>
        <w:t>. We recorded $1.7 million and $4.4 million in charges for the three months ended June 30, 2021</w:t>
      </w:r>
      <w:r>
        <w:rPr>
          <w:rFonts w:ascii="Arial" w:cs="Arial" w:eastAsia="Arial" w:hAnsi="Arial"/>
          <w:sz w:val="18"/>
          <w:szCs w:val="18"/>
          <w:i w:val="1"/>
          <w:iCs w:val="1"/>
          <w:color w:val="auto"/>
        </w:rPr>
        <w:t xml:space="preserve"> </w:t>
      </w:r>
      <w:r>
        <w:rPr>
          <w:rFonts w:ascii="Arial" w:cs="Arial" w:eastAsia="Arial" w:hAnsi="Arial"/>
          <w:sz w:val="18"/>
          <w:szCs w:val="18"/>
          <w:color w:val="auto"/>
        </w:rPr>
        <w:t>and 2020, respectively. The TRA liability adjustment in 2021 is arising from higher estimated state tax rates due to changes in statutory rates, whereas in 2020 it is arising from higher estimated state tax rates due to a change in apportionment.</w:t>
      </w:r>
    </w:p>
    <w:p>
      <w:pPr>
        <w:spacing w:after="0" w:line="143"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We pay a high volume of tolls on behalf of our customers with purchasing cards which generate rebates based on volume,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terms and rebate frequency. Other income, net was $2.8 million for the three months ended June 30, 2021, compared to $1.5 million for the three months ended June 30, 2020. The increase is attributable to increased tolling activity due to travel demand that positively affected the RAC industry during the three months ended June 30, 2021.</w:t>
      </w:r>
    </w:p>
    <w:p>
      <w:pPr>
        <w:spacing w:after="0" w:line="160" w:lineRule="exact"/>
        <w:rPr>
          <w:sz w:val="20"/>
          <w:szCs w:val="20"/>
          <w:color w:val="auto"/>
        </w:rPr>
      </w:pPr>
    </w:p>
    <w:p>
      <w:pPr>
        <w:jc w:val="both"/>
        <w:ind w:firstLine="802"/>
        <w:spacing w:after="0" w:line="311" w:lineRule="auto"/>
        <w:rPr>
          <w:sz w:val="20"/>
          <w:szCs w:val="20"/>
          <w:color w:val="auto"/>
        </w:rPr>
      </w:pPr>
      <w:r>
        <w:rPr>
          <w:rFonts w:ascii="Arial" w:cs="Arial" w:eastAsia="Arial" w:hAnsi="Arial"/>
          <w:sz w:val="16"/>
          <w:szCs w:val="16"/>
          <w:i w:val="1"/>
          <w:iCs w:val="1"/>
          <w:color w:val="auto"/>
        </w:rPr>
        <w:t xml:space="preserve">Income Tax Provision (Benefit). </w:t>
      </w:r>
      <w:r>
        <w:rPr>
          <w:rFonts w:ascii="Arial" w:cs="Arial" w:eastAsia="Arial" w:hAnsi="Arial"/>
          <w:sz w:val="16"/>
          <w:szCs w:val="16"/>
          <w:color w:val="auto"/>
        </w:rPr>
        <w:t>Income tax provision was $8.9 million representing an effective tax rate of 69.0%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30, 2021 compared to a tax benefit of $4.0 million, representing an effective tax benefit of 14.5% for the same period in 2020. The primary driver of the effective tax rate variance is from the Company’s permanent differences related to the mark-to-market adjustment on the private placement warrants.</w:t>
      </w:r>
    </w:p>
    <w:p>
      <w:pPr>
        <w:spacing w:after="0" w:line="108"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i w:val="1"/>
          <w:iCs w:val="1"/>
          <w:color w:val="auto"/>
        </w:rPr>
        <w:t xml:space="preserve">Net Income (Loss). </w:t>
      </w:r>
      <w:r>
        <w:rPr>
          <w:rFonts w:ascii="Arial" w:cs="Arial" w:eastAsia="Arial" w:hAnsi="Arial"/>
          <w:sz w:val="18"/>
          <w:szCs w:val="18"/>
          <w:color w:val="auto"/>
        </w:rPr>
        <w:t>We had net income of $4.0 million for the three months ended June 30, 2021, as compared to a net loss of $23.7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June 30, 2020. The $27.7 million increase in net income was primarily due to increase in revenues resulting from improved travel demand experienced by our RAC customers, and the other statement of operations activity discussed above.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Six Months Ended June 30, 2021 Compared to Six Months Ended June 30, 2020</w:t>
      </w:r>
    </w:p>
    <w:p>
      <w:pPr>
        <w:spacing w:after="0" w:line="198"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The following table sets forth our statements of operations data and expresses each item as a percentage of total revenue for the periods presented as well as the changes between periods. The tables and information provided in this section were derived from exact numbers and may have immaterial rounding differences.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jc w:val="right"/>
              <w:ind w:right="760"/>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720" w:type="dxa"/>
            <w:vAlign w:val="bottom"/>
            <w:gridSpan w:val="4"/>
            <w:vMerge w:val="restart"/>
          </w:tcPr>
          <w:p>
            <w:pPr>
              <w:jc w:val="right"/>
              <w:ind w:right="820"/>
              <w:spacing w:after="0"/>
              <w:rPr>
                <w:sz w:val="20"/>
                <w:szCs w:val="20"/>
                <w:color w:val="auto"/>
              </w:rPr>
            </w:pPr>
            <w:r>
              <w:rPr>
                <w:rFonts w:ascii="Arial" w:cs="Arial" w:eastAsia="Arial" w:hAnsi="Arial"/>
                <w:sz w:val="14"/>
                <w:szCs w:val="14"/>
                <w:b w:val="1"/>
                <w:bCs w:val="1"/>
                <w:color w:val="auto"/>
              </w:rPr>
              <w:t>Percentage of Revenue</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40" w:type="dxa"/>
            <w:vAlign w:val="bottom"/>
            <w:gridSpan w:val="4"/>
          </w:tcPr>
          <w:p>
            <w:pPr>
              <w:jc w:val="center"/>
              <w:ind w:right="175"/>
              <w:spacing w:after="0" w:line="133" w:lineRule="exact"/>
              <w:rPr>
                <w:sz w:val="20"/>
                <w:szCs w:val="20"/>
                <w:color w:val="auto"/>
              </w:rPr>
            </w:pPr>
            <w:r>
              <w:rPr>
                <w:rFonts w:ascii="Arial" w:cs="Arial" w:eastAsia="Arial" w:hAnsi="Arial"/>
                <w:sz w:val="14"/>
                <w:szCs w:val="14"/>
                <w:b w:val="1"/>
                <w:bCs w:val="1"/>
                <w:color w:val="auto"/>
                <w:w w:val="90"/>
              </w:rPr>
              <w:t>Increase (Decrease)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272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3"/>
          </w:tcPr>
          <w:p>
            <w:pPr>
              <w:jc w:val="center"/>
              <w:ind w:left="216"/>
              <w:spacing w:after="0"/>
              <w:rPr>
                <w:sz w:val="20"/>
                <w:szCs w:val="20"/>
                <w:color w:val="auto"/>
              </w:rPr>
            </w:pPr>
            <w:r>
              <w:rPr>
                <w:rFonts w:ascii="Arial" w:cs="Arial" w:eastAsia="Arial" w:hAnsi="Arial"/>
                <w:sz w:val="14"/>
                <w:szCs w:val="14"/>
                <w:b w:val="1"/>
                <w:bCs w:val="1"/>
                <w:color w:val="auto"/>
                <w:w w:val="91"/>
              </w:rPr>
              <w:t>2021 vs 2020</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58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Borders>
              <w:top w:val="single" w:sz="8" w:color="auto"/>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000" w:type="dxa"/>
            <w:vAlign w:val="bottom"/>
            <w:tcBorders>
              <w:bottom w:val="single" w:sz="8" w:color="auto"/>
            </w:tcBorders>
            <w:vMerge w:val="continue"/>
          </w:tcPr>
          <w:p>
            <w:pPr>
              <w:spacing w:after="0"/>
              <w:rPr>
                <w:sz w:val="12"/>
                <w:szCs w:val="12"/>
                <w:color w:val="auto"/>
              </w:rPr>
            </w:pPr>
          </w:p>
        </w:tc>
        <w:tc>
          <w:tcPr>
            <w:tcW w:w="2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w w:val="91"/>
              </w:rPr>
              <w:t>(As restated)</w:t>
            </w: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Service revenue</w:t>
            </w: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206,189</w:t>
            </w:r>
          </w:p>
        </w:tc>
        <w:tc>
          <w:tcPr>
            <w:tcW w:w="16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162,312</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94.4%</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82.6%</w:t>
            </w:r>
          </w:p>
        </w:tc>
        <w:tc>
          <w:tcPr>
            <w:tcW w:w="320" w:type="dxa"/>
            <w:vAlign w:val="bottom"/>
            <w:gridSpan w:val="2"/>
            <w:shd w:val="clear" w:color="auto" w:fill="CFF0FC"/>
          </w:tcPr>
          <w:p>
            <w:pPr>
              <w:jc w:val="right"/>
              <w:ind w:right="85"/>
              <w:spacing w:after="0"/>
              <w:rPr>
                <w:sz w:val="20"/>
                <w:szCs w:val="20"/>
                <w:color w:val="auto"/>
              </w:rPr>
            </w:pPr>
            <w:r>
              <w:rPr>
                <w:rFonts w:ascii="Arial" w:cs="Arial" w:eastAsia="Arial" w:hAnsi="Arial"/>
                <w:sz w:val="17"/>
                <w:szCs w:val="17"/>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43,877</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27.0%</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7"/>
                <w:szCs w:val="17"/>
                <w:color w:val="auto"/>
              </w:rPr>
              <w:t>Product sales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12,326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34,210</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5.6%</w:t>
            </w: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17.4%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(21,884)</w:t>
            </w:r>
          </w:p>
        </w:tc>
        <w:tc>
          <w:tcPr>
            <w:tcW w:w="2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(64.0)%</w:t>
            </w:r>
          </w:p>
        </w:tc>
        <w:tc>
          <w:tcPr>
            <w:tcW w:w="0" w:type="dxa"/>
            <w:vAlign w:val="bottom"/>
          </w:tcPr>
          <w:p>
            <w:pPr>
              <w:spacing w:after="0"/>
              <w:rPr>
                <w:sz w:val="1"/>
                <w:szCs w:val="1"/>
                <w:color w:val="auto"/>
              </w:rPr>
            </w:pPr>
          </w:p>
        </w:tc>
      </w:tr>
      <w:tr>
        <w:trPr>
          <w:trHeight w:val="20"/>
        </w:trPr>
        <w:tc>
          <w:tcPr>
            <w:tcW w:w="3580" w:type="dxa"/>
            <w:vAlign w:val="bottom"/>
            <w:gridSpan w:val="2"/>
            <w:vMerge w:val="restart"/>
            <w:shd w:val="clear" w:color="auto" w:fill="CFF0FC"/>
          </w:tcPr>
          <w:p>
            <w:pPr>
              <w:ind w:left="260"/>
              <w:spacing w:after="0"/>
              <w:rPr>
                <w:sz w:val="20"/>
                <w:szCs w:val="20"/>
                <w:color w:val="auto"/>
              </w:rPr>
            </w:pPr>
            <w:r>
              <w:rPr>
                <w:rFonts w:ascii="Arial" w:cs="Arial" w:eastAsia="Arial" w:hAnsi="Arial"/>
                <w:sz w:val="17"/>
                <w:szCs w:val="17"/>
                <w:b w:val="1"/>
                <w:bCs w:val="1"/>
                <w:color w:val="auto"/>
              </w:rPr>
              <w:t>Total revenue</w:t>
            </w: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6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7"/>
                <w:szCs w:val="17"/>
                <w:color w:val="auto"/>
              </w:rPr>
              <w:t>11.2%</w:t>
            </w:r>
          </w:p>
        </w:tc>
        <w:tc>
          <w:tcPr>
            <w:tcW w:w="0" w:type="dxa"/>
            <w:vAlign w:val="bottom"/>
          </w:tcPr>
          <w:p>
            <w:pPr>
              <w:spacing w:after="0" w:line="20" w:lineRule="exact"/>
              <w:rPr>
                <w:sz w:val="1"/>
                <w:szCs w:val="1"/>
                <w:color w:val="auto"/>
              </w:rPr>
            </w:pPr>
          </w:p>
        </w:tc>
      </w:tr>
      <w:tr>
        <w:trPr>
          <w:trHeight w:val="209"/>
        </w:trPr>
        <w:tc>
          <w:tcPr>
            <w:tcW w:w="358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218,515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196,522</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100.0%</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100.0%</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21,993</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7"/>
                <w:szCs w:val="17"/>
                <w:color w:val="auto"/>
              </w:rPr>
              <w:t>Cost of service revenue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2,212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2,232</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1.0%</w:t>
            </w: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(20)</w:t>
            </w:r>
          </w:p>
        </w:tc>
        <w:tc>
          <w:tcPr>
            <w:tcW w:w="2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Cost of product sales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6,171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17,750</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2.8%</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9.1%</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(11,579)</w:t>
            </w:r>
          </w:p>
        </w:tc>
        <w:tc>
          <w:tcPr>
            <w:tcW w:w="2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(65.2)%</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66,926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58,958</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30.6%</w:t>
            </w: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30.0%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7,968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Selling, general and administrative expenses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54,672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46,707</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25.1%</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23.8%</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7,965</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17.1%</w:t>
            </w:r>
          </w:p>
        </w:tc>
        <w:tc>
          <w:tcPr>
            <w:tcW w:w="0" w:type="dxa"/>
            <w:vAlign w:val="bottom"/>
          </w:tcPr>
          <w:p>
            <w:pPr>
              <w:spacing w:after="0"/>
              <w:rPr>
                <w:sz w:val="1"/>
                <w:szCs w:val="1"/>
                <w:color w:val="auto"/>
              </w:rPr>
            </w:pPr>
          </w:p>
        </w:tc>
      </w:tr>
      <w:tr>
        <w:trPr>
          <w:trHeight w:val="198"/>
        </w:trPr>
        <w:tc>
          <w:tcPr>
            <w:tcW w:w="3580" w:type="dxa"/>
            <w:vAlign w:val="bottom"/>
            <w:gridSpan w:val="2"/>
          </w:tcPr>
          <w:p>
            <w:pPr>
              <w:spacing w:after="0"/>
              <w:rPr>
                <w:sz w:val="20"/>
                <w:szCs w:val="20"/>
                <w:color w:val="auto"/>
              </w:rPr>
            </w:pPr>
            <w:r>
              <w:rPr>
                <w:rFonts w:ascii="Arial" w:cs="Arial" w:eastAsia="Arial" w:hAnsi="Arial"/>
                <w:sz w:val="17"/>
                <w:szCs w:val="17"/>
                <w:color w:val="auto"/>
              </w:rPr>
              <w:t>Depreciation, amortization and (gain) loss on</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580" w:type="dxa"/>
            <w:vAlign w:val="bottom"/>
            <w:gridSpan w:val="2"/>
          </w:tcPr>
          <w:p>
            <w:pPr>
              <w:spacing w:after="0"/>
              <w:rPr>
                <w:sz w:val="20"/>
                <w:szCs w:val="20"/>
                <w:color w:val="auto"/>
              </w:rPr>
            </w:pPr>
            <w:r>
              <w:rPr>
                <w:rFonts w:ascii="Arial" w:cs="Arial" w:eastAsia="Arial" w:hAnsi="Arial"/>
                <w:sz w:val="17"/>
                <w:szCs w:val="17"/>
                <w:color w:val="auto"/>
              </w:rPr>
              <w:t>disposal of assets, net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55,277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58,412</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25.3%</w:t>
            </w: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29.7%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(3,135)</w:t>
            </w:r>
          </w:p>
        </w:tc>
        <w:tc>
          <w:tcPr>
            <w:tcW w:w="2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0"/>
        </w:trPr>
        <w:tc>
          <w:tcPr>
            <w:tcW w:w="3580" w:type="dxa"/>
            <w:vAlign w:val="bottom"/>
            <w:gridSpan w:val="2"/>
            <w:vMerge w:val="restart"/>
            <w:shd w:val="clear" w:color="auto" w:fill="CFF0FC"/>
          </w:tcPr>
          <w:p>
            <w:pPr>
              <w:ind w:left="260"/>
              <w:spacing w:after="0"/>
              <w:rPr>
                <w:sz w:val="20"/>
                <w:szCs w:val="20"/>
                <w:color w:val="auto"/>
              </w:rPr>
            </w:pPr>
            <w:r>
              <w:rPr>
                <w:rFonts w:ascii="Arial" w:cs="Arial" w:eastAsia="Arial" w:hAnsi="Arial"/>
                <w:sz w:val="17"/>
                <w:szCs w:val="17"/>
                <w:color w:val="auto"/>
              </w:rPr>
              <w:t>Total costs and expenses</w:t>
            </w: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6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7"/>
                <w:szCs w:val="17"/>
                <w:color w:val="auto"/>
              </w:rPr>
              <w:t>0.7%</w:t>
            </w:r>
          </w:p>
        </w:tc>
        <w:tc>
          <w:tcPr>
            <w:tcW w:w="0" w:type="dxa"/>
            <w:vAlign w:val="bottom"/>
          </w:tcPr>
          <w:p>
            <w:pPr>
              <w:spacing w:after="0" w:line="20" w:lineRule="exact"/>
              <w:rPr>
                <w:sz w:val="1"/>
                <w:szCs w:val="1"/>
                <w:color w:val="auto"/>
              </w:rPr>
            </w:pPr>
          </w:p>
        </w:tc>
      </w:tr>
      <w:tr>
        <w:trPr>
          <w:trHeight w:val="212"/>
        </w:trPr>
        <w:tc>
          <w:tcPr>
            <w:tcW w:w="358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185,258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184,059</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84.8%</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93.7%</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1,199</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ind w:left="260"/>
              <w:spacing w:after="0"/>
              <w:rPr>
                <w:sz w:val="20"/>
                <w:szCs w:val="20"/>
                <w:color w:val="auto"/>
              </w:rPr>
            </w:pPr>
            <w:r>
              <w:rPr>
                <w:rFonts w:ascii="Arial" w:cs="Arial" w:eastAsia="Arial" w:hAnsi="Arial"/>
                <w:sz w:val="17"/>
                <w:szCs w:val="17"/>
                <w:b w:val="1"/>
                <w:bCs w:val="1"/>
                <w:color w:val="auto"/>
              </w:rPr>
              <w:t>Income from operations</w:t>
            </w: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166.8%</w:t>
            </w:r>
          </w:p>
        </w:tc>
        <w:tc>
          <w:tcPr>
            <w:tcW w:w="0" w:type="dxa"/>
            <w:vAlign w:val="bottom"/>
          </w:tcPr>
          <w:p>
            <w:pPr>
              <w:spacing w:after="0" w:line="20" w:lineRule="exact"/>
              <w:rPr>
                <w:sz w:val="1"/>
                <w:szCs w:val="1"/>
                <w:color w:val="auto"/>
              </w:rPr>
            </w:pPr>
          </w:p>
        </w:tc>
      </w:tr>
      <w:tr>
        <w:trPr>
          <w:trHeight w:val="209"/>
        </w:trPr>
        <w:tc>
          <w:tcPr>
            <w:tcW w:w="35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33,257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12,463</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15.2%</w:t>
            </w: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6.3%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20,794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Interest expense, net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20,844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21,990</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9.6%</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11.2%</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(1,146)</w:t>
            </w:r>
          </w:p>
        </w:tc>
        <w:tc>
          <w:tcPr>
            <w:tcW w:w="2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7"/>
                <w:szCs w:val="17"/>
                <w:color w:val="auto"/>
                <w:w w:val="93"/>
              </w:rPr>
              <w:t>Change in fair value of private placement warrants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10,134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(7,133)</w:t>
            </w: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4.6%</w:t>
            </w:r>
          </w:p>
        </w:tc>
        <w:tc>
          <w:tcPr>
            <w:tcW w:w="1300" w:type="dxa"/>
            <w:vAlign w:val="bottom"/>
            <w:gridSpan w:val="2"/>
          </w:tcPr>
          <w:p>
            <w:pPr>
              <w:jc w:val="right"/>
              <w:ind w:right="80"/>
              <w:spacing w:after="0"/>
              <w:rPr>
                <w:sz w:val="20"/>
                <w:szCs w:val="20"/>
                <w:color w:val="auto"/>
              </w:rPr>
            </w:pPr>
            <w:r>
              <w:rPr>
                <w:rFonts w:ascii="Arial" w:cs="Arial" w:eastAsia="Arial" w:hAnsi="Arial"/>
                <w:sz w:val="17"/>
                <w:szCs w:val="17"/>
                <w:color w:val="auto"/>
              </w:rPr>
              <w:t>(3.6)%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17,267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242.1%</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Tax receivable agreement liability adjustment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1,661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4,446</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0.8%</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2.2%</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(2,785)</w:t>
            </w:r>
          </w:p>
        </w:tc>
        <w:tc>
          <w:tcPr>
            <w:tcW w:w="2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(62.6)%</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7"/>
                <w:szCs w:val="17"/>
                <w:color w:val="auto"/>
              </w:rPr>
              <w:t>Loss on extinguishment of debt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5,334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2.4%</w:t>
            </w:r>
          </w:p>
        </w:tc>
        <w:tc>
          <w:tcPr>
            <w:tcW w:w="13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5,334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Other income, net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(5,811)</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(4,448)</w:t>
            </w: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(2.7)%</w:t>
            </w: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(2.3)%</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(1,363)</w:t>
            </w:r>
          </w:p>
        </w:tc>
        <w:tc>
          <w:tcPr>
            <w:tcW w:w="2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30.6%</w:t>
            </w: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spacing w:after="0"/>
              <w:rPr>
                <w:sz w:val="20"/>
                <w:szCs w:val="20"/>
                <w:color w:val="auto"/>
              </w:rPr>
            </w:pPr>
            <w:r>
              <w:rPr>
                <w:rFonts w:ascii="Arial" w:cs="Arial" w:eastAsia="Arial" w:hAnsi="Arial"/>
                <w:sz w:val="17"/>
                <w:szCs w:val="17"/>
                <w:color w:val="auto"/>
              </w:rPr>
              <w:t>Total other expenses</w:t>
            </w: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116.5%</w:t>
            </w:r>
          </w:p>
        </w:tc>
        <w:tc>
          <w:tcPr>
            <w:tcW w:w="0" w:type="dxa"/>
            <w:vAlign w:val="bottom"/>
          </w:tcPr>
          <w:p>
            <w:pPr>
              <w:spacing w:after="0" w:line="20" w:lineRule="exact"/>
              <w:rPr>
                <w:sz w:val="1"/>
                <w:szCs w:val="1"/>
                <w:color w:val="auto"/>
              </w:rPr>
            </w:pPr>
          </w:p>
        </w:tc>
      </w:tr>
      <w:tr>
        <w:trPr>
          <w:trHeight w:val="209"/>
        </w:trPr>
        <w:tc>
          <w:tcPr>
            <w:tcW w:w="35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32,162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14,855</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14.7%</w:t>
            </w: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7.5%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17,307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gridSpan w:val="2"/>
            <w:vMerge w:val="restart"/>
            <w:shd w:val="clear" w:color="auto" w:fill="CFF0FC"/>
          </w:tcPr>
          <w:p>
            <w:pPr>
              <w:spacing w:after="0"/>
              <w:rPr>
                <w:sz w:val="20"/>
                <w:szCs w:val="20"/>
                <w:color w:val="auto"/>
              </w:rPr>
            </w:pPr>
            <w:r>
              <w:rPr>
                <w:rFonts w:ascii="Arial" w:cs="Arial" w:eastAsia="Arial" w:hAnsi="Arial"/>
                <w:sz w:val="17"/>
                <w:szCs w:val="17"/>
                <w:color w:val="auto"/>
              </w:rPr>
              <w:t>Income (loss) before income taxes</w:t>
            </w: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6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7"/>
                <w:szCs w:val="17"/>
                <w:color w:val="auto"/>
              </w:rPr>
              <w:t>145.8%</w:t>
            </w:r>
          </w:p>
        </w:tc>
        <w:tc>
          <w:tcPr>
            <w:tcW w:w="0" w:type="dxa"/>
            <w:vAlign w:val="bottom"/>
          </w:tcPr>
          <w:p>
            <w:pPr>
              <w:spacing w:after="0" w:line="20" w:lineRule="exact"/>
              <w:rPr>
                <w:sz w:val="1"/>
                <w:szCs w:val="1"/>
                <w:color w:val="auto"/>
              </w:rPr>
            </w:pPr>
          </w:p>
        </w:tc>
      </w:tr>
      <w:tr>
        <w:trPr>
          <w:trHeight w:val="210"/>
        </w:trPr>
        <w:tc>
          <w:tcPr>
            <w:tcW w:w="358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1,095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(2,392)</w:t>
            </w:r>
          </w:p>
        </w:tc>
        <w:tc>
          <w:tcPr>
            <w:tcW w:w="260" w:type="dxa"/>
            <w:vAlign w:val="bottom"/>
            <w:vMerge w:val="continue"/>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0.5%</w:t>
            </w: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(1.2)%</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3,487</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7"/>
                <w:szCs w:val="17"/>
                <w:color w:val="auto"/>
              </w:rPr>
              <w:t>Income tax provision (benefit)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6,018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(810)</w:t>
            </w: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2.8%</w:t>
            </w:r>
          </w:p>
        </w:tc>
        <w:tc>
          <w:tcPr>
            <w:tcW w:w="1300" w:type="dxa"/>
            <w:vAlign w:val="bottom"/>
            <w:gridSpan w:val="2"/>
          </w:tcPr>
          <w:p>
            <w:pPr>
              <w:jc w:val="right"/>
              <w:ind w:right="80"/>
              <w:spacing w:after="0"/>
              <w:rPr>
                <w:sz w:val="20"/>
                <w:szCs w:val="20"/>
                <w:color w:val="auto"/>
              </w:rPr>
            </w:pPr>
            <w:r>
              <w:rPr>
                <w:rFonts w:ascii="Arial" w:cs="Arial" w:eastAsia="Arial" w:hAnsi="Arial"/>
                <w:sz w:val="17"/>
                <w:szCs w:val="17"/>
                <w:color w:val="auto"/>
              </w:rPr>
              <w:t>(0.4)%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6,828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843.0%</w:t>
            </w:r>
          </w:p>
        </w:tc>
        <w:tc>
          <w:tcPr>
            <w:tcW w:w="0" w:type="dxa"/>
            <w:vAlign w:val="bottom"/>
          </w:tcPr>
          <w:p>
            <w:pPr>
              <w:spacing w:after="0"/>
              <w:rPr>
                <w:sz w:val="1"/>
                <w:szCs w:val="1"/>
                <w:color w:val="auto"/>
              </w:rPr>
            </w:pPr>
          </w:p>
        </w:tc>
      </w:tr>
      <w:tr>
        <w:trPr>
          <w:trHeight w:val="20"/>
        </w:trPr>
        <w:tc>
          <w:tcPr>
            <w:tcW w:w="3580" w:type="dxa"/>
            <w:vAlign w:val="bottom"/>
            <w:gridSpan w:val="2"/>
            <w:vMerge w:val="restart"/>
            <w:shd w:val="clear" w:color="auto" w:fill="CFF0FC"/>
          </w:tcPr>
          <w:p>
            <w:pPr>
              <w:ind w:left="260"/>
              <w:spacing w:after="0"/>
              <w:rPr>
                <w:sz w:val="20"/>
                <w:szCs w:val="20"/>
                <w:color w:val="auto"/>
              </w:rPr>
            </w:pPr>
            <w:r>
              <w:rPr>
                <w:rFonts w:ascii="Arial" w:cs="Arial" w:eastAsia="Arial" w:hAnsi="Arial"/>
                <w:sz w:val="17"/>
                <w:szCs w:val="17"/>
                <w:b w:val="1"/>
                <w:bCs w:val="1"/>
                <w:color w:val="auto"/>
              </w:rPr>
              <w:t>Net loss</w:t>
            </w:r>
          </w:p>
        </w:tc>
        <w:tc>
          <w:tcPr>
            <w:tcW w:w="12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76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7"/>
                <w:szCs w:val="17"/>
                <w:color w:val="auto"/>
              </w:rPr>
              <w:t>211.2%</w:t>
            </w:r>
          </w:p>
        </w:tc>
        <w:tc>
          <w:tcPr>
            <w:tcW w:w="0" w:type="dxa"/>
            <w:vAlign w:val="bottom"/>
          </w:tcPr>
          <w:p>
            <w:pPr>
              <w:spacing w:after="0" w:line="20" w:lineRule="exact"/>
              <w:rPr>
                <w:sz w:val="1"/>
                <w:szCs w:val="1"/>
                <w:color w:val="auto"/>
              </w:rPr>
            </w:pPr>
          </w:p>
        </w:tc>
      </w:tr>
      <w:tr>
        <w:trPr>
          <w:trHeight w:val="210"/>
        </w:trPr>
        <w:tc>
          <w:tcPr>
            <w:tcW w:w="3580" w:type="dxa"/>
            <w:vAlign w:val="bottom"/>
            <w:gridSpan w:val="2"/>
            <w:vMerge w:val="continue"/>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(4,923)</w:t>
            </w:r>
          </w:p>
        </w:tc>
        <w:tc>
          <w:tcPr>
            <w:tcW w:w="160" w:type="dxa"/>
            <w:vAlign w:val="bottom"/>
            <w:vMerge w:val="continue"/>
            <w:shd w:val="clear" w:color="auto" w:fill="CFF0FC"/>
          </w:tcPr>
          <w:p>
            <w:pPr>
              <w:spacing w:after="0"/>
              <w:rPr>
                <w:sz w:val="18"/>
                <w:szCs w:val="18"/>
                <w:color w:val="auto"/>
              </w:rPr>
            </w:pPr>
          </w:p>
        </w:tc>
        <w:tc>
          <w:tcPr>
            <w:tcW w:w="10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(1,582)</w:t>
            </w:r>
          </w:p>
        </w:tc>
        <w:tc>
          <w:tcPr>
            <w:tcW w:w="260" w:type="dxa"/>
            <w:vAlign w:val="bottom"/>
            <w:vMerge w:val="continue"/>
            <w:shd w:val="clear" w:color="auto" w:fill="CFF0FC"/>
          </w:tcPr>
          <w:p>
            <w:pPr>
              <w:spacing w:after="0"/>
              <w:rPr>
                <w:sz w:val="18"/>
                <w:szCs w:val="18"/>
                <w:color w:val="auto"/>
              </w:rPr>
            </w:pP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(2.3)%</w:t>
            </w: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(0.8)%</w:t>
            </w:r>
          </w:p>
        </w:tc>
        <w:tc>
          <w:tcPr>
            <w:tcW w:w="8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(3,341)</w:t>
            </w:r>
          </w:p>
        </w:tc>
        <w:tc>
          <w:tcPr>
            <w:tcW w:w="260" w:type="dxa"/>
            <w:vAlign w:val="bottom"/>
            <w:vMerge w:val="continue"/>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7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Borders>
              <w:top w:val="single" w:sz="8" w:color="CFF0FC"/>
            </w:tcBorders>
          </w:tcPr>
          <w:p>
            <w:pPr>
              <w:spacing w:after="0" w:line="20" w:lineRule="exact"/>
              <w:rPr>
                <w:sz w:val="1"/>
                <w:szCs w:val="1"/>
                <w:color w:val="auto"/>
              </w:rPr>
            </w:pPr>
          </w:p>
        </w:tc>
        <w:tc>
          <w:tcPr>
            <w:tcW w:w="25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firstLine="802"/>
        <w:spacing w:after="0" w:line="263" w:lineRule="auto"/>
        <w:rPr>
          <w:sz w:val="20"/>
          <w:szCs w:val="20"/>
          <w:color w:val="auto"/>
        </w:rPr>
      </w:pPr>
      <w:r>
        <w:rPr>
          <w:rFonts w:ascii="Arial" w:cs="Arial" w:eastAsia="Arial" w:hAnsi="Arial"/>
          <w:sz w:val="18"/>
          <w:szCs w:val="18"/>
          <w:i w:val="1"/>
          <w:iCs w:val="1"/>
          <w:color w:val="auto"/>
        </w:rPr>
        <w:t xml:space="preserve">Service Revenue. </w:t>
      </w:r>
      <w:r>
        <w:rPr>
          <w:rFonts w:ascii="Arial" w:cs="Arial" w:eastAsia="Arial" w:hAnsi="Arial"/>
          <w:sz w:val="18"/>
          <w:szCs w:val="18"/>
          <w:color w:val="auto"/>
        </w:rPr>
        <w:t>Service revenue increased by $43.9 million, or 27.0%, to $206.2 million for the six months ended June 30, 2021 from</w:t>
      </w:r>
      <w:r>
        <w:rPr>
          <w:rFonts w:ascii="Arial" w:cs="Arial" w:eastAsia="Arial" w:hAnsi="Arial"/>
          <w:sz w:val="18"/>
          <w:szCs w:val="18"/>
          <w:i w:val="1"/>
          <w:iCs w:val="1"/>
          <w:color w:val="auto"/>
        </w:rPr>
        <w:t xml:space="preserve"> </w:t>
      </w:r>
      <w:r>
        <w:rPr>
          <w:rFonts w:ascii="Arial" w:cs="Arial" w:eastAsia="Arial" w:hAnsi="Arial"/>
          <w:sz w:val="18"/>
          <w:szCs w:val="18"/>
          <w:color w:val="auto"/>
        </w:rPr>
        <w:t>$162.3 million for the six months ended June 30, 2020, representing 94.4% and 82.6% of total revenue, respectively. The following table depicts service revenue by segment:</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Six Months Ended June 30,</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20" w:type="dxa"/>
            <w:vAlign w:val="bottom"/>
            <w:gridSpan w:val="4"/>
            <w:vMerge w:val="restart"/>
          </w:tcPr>
          <w:p>
            <w:pPr>
              <w:jc w:val="right"/>
              <w:ind w:right="780"/>
              <w:spacing w:after="0"/>
              <w:rPr>
                <w:sz w:val="20"/>
                <w:szCs w:val="20"/>
                <w:color w:val="auto"/>
              </w:rPr>
            </w:pPr>
            <w:r>
              <w:rPr>
                <w:rFonts w:ascii="Arial" w:cs="Arial" w:eastAsia="Arial" w:hAnsi="Arial"/>
                <w:sz w:val="14"/>
                <w:szCs w:val="14"/>
                <w:b w:val="1"/>
                <w:bCs w:val="1"/>
                <w:color w:val="auto"/>
              </w:rPr>
              <w:t>Percentage of Revenue</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80" w:type="dxa"/>
            <w:vAlign w:val="bottom"/>
            <w:gridSpan w:val="4"/>
          </w:tcPr>
          <w:p>
            <w:pPr>
              <w:ind w:left="240"/>
              <w:spacing w:after="0" w:line="133" w:lineRule="exact"/>
              <w:rPr>
                <w:sz w:val="20"/>
                <w:szCs w:val="20"/>
                <w:color w:val="auto"/>
              </w:rPr>
            </w:pPr>
            <w:r>
              <w:rPr>
                <w:rFonts w:ascii="Arial" w:cs="Arial" w:eastAsia="Arial" w:hAnsi="Arial"/>
                <w:sz w:val="14"/>
                <w:szCs w:val="14"/>
                <w:b w:val="1"/>
                <w:bCs w:val="1"/>
                <w:color w:val="auto"/>
              </w:rPr>
              <w:t>Increase (Decrease)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1740" w:type="dxa"/>
            <w:vAlign w:val="bottom"/>
            <w:vMerge w:val="restart"/>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ind w:right="27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ind w:right="278"/>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262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3"/>
          </w:tcPr>
          <w:p>
            <w:pPr>
              <w:ind w:left="460"/>
              <w:spacing w:after="0"/>
              <w:rPr>
                <w:sz w:val="20"/>
                <w:szCs w:val="20"/>
                <w:color w:val="auto"/>
              </w:rPr>
            </w:pPr>
            <w:r>
              <w:rPr>
                <w:rFonts w:ascii="Arial" w:cs="Arial" w:eastAsia="Arial" w:hAnsi="Arial"/>
                <w:sz w:val="14"/>
                <w:szCs w:val="14"/>
                <w:b w:val="1"/>
                <w:bCs w:val="1"/>
                <w:color w:val="auto"/>
                <w:w w:val="98"/>
              </w:rPr>
              <w:t>2021 vs 2020</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Borders>
              <w:top w:val="single" w:sz="8" w:color="auto"/>
            </w:tcBorders>
          </w:tcPr>
          <w:p>
            <w:pPr>
              <w:ind w:left="360"/>
              <w:spacing w:after="0" w:line="142"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278"/>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358"/>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7"/>
                <w:szCs w:val="17"/>
                <w:b w:val="1"/>
                <w:bCs w:val="1"/>
                <w:color w:val="auto"/>
              </w:rPr>
              <w:t>Service revenue</w:t>
            </w:r>
          </w:p>
        </w:tc>
        <w:tc>
          <w:tcPr>
            <w:tcW w:w="9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gridSpan w:val="2"/>
          </w:tcPr>
          <w:p>
            <w:pPr>
              <w:ind w:left="260"/>
              <w:spacing w:after="0"/>
              <w:rPr>
                <w:sz w:val="20"/>
                <w:szCs w:val="20"/>
                <w:color w:val="auto"/>
              </w:rPr>
            </w:pPr>
            <w:r>
              <w:rPr>
                <w:rFonts w:ascii="Arial" w:cs="Arial" w:eastAsia="Arial" w:hAnsi="Arial"/>
                <w:sz w:val="17"/>
                <w:szCs w:val="17"/>
                <w:color w:val="auto"/>
              </w:rPr>
              <w:t>Commercial Services</w:t>
            </w:r>
          </w:p>
        </w:tc>
        <w:tc>
          <w:tcPr>
            <w:tcW w:w="1180" w:type="dxa"/>
            <w:vAlign w:val="bottom"/>
            <w:gridSpan w:val="2"/>
          </w:tcPr>
          <w:p>
            <w:pPr>
              <w:jc w:val="right"/>
              <w:ind w:right="65"/>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112,169</w:t>
            </w:r>
          </w:p>
        </w:tc>
        <w:tc>
          <w:tcPr>
            <w:tcW w:w="24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88,514</w:t>
            </w:r>
          </w:p>
        </w:tc>
        <w:tc>
          <w:tcPr>
            <w:tcW w:w="2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7"/>
                <w:szCs w:val="17"/>
                <w:color w:val="auto"/>
              </w:rPr>
              <w:t>51.4%</w:t>
            </w: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45.0%</w:t>
            </w:r>
          </w:p>
        </w:tc>
        <w:tc>
          <w:tcPr>
            <w:tcW w:w="280" w:type="dxa"/>
            <w:vAlign w:val="bottom"/>
            <w:gridSpan w:val="2"/>
          </w:tcPr>
          <w:p>
            <w:pPr>
              <w:jc w:val="right"/>
              <w:ind w:right="152"/>
              <w:spacing w:after="0"/>
              <w:rPr>
                <w:sz w:val="20"/>
                <w:szCs w:val="20"/>
                <w:color w:val="auto"/>
              </w:rPr>
            </w:pPr>
            <w:r>
              <w:rPr>
                <w:rFonts w:ascii="Arial" w:cs="Arial" w:eastAsia="Arial" w:hAnsi="Arial"/>
                <w:sz w:val="15"/>
                <w:szCs w:val="15"/>
                <w:color w:val="auto"/>
                <w:w w:val="71"/>
              </w:rPr>
              <w:t>$</w:t>
            </w:r>
          </w:p>
        </w:tc>
        <w:tc>
          <w:tcPr>
            <w:tcW w:w="720" w:type="dxa"/>
            <w:vAlign w:val="bottom"/>
          </w:tcPr>
          <w:p>
            <w:pPr>
              <w:ind w:left="240"/>
              <w:spacing w:after="0"/>
              <w:rPr>
                <w:sz w:val="20"/>
                <w:szCs w:val="20"/>
                <w:color w:val="auto"/>
              </w:rPr>
            </w:pPr>
            <w:r>
              <w:rPr>
                <w:rFonts w:ascii="Arial" w:cs="Arial" w:eastAsia="Arial" w:hAnsi="Arial"/>
                <w:sz w:val="17"/>
                <w:szCs w:val="17"/>
                <w:color w:val="auto"/>
                <w:w w:val="88"/>
              </w:rPr>
              <w:t>23,655</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26.7%</w:t>
            </w: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FF0FC"/>
          </w:tcPr>
          <w:p>
            <w:pPr>
              <w:ind w:left="260"/>
              <w:spacing w:after="0"/>
              <w:rPr>
                <w:sz w:val="20"/>
                <w:szCs w:val="20"/>
                <w:color w:val="auto"/>
              </w:rPr>
            </w:pPr>
            <w:r>
              <w:rPr>
                <w:rFonts w:ascii="Arial" w:cs="Arial" w:eastAsia="Arial" w:hAnsi="Arial"/>
                <w:sz w:val="17"/>
                <w:szCs w:val="17"/>
                <w:color w:val="auto"/>
              </w:rPr>
              <w:t>Government Solutions</w:t>
            </w: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94,020</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73,798</w:t>
            </w:r>
          </w:p>
        </w:tc>
        <w:tc>
          <w:tcPr>
            <w:tcW w:w="2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43.0%</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37.6%</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ind w:left="240"/>
              <w:spacing w:after="0"/>
              <w:rPr>
                <w:sz w:val="20"/>
                <w:szCs w:val="20"/>
                <w:color w:val="auto"/>
              </w:rPr>
            </w:pPr>
            <w:r>
              <w:rPr>
                <w:rFonts w:ascii="Arial" w:cs="Arial" w:eastAsia="Arial" w:hAnsi="Arial"/>
                <w:sz w:val="17"/>
                <w:szCs w:val="17"/>
                <w:color w:val="auto"/>
                <w:w w:val="88"/>
              </w:rPr>
              <w:t>20,222</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27.4%</w:t>
            </w:r>
          </w:p>
        </w:tc>
        <w:tc>
          <w:tcPr>
            <w:tcW w:w="0" w:type="dxa"/>
            <w:vAlign w:val="bottom"/>
          </w:tcPr>
          <w:p>
            <w:pPr>
              <w:spacing w:after="0"/>
              <w:rPr>
                <w:sz w:val="1"/>
                <w:szCs w:val="1"/>
                <w:color w:val="auto"/>
              </w:rPr>
            </w:pPr>
          </w:p>
        </w:tc>
      </w:tr>
      <w:tr>
        <w:trPr>
          <w:trHeight w:val="20"/>
        </w:trPr>
        <w:tc>
          <w:tcPr>
            <w:tcW w:w="2740" w:type="dxa"/>
            <w:vAlign w:val="bottom"/>
            <w:gridSpan w:val="2"/>
            <w:vMerge w:val="restart"/>
          </w:tcPr>
          <w:p>
            <w:pPr>
              <w:spacing w:after="0"/>
              <w:rPr>
                <w:sz w:val="20"/>
                <w:szCs w:val="20"/>
                <w:color w:val="auto"/>
              </w:rPr>
            </w:pPr>
            <w:r>
              <w:rPr>
                <w:rFonts w:ascii="Arial" w:cs="Arial" w:eastAsia="Arial" w:hAnsi="Arial"/>
                <w:sz w:val="17"/>
                <w:szCs w:val="17"/>
                <w:color w:val="auto"/>
              </w:rPr>
              <w:t>Total service revenue</w:t>
            </w:r>
          </w:p>
        </w:tc>
        <w:tc>
          <w:tcPr>
            <w:tcW w:w="9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27.0%</w:t>
            </w:r>
          </w:p>
        </w:tc>
        <w:tc>
          <w:tcPr>
            <w:tcW w:w="0" w:type="dxa"/>
            <w:vAlign w:val="bottom"/>
          </w:tcPr>
          <w:p>
            <w:pPr>
              <w:spacing w:after="0" w:line="20" w:lineRule="exact"/>
              <w:rPr>
                <w:sz w:val="1"/>
                <w:szCs w:val="1"/>
                <w:color w:val="auto"/>
              </w:rPr>
            </w:pPr>
          </w:p>
        </w:tc>
      </w:tr>
      <w:tr>
        <w:trPr>
          <w:trHeight w:val="209"/>
        </w:trPr>
        <w:tc>
          <w:tcPr>
            <w:tcW w:w="274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206,189</w:t>
            </w:r>
          </w:p>
        </w:tc>
        <w:tc>
          <w:tcPr>
            <w:tcW w:w="24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162,312</w:t>
            </w:r>
          </w:p>
        </w:tc>
        <w:tc>
          <w:tcPr>
            <w:tcW w:w="2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7"/>
                <w:szCs w:val="17"/>
                <w:color w:val="auto"/>
              </w:rPr>
              <w:t>94.4%</w:t>
            </w: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82.6%</w:t>
            </w:r>
          </w:p>
        </w:tc>
        <w:tc>
          <w:tcPr>
            <w:tcW w:w="20" w:type="dxa"/>
            <w:vAlign w:val="bottom"/>
            <w:vMerge w:val="continue"/>
          </w:tcPr>
          <w:p>
            <w:pPr>
              <w:spacing w:after="0"/>
              <w:rPr>
                <w:sz w:val="18"/>
                <w:szCs w:val="18"/>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720" w:type="dxa"/>
            <w:vAlign w:val="bottom"/>
          </w:tcPr>
          <w:p>
            <w:pPr>
              <w:ind w:left="240"/>
              <w:spacing w:after="0"/>
              <w:rPr>
                <w:sz w:val="20"/>
                <w:szCs w:val="20"/>
                <w:color w:val="auto"/>
              </w:rPr>
            </w:pPr>
            <w:r>
              <w:rPr>
                <w:rFonts w:ascii="Arial" w:cs="Arial" w:eastAsia="Arial" w:hAnsi="Arial"/>
                <w:sz w:val="17"/>
                <w:szCs w:val="17"/>
                <w:color w:val="auto"/>
                <w:w w:val="88"/>
              </w:rPr>
              <w:t>43,877</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02"/>
        <w:spacing w:after="0" w:line="279" w:lineRule="auto"/>
        <w:rPr>
          <w:sz w:val="20"/>
          <w:szCs w:val="20"/>
          <w:color w:val="auto"/>
        </w:rPr>
      </w:pPr>
      <w:r>
        <w:rPr>
          <w:rFonts w:ascii="Arial" w:cs="Arial" w:eastAsia="Arial" w:hAnsi="Arial"/>
          <w:sz w:val="17"/>
          <w:szCs w:val="17"/>
          <w:color w:val="auto"/>
        </w:rPr>
        <w:t>Commercial Services service revenue increased by $23.7 million, or 26.7%, from $88.5 million for the six months ended June 30, 2020 to $112.2 million for the six months ended June 30, 2021. This increase was primarily due to the increased travel demand in the RAC industry that impacted volume in the six months ended June 30, 2021 compared to prior year which was negatively impacted by the COVID-19 pandemic. The consecutive revenue growth was approximately $20.7 million in the second quarter of 2021 compared to the first quarter of 2021.</w:t>
      </w:r>
    </w:p>
    <w:p>
      <w:pPr>
        <w:spacing w:after="0" w:line="198"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color w:val="auto"/>
        </w:rPr>
        <w:t>Government Solutions service revenue includes revenue from speed, red-light, school bus stop arm and bus lane photo enforcement systems. Service revenue increased by $20.2 million to $94.0 million for the six months ended June 30, 2021 from $73.8 million in the same period in 2020. Our speed program revenue grew approximately $15.9 million during the six months ended June 30, 2021 compared to the same period in 2020, due to an increase in the total number of camera systems installed in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9" w:name="page40"/>
    <w:bookmarkEnd w:id="39"/>
    <w:p>
      <w:pPr>
        <w:jc w:val="both"/>
        <w:spacing w:after="0" w:line="311" w:lineRule="auto"/>
        <w:rPr>
          <w:sz w:val="20"/>
          <w:szCs w:val="20"/>
          <w:color w:val="auto"/>
        </w:rPr>
      </w:pPr>
      <w:r>
        <w:rPr>
          <w:rFonts w:ascii="Arial" w:cs="Arial" w:eastAsia="Arial" w:hAnsi="Arial"/>
          <w:sz w:val="16"/>
          <w:szCs w:val="16"/>
          <w:color w:val="auto"/>
        </w:rPr>
        <w:t>2020 that had a full year impact in 2021, and this trend should continue into future quarters. In addition, revenue from red-light programs increased by $3.8 million which was mainly attributable to the inclusion of Redflex operations for twelve days in June 2021 with no comparable amounts in the prior year, and general increase in travel and related vehicle traffic in 2021 compared to prior year which was negatively impacted by the COVID-19 pandemic.</w:t>
      </w:r>
    </w:p>
    <w:p>
      <w:pPr>
        <w:spacing w:after="0" w:line="108"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color w:val="auto"/>
        </w:rPr>
        <w:t>We maintained an average of 5,352 active camera systems during the six months ended June 30, 2021 compared to an average of 4,147 for the six months ended June 30, 2020, excluding Redflex cameras for each respective period. The increase in active camera systems was primarily due to the expansion of speed enforcement systems with existing customers which was partially offset by 525 cameras that were temporarily inactive due to COVID-19.</w:t>
      </w:r>
    </w:p>
    <w:p>
      <w:pPr>
        <w:spacing w:after="0" w:line="160"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i w:val="1"/>
          <w:iCs w:val="1"/>
          <w:color w:val="auto"/>
        </w:rPr>
        <w:t xml:space="preserve">Product Sales. </w:t>
      </w:r>
      <w:r>
        <w:rPr>
          <w:rFonts w:ascii="Arial" w:cs="Arial" w:eastAsia="Arial" w:hAnsi="Arial"/>
          <w:sz w:val="18"/>
          <w:szCs w:val="18"/>
          <w:color w:val="auto"/>
        </w:rPr>
        <w:t>Product sales were $12.3 million and $34.2 million for the six months ended June 30, 2021 and 2020, respectively.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sales decreased $21.9 million due to the timing of installations at a single customer that is expanding its school zone speed program. Product sales revenue is generated from international customers and certain domestic customers in the Government Solutions segment who purchase their equipment and their buying patterns vary greatly from year to year.</w:t>
      </w:r>
    </w:p>
    <w:p>
      <w:pPr>
        <w:spacing w:after="0" w:line="146"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i w:val="1"/>
          <w:iCs w:val="1"/>
          <w:color w:val="auto"/>
        </w:rPr>
        <w:t xml:space="preserve">Cost of Service Revenue. </w:t>
      </w:r>
      <w:r>
        <w:rPr>
          <w:rFonts w:ascii="Arial" w:cs="Arial" w:eastAsia="Arial" w:hAnsi="Arial"/>
          <w:sz w:val="18"/>
          <w:szCs w:val="18"/>
          <w:color w:val="auto"/>
        </w:rPr>
        <w:t>Cost of service revenue remained constant at $2.2 million for both six month periods ended June 30, 2021 and 2020.</w:t>
      </w:r>
      <w:r>
        <w:rPr>
          <w:rFonts w:ascii="Arial" w:cs="Arial" w:eastAsia="Arial" w:hAnsi="Arial"/>
          <w:sz w:val="18"/>
          <w:szCs w:val="18"/>
          <w:i w:val="1"/>
          <w:iCs w:val="1"/>
          <w:color w:val="auto"/>
        </w:rPr>
        <w:t xml:space="preserve"> </w:t>
      </w:r>
      <w:r>
        <w:rPr>
          <w:rFonts w:ascii="Arial" w:cs="Arial" w:eastAsia="Arial" w:hAnsi="Arial"/>
          <w:sz w:val="18"/>
          <w:szCs w:val="18"/>
          <w:color w:val="auto"/>
        </w:rPr>
        <w:t>Cost of service revenue relates to costs of collection and other third-party professional services associated with the delivery of certain ancillary services performed by both of our segments.</w:t>
      </w:r>
    </w:p>
    <w:p>
      <w:pPr>
        <w:spacing w:after="0" w:line="143" w:lineRule="exact"/>
        <w:rPr>
          <w:sz w:val="20"/>
          <w:szCs w:val="20"/>
          <w:color w:val="auto"/>
        </w:rPr>
      </w:pPr>
    </w:p>
    <w:p>
      <w:pPr>
        <w:jc w:val="both"/>
        <w:ind w:right="20" w:firstLine="802"/>
        <w:spacing w:after="0" w:line="277" w:lineRule="auto"/>
        <w:rPr>
          <w:sz w:val="20"/>
          <w:szCs w:val="20"/>
          <w:color w:val="auto"/>
        </w:rPr>
      </w:pPr>
      <w:r>
        <w:rPr>
          <w:rFonts w:ascii="Arial" w:cs="Arial" w:eastAsia="Arial" w:hAnsi="Arial"/>
          <w:sz w:val="18"/>
          <w:szCs w:val="18"/>
          <w:i w:val="1"/>
          <w:iCs w:val="1"/>
          <w:color w:val="auto"/>
        </w:rPr>
        <w:t xml:space="preserve">Cost of Product Sales. </w:t>
      </w:r>
      <w:r>
        <w:rPr>
          <w:rFonts w:ascii="Arial" w:cs="Arial" w:eastAsia="Arial" w:hAnsi="Arial"/>
          <w:sz w:val="18"/>
          <w:szCs w:val="18"/>
          <w:color w:val="auto"/>
        </w:rPr>
        <w:t>Cost of product sales decreased by $11.6 million from $17.8 million in the six months ended June 30, 2020 to $6.2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six months ended June 30, 2021, which was consistent with the decrease in product sales.</w:t>
      </w:r>
    </w:p>
    <w:p>
      <w:pPr>
        <w:spacing w:after="0" w:line="143" w:lineRule="exact"/>
        <w:rPr>
          <w:sz w:val="20"/>
          <w:szCs w:val="20"/>
          <w:color w:val="auto"/>
        </w:rPr>
      </w:pPr>
    </w:p>
    <w:p>
      <w:pPr>
        <w:jc w:val="both"/>
        <w:ind w:firstLine="802"/>
        <w:spacing w:after="0" w:line="296"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Operating expenses increased by $8.0 million, or 13.5%, from $58.9 million for the six months ended June 30, 2020 to</w:t>
      </w:r>
      <w:r>
        <w:rPr>
          <w:rFonts w:ascii="Arial" w:cs="Arial" w:eastAsia="Arial" w:hAnsi="Arial"/>
          <w:sz w:val="16"/>
          <w:szCs w:val="16"/>
          <w:i w:val="1"/>
          <w:iCs w:val="1"/>
          <w:color w:val="auto"/>
        </w:rPr>
        <w:t xml:space="preserve"> </w:t>
      </w:r>
      <w:r>
        <w:rPr>
          <w:rFonts w:ascii="Arial" w:cs="Arial" w:eastAsia="Arial" w:hAnsi="Arial"/>
          <w:sz w:val="16"/>
          <w:szCs w:val="16"/>
          <w:color w:val="auto"/>
        </w:rPr>
        <w:t>$66.9 million for the six months ended June 30, 2021. The increase was primarily attributable to increase in wages expense, recurring services, and subcontractor expenses resulting from increased operations in 2021, which were lower in the 2020 year due to the impact from the COVID-19 pandemic. The increases in costs were partially offset by a decrease in operational equipment costs. Operating expenses as a percentage of revenue increased slightly from 30% to 30.6% for the six months ended June 30, 2020 and 2021, respectively. The following table presents operating expenses by segment:</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rPr>
              <w:t>Six Months Ended June 30,</w:t>
            </w: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20" w:type="dxa"/>
            <w:vAlign w:val="bottom"/>
            <w:gridSpan w:val="4"/>
            <w:vMerge w:val="restart"/>
          </w:tcPr>
          <w:p>
            <w:pPr>
              <w:jc w:val="right"/>
              <w:ind w:right="660"/>
              <w:spacing w:after="0"/>
              <w:rPr>
                <w:sz w:val="20"/>
                <w:szCs w:val="20"/>
                <w:color w:val="auto"/>
              </w:rPr>
            </w:pPr>
            <w:r>
              <w:rPr>
                <w:rFonts w:ascii="Arial" w:cs="Arial" w:eastAsia="Arial" w:hAnsi="Arial"/>
                <w:sz w:val="14"/>
                <w:szCs w:val="14"/>
                <w:b w:val="1"/>
                <w:bCs w:val="1"/>
                <w:color w:val="auto"/>
              </w:rPr>
              <w:t>Percentage of Revenue</w:t>
            </w:r>
          </w:p>
        </w:tc>
        <w:tc>
          <w:tcPr>
            <w:tcW w:w="260" w:type="dxa"/>
            <w:vAlign w:val="bottom"/>
          </w:tcPr>
          <w:p>
            <w:pPr>
              <w:spacing w:after="0"/>
              <w:rPr>
                <w:sz w:val="11"/>
                <w:szCs w:val="11"/>
                <w:color w:val="auto"/>
              </w:rPr>
            </w:pPr>
          </w:p>
        </w:tc>
        <w:tc>
          <w:tcPr>
            <w:tcW w:w="1820" w:type="dxa"/>
            <w:vAlign w:val="bottom"/>
            <w:gridSpan w:val="4"/>
          </w:tcPr>
          <w:p>
            <w:pPr>
              <w:jc w:val="center"/>
              <w:ind w:right="177"/>
              <w:spacing w:after="0" w:line="133" w:lineRule="exact"/>
              <w:rPr>
                <w:sz w:val="20"/>
                <w:szCs w:val="20"/>
                <w:color w:val="auto"/>
              </w:rPr>
            </w:pPr>
            <w:r>
              <w:rPr>
                <w:rFonts w:ascii="Arial" w:cs="Arial" w:eastAsia="Arial" w:hAnsi="Arial"/>
                <w:sz w:val="14"/>
                <w:szCs w:val="14"/>
                <w:b w:val="1"/>
                <w:bCs w:val="1"/>
                <w:color w:val="auto"/>
                <w:w w:val="90"/>
              </w:rPr>
              <w:t>Increase (Decrease)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32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242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3"/>
          </w:tcPr>
          <w:p>
            <w:pPr>
              <w:jc w:val="center"/>
              <w:ind w:left="260"/>
              <w:spacing w:after="0"/>
              <w:rPr>
                <w:sz w:val="20"/>
                <w:szCs w:val="20"/>
                <w:color w:val="auto"/>
              </w:rPr>
            </w:pPr>
            <w:r>
              <w:rPr>
                <w:rFonts w:ascii="Arial" w:cs="Arial" w:eastAsia="Arial" w:hAnsi="Arial"/>
                <w:sz w:val="14"/>
                <w:szCs w:val="14"/>
                <w:b w:val="1"/>
                <w:bCs w:val="1"/>
                <w:color w:val="auto"/>
                <w:w w:val="88"/>
              </w:rPr>
              <w:t>2021 vs 2020</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32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Borders>
              <w:top w:val="single" w:sz="8" w:color="auto"/>
            </w:tcBorders>
          </w:tcPr>
          <w:p>
            <w:pPr>
              <w:jc w:val="right"/>
              <w:ind w:right="240"/>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340"/>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2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7"/>
                <w:szCs w:val="17"/>
                <w:b w:val="1"/>
                <w:bCs w:val="1"/>
                <w:color w:val="auto"/>
              </w:rPr>
              <w:t>Operating expenses</w:t>
            </w:r>
          </w:p>
        </w:tc>
        <w:tc>
          <w:tcPr>
            <w:tcW w:w="18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ind w:left="260"/>
              <w:spacing w:after="0"/>
              <w:rPr>
                <w:sz w:val="20"/>
                <w:szCs w:val="20"/>
                <w:color w:val="auto"/>
              </w:rPr>
            </w:pPr>
            <w:r>
              <w:rPr>
                <w:rFonts w:ascii="Arial" w:cs="Arial" w:eastAsia="Arial" w:hAnsi="Arial"/>
                <w:sz w:val="17"/>
                <w:szCs w:val="17"/>
                <w:color w:val="auto"/>
              </w:rPr>
              <w:t>Commercial Services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30,196</w:t>
            </w:r>
          </w:p>
        </w:tc>
        <w:tc>
          <w:tcPr>
            <w:tcW w:w="24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27,280</w:t>
            </w:r>
          </w:p>
        </w:tc>
        <w:tc>
          <w:tcPr>
            <w:tcW w:w="2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13.8%</w:t>
            </w: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13.9%</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2,916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FF0FC"/>
          </w:tcPr>
          <w:p>
            <w:pPr>
              <w:ind w:left="260"/>
              <w:spacing w:after="0"/>
              <w:rPr>
                <w:sz w:val="20"/>
                <w:szCs w:val="20"/>
                <w:color w:val="auto"/>
              </w:rPr>
            </w:pPr>
            <w:r>
              <w:rPr>
                <w:rFonts w:ascii="Arial" w:cs="Arial" w:eastAsia="Arial" w:hAnsi="Arial"/>
                <w:sz w:val="17"/>
                <w:szCs w:val="17"/>
                <w:color w:val="auto"/>
              </w:rPr>
              <w:t>Government Solutions</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36,288</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31,164</w:t>
            </w: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16.6%</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15.8%</w:t>
            </w: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5,124</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16.4%</w:t>
            </w: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Arial" w:cs="Arial" w:eastAsia="Arial" w:hAnsi="Arial"/>
                <w:sz w:val="17"/>
                <w:szCs w:val="17"/>
                <w:color w:val="auto"/>
                <w:w w:val="92"/>
              </w:rPr>
              <w:t>Total operating expenses before stock-based compensation</w:t>
            </w: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13.8%</w:t>
            </w:r>
          </w:p>
        </w:tc>
        <w:tc>
          <w:tcPr>
            <w:tcW w:w="0" w:type="dxa"/>
            <w:vAlign w:val="bottom"/>
          </w:tcPr>
          <w:p>
            <w:pPr>
              <w:spacing w:after="0" w:line="20" w:lineRule="exact"/>
              <w:rPr>
                <w:sz w:val="1"/>
                <w:szCs w:val="1"/>
                <w:color w:val="auto"/>
              </w:rPr>
            </w:pPr>
          </w:p>
        </w:tc>
      </w:tr>
      <w:tr>
        <w:trPr>
          <w:trHeight w:val="210"/>
        </w:trPr>
        <w:tc>
          <w:tcPr>
            <w:tcW w:w="42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66,484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58,444</w:t>
            </w:r>
          </w:p>
        </w:tc>
        <w:tc>
          <w:tcPr>
            <w:tcW w:w="2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30.4%</w:t>
            </w: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29.7%</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8,040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Stock-based compensation</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442</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514</w:t>
            </w: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0.2%</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0.3%</w:t>
            </w:r>
          </w:p>
        </w:tc>
        <w:tc>
          <w:tcPr>
            <w:tcW w:w="2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(72)</w:t>
            </w:r>
          </w:p>
        </w:tc>
        <w:tc>
          <w:tcPr>
            <w:tcW w:w="3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(14.0)%</w:t>
            </w: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Arial" w:cs="Arial" w:eastAsia="Arial" w:hAnsi="Arial"/>
                <w:sz w:val="17"/>
                <w:szCs w:val="17"/>
                <w:color w:val="auto"/>
              </w:rPr>
              <w:t>Total operating expenses</w:t>
            </w: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13.5%</w:t>
            </w:r>
          </w:p>
        </w:tc>
        <w:tc>
          <w:tcPr>
            <w:tcW w:w="0" w:type="dxa"/>
            <w:vAlign w:val="bottom"/>
          </w:tcPr>
          <w:p>
            <w:pPr>
              <w:spacing w:after="0" w:line="20" w:lineRule="exact"/>
              <w:rPr>
                <w:sz w:val="1"/>
                <w:szCs w:val="1"/>
                <w:color w:val="auto"/>
              </w:rPr>
            </w:pPr>
          </w:p>
        </w:tc>
      </w:tr>
      <w:tr>
        <w:trPr>
          <w:trHeight w:val="210"/>
        </w:trPr>
        <w:tc>
          <w:tcPr>
            <w:tcW w:w="4200" w:type="dxa"/>
            <w:vAlign w:val="bottom"/>
            <w:gridSpan w:val="2"/>
            <w:vMerge w:val="continue"/>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66,926</w:t>
            </w:r>
          </w:p>
        </w:tc>
        <w:tc>
          <w:tcPr>
            <w:tcW w:w="24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58,958</w:t>
            </w:r>
          </w:p>
        </w:tc>
        <w:tc>
          <w:tcPr>
            <w:tcW w:w="2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30.6%</w:t>
            </w: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30.0%</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7,968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jc w:val="both"/>
        <w:ind w:firstLine="802"/>
        <w:spacing w:after="0" w:line="272"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Selling, general and administrative expenses increased by $8.0 million to $54.7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six months ended June 30, 2021 compared to $46.7 million for the same period in 2020. The increase is primarily due to $7.4 million in transaction costs incurred related to the Reflex acquisition, increased wages expense due to the reinstatement of employee bonus accrual in 2021, increased professional expenses and the inclusion of Redflex operations for the 12 days of June 2021 with no comparable amounts in prior year. These increases were partially offset by a $6.9 million reduction to the credit loss expense resulting from changes in loss rate estimates based on improved economic conditions. Selling, general and administrative expenses as a percentage of revenue increased from 23.8% to 25.1% for the six months ended June 30, 2020 and 2021, respectively. The following table presents selling, general and administrative expenses by segment: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0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20" w:type="dxa"/>
            <w:vAlign w:val="bottom"/>
            <w:gridSpan w:val="4"/>
            <w:vMerge w:val="restart"/>
          </w:tcPr>
          <w:p>
            <w:pPr>
              <w:jc w:val="right"/>
              <w:ind w:right="580"/>
              <w:spacing w:after="0"/>
              <w:rPr>
                <w:sz w:val="20"/>
                <w:szCs w:val="20"/>
                <w:color w:val="auto"/>
              </w:rPr>
            </w:pPr>
            <w:r>
              <w:rPr>
                <w:rFonts w:ascii="Arial" w:cs="Arial" w:eastAsia="Arial" w:hAnsi="Arial"/>
                <w:sz w:val="14"/>
                <w:szCs w:val="14"/>
                <w:b w:val="1"/>
                <w:bCs w:val="1"/>
                <w:color w:val="auto"/>
              </w:rPr>
              <w:t>Percentage of Revenue</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20" w:type="dxa"/>
            <w:vAlign w:val="bottom"/>
            <w:gridSpan w:val="4"/>
          </w:tcPr>
          <w:p>
            <w:pPr>
              <w:jc w:val="center"/>
              <w:ind w:right="176"/>
              <w:spacing w:after="0" w:line="133" w:lineRule="exact"/>
              <w:rPr>
                <w:sz w:val="20"/>
                <w:szCs w:val="20"/>
                <w:color w:val="auto"/>
              </w:rPr>
            </w:pPr>
            <w:r>
              <w:rPr>
                <w:rFonts w:ascii="Arial" w:cs="Arial" w:eastAsia="Arial" w:hAnsi="Arial"/>
                <w:sz w:val="14"/>
                <w:szCs w:val="14"/>
                <w:b w:val="1"/>
                <w:bCs w:val="1"/>
                <w:color w:val="auto"/>
                <w:w w:val="90"/>
              </w:rPr>
              <w:t>Increase (Decrease)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2840" w:type="dxa"/>
            <w:vAlign w:val="bottom"/>
            <w:vMerge w:val="restart"/>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232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tcPr>
          <w:p>
            <w:pPr>
              <w:jc w:val="center"/>
              <w:ind w:left="279"/>
              <w:spacing w:after="0"/>
              <w:rPr>
                <w:sz w:val="20"/>
                <w:szCs w:val="20"/>
                <w:color w:val="auto"/>
              </w:rPr>
            </w:pPr>
            <w:r>
              <w:rPr>
                <w:rFonts w:ascii="Arial" w:cs="Arial" w:eastAsia="Arial" w:hAnsi="Arial"/>
                <w:sz w:val="14"/>
                <w:szCs w:val="14"/>
                <w:b w:val="1"/>
                <w:bCs w:val="1"/>
                <w:color w:val="auto"/>
                <w:w w:val="91"/>
              </w:rPr>
              <w:t>2021 vs 2020</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28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359"/>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8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7"/>
                <w:szCs w:val="17"/>
                <w:b w:val="1"/>
                <w:bCs w:val="1"/>
                <w:color w:val="auto"/>
              </w:rPr>
              <w:t>Selling, general and administrative expenses</w:t>
            </w:r>
          </w:p>
        </w:tc>
        <w:tc>
          <w:tcPr>
            <w:tcW w:w="4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ind w:left="260"/>
              <w:spacing w:after="0"/>
              <w:rPr>
                <w:sz w:val="20"/>
                <w:szCs w:val="20"/>
                <w:color w:val="auto"/>
              </w:rPr>
            </w:pPr>
            <w:r>
              <w:rPr>
                <w:rFonts w:ascii="Arial" w:cs="Arial" w:eastAsia="Arial" w:hAnsi="Arial"/>
                <w:sz w:val="17"/>
                <w:szCs w:val="17"/>
                <w:color w:val="auto"/>
              </w:rPr>
              <w:t>Commercial Services</w:t>
            </w:r>
          </w:p>
        </w:tc>
        <w:tc>
          <w:tcPr>
            <w:tcW w:w="620" w:type="dxa"/>
            <w:vAlign w:val="bottom"/>
            <w:gridSpan w:val="2"/>
          </w:tcPr>
          <w:p>
            <w:pPr>
              <w:jc w:val="right"/>
              <w:ind w:right="45"/>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20,271</w:t>
            </w:r>
          </w:p>
        </w:tc>
        <w:tc>
          <w:tcPr>
            <w:tcW w:w="22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23,575</w:t>
            </w:r>
          </w:p>
        </w:tc>
        <w:tc>
          <w:tcPr>
            <w:tcW w:w="2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9.3%</w:t>
            </w: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12.0%</w:t>
            </w:r>
          </w:p>
        </w:tc>
        <w:tc>
          <w:tcPr>
            <w:tcW w:w="320" w:type="dxa"/>
            <w:vAlign w:val="bottom"/>
            <w:gridSpan w:val="2"/>
          </w:tcPr>
          <w:p>
            <w:pPr>
              <w:jc w:val="right"/>
              <w:ind w:right="85"/>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(3,304)</w:t>
            </w: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(14.0)%</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FF0FC"/>
          </w:tcPr>
          <w:p>
            <w:pPr>
              <w:ind w:left="260"/>
              <w:spacing w:after="0"/>
              <w:rPr>
                <w:sz w:val="20"/>
                <w:szCs w:val="20"/>
                <w:color w:val="auto"/>
              </w:rPr>
            </w:pPr>
            <w:r>
              <w:rPr>
                <w:rFonts w:ascii="Arial" w:cs="Arial" w:eastAsia="Arial" w:hAnsi="Arial"/>
                <w:sz w:val="17"/>
                <w:szCs w:val="17"/>
                <w:color w:val="auto"/>
              </w:rPr>
              <w:t>Government Solutions</w:t>
            </w: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20,930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16,819</w:t>
            </w: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9.6%</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8.6%</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4,111</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24.4%</w:t>
            </w:r>
          </w:p>
        </w:tc>
        <w:tc>
          <w:tcPr>
            <w:tcW w:w="0" w:type="dxa"/>
            <w:vAlign w:val="bottom"/>
          </w:tcPr>
          <w:p>
            <w:pPr>
              <w:spacing w:after="0"/>
              <w:rPr>
                <w:sz w:val="1"/>
                <w:szCs w:val="1"/>
                <w:color w:val="auto"/>
              </w:rPr>
            </w:pPr>
          </w:p>
        </w:tc>
      </w:tr>
      <w:tr>
        <w:trPr>
          <w:trHeight w:val="216"/>
        </w:trPr>
        <w:tc>
          <w:tcPr>
            <w:tcW w:w="3840" w:type="dxa"/>
            <w:vAlign w:val="bottom"/>
            <w:gridSpan w:val="2"/>
          </w:tcPr>
          <w:p>
            <w:pPr>
              <w:ind w:left="260"/>
              <w:spacing w:after="0"/>
              <w:rPr>
                <w:sz w:val="20"/>
                <w:szCs w:val="20"/>
                <w:color w:val="auto"/>
              </w:rPr>
            </w:pPr>
            <w:r>
              <w:rPr>
                <w:rFonts w:ascii="Arial" w:cs="Arial" w:eastAsia="Arial" w:hAnsi="Arial"/>
                <w:sz w:val="17"/>
                <w:szCs w:val="17"/>
                <w:color w:val="auto"/>
              </w:rPr>
              <w:t>Corporate and other</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7,432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788</w:t>
            </w:r>
          </w:p>
        </w:tc>
        <w:tc>
          <w:tcPr>
            <w:tcW w:w="2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3.4%</w:t>
            </w: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0.4%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6,644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843.1%</w:t>
            </w:r>
          </w:p>
        </w:tc>
        <w:tc>
          <w:tcPr>
            <w:tcW w:w="0" w:type="dxa"/>
            <w:vAlign w:val="bottom"/>
          </w:tcPr>
          <w:p>
            <w:pPr>
              <w:spacing w:after="0"/>
              <w:rPr>
                <w:sz w:val="1"/>
                <w:szCs w:val="1"/>
                <w:color w:val="auto"/>
              </w:rPr>
            </w:pPr>
          </w:p>
        </w:tc>
      </w:tr>
      <w:tr>
        <w:trPr>
          <w:trHeight w:val="192"/>
        </w:trPr>
        <w:tc>
          <w:tcPr>
            <w:tcW w:w="3840" w:type="dxa"/>
            <w:vAlign w:val="bottom"/>
            <w:tcBorders>
              <w:top w:val="single" w:sz="8" w:color="CFF0FC"/>
            </w:tcBorders>
            <w:gridSpan w:val="2"/>
            <w:shd w:val="clear" w:color="auto" w:fill="CFF0FC"/>
          </w:tcPr>
          <w:p>
            <w:pPr>
              <w:spacing w:after="0" w:line="192" w:lineRule="exact"/>
              <w:rPr>
                <w:sz w:val="20"/>
                <w:szCs w:val="20"/>
                <w:color w:val="auto"/>
              </w:rPr>
            </w:pPr>
            <w:r>
              <w:rPr>
                <w:rFonts w:ascii="Arial" w:cs="Arial" w:eastAsia="Arial" w:hAnsi="Arial"/>
                <w:sz w:val="17"/>
                <w:szCs w:val="17"/>
                <w:color w:val="auto"/>
              </w:rPr>
              <w:t>Total selling, general and administrative</w:t>
            </w:r>
          </w:p>
        </w:tc>
        <w:tc>
          <w:tcPr>
            <w:tcW w:w="42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280" w:type="dxa"/>
            <w:vAlign w:val="bottom"/>
            <w:tcBorders>
              <w:top w:val="single" w:sz="8" w:color="CFF0FC"/>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320" w:type="dxa"/>
            <w:vAlign w:val="bottom"/>
            <w:tcBorders>
              <w:top w:val="single" w:sz="8" w:color="CFF0FC"/>
            </w:tcBorders>
            <w:shd w:val="clear" w:color="auto" w:fill="CFF0FC"/>
          </w:tcPr>
          <w:p>
            <w:pPr>
              <w:spacing w:after="0"/>
              <w:rPr>
                <w:sz w:val="16"/>
                <w:szCs w:val="16"/>
                <w:color w:val="auto"/>
              </w:rPr>
            </w:pPr>
          </w:p>
        </w:tc>
        <w:tc>
          <w:tcPr>
            <w:tcW w:w="60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8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expenses before stock-based compensation</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48,633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41,182</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22.3%</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21.0%</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7,451</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18.1%</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7"/>
                <w:szCs w:val="17"/>
                <w:color w:val="auto"/>
              </w:rPr>
              <w:t>Stock-based compensation</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6,039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5,525</w:t>
            </w:r>
          </w:p>
        </w:tc>
        <w:tc>
          <w:tcPr>
            <w:tcW w:w="2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2.8%</w:t>
            </w: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2.8%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514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0"/>
        </w:trPr>
        <w:tc>
          <w:tcPr>
            <w:tcW w:w="3840" w:type="dxa"/>
            <w:vAlign w:val="bottom"/>
            <w:gridSpan w:val="2"/>
            <w:vMerge w:val="restart"/>
            <w:shd w:val="clear" w:color="auto" w:fill="CFF0FC"/>
          </w:tcPr>
          <w:p>
            <w:pPr>
              <w:spacing w:after="0"/>
              <w:rPr>
                <w:sz w:val="20"/>
                <w:szCs w:val="20"/>
                <w:color w:val="auto"/>
              </w:rPr>
            </w:pPr>
            <w:r>
              <w:rPr>
                <w:rFonts w:ascii="Arial" w:cs="Arial" w:eastAsia="Arial" w:hAnsi="Arial"/>
                <w:sz w:val="17"/>
                <w:szCs w:val="17"/>
                <w:color w:val="auto"/>
              </w:rPr>
              <w:t>Total selling, general and administrative expenses</w:t>
            </w:r>
          </w:p>
        </w:tc>
        <w:tc>
          <w:tcPr>
            <w:tcW w:w="42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2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7"/>
                <w:szCs w:val="17"/>
                <w:color w:val="auto"/>
              </w:rPr>
              <w:t>17.1%</w:t>
            </w:r>
          </w:p>
        </w:tc>
        <w:tc>
          <w:tcPr>
            <w:tcW w:w="0" w:type="dxa"/>
            <w:vAlign w:val="bottom"/>
          </w:tcPr>
          <w:p>
            <w:pPr>
              <w:spacing w:after="0" w:line="20" w:lineRule="exact"/>
              <w:rPr>
                <w:sz w:val="1"/>
                <w:szCs w:val="1"/>
                <w:color w:val="auto"/>
              </w:rPr>
            </w:pPr>
          </w:p>
        </w:tc>
      </w:tr>
      <w:tr>
        <w:trPr>
          <w:trHeight w:val="209"/>
        </w:trPr>
        <w:tc>
          <w:tcPr>
            <w:tcW w:w="3840" w:type="dxa"/>
            <w:vAlign w:val="bottom"/>
            <w:gridSpan w:val="2"/>
            <w:vMerge w:val="continue"/>
            <w:shd w:val="clear" w:color="auto" w:fill="CFF0FC"/>
          </w:tcPr>
          <w:p>
            <w:pPr>
              <w:spacing w:after="0"/>
              <w:rPr>
                <w:sz w:val="18"/>
                <w:szCs w:val="18"/>
                <w:color w:val="auto"/>
              </w:rPr>
            </w:pPr>
          </w:p>
        </w:tc>
        <w:tc>
          <w:tcPr>
            <w:tcW w:w="42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54,672</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46,707</w:t>
            </w: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25.1%</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23.8%</w:t>
            </w:r>
          </w:p>
        </w:tc>
        <w:tc>
          <w:tcPr>
            <w:tcW w:w="8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7,965</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Borders>
              <w:top w:val="single" w:sz="8" w:color="CFF0FC"/>
            </w:tcBorders>
          </w:tcPr>
          <w:p>
            <w:pPr>
              <w:spacing w:after="0" w:line="20" w:lineRule="exact"/>
              <w:rPr>
                <w:sz w:val="1"/>
                <w:szCs w:val="1"/>
                <w:color w:val="auto"/>
              </w:rPr>
            </w:pPr>
          </w:p>
        </w:tc>
        <w:tc>
          <w:tcPr>
            <w:tcW w:w="284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i w:val="1"/>
          <w:iCs w:val="1"/>
          <w:color w:val="auto"/>
        </w:rPr>
        <w:t xml:space="preserve">Depreciation, Amortization and (Gain) Loss on Disposal of Assets, Net. </w:t>
      </w:r>
      <w:r>
        <w:rPr>
          <w:rFonts w:ascii="Arial" w:cs="Arial" w:eastAsia="Arial" w:hAnsi="Arial"/>
          <w:sz w:val="18"/>
          <w:szCs w:val="18"/>
          <w:color w:val="auto"/>
        </w:rPr>
        <w:t>Depreciation, amortization and (gain) loss on disposal of assets, net,</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decreased from $58.4 million for the six months ended June 30, 2020 to $55.3 million for the same period in 2021. The decrease was mainly due to certain trademark intangibles being fully amortized for four months out of the six months period ended June 30, 2021.</w:t>
      </w:r>
    </w:p>
    <w:p>
      <w:pPr>
        <w:spacing w:after="0" w:line="143"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Interest expense, net decreased by approximately $1.2 million from $22.0 million for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2020 to $20.8 million for the same period in 2021. The decrease is primarily due to lower interest rates in 2021 compared to the same period in 2020. See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below.</w:t>
      </w:r>
    </w:p>
    <w:p>
      <w:pPr>
        <w:spacing w:after="0" w:line="157"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i w:val="1"/>
          <w:iCs w:val="1"/>
          <w:color w:val="auto"/>
        </w:rPr>
        <w:t>Tax Receivable Agreement Liability Adjustment</w:t>
      </w:r>
      <w:r>
        <w:rPr>
          <w:rFonts w:ascii="Arial" w:cs="Arial" w:eastAsia="Arial" w:hAnsi="Arial"/>
          <w:sz w:val="18"/>
          <w:szCs w:val="18"/>
          <w:color w:val="auto"/>
        </w:rPr>
        <w:t>. We recorded $1.7 million and $4.4 million in charges for the six months ended June 30, 2021</w:t>
      </w:r>
      <w:r>
        <w:rPr>
          <w:rFonts w:ascii="Arial" w:cs="Arial" w:eastAsia="Arial" w:hAnsi="Arial"/>
          <w:sz w:val="18"/>
          <w:szCs w:val="18"/>
          <w:i w:val="1"/>
          <w:iCs w:val="1"/>
          <w:color w:val="auto"/>
        </w:rPr>
        <w:t xml:space="preserve"> </w:t>
      </w:r>
      <w:r>
        <w:rPr>
          <w:rFonts w:ascii="Arial" w:cs="Arial" w:eastAsia="Arial" w:hAnsi="Arial"/>
          <w:sz w:val="18"/>
          <w:szCs w:val="18"/>
          <w:color w:val="auto"/>
        </w:rPr>
        <w:t>and 2020, respectively. The TRA liability adjustment in 2021 is arising from higher estimated state tax rates due to changes in statutory rates, whereas in 2020 it is arising from higher estimated state tax rates due to a change in apportionment.</w:t>
      </w:r>
    </w:p>
    <w:p>
      <w:pPr>
        <w:spacing w:after="0" w:line="143"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We pay a high volume of tolls on behalf of our customers with purchasing cards which generate rebates based on volume,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terms and rebate frequency. Other income, net was $5.8 million for the six months ended June 30, 2021, compared to $4.4 million for the six months ended June 30, 2020. The increase is attributable to increased tolling activity due to travel demand that positively affected the RAC industry during the six months ended June 30, 2021.</w:t>
      </w:r>
    </w:p>
    <w:p>
      <w:pPr>
        <w:spacing w:after="0" w:line="146" w:lineRule="exact"/>
        <w:rPr>
          <w:sz w:val="20"/>
          <w:szCs w:val="20"/>
          <w:color w:val="auto"/>
        </w:rPr>
      </w:pPr>
    </w:p>
    <w:p>
      <w:pPr>
        <w:jc w:val="both"/>
        <w:ind w:firstLine="802"/>
        <w:spacing w:after="0" w:line="311" w:lineRule="auto"/>
        <w:rPr>
          <w:sz w:val="20"/>
          <w:szCs w:val="20"/>
          <w:color w:val="auto"/>
        </w:rPr>
      </w:pPr>
      <w:r>
        <w:rPr>
          <w:rFonts w:ascii="Arial" w:cs="Arial" w:eastAsia="Arial" w:hAnsi="Arial"/>
          <w:sz w:val="16"/>
          <w:szCs w:val="16"/>
          <w:i w:val="1"/>
          <w:iCs w:val="1"/>
          <w:color w:val="auto"/>
        </w:rPr>
        <w:t xml:space="preserve">Income Tax Provision (Benefit). </w:t>
      </w:r>
      <w:r>
        <w:rPr>
          <w:rFonts w:ascii="Arial" w:cs="Arial" w:eastAsia="Arial" w:hAnsi="Arial"/>
          <w:sz w:val="16"/>
          <w:szCs w:val="16"/>
          <w:color w:val="auto"/>
        </w:rPr>
        <w:t>Income tax provision was $6.0 million representing an effective tax rate of 549.6% for the six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30, 2021 compared to a tax benefit of $0.8 million, representing an effective tax benefit rate of 33.9% for the same period in 2020. The primary driver of the effective tax rate variance is from the Company’s permanent differences related to the mark-to-market adjustment on the private placement warrants.</w:t>
      </w:r>
    </w:p>
    <w:p>
      <w:pPr>
        <w:spacing w:after="0" w:line="122"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i w:val="1"/>
          <w:iCs w:val="1"/>
          <w:color w:val="auto"/>
        </w:rPr>
        <w:t xml:space="preserve">Net Loss. </w:t>
      </w:r>
      <w:r>
        <w:rPr>
          <w:rFonts w:ascii="Arial" w:cs="Arial" w:eastAsia="Arial" w:hAnsi="Arial"/>
          <w:sz w:val="18"/>
          <w:szCs w:val="18"/>
          <w:color w:val="auto"/>
        </w:rPr>
        <w:t>We had a net loss of $ 4.9 million for the six months ended June 30, 2021, as compared to a net loss of $1.6 million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2020. The increase in net loss was mainly due to other expenses incurred related to the change in the fair value of Private Placement Warrants and loss on extinguishment of debt, and the other statements of operations activity discussed above.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color w:val="auto"/>
        </w:rPr>
        <w:t>Our principal sources of liquidity are cash flow from operations and available borrowings under our 2021 Term Loan, Unsecured Senior Notes and the Revolver (all of which are defined below).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1" w:name="page42"/>
    <w:bookmarkEnd w:id="41"/>
    <w:p>
      <w:pPr>
        <w:ind w:left="800"/>
        <w:spacing w:after="0"/>
        <w:rPr>
          <w:sz w:val="20"/>
          <w:szCs w:val="20"/>
          <w:color w:val="auto"/>
        </w:rPr>
      </w:pPr>
      <w:r>
        <w:rPr>
          <w:rFonts w:ascii="Arial" w:cs="Arial" w:eastAsia="Arial" w:hAnsi="Arial"/>
          <w:sz w:val="16"/>
          <w:szCs w:val="16"/>
          <w:color w:val="auto"/>
        </w:rPr>
        <w:t>We have incurred significant long-term debt as a result of acquisitions completed in prior years as well as the Redflex acquisition in the current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184" w:lineRule="exact"/>
        <w:rPr>
          <w:sz w:val="20"/>
          <w:szCs w:val="20"/>
          <w:color w:val="auto"/>
        </w:rPr>
      </w:pPr>
    </w:p>
    <w:p>
      <w:pPr>
        <w:jc w:val="both"/>
        <w:ind w:firstLine="802"/>
        <w:spacing w:after="0" w:line="254" w:lineRule="auto"/>
        <w:rPr>
          <w:sz w:val="20"/>
          <w:szCs w:val="20"/>
          <w:color w:val="auto"/>
        </w:rPr>
      </w:pPr>
      <w:r>
        <w:rPr>
          <w:rFonts w:ascii="Arial" w:cs="Arial" w:eastAsia="Arial" w:hAnsi="Arial"/>
          <w:sz w:val="18"/>
          <w:szCs w:val="18"/>
          <w:color w:val="auto"/>
        </w:rPr>
        <w:t>We believe that our existing cash and cash equivalents, cash flows provided by operating activities and our availability to borrow under our Revolver (as defined below) will be sufficient to meet operating cash requirements and service debt obligations for at least the next 12 months. Our ability to generate sufficient cash from our operating activities depends on our future performance, which is subject to general economic, political, financial, competitive and other factors beyond our control. In addition, our future capital expenditures and other cash requirements could be higher than currently expected due to various factors, including any expansion of our business or strategic acquisitions. Should we pursue strategic acquisitions, we may need to raise additional capital, which may be in the form of additional long-term debt, borrowings on our Revolver, or equity financings, all of which may not be available to us on favorable terms or at all.</w:t>
      </w:r>
    </w:p>
    <w:p>
      <w:pPr>
        <w:spacing w:after="0" w:line="154"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color w:val="auto"/>
        </w:rPr>
        <w:t>We have the ability to borrow under our Revolver to meet obligations as they come due. As of June 30, 2021, we had $57.0 million available for borrowing, net of letters of credit, under our Revolver.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225" w:lineRule="exact"/>
        <w:rPr>
          <w:sz w:val="20"/>
          <w:szCs w:val="20"/>
          <w:color w:val="auto"/>
        </w:rPr>
      </w:pPr>
    </w:p>
    <w:p>
      <w:pPr>
        <w:jc w:val="both"/>
        <w:ind w:firstLine="802"/>
        <w:spacing w:after="0" w:line="288" w:lineRule="auto"/>
        <w:rPr>
          <w:sz w:val="20"/>
          <w:szCs w:val="20"/>
          <w:color w:val="auto"/>
        </w:rPr>
      </w:pPr>
      <w:r>
        <w:rPr>
          <w:rFonts w:ascii="Arial" w:cs="Arial" w:eastAsia="Arial" w:hAnsi="Arial"/>
          <w:sz w:val="16"/>
          <w:szCs w:val="16"/>
          <w:color w:val="auto"/>
        </w:rPr>
        <w:t>As of June 30, 2021, the City of New York Department of Transportation (“</w:t>
      </w:r>
      <w:r>
        <w:rPr>
          <w:rFonts w:ascii="Arial" w:cs="Arial" w:eastAsia="Arial" w:hAnsi="Arial"/>
          <w:sz w:val="16"/>
          <w:szCs w:val="16"/>
          <w:b w:val="1"/>
          <w:bCs w:val="1"/>
          <w:i w:val="1"/>
          <w:iCs w:val="1"/>
          <w:color w:val="auto"/>
        </w:rPr>
        <w:t>NYCDOT</w:t>
      </w:r>
      <w:r>
        <w:rPr>
          <w:rFonts w:ascii="Arial" w:cs="Arial" w:eastAsia="Arial" w:hAnsi="Arial"/>
          <w:sz w:val="16"/>
          <w:szCs w:val="16"/>
          <w:color w:val="auto"/>
        </w:rPr>
        <w:t>”) represented 59% of total accounts receivable, net. The Company provides photo enforcement services to NYCDOT under two primary agreements, (i) a legacy contract relating to photo enforcement cameras that were installed prior to fiscal year 2020 (the “</w:t>
      </w:r>
      <w:r>
        <w:rPr>
          <w:rFonts w:ascii="Arial" w:cs="Arial" w:eastAsia="Arial" w:hAnsi="Arial"/>
          <w:sz w:val="16"/>
          <w:szCs w:val="16"/>
          <w:b w:val="1"/>
          <w:bCs w:val="1"/>
          <w:i w:val="1"/>
          <w:iCs w:val="1"/>
          <w:color w:val="auto"/>
        </w:rPr>
        <w:t>Legacy Contract</w:t>
      </w:r>
      <w:r>
        <w:rPr>
          <w:rFonts w:ascii="Arial" w:cs="Arial" w:eastAsia="Arial" w:hAnsi="Arial"/>
          <w:sz w:val="16"/>
          <w:szCs w:val="16"/>
          <w:color w:val="auto"/>
        </w:rPr>
        <w:t>”), and (ii) an emergency contract for the purchase, installation, maintenance and operation of the expanded speed camera program beginning in 2020 (the “</w:t>
      </w:r>
      <w:r>
        <w:rPr>
          <w:rFonts w:ascii="Arial" w:cs="Arial" w:eastAsia="Arial" w:hAnsi="Arial"/>
          <w:sz w:val="16"/>
          <w:szCs w:val="16"/>
          <w:b w:val="1"/>
          <w:bCs w:val="1"/>
          <w:i w:val="1"/>
          <w:iCs w:val="1"/>
          <w:color w:val="auto"/>
        </w:rPr>
        <w:t>Emergency Contract</w:t>
      </w:r>
      <w:r>
        <w:rPr>
          <w:rFonts w:ascii="Arial" w:cs="Arial" w:eastAsia="Arial" w:hAnsi="Arial"/>
          <w:sz w:val="16"/>
          <w:szCs w:val="16"/>
          <w:color w:val="auto"/>
        </w:rPr>
        <w:t>”). At June 30, 2021, the Legacy Contract had an open receivable balance of $30.8 million, of which $22.3 million had aged beyond NYCDOT’s 45-day payment terms. As of June 30, 2021, the Company has invoiced NYCDOT for $64.4 million in product revenue and $36.7 million in service revenue under the Emergency Contract, and the Emergency Contract had an open receivable balance of $96.3 million, of which $79.5 million had aged beyond NYCDOT’s 45-day payment terms. The total outstanding receivables balance has increased approximately $6 million in the second quarter of 2021 compared to the first quarter due to additional invoices under both contracts. The Company collected $28.1 million during the second quarter of 2021 related to both contracts. There is no material reserve related to open receivables as amounts are deemed collectible based on current conditions and expectations. Please also see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w:t>
      </w:r>
    </w:p>
    <w:p>
      <w:pPr>
        <w:spacing w:after="0" w:line="14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table sets forth certain captions indicated on our statements of cash flows for the respective periods: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thousands)</w:t>
            </w:r>
          </w:p>
        </w:tc>
        <w:tc>
          <w:tcPr>
            <w:tcW w:w="6720" w:type="dxa"/>
            <w:vAlign w:val="bottom"/>
            <w:vMerge w:val="restart"/>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2"/>
        </w:trPr>
        <w:tc>
          <w:tcPr>
            <w:tcW w:w="1000" w:type="dxa"/>
            <w:vAlign w:val="bottom"/>
            <w:tcBorders>
              <w:bottom w:val="single" w:sz="8" w:color="auto"/>
            </w:tcBorders>
            <w:vMerge w:val="continue"/>
          </w:tcPr>
          <w:p>
            <w:pPr>
              <w:spacing w:after="0"/>
              <w:rPr>
                <w:sz w:val="14"/>
                <w:szCs w:val="14"/>
                <w:color w:val="auto"/>
              </w:rPr>
            </w:pPr>
          </w:p>
        </w:tc>
        <w:tc>
          <w:tcPr>
            <w:tcW w:w="6720" w:type="dxa"/>
            <w:vAlign w:val="bottom"/>
            <w:vMerge w:val="continue"/>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560"/>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558"/>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7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7"/>
                <w:szCs w:val="17"/>
                <w:color w:val="auto"/>
              </w:rPr>
              <w:t>Net cash provided by operating activities</w:t>
            </w:r>
          </w:p>
        </w:tc>
        <w:tc>
          <w:tcPr>
            <w:tcW w:w="360" w:type="dxa"/>
            <w:vAlign w:val="bottom"/>
            <w:tcBorders>
              <w:top w:val="single" w:sz="8" w:color="auto"/>
            </w:tcBorders>
            <w:shd w:val="clear" w:color="auto" w:fill="CFF0FC"/>
          </w:tcPr>
          <w:p>
            <w:pPr>
              <w:jc w:val="right"/>
              <w:ind w:right="175"/>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37,478</w:t>
            </w:r>
          </w:p>
        </w:tc>
        <w:tc>
          <w:tcPr>
            <w:tcW w:w="28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jc w:val="right"/>
              <w:ind w:right="175"/>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22,543</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Arial" w:cs="Arial" w:eastAsia="Arial" w:hAnsi="Arial"/>
                <w:sz w:val="17"/>
                <w:szCs w:val="17"/>
                <w:color w:val="auto"/>
              </w:rPr>
              <w:t>Net cash used in investing activities</w:t>
            </w:r>
          </w:p>
        </w:tc>
        <w:tc>
          <w:tcPr>
            <w:tcW w:w="3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7"/>
                <w:szCs w:val="17"/>
                <w:color w:val="auto"/>
              </w:rPr>
              <w:t>(115,102)</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(14,252)</w:t>
            </w: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Net cash provided by (used in) financing activities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107,030</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(25,501)</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85" w:lineRule="exact"/>
        <w:rPr>
          <w:sz w:val="20"/>
          <w:szCs w:val="20"/>
          <w:color w:val="auto"/>
        </w:rPr>
      </w:pPr>
    </w:p>
    <w:p>
      <w:pPr>
        <w:jc w:val="both"/>
        <w:ind w:firstLine="802"/>
        <w:spacing w:after="0" w:line="255" w:lineRule="auto"/>
        <w:rPr>
          <w:sz w:val="20"/>
          <w:szCs w:val="20"/>
          <w:color w:val="auto"/>
        </w:rPr>
      </w:pPr>
      <w:r>
        <w:rPr>
          <w:rFonts w:ascii="Arial" w:cs="Arial" w:eastAsia="Arial" w:hAnsi="Arial"/>
          <w:sz w:val="18"/>
          <w:szCs w:val="18"/>
          <w:color w:val="auto"/>
        </w:rPr>
        <w:t>Cash provided by operating activities increased by $14.9 million, from $22.5 million for the six months ended June 30, 2020 to $37.5 million for the six months ended June 30, 2021. Net loss year over year increased by $3.3 million, from $1.6 million in 2020 to $4.9 million in 2021. We had increases to adjustments to net loss resulting from changes in the fair value of private placement warrants and the $5.3 million loss on extinguishment of debt, which were offset partially by the change in the TRA liability adjustment and the decrease in the credit loss expense. The major changes in operating assets and liabilities were driven by an increase in accounts payable and accrued liabilities, which was partially offset by a decrease in unbilled receivables and prepaid assets compared to the prior year.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98"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color w:val="auto"/>
        </w:rPr>
        <w:t>Cash used in investing activities was $115.1 million and $14.3 million for the six months ended June 30, 2021 and 2020, respectively. The cash used in 2021 was primarily related to the acquisition of Redflex on June 17, 2021 by VM Consolidated, Inc. of one hundred percent of the outstanding equity of Redflex at A$0.96 per share for total consideration of A$152.5 million, or approximately US$117.9 million. The cash used in 2020 was related to purchases of installation and service parts and property and equipment.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98" w:lineRule="exact"/>
        <w:rPr>
          <w:sz w:val="20"/>
          <w:szCs w:val="20"/>
          <w:color w:val="auto"/>
        </w:rPr>
      </w:pPr>
    </w:p>
    <w:p>
      <w:pPr>
        <w:jc w:val="both"/>
        <w:ind w:firstLine="802"/>
        <w:spacing w:after="0" w:line="273" w:lineRule="auto"/>
        <w:rPr>
          <w:sz w:val="20"/>
          <w:szCs w:val="20"/>
          <w:color w:val="auto"/>
        </w:rPr>
      </w:pPr>
      <w:r>
        <w:rPr>
          <w:rFonts w:ascii="Arial" w:cs="Arial" w:eastAsia="Arial" w:hAnsi="Arial"/>
          <w:sz w:val="17"/>
          <w:szCs w:val="17"/>
          <w:color w:val="auto"/>
        </w:rPr>
        <w:t>Cash provided by (used in) financing activities was $107.0 million and $(25.5) million for the six months ended June 30, 2021 and 2020, respectively. We had aggregate borrowings of $996.8 million during 2021 consisting of the 2021 Term Loan and Senior Notes (defined below) and repayments of $881.3 million on outstanding debt related to the 2018 and 2021 Term Loans, and debt related to Redflex subsequent to the acquisition. The 2018 Term Loan has been fully repaid in March 2021. The aggregate borrowings net of the repayments were used in part to fund the close of the Redflex acquisition discussed above. The cash used in financing activities in 2020 was mainly due to a $19.7 million mandatory prepayment of excess cash flows we made pursuant to the terms of the 2018 Term Loan, and costs associated with refinancing it in February 2020.</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Term Loan and Senior Notes</w:t>
      </w:r>
    </w:p>
    <w:p>
      <w:pPr>
        <w:spacing w:after="0" w:line="252" w:lineRule="exact"/>
        <w:rPr>
          <w:sz w:val="20"/>
          <w:szCs w:val="20"/>
          <w:color w:val="auto"/>
        </w:rPr>
      </w:pPr>
    </w:p>
    <w:p>
      <w:pPr>
        <w:jc w:val="both"/>
        <w:ind w:firstLine="802"/>
        <w:spacing w:after="0" w:line="257" w:lineRule="auto"/>
        <w:rPr>
          <w:sz w:val="20"/>
          <w:szCs w:val="20"/>
          <w:color w:val="auto"/>
        </w:rPr>
      </w:pPr>
      <w:r>
        <w:rPr>
          <w:rFonts w:ascii="Arial" w:cs="Arial" w:eastAsia="Arial" w:hAnsi="Arial"/>
          <w:sz w:val="18"/>
          <w:szCs w:val="18"/>
          <w:color w:val="auto"/>
        </w:rPr>
        <w:t>In March 2021, VM Consolidated, Inc., our wholly owned subsidiary, entered into an Amendment and Restatement Agreement No.1 to the First Lien Term Loan Credit Agreement (the “</w:t>
      </w:r>
      <w:r>
        <w:rPr>
          <w:rFonts w:ascii="Arial" w:cs="Arial" w:eastAsia="Arial" w:hAnsi="Arial"/>
          <w:sz w:val="18"/>
          <w:szCs w:val="18"/>
          <w:b w:val="1"/>
          <w:bCs w:val="1"/>
          <w:i w:val="1"/>
          <w:iCs w:val="1"/>
          <w:color w:val="auto"/>
        </w:rPr>
        <w:t>2021 Term Loan</w:t>
      </w:r>
      <w:r>
        <w:rPr>
          <w:rFonts w:ascii="Arial" w:cs="Arial" w:eastAsia="Arial" w:hAnsi="Arial"/>
          <w:sz w:val="18"/>
          <w:szCs w:val="18"/>
          <w:color w:val="auto"/>
        </w:rPr>
        <w:t>”) with a syndicate of lenders. The 2021 Term Loan has an aggregate borrowing of $650 million, maturing on March 26, 2028, and an accordion feature providing for an additional $250 million of term loans, subject to satisfaction of certain requirements. In connection with the 2021 Term Loan, we had an offering discount cost of $3.3 million and $0.7 million of deferred financing costs, both of which were capitalized and are amortized over the remaining life of the 2021 Term Loan.</w:t>
      </w:r>
    </w:p>
    <w:p>
      <w:pPr>
        <w:spacing w:after="0" w:line="215"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In addition, in March 2021, VM Consolidated, Inc. issued an aggregate principal amount of $350 million in Senior Unsecured Notes (the “</w:t>
      </w:r>
      <w:r>
        <w:rPr>
          <w:rFonts w:ascii="Arial" w:cs="Arial" w:eastAsia="Arial" w:hAnsi="Arial"/>
          <w:sz w:val="18"/>
          <w:szCs w:val="18"/>
          <w:b w:val="1"/>
          <w:bCs w:val="1"/>
          <w:i w:val="1"/>
          <w:iCs w:val="1"/>
          <w:color w:val="auto"/>
        </w:rPr>
        <w:t>Senior Notes</w:t>
      </w:r>
      <w:r>
        <w:rPr>
          <w:rFonts w:ascii="Arial" w:cs="Arial" w:eastAsia="Arial" w:hAnsi="Arial"/>
          <w:sz w:val="18"/>
          <w:szCs w:val="18"/>
          <w:color w:val="auto"/>
        </w:rPr>
        <w:t>”), due on April 15, 2029. In connection with the issuance of the Senior Notes, we incurred $5.7 million in lender and third-party costs, which were capitalized as deferred financing costs and are being amortized over the remaining life of the Senior Notes.</w:t>
      </w:r>
    </w:p>
    <w:p>
      <w:pPr>
        <w:spacing w:after="0" w:line="211" w:lineRule="exact"/>
        <w:rPr>
          <w:sz w:val="20"/>
          <w:szCs w:val="20"/>
          <w:color w:val="auto"/>
        </w:rPr>
      </w:pPr>
    </w:p>
    <w:p>
      <w:pPr>
        <w:jc w:val="both"/>
        <w:ind w:right="20" w:firstLine="802"/>
        <w:spacing w:after="0" w:line="277" w:lineRule="auto"/>
        <w:rPr>
          <w:sz w:val="20"/>
          <w:szCs w:val="20"/>
          <w:color w:val="auto"/>
        </w:rPr>
      </w:pPr>
      <w:r>
        <w:rPr>
          <w:rFonts w:ascii="Arial" w:cs="Arial" w:eastAsia="Arial" w:hAnsi="Arial"/>
          <w:sz w:val="18"/>
          <w:szCs w:val="18"/>
          <w:color w:val="auto"/>
        </w:rPr>
        <w:t>The net proceeds from both the 2021 Term Loan and the Senior Notes were used to repay in full all outstanding debt which was represented by the existing First Lien Term Loan Credit Agreement (as amended, the “</w:t>
      </w:r>
      <w:r>
        <w:rPr>
          <w:rFonts w:ascii="Arial" w:cs="Arial" w:eastAsia="Arial" w:hAnsi="Arial"/>
          <w:sz w:val="18"/>
          <w:szCs w:val="18"/>
          <w:b w:val="1"/>
          <w:bCs w:val="1"/>
          <w:i w:val="1"/>
          <w:iCs w:val="1"/>
          <w:color w:val="auto"/>
        </w:rPr>
        <w:t>2018 Term Loan</w:t>
      </w:r>
      <w:r>
        <w:rPr>
          <w:rFonts w:ascii="Arial" w:cs="Arial" w:eastAsia="Arial" w:hAnsi="Arial"/>
          <w:sz w:val="18"/>
          <w:szCs w:val="18"/>
          <w:color w:val="auto"/>
        </w:rPr>
        <w:t>”) with a balance of $865.6 million.</w:t>
      </w:r>
    </w:p>
    <w:p>
      <w:pPr>
        <w:spacing w:after="0" w:line="197"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The 2021 Term Loan is repayable at 1.0% per annum of the amount initially borrowed, paid in quarterly installments. It bears interest based, at our option, on either (1) LIBOR plus an applicable margin of 3.25% per annum, or (2) an alternate base rate plus an applicable margin of 2.25% per annum. As of June 30, 2021, the interest rate on the 2021 Term Loan was 3.4%.</w:t>
      </w:r>
    </w:p>
    <w:p>
      <w:pPr>
        <w:spacing w:after="0" w:line="143"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In addition, the 2021 Term Loan requires mandatory prepayments equal to the product of the excess cash flows of the Company (as defined in the 2021 Term Loan agreement) and the applicable prepayment percentages (calculated as of the last day of the fiscal year, beginning with the year ending December 31, 2022), as set forth in the following table: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Applicable</w:t>
            </w:r>
          </w:p>
        </w:tc>
        <w:tc>
          <w:tcPr>
            <w:tcW w:w="0" w:type="dxa"/>
            <w:vAlign w:val="bottom"/>
          </w:tcPr>
          <w:p>
            <w:pPr>
              <w:spacing w:after="0"/>
              <w:rPr>
                <w:sz w:val="1"/>
                <w:szCs w:val="1"/>
                <w:color w:val="auto"/>
              </w:rPr>
            </w:pPr>
          </w:p>
        </w:tc>
      </w:tr>
      <w:tr>
        <w:trPr>
          <w:trHeight w:val="149"/>
        </w:trPr>
        <w:tc>
          <w:tcPr>
            <w:tcW w:w="894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Consolidated first lien net leverage ratio (as defined by the 2021 Term Loan agreement)</w:t>
            </w:r>
          </w:p>
        </w:tc>
        <w:tc>
          <w:tcPr>
            <w:tcW w:w="23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prepayment</w:t>
            </w:r>
          </w:p>
        </w:tc>
        <w:tc>
          <w:tcPr>
            <w:tcW w:w="0" w:type="dxa"/>
            <w:vAlign w:val="bottom"/>
          </w:tcPr>
          <w:p>
            <w:pPr>
              <w:spacing w:after="0"/>
              <w:rPr>
                <w:sz w:val="1"/>
                <w:szCs w:val="1"/>
                <w:color w:val="auto"/>
              </w:rPr>
            </w:pPr>
          </w:p>
        </w:tc>
      </w:tr>
      <w:tr>
        <w:trPr>
          <w:trHeight w:val="171"/>
        </w:trPr>
        <w:tc>
          <w:tcPr>
            <w:tcW w:w="8940" w:type="dxa"/>
            <w:vAlign w:val="bottom"/>
            <w:gridSpan w:val="6"/>
            <w:vMerge w:val="continue"/>
          </w:tcPr>
          <w:p>
            <w:pPr>
              <w:spacing w:after="0"/>
              <w:rPr>
                <w:sz w:val="14"/>
                <w:szCs w:val="14"/>
                <w:color w:val="auto"/>
              </w:rPr>
            </w:pPr>
          </w:p>
        </w:tc>
        <w:tc>
          <w:tcPr>
            <w:tcW w:w="2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23"/>
        </w:trPr>
        <w:tc>
          <w:tcPr>
            <w:tcW w:w="8720" w:type="dxa"/>
            <w:vAlign w:val="bottom"/>
            <w:tcBorders>
              <w:top w:val="single" w:sz="8" w:color="auto"/>
            </w:tcBorders>
            <w:gridSpan w:val="5"/>
            <w:shd w:val="clear" w:color="auto" w:fill="CFF0FC"/>
          </w:tcPr>
          <w:p>
            <w:pPr>
              <w:jc w:val="center"/>
              <w:spacing w:after="0"/>
              <w:rPr>
                <w:sz w:val="20"/>
                <w:szCs w:val="20"/>
                <w:color w:val="auto"/>
              </w:rPr>
            </w:pPr>
            <w:r>
              <w:rPr>
                <w:rFonts w:ascii="Arial" w:cs="Arial" w:eastAsia="Arial" w:hAnsi="Arial"/>
                <w:sz w:val="18"/>
                <w:szCs w:val="18"/>
                <w:color w:val="auto"/>
                <w:w w:val="92"/>
              </w:rPr>
              <w:t>&gt; 3.70:1.00</w:t>
            </w:r>
          </w:p>
        </w:tc>
        <w:tc>
          <w:tcPr>
            <w:tcW w:w="220" w:type="dxa"/>
            <w:vAlign w:val="bottom"/>
            <w:tcBorders>
              <w:top w:val="single" w:sz="8" w:color="CFF0FC"/>
            </w:tcBorders>
            <w:shd w:val="clear" w:color="auto" w:fill="CFF0FC"/>
          </w:tcPr>
          <w:p>
            <w:pPr>
              <w:spacing w:after="0"/>
              <w:rPr>
                <w:sz w:val="19"/>
                <w:szCs w:val="19"/>
                <w:color w:val="auto"/>
              </w:rPr>
            </w:pPr>
          </w:p>
        </w:tc>
        <w:tc>
          <w:tcPr>
            <w:tcW w:w="21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50%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940" w:type="dxa"/>
            <w:vAlign w:val="bottom"/>
            <w:gridSpan w:val="6"/>
          </w:tcPr>
          <w:p>
            <w:pPr>
              <w:jc w:val="center"/>
              <w:ind w:right="220"/>
              <w:spacing w:after="0" w:line="189" w:lineRule="exact"/>
              <w:rPr>
                <w:sz w:val="20"/>
                <w:szCs w:val="20"/>
                <w:color w:val="auto"/>
              </w:rPr>
            </w:pPr>
            <w:r>
              <w:rPr>
                <w:rFonts w:ascii="Arial" w:cs="Arial" w:eastAsia="Arial" w:hAnsi="Arial"/>
                <w:sz w:val="18"/>
                <w:szCs w:val="18"/>
                <w:color w:val="auto"/>
                <w:w w:val="90"/>
              </w:rPr>
              <w:t>&lt; 3.70:1.00 and &gt; 3.20:1.00</w:t>
            </w:r>
          </w:p>
        </w:tc>
        <w:tc>
          <w:tcPr>
            <w:tcW w:w="2180" w:type="dxa"/>
            <w:vAlign w:val="bottom"/>
          </w:tcPr>
          <w:p>
            <w:pPr>
              <w:jc w:val="center"/>
              <w:spacing w:after="0" w:line="189" w:lineRule="exact"/>
              <w:rPr>
                <w:sz w:val="20"/>
                <w:szCs w:val="20"/>
                <w:color w:val="auto"/>
              </w:rPr>
            </w:pPr>
            <w:r>
              <w:rPr>
                <w:rFonts w:ascii="Arial" w:cs="Arial" w:eastAsia="Arial" w:hAnsi="Arial"/>
                <w:sz w:val="18"/>
                <w:szCs w:val="18"/>
                <w:color w:val="auto"/>
                <w:w w:val="88"/>
              </w:rPr>
              <w:t>25%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720" w:type="dxa"/>
            <w:vAlign w:val="bottom"/>
            <w:gridSpan w:val="5"/>
            <w:shd w:val="clear" w:color="auto" w:fill="CFF0FC"/>
          </w:tcPr>
          <w:p>
            <w:pPr>
              <w:jc w:val="center"/>
              <w:spacing w:after="0" w:line="189" w:lineRule="exact"/>
              <w:rPr>
                <w:sz w:val="20"/>
                <w:szCs w:val="20"/>
                <w:color w:val="auto"/>
              </w:rPr>
            </w:pPr>
            <w:r>
              <w:rPr>
                <w:rFonts w:ascii="Arial" w:cs="Arial" w:eastAsia="Arial" w:hAnsi="Arial"/>
                <w:sz w:val="18"/>
                <w:szCs w:val="18"/>
                <w:color w:val="auto"/>
                <w:w w:val="92"/>
              </w:rPr>
              <w:t>&lt; 3.20:1.00</w:t>
            </w:r>
          </w:p>
        </w:tc>
        <w:tc>
          <w:tcPr>
            <w:tcW w:w="220" w:type="dxa"/>
            <w:vAlign w:val="bottom"/>
            <w:shd w:val="clear" w:color="auto" w:fill="CFF0FC"/>
          </w:tcPr>
          <w:p>
            <w:pPr>
              <w:spacing w:after="0"/>
              <w:rPr>
                <w:sz w:val="16"/>
                <w:szCs w:val="16"/>
                <w:color w:val="auto"/>
              </w:rPr>
            </w:pPr>
          </w:p>
        </w:tc>
        <w:tc>
          <w:tcPr>
            <w:tcW w:w="2180" w:type="dxa"/>
            <w:vAlign w:val="bottom"/>
            <w:shd w:val="clear" w:color="auto" w:fill="CFF0FC"/>
          </w:tcPr>
          <w:p>
            <w:pPr>
              <w:jc w:val="center"/>
              <w:spacing w:after="0" w:line="189" w:lineRule="exact"/>
              <w:rPr>
                <w:sz w:val="20"/>
                <w:szCs w:val="20"/>
                <w:color w:val="auto"/>
              </w:rPr>
            </w:pPr>
            <w:r>
              <w:rPr>
                <w:rFonts w:ascii="Arial" w:cs="Arial" w:eastAsia="Arial" w:hAnsi="Arial"/>
                <w:sz w:val="18"/>
                <w:szCs w:val="18"/>
                <w:color w:val="auto"/>
                <w:w w:val="92"/>
              </w:rPr>
              <w:t>0%</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CFF0FC"/>
          </w:tcPr>
          <w:p>
            <w:pPr>
              <w:spacing w:after="0" w:line="20" w:lineRule="exact"/>
              <w:rPr>
                <w:sz w:val="1"/>
                <w:szCs w:val="1"/>
                <w:color w:val="auto"/>
              </w:rPr>
            </w:pPr>
          </w:p>
        </w:tc>
        <w:tc>
          <w:tcPr>
            <w:tcW w:w="46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Interest on the Senior Notes is fixed at 5.50% per annum and is payable on April 15 and October 15 of each year (beginning on October 15, 2021). On or after April 15, 2024, we may redeem all or a portion of the Senior Notes at the redemption prices set forth below in percentages by year, plus accrued and unpaid interest: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Year</w:t>
            </w:r>
          </w:p>
        </w:tc>
        <w:tc>
          <w:tcPr>
            <w:tcW w:w="2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Percentage</w:t>
            </w:r>
          </w:p>
        </w:tc>
      </w:tr>
      <w:tr>
        <w:trPr>
          <w:trHeight w:val="223"/>
        </w:trPr>
        <w:tc>
          <w:tcPr>
            <w:tcW w:w="87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2024</w:t>
            </w:r>
          </w:p>
        </w:tc>
        <w:tc>
          <w:tcPr>
            <w:tcW w:w="220" w:type="dxa"/>
            <w:vAlign w:val="bottom"/>
            <w:tcBorders>
              <w:top w:val="single" w:sz="8" w:color="CFF0FC"/>
            </w:tcBorders>
            <w:shd w:val="clear" w:color="auto" w:fill="CFF0FC"/>
          </w:tcPr>
          <w:p>
            <w:pPr>
              <w:spacing w:after="0"/>
              <w:rPr>
                <w:sz w:val="19"/>
                <w:szCs w:val="19"/>
                <w:color w:val="auto"/>
              </w:rPr>
            </w:pPr>
          </w:p>
        </w:tc>
        <w:tc>
          <w:tcPr>
            <w:tcW w:w="21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102.750%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720" w:type="dxa"/>
            <w:vAlign w:val="bottom"/>
          </w:tcPr>
          <w:p>
            <w:pPr>
              <w:jc w:val="center"/>
              <w:spacing w:after="0"/>
              <w:rPr>
                <w:sz w:val="20"/>
                <w:szCs w:val="20"/>
                <w:color w:val="auto"/>
              </w:rPr>
            </w:pPr>
            <w:r>
              <w:rPr>
                <w:rFonts w:ascii="Arial" w:cs="Arial" w:eastAsia="Arial" w:hAnsi="Arial"/>
                <w:sz w:val="18"/>
                <w:szCs w:val="18"/>
                <w:color w:val="auto"/>
                <w:w w:val="89"/>
              </w:rPr>
              <w:t>2025</w:t>
            </w:r>
          </w:p>
        </w:tc>
        <w:tc>
          <w:tcPr>
            <w:tcW w:w="22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8"/>
              </w:rPr>
              <w:t>101.375%</w:t>
            </w:r>
          </w:p>
        </w:tc>
        <w:tc>
          <w:tcPr>
            <w:tcW w:w="120" w:type="dxa"/>
            <w:vAlign w:val="bottom"/>
          </w:tcPr>
          <w:p>
            <w:pPr>
              <w:spacing w:after="0"/>
              <w:rPr>
                <w:sz w:val="19"/>
                <w:szCs w:val="19"/>
                <w:color w:val="auto"/>
              </w:rPr>
            </w:pPr>
          </w:p>
        </w:tc>
      </w:tr>
      <w:tr>
        <w:trPr>
          <w:trHeight w:val="230"/>
        </w:trPr>
        <w:tc>
          <w:tcPr>
            <w:tcW w:w="8940" w:type="dxa"/>
            <w:vAlign w:val="bottom"/>
            <w:gridSpan w:val="2"/>
            <w:shd w:val="clear" w:color="auto" w:fill="CFF0FC"/>
          </w:tcPr>
          <w:p>
            <w:pPr>
              <w:jc w:val="center"/>
              <w:ind w:right="220"/>
              <w:spacing w:after="0"/>
              <w:rPr>
                <w:sz w:val="20"/>
                <w:szCs w:val="20"/>
                <w:color w:val="auto"/>
              </w:rPr>
            </w:pPr>
            <w:r>
              <w:rPr>
                <w:rFonts w:ascii="Arial" w:cs="Arial" w:eastAsia="Arial" w:hAnsi="Arial"/>
                <w:sz w:val="18"/>
                <w:szCs w:val="18"/>
                <w:color w:val="auto"/>
                <w:w w:val="89"/>
              </w:rPr>
              <w:t>2026 and thereafter</w:t>
            </w:r>
          </w:p>
        </w:tc>
        <w:tc>
          <w:tcPr>
            <w:tcW w:w="2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100.000%</w:t>
            </w:r>
          </w:p>
        </w:tc>
        <w:tc>
          <w:tcPr>
            <w:tcW w:w="12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ind w:left="800"/>
        <w:spacing w:after="0"/>
        <w:rPr>
          <w:sz w:val="20"/>
          <w:szCs w:val="20"/>
          <w:color w:val="auto"/>
        </w:rPr>
      </w:pPr>
      <w:r>
        <w:rPr>
          <w:rFonts w:ascii="Arial" w:cs="Arial" w:eastAsia="Arial" w:hAnsi="Arial"/>
          <w:sz w:val="17"/>
          <w:szCs w:val="17"/>
          <w:color w:val="auto"/>
        </w:rPr>
        <w:t>In addition, we may redeem up to 40% of the Senior Notes before April 15, 2024, with the net cash proceeds from certain equity offerings.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3" w:name="page44"/>
    <w:bookmarkEnd w:id="43"/>
    <w:p>
      <w:pPr>
        <w:jc w:val="both"/>
        <w:ind w:firstLine="802"/>
        <w:spacing w:after="0" w:line="259" w:lineRule="auto"/>
        <w:rPr>
          <w:sz w:val="20"/>
          <w:szCs w:val="20"/>
          <w:color w:val="auto"/>
        </w:rPr>
      </w:pPr>
      <w:r>
        <w:rPr>
          <w:rFonts w:ascii="Arial" w:cs="Arial" w:eastAsia="Arial" w:hAnsi="Arial"/>
          <w:sz w:val="18"/>
          <w:szCs w:val="18"/>
          <w:color w:val="auto"/>
        </w:rPr>
        <w:t>We evaluated the refinancing transactions on a lender by lender basis and accounted for the portion of the transaction that did not meet the accounting criteria for debt extinguishment as a debt modification. Accordingly, we recognized a loss on extinguishment of debt of $5.3 million on the 2018 Term Loan during the six months ended June 30, 2021 consisting of a $4.0 million write-off of pre-existing deferred financing costs and $1.3 million of lender and third-party costs associated with the issuance of the new 2021 Term Loan.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PPP Loan</w:t>
      </w:r>
    </w:p>
    <w:p>
      <w:pPr>
        <w:spacing w:after="0" w:line="252"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color w:val="auto"/>
        </w:rPr>
        <w:t>During fiscal year 2020, Redflex received a loan from the U.S. Small Business Administration (“</w:t>
      </w:r>
      <w:r>
        <w:rPr>
          <w:rFonts w:ascii="Arial" w:cs="Arial" w:eastAsia="Arial" w:hAnsi="Arial"/>
          <w:sz w:val="18"/>
          <w:szCs w:val="18"/>
          <w:b w:val="1"/>
          <w:bCs w:val="1"/>
          <w:i w:val="1"/>
          <w:iCs w:val="1"/>
          <w:color w:val="auto"/>
        </w:rPr>
        <w:t>SBA</w:t>
      </w:r>
      <w:r>
        <w:rPr>
          <w:rFonts w:ascii="Arial" w:cs="Arial" w:eastAsia="Arial" w:hAnsi="Arial"/>
          <w:sz w:val="18"/>
          <w:szCs w:val="18"/>
          <w:color w:val="auto"/>
        </w:rPr>
        <w:t>”) as part of the Paycheck Protection Program (“</w:t>
      </w:r>
      <w:r>
        <w:rPr>
          <w:rFonts w:ascii="Arial" w:cs="Arial" w:eastAsia="Arial" w:hAnsi="Arial"/>
          <w:sz w:val="18"/>
          <w:szCs w:val="18"/>
          <w:b w:val="1"/>
          <w:bCs w:val="1"/>
          <w:i w:val="1"/>
          <w:iCs w:val="1"/>
          <w:color w:val="auto"/>
        </w:rPr>
        <w:t>PPP Loan</w:t>
      </w:r>
      <w:r>
        <w:rPr>
          <w:rFonts w:ascii="Arial" w:cs="Arial" w:eastAsia="Arial" w:hAnsi="Arial"/>
          <w:sz w:val="18"/>
          <w:szCs w:val="18"/>
          <w:color w:val="auto"/>
        </w:rPr>
        <w:t>”) to offset certain employment and other allowable costs incurred as a result of the COVID-19 pandemic. At June 30, 2021, the loan amount outstanding was $2.9 million and is payable within a year, and is included in the current portion of long-term debt. In early 2021, Redflex applied for forgiveness of this loan and awaits approval from the SBA.</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Revolver</w:t>
      </w:r>
    </w:p>
    <w:p>
      <w:pPr>
        <w:spacing w:after="0" w:line="252" w:lineRule="exact"/>
        <w:rPr>
          <w:sz w:val="20"/>
          <w:szCs w:val="20"/>
          <w:color w:val="auto"/>
        </w:rPr>
      </w:pPr>
    </w:p>
    <w:p>
      <w:pPr>
        <w:jc w:val="both"/>
        <w:ind w:firstLine="802"/>
        <w:spacing w:after="0" w:line="271" w:lineRule="auto"/>
        <w:rPr>
          <w:sz w:val="20"/>
          <w:szCs w:val="20"/>
          <w:color w:val="auto"/>
        </w:rPr>
      </w:pPr>
      <w:r>
        <w:rPr>
          <w:rFonts w:ascii="Arial" w:cs="Arial" w:eastAsia="Arial" w:hAnsi="Arial"/>
          <w:sz w:val="17"/>
          <w:szCs w:val="17"/>
          <w:color w:val="auto"/>
        </w:rPr>
        <w:t>We have a Revolving Credit Agreement (the “</w:t>
      </w:r>
      <w:r>
        <w:rPr>
          <w:rFonts w:ascii="Arial" w:cs="Arial" w:eastAsia="Arial" w:hAnsi="Arial"/>
          <w:sz w:val="17"/>
          <w:szCs w:val="17"/>
          <w:b w:val="1"/>
          <w:bCs w:val="1"/>
          <w:i w:val="1"/>
          <w:iCs w:val="1"/>
          <w:color w:val="auto"/>
        </w:rPr>
        <w:t>Revolver</w:t>
      </w:r>
      <w:r>
        <w:rPr>
          <w:rFonts w:ascii="Arial" w:cs="Arial" w:eastAsia="Arial" w:hAnsi="Arial"/>
          <w:sz w:val="17"/>
          <w:szCs w:val="17"/>
          <w:color w:val="auto"/>
        </w:rPr>
        <w:t>”) which we entered into in fiscal year 2018 in connection with an acquisition, with a revolving commitment of up to $75 million available for loans and letters of credit. The Revolver matures on February 28, 2023. The terms of the Revolver were not affected by other debt instruments discussed above. Borrowing eligibility under the Revolver is subject to a monthly borrowing base calculation based on (i) certain percentages of eligible accounts receivable and inventory, less (ii) certain reserve items, including outstanding letters of credit and other reserves. The Revolver bears interest on either (1) LIBOR plus an applicable margin, or (2) an alternate base rate, plus an applicable margin. The margin percentage applied to (1) LIBOR is either 1.25%, 1.50%, or 1.75%, or (2) the base rate is either 0.25%, 0.50%, or 0.75%, depending on our average availability to borrow under the commitment. At June 30, 2021, we had no outstanding borrowings on the Revolver and our availability to borrow was $57.0 million, net of $6.2 million of outstanding letters of credit.</w:t>
      </w:r>
    </w:p>
    <w:p>
      <w:pPr>
        <w:spacing w:after="0" w:line="205"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color w:val="auto"/>
        </w:rPr>
        <w:t>Interest on the unused portion of the Revolver is payable quarterly at 0.375% and we are also required to pay participation and fronting fees at 1.38% on $6.2 million of outstanding letters of credit as of June 30, 2021.</w:t>
      </w:r>
    </w:p>
    <w:p>
      <w:pPr>
        <w:spacing w:after="0" w:line="197"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color w:val="auto"/>
        </w:rPr>
        <w:t>All borrowings and other extensions of credits under the 2021 Term Loan, the Senior Notes and the Revolver are subject to the satisfaction of customary conditions and restrictive covenants including absence of defaults and accuracy in material respects of representations and warranties. At June 30, 2021, we were compliant with all debt covenants. Substantially all of our assets are pledged as collateral to secure our indebtedness under the 2021 Term Loan.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52" w:lineRule="exact"/>
        <w:rPr>
          <w:sz w:val="20"/>
          <w:szCs w:val="20"/>
          <w:color w:val="auto"/>
        </w:rPr>
      </w:pPr>
    </w:p>
    <w:p>
      <w:pPr>
        <w:jc w:val="both"/>
        <w:ind w:firstLine="802"/>
        <w:spacing w:after="0" w:line="342" w:lineRule="auto"/>
        <w:rPr>
          <w:sz w:val="20"/>
          <w:szCs w:val="20"/>
          <w:color w:val="auto"/>
        </w:rPr>
      </w:pPr>
      <w:r>
        <w:rPr>
          <w:rFonts w:ascii="Arial" w:cs="Arial" w:eastAsia="Arial" w:hAnsi="Arial"/>
          <w:sz w:val="16"/>
          <w:szCs w:val="16"/>
          <w:color w:val="auto"/>
        </w:rPr>
        <w:t>We recorded interest expense, including amortization of deferred financing costs and discounts, of $11.7 million and $9.5 million for the three months ended June 30, 2021 and 2020, respectively, and $20.8 million and $22.0 million for the six months ended June 30, 2021 and 2020,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We do not have any material off-balance sheet financing arrangements as of June 30, 2021.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Estimates and Judgments</w:t>
      </w:r>
    </w:p>
    <w:p>
      <w:pPr>
        <w:spacing w:after="0" w:line="189" w:lineRule="exact"/>
        <w:rPr>
          <w:sz w:val="20"/>
          <w:szCs w:val="20"/>
          <w:color w:val="auto"/>
        </w:rPr>
      </w:pPr>
    </w:p>
    <w:p>
      <w:pPr>
        <w:jc w:val="both"/>
        <w:ind w:firstLine="802"/>
        <w:spacing w:after="0" w:line="254" w:lineRule="auto"/>
        <w:rPr>
          <w:sz w:val="20"/>
          <w:szCs w:val="20"/>
          <w:color w:val="auto"/>
        </w:rPr>
      </w:pPr>
      <w:r>
        <w:rPr>
          <w:rFonts w:ascii="Arial" w:cs="Arial" w:eastAsia="Arial" w:hAnsi="Arial"/>
          <w:sz w:val="18"/>
          <w:szCs w:val="18"/>
          <w:color w:val="auto"/>
        </w:rPr>
        <w:t>The preparation of condensed consolidated financial statements in conformity with generally accepted accounting principles in the United States requires management to make estimates and assumptions that affect the amounts reported in the financial statements and the accompanying notes. Significant items subject to such estimates and assumptions include the fair values assigned to net assets acquired (including identifiable intangible assets) in business combinations, the carrying amounts of inventory, long-lived assets, goodwill, the allowance for credit loss, fair value of private placement warrant liabilities, valuation allowances on deferred tax assets, asset retirement obligations, contingent consideration and the recognition and measurement of loss contingencies. Management believes that its estimates and assumptions are reasonable in the circumstances; however, actual results could differ materially from those estimates.</w:t>
      </w:r>
    </w:p>
    <w:p>
      <w:pPr>
        <w:spacing w:after="0" w:line="1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Refer to our 2020 Annual Report on Form 10-K/A filed on May 17, 2021 for our critical accounting policies, estimates and judgments.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2" w:lineRule="exact"/>
        <w:rPr>
          <w:sz w:val="20"/>
          <w:szCs w:val="20"/>
          <w:color w:val="auto"/>
        </w:rPr>
      </w:pPr>
    </w:p>
    <w:p>
      <w:pPr>
        <w:ind w:right="140" w:firstLine="802"/>
        <w:spacing w:after="0" w:line="453" w:lineRule="auto"/>
        <w:rPr>
          <w:sz w:val="20"/>
          <w:szCs w:val="20"/>
          <w:color w:val="auto"/>
        </w:rPr>
      </w:pPr>
      <w:r>
        <w:rPr>
          <w:rFonts w:ascii="Arial" w:cs="Arial" w:eastAsia="Arial" w:hAnsi="Arial"/>
          <w:sz w:val="18"/>
          <w:szCs w:val="18"/>
          <w:color w:val="auto"/>
        </w:rPr>
        <w:t xml:space="preserve">For a discussion of recent accounting pronouncements, refer to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in Part I, Item 1, Financial Statements. </w:t>
      </w:r>
      <w:r>
        <w:rPr>
          <w:rFonts w:ascii="Arial" w:cs="Arial" w:eastAsia="Arial" w:hAnsi="Arial"/>
          <w:sz w:val="18"/>
          <w:szCs w:val="18"/>
          <w:b w:val="1"/>
          <w:bCs w:val="1"/>
          <w:color w:val="auto"/>
        </w:rPr>
        <w:t>Item 3. Quantitative and Qualitative Disclosures About Market Risk</w:t>
      </w:r>
    </w:p>
    <w:p>
      <w:pPr>
        <w:spacing w:after="0" w:line="2"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color w:val="auto"/>
        </w:rPr>
        <w:t>We are exposed to market risk due to the variable interest rate on the 2021 Term Loan described in Part I, Item 2. Management’s Discussion and Analysis of Financial Condition and Results of Operations—</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w:t>
      </w:r>
    </w:p>
    <w:p>
      <w:pPr>
        <w:spacing w:after="0" w:line="143" w:lineRule="exact"/>
        <w:rPr>
          <w:sz w:val="20"/>
          <w:szCs w:val="20"/>
          <w:color w:val="auto"/>
        </w:rPr>
      </w:pPr>
    </w:p>
    <w:p>
      <w:pPr>
        <w:jc w:val="both"/>
        <w:ind w:firstLine="802"/>
        <w:spacing w:after="0" w:line="263" w:lineRule="auto"/>
        <w:rPr>
          <w:sz w:val="20"/>
          <w:szCs w:val="20"/>
          <w:color w:val="auto"/>
        </w:rPr>
      </w:pPr>
      <w:r>
        <w:rPr>
          <w:rFonts w:ascii="Arial" w:cs="Arial" w:eastAsia="Arial" w:hAnsi="Arial"/>
          <w:sz w:val="18"/>
          <w:szCs w:val="18"/>
          <w:color w:val="auto"/>
        </w:rPr>
        <w:t>Interest rate risk represents our exposure to fluctuations in interest rates associated with the variable rate debt represented by the 2021 Term Loan, which has an outstanding balance of $648.4 million and an interest rate of 3.4% at June 30, 2021. Based on the June 30, 2021 balance outstanding, each 1% movement in interest rates will result in an approximately $6.5 million change in annual interest expense.</w:t>
      </w:r>
    </w:p>
    <w:p>
      <w:pPr>
        <w:spacing w:after="0" w:line="143" w:lineRule="exact"/>
        <w:rPr>
          <w:sz w:val="20"/>
          <w:szCs w:val="20"/>
          <w:color w:val="auto"/>
        </w:rPr>
      </w:pPr>
    </w:p>
    <w:p>
      <w:pPr>
        <w:jc w:val="both"/>
        <w:ind w:firstLine="802"/>
        <w:spacing w:after="0" w:line="277" w:lineRule="auto"/>
        <w:rPr>
          <w:sz w:val="20"/>
          <w:szCs w:val="20"/>
          <w:color w:val="auto"/>
        </w:rPr>
      </w:pPr>
      <w:r>
        <w:rPr>
          <w:rFonts w:ascii="Arial" w:cs="Arial" w:eastAsia="Arial" w:hAnsi="Arial"/>
          <w:sz w:val="18"/>
          <w:szCs w:val="18"/>
          <w:color w:val="auto"/>
        </w:rPr>
        <w:t>We have not engaged in any hedging activities during the six months ended June 30, 2021. We do not expect to engage in any hedging activities with respect to the market risk to which we are exposed.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85" w:lineRule="exact"/>
        <w:rPr>
          <w:sz w:val="20"/>
          <w:szCs w:val="20"/>
          <w:color w:val="auto"/>
        </w:rPr>
      </w:pPr>
    </w:p>
    <w:p>
      <w:pPr>
        <w:jc w:val="both"/>
        <w:ind w:firstLine="802"/>
        <w:spacing w:after="0" w:line="291" w:lineRule="auto"/>
        <w:rPr>
          <w:sz w:val="20"/>
          <w:szCs w:val="20"/>
          <w:color w:val="auto"/>
        </w:rPr>
      </w:pPr>
      <w:r>
        <w:rPr>
          <w:rFonts w:ascii="Arial" w:cs="Arial" w:eastAsia="Arial" w:hAnsi="Arial"/>
          <w:sz w:val="16"/>
          <w:szCs w:val="16"/>
          <w:color w:val="auto"/>
        </w:rPr>
        <w:t>Our disclosure controls and procedures (as defined in Rules 13a-15(e) or 15d-15(e) under the Exchange Act) are designed to ensure that information required to be disclosed in the reports that we file or submit under the Exchange Act is recorded, processed, summarized, and reported within the time periods specified in the SEC’s rules and forms and to ensure that information required to be disclosed is accumulated and communicated to management, including our principal executive and financial officers, to allow timely decisions regarding disclosure. Our Chief Executive Officer and Chief Financial Officer, with assistance from other members of management, have reviewed the effectiveness of our disclosure controls and procedures as of June 30, 2021 and, based on their evaluation, have concluded the controls and procedures were effective as a material weakness in internal control over financial reporting that was disclosed in our Annual Report on Form 10-K/A filed on May 17, 2021 for the year ended December 31, 2020 was remediated.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98" w:lineRule="exact"/>
        <w:rPr>
          <w:sz w:val="20"/>
          <w:szCs w:val="20"/>
          <w:color w:val="auto"/>
        </w:rPr>
      </w:pPr>
    </w:p>
    <w:p>
      <w:pPr>
        <w:jc w:val="both"/>
        <w:ind w:firstLine="802"/>
        <w:spacing w:after="0" w:line="286" w:lineRule="auto"/>
        <w:rPr>
          <w:sz w:val="20"/>
          <w:szCs w:val="20"/>
          <w:color w:val="auto"/>
        </w:rPr>
      </w:pPr>
      <w:r>
        <w:rPr>
          <w:rFonts w:ascii="Arial" w:cs="Arial" w:eastAsia="Arial" w:hAnsi="Arial"/>
          <w:sz w:val="17"/>
          <w:szCs w:val="17"/>
          <w:color w:val="auto"/>
        </w:rPr>
        <w:t>Other than those changes related to the classification of the Private Placement Warrants, there have been no changes in our internal control over financial reporting (as defined in Rules 13a-15(f) or 15d-15(f) of the Exchange Act) that occurred during the quarter ended June 30, 2021 that have materially affected, or are reasonably likely to materially affect, the Company’s internal control over financial reporting.</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w:t>
      </w:r>
    </w:p>
    <w:p>
      <w:pPr>
        <w:spacing w:after="0" w:line="185" w:lineRule="exact"/>
        <w:rPr>
          <w:sz w:val="20"/>
          <w:szCs w:val="20"/>
          <w:color w:val="auto"/>
        </w:rPr>
      </w:pPr>
    </w:p>
    <w:p>
      <w:pPr>
        <w:jc w:val="both"/>
        <w:ind w:firstLine="802"/>
        <w:spacing w:after="0" w:line="259" w:lineRule="auto"/>
        <w:rPr>
          <w:sz w:val="20"/>
          <w:szCs w:val="20"/>
          <w:color w:val="auto"/>
        </w:rPr>
      </w:pPr>
      <w:r>
        <w:rPr>
          <w:rFonts w:ascii="Arial" w:cs="Arial" w:eastAsia="Arial" w:hAnsi="Arial"/>
          <w:sz w:val="18"/>
          <w:szCs w:val="18"/>
          <w:color w:val="auto"/>
        </w:rPr>
        <w:t>As previously described in Part II, Item 9A. “Controls and Procedures” in our Annual Report on Form 10-K/A filed on May 17, 2021 for the year ended December 31, 2020, we executed our remediation plan to address the material weakness related to classification of the Company’s Private Placement Warrants as liabilities instead of as components of equity. Review procedures around the valuation and classification have been implemented and management has concluded, through testing, that these controls are operating effectively.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PART II—OTHER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jc w:val="both"/>
        <w:ind w:firstLine="802"/>
        <w:spacing w:after="0" w:line="268" w:lineRule="auto"/>
        <w:rPr>
          <w:sz w:val="20"/>
          <w:szCs w:val="20"/>
          <w:color w:val="auto"/>
        </w:rPr>
      </w:pPr>
      <w:r>
        <w:rPr>
          <w:rFonts w:ascii="Arial" w:cs="Arial" w:eastAsia="Arial" w:hAnsi="Arial"/>
          <w:sz w:val="17"/>
          <w:szCs w:val="17"/>
          <w:color w:val="auto"/>
        </w:rPr>
        <w:t>On November 2, 2020, PlusPass, Inc. (“</w:t>
      </w:r>
      <w:r>
        <w:rPr>
          <w:rFonts w:ascii="Arial" w:cs="Arial" w:eastAsia="Arial" w:hAnsi="Arial"/>
          <w:sz w:val="17"/>
          <w:szCs w:val="17"/>
          <w:b w:val="1"/>
          <w:bCs w:val="1"/>
          <w:i w:val="1"/>
          <w:iCs w:val="1"/>
          <w:color w:val="auto"/>
        </w:rPr>
        <w:t>PlusPass</w:t>
      </w:r>
      <w:r>
        <w:rPr>
          <w:rFonts w:ascii="Arial" w:cs="Arial" w:eastAsia="Arial" w:hAnsi="Arial"/>
          <w:sz w:val="17"/>
          <w:szCs w:val="17"/>
          <w:color w:val="auto"/>
        </w:rPr>
        <w:t>”) commenced an action in the United States District Court, Central District of California, against Verra Mobility Corporation (“</w:t>
      </w:r>
      <w:r>
        <w:rPr>
          <w:rFonts w:ascii="Arial" w:cs="Arial" w:eastAsia="Arial" w:hAnsi="Arial"/>
          <w:sz w:val="17"/>
          <w:szCs w:val="17"/>
          <w:b w:val="1"/>
          <w:bCs w:val="1"/>
          <w:i w:val="1"/>
          <w:iCs w:val="1"/>
          <w:color w:val="auto"/>
        </w:rPr>
        <w:t>Verra Mobility</w:t>
      </w:r>
      <w:r>
        <w:rPr>
          <w:rFonts w:ascii="Arial" w:cs="Arial" w:eastAsia="Arial" w:hAnsi="Arial"/>
          <w:sz w:val="17"/>
          <w:szCs w:val="17"/>
          <w:color w:val="auto"/>
        </w:rPr>
        <w:t>”), The Gores Group LLC, Platinum Equity LLC, and ATS Processing Services, Inc., alleging civil violations of federal antitrust statutes: Section 7 of the Clayton Act, and Sections 1 and 2 of the Sherman Act. On November 20, 2020, PlusPass filed a First Amended Complaint. On February 9, 2021, the defendants filed motions to dismiss, and PlusPass subsequently abandoned various theories and claims and dismissed The Gores Group LLC, Platinum Equity LLC, and ATS Processing Services, Inc. On April 27, 2021, PlusPass filed a Second Amended Complaint (“</w:t>
      </w:r>
      <w:r>
        <w:rPr>
          <w:rFonts w:ascii="Arial" w:cs="Arial" w:eastAsia="Arial" w:hAnsi="Arial"/>
          <w:sz w:val="17"/>
          <w:szCs w:val="17"/>
          <w:b w:val="1"/>
          <w:bCs w:val="1"/>
          <w:i w:val="1"/>
          <w:iCs w:val="1"/>
          <w:color w:val="auto"/>
        </w:rPr>
        <w:t>SAC</w:t>
      </w:r>
      <w:r>
        <w:rPr>
          <w:rFonts w:ascii="Arial" w:cs="Arial" w:eastAsia="Arial" w:hAnsi="Arial"/>
          <w:sz w:val="17"/>
          <w:szCs w:val="17"/>
          <w:color w:val="auto"/>
        </w:rPr>
        <w:t>”), alleging that Verra Mobility violated Section 7 of the Clayton Act through the merger of Highway Toll Administration, LLC (“</w:t>
      </w:r>
      <w:r>
        <w:rPr>
          <w:rFonts w:ascii="Arial" w:cs="Arial" w:eastAsia="Arial" w:hAnsi="Arial"/>
          <w:sz w:val="17"/>
          <w:szCs w:val="17"/>
          <w:b w:val="1"/>
          <w:bCs w:val="1"/>
          <w:i w:val="1"/>
          <w:iCs w:val="1"/>
          <w:color w:val="auto"/>
        </w:rPr>
        <w:t>HTA</w:t>
      </w:r>
      <w:r>
        <w:rPr>
          <w:rFonts w:ascii="Arial" w:cs="Arial" w:eastAsia="Arial" w:hAnsi="Arial"/>
          <w:sz w:val="17"/>
          <w:szCs w:val="17"/>
          <w:color w:val="auto"/>
        </w:rPr>
        <w:t>”) and American Traffic Solutions, Inc. (“</w:t>
      </w:r>
      <w:r>
        <w:rPr>
          <w:rFonts w:ascii="Arial" w:cs="Arial" w:eastAsia="Arial" w:hAnsi="Arial"/>
          <w:sz w:val="17"/>
          <w:szCs w:val="17"/>
          <w:b w:val="1"/>
          <w:bCs w:val="1"/>
          <w:i w:val="1"/>
          <w:iCs w:val="1"/>
          <w:color w:val="auto"/>
        </w:rPr>
        <w:t>ATS</w:t>
      </w:r>
      <w:r>
        <w:rPr>
          <w:rFonts w:ascii="Arial" w:cs="Arial" w:eastAsia="Arial" w:hAnsi="Arial"/>
          <w:sz w:val="17"/>
          <w:szCs w:val="17"/>
          <w:color w:val="auto"/>
        </w:rPr>
        <w:t>”) in 2018, and that Verra Mobility violated Sections 1 and 2 of the Sherman Act by using exclusive agreements in restraint of trade and other allegedly anticompetitive means to acquire and maintain monopoly power in the market for the administration of electronic toll payment collection for rental cars. PlusPass seeks injunctive relief, divestiture by Verra Mobility of HTA, damages in an amount to be determined, and attorneys’ fees and costs. On May 28, 2021, Verra Mobility filed a motion to dismiss the SAC in its entirety. On July 29, 2021, the court issued a tentative ruling denying the motion to dismiss. The parties appeared before the court and presented oral argument on July 30, 2021 and are awaiting the court’s final ruling on the motion to dismiss. Verra Mobility believes that all of PlusPass’s claims are without merit and it intends to defend itself vigorously in this litigation should the case continue beyond the motion to dismiss stage.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02" w:lineRule="exact"/>
        <w:rPr>
          <w:sz w:val="20"/>
          <w:szCs w:val="20"/>
          <w:color w:val="auto"/>
        </w:rPr>
      </w:pPr>
    </w:p>
    <w:p>
      <w:pPr>
        <w:jc w:val="both"/>
        <w:ind w:firstLine="802"/>
        <w:spacing w:after="0" w:line="257" w:lineRule="auto"/>
        <w:rPr>
          <w:sz w:val="20"/>
          <w:szCs w:val="20"/>
          <w:color w:val="auto"/>
        </w:rPr>
      </w:pPr>
      <w:r>
        <w:rPr>
          <w:rFonts w:ascii="Arial" w:cs="Arial" w:eastAsia="Arial" w:hAnsi="Arial"/>
          <w:sz w:val="18"/>
          <w:szCs w:val="18"/>
          <w:color w:val="auto"/>
        </w:rPr>
        <w:t>Part I, Item 1A “Risk Factors” in our Annual Report on Form 10-K/A for the year ended December 31, 2020, filed on May 17, 2021, includes a discussion of our risk factors. The information presented below supplements, and should be read in conjunction with, the risk factors and information disclosed in our Annual Report on Form 10-K/A. Except as presented below, there have been no material changes from the risk factors described in our Annual Report on Form 10-K/A filed on May 17, 2021. We may disclose changes to such risk factors or disclose additional risk factors from time to time in our future SEC filings.</w:t>
      </w:r>
    </w:p>
    <w:p>
      <w:pPr>
        <w:spacing w:after="0" w:line="14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largest customer, NYCDOT, has outstanding receivables with us totaling $127.0 million resulting from a period of non-payment during fiscal year 2020 and the first quarter of 2021. While NYCDOT resumed payments in the second quarter of 2021, we cannot predict when this matter will be resolved, how much it may cost or the timing of their payments to us.</w:t>
      </w:r>
    </w:p>
    <w:p>
      <w:pPr>
        <w:spacing w:after="0" w:line="184" w:lineRule="exact"/>
        <w:rPr>
          <w:sz w:val="20"/>
          <w:szCs w:val="20"/>
          <w:color w:val="auto"/>
        </w:rPr>
      </w:pPr>
    </w:p>
    <w:p>
      <w:pPr>
        <w:jc w:val="both"/>
        <w:ind w:firstLine="682"/>
        <w:spacing w:after="0" w:line="277" w:lineRule="auto"/>
        <w:rPr>
          <w:sz w:val="20"/>
          <w:szCs w:val="20"/>
          <w:color w:val="auto"/>
        </w:rPr>
      </w:pPr>
      <w:r>
        <w:rPr>
          <w:rFonts w:ascii="Arial" w:cs="Arial" w:eastAsia="Arial" w:hAnsi="Arial"/>
          <w:sz w:val="17"/>
          <w:szCs w:val="17"/>
          <w:color w:val="auto"/>
        </w:rPr>
        <w:t>We provide photo enforcement and school zone enforcement services to NYCDOT, which was our largest customer by revenue in 2020 (31.3% of total revenue for the year ended December 31, 2020), under two primary contracts: a legacy contract relating to red light, bus lane, mobile speed and fixed speed photo enforcement cameras that were installed prior to fiscal year 2020 (the “</w:t>
      </w:r>
      <w:r>
        <w:rPr>
          <w:rFonts w:ascii="Arial" w:cs="Arial" w:eastAsia="Arial" w:hAnsi="Arial"/>
          <w:sz w:val="17"/>
          <w:szCs w:val="17"/>
          <w:b w:val="1"/>
          <w:bCs w:val="1"/>
          <w:i w:val="1"/>
          <w:iCs w:val="1"/>
          <w:color w:val="auto"/>
        </w:rPr>
        <w:t>Legacy Contract</w:t>
      </w:r>
      <w:r>
        <w:rPr>
          <w:rFonts w:ascii="Arial" w:cs="Arial" w:eastAsia="Arial" w:hAnsi="Arial"/>
          <w:sz w:val="17"/>
          <w:szCs w:val="17"/>
          <w:color w:val="auto"/>
        </w:rPr>
        <w:t>”), and an emergency contract for the purchase, installation, maintenance and operation of an expanded fixed speed camera program beginning in 2020 (the “</w:t>
      </w:r>
      <w:r>
        <w:rPr>
          <w:rFonts w:ascii="Arial" w:cs="Arial" w:eastAsia="Arial" w:hAnsi="Arial"/>
          <w:sz w:val="17"/>
          <w:szCs w:val="17"/>
          <w:b w:val="1"/>
          <w:bCs w:val="1"/>
          <w:i w:val="1"/>
          <w:iCs w:val="1"/>
          <w:color w:val="auto"/>
        </w:rPr>
        <w:t>Emergency Contract</w:t>
      </w:r>
      <w:r>
        <w:rPr>
          <w:rFonts w:ascii="Arial" w:cs="Arial" w:eastAsia="Arial" w:hAnsi="Arial"/>
          <w:sz w:val="17"/>
          <w:szCs w:val="17"/>
          <w:color w:val="auto"/>
        </w:rPr>
        <w:t>”). In late 2019, we concluded that some of our system installations under the Legacy Contract did not meet New York City’s requirements related to the depth of buried electrical conduit and the color of grounding wire. We disclosed these issues to NYCDOT and in the fourth quarter of 2020 agreed to remediate the affected sites. As of May 2021, our remediation efforts were substantially complete.</w:t>
      </w:r>
    </w:p>
    <w:p>
      <w:pPr>
        <w:spacing w:after="0" w:line="176" w:lineRule="exact"/>
        <w:rPr>
          <w:sz w:val="20"/>
          <w:szCs w:val="20"/>
          <w:color w:val="auto"/>
        </w:rPr>
      </w:pPr>
    </w:p>
    <w:p>
      <w:pPr>
        <w:jc w:val="both"/>
        <w:ind w:firstLine="682"/>
        <w:spacing w:after="0" w:line="253" w:lineRule="auto"/>
        <w:rPr>
          <w:sz w:val="20"/>
          <w:szCs w:val="20"/>
          <w:color w:val="auto"/>
        </w:rPr>
      </w:pPr>
      <w:r>
        <w:rPr>
          <w:rFonts w:ascii="Arial" w:cs="Arial" w:eastAsia="Arial" w:hAnsi="Arial"/>
          <w:sz w:val="18"/>
          <w:szCs w:val="18"/>
          <w:color w:val="auto"/>
        </w:rPr>
        <w:t>In January 2021, we were separately informed that the City of New York’s Law Department (the “</w:t>
      </w:r>
      <w:r>
        <w:rPr>
          <w:rFonts w:ascii="Arial" w:cs="Arial" w:eastAsia="Arial" w:hAnsi="Arial"/>
          <w:sz w:val="18"/>
          <w:szCs w:val="18"/>
          <w:b w:val="1"/>
          <w:bCs w:val="1"/>
          <w:i w:val="1"/>
          <w:iCs w:val="1"/>
          <w:color w:val="auto"/>
        </w:rPr>
        <w:t>NYC Law Department</w:t>
      </w:r>
      <w:r>
        <w:rPr>
          <w:rFonts w:ascii="Arial" w:cs="Arial" w:eastAsia="Arial" w:hAnsi="Arial"/>
          <w:sz w:val="18"/>
          <w:szCs w:val="18"/>
          <w:color w:val="auto"/>
        </w:rPr>
        <w:t>”) was investigating matters related to our previously disclosed conduit depth issue as well as matters related to whether we unnecessarily installed new poles where existing infrastructure could have been used. We were informed in March 2021 by the NYC Law Department that it had concluded its investigation, and we reached an agreement in principle to resolve the matter for approximately $1.3 million, subject to final administrative approvals. The installation issues described above and investigated by the NYC Law Department did not have any impact on the camera operations or the overall effectiveness of the photo enforcement programs. We continue to perform work for NYCDOT under the Legacy Contract and the Emergency Contract, and in March 2021, we received an Authorization to Proceed (the “</w:t>
      </w:r>
      <w:r>
        <w:rPr>
          <w:rFonts w:ascii="Arial" w:cs="Arial" w:eastAsia="Arial" w:hAnsi="Arial"/>
          <w:sz w:val="18"/>
          <w:szCs w:val="18"/>
          <w:b w:val="1"/>
          <w:bCs w:val="1"/>
          <w:i w:val="1"/>
          <w:iCs w:val="1"/>
          <w:color w:val="auto"/>
        </w:rPr>
        <w:t>Authorization to Proceed</w:t>
      </w:r>
      <w:r>
        <w:rPr>
          <w:rFonts w:ascii="Arial" w:cs="Arial" w:eastAsia="Arial" w:hAnsi="Arial"/>
          <w:sz w:val="18"/>
          <w:szCs w:val="18"/>
          <w:color w:val="auto"/>
        </w:rPr>
        <w:t>”) with the installation of an additional 720 school zone speed cameras in 2021. We began installing the additional school zone speed cameras in April 2021 and, as of June 30, 2021, we had installed approximately 158 cameras under the Authorization to Proceed.</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jc w:val="both"/>
        <w:ind w:firstLine="682"/>
        <w:spacing w:after="0" w:line="257" w:lineRule="auto"/>
        <w:rPr>
          <w:sz w:val="20"/>
          <w:szCs w:val="20"/>
          <w:color w:val="auto"/>
        </w:rPr>
      </w:pPr>
      <w:r>
        <w:rPr>
          <w:rFonts w:ascii="Arial" w:cs="Arial" w:eastAsia="Arial" w:hAnsi="Arial"/>
          <w:sz w:val="18"/>
          <w:szCs w:val="18"/>
          <w:color w:val="auto"/>
        </w:rPr>
        <w:t>The Emergency Contract was registered with the NYC Comptroller’s office in May 2021. In June 2021, NYCDOT began making payments under the Emergency Contract and resumed making payments under the Legacy Contract, which prior delays had resulted in $121.0 million of total open receivables as reported in our Form 10-Q for the first quarter of 2021. In the second quarter of 2021, we received $28.1 million in payments under both contracts. Because we are continuing to install new cameras pursuant to the Authorization to Proceed and performing services related to all installed cameras, we continue to maintain an open receivable balance with NYCDOT.</w:t>
      </w:r>
    </w:p>
    <w:p>
      <w:pPr>
        <w:spacing w:after="0" w:line="255" w:lineRule="exact"/>
        <w:rPr>
          <w:sz w:val="20"/>
          <w:szCs w:val="20"/>
          <w:color w:val="auto"/>
        </w:rPr>
      </w:pPr>
    </w:p>
    <w:p>
      <w:pPr>
        <w:jc w:val="both"/>
        <w:ind w:firstLine="682"/>
        <w:spacing w:after="0" w:line="255" w:lineRule="auto"/>
        <w:rPr>
          <w:sz w:val="20"/>
          <w:szCs w:val="20"/>
          <w:color w:val="auto"/>
        </w:rPr>
      </w:pPr>
      <w:r>
        <w:rPr>
          <w:rFonts w:ascii="Arial" w:cs="Arial" w:eastAsia="Arial" w:hAnsi="Arial"/>
          <w:sz w:val="18"/>
          <w:szCs w:val="18"/>
          <w:color w:val="auto"/>
        </w:rPr>
        <w:t>As of June 30, 2021, the Legacy Contract had an open receivable balance of $30.8 million, of which $22.3 million had aged beyond NYCDOT’s 45-day payment terms. As of June 30, 2021, we had invoiced NYCDOT for $64.4 million in product revenue and $36.7 million in service revenue under the Emergency Contract, and the Emergency Contract had an open receivable balance of $96.3 million, of which $79.5 million had aged beyond NYCDOT’s 45-day payment terms. The total outstanding receivable from NYCDOT increased by approximately $6.0 million in the second quarter due to additional invoices under the Legacy Contract and the Emergency Contract. We continue to work with NYCDOT to expedite payments for the aged accounts receivables.</w:t>
      </w:r>
    </w:p>
    <w:p>
      <w:pPr>
        <w:spacing w:after="0" w:line="260" w:lineRule="exact"/>
        <w:rPr>
          <w:sz w:val="20"/>
          <w:szCs w:val="20"/>
          <w:color w:val="auto"/>
        </w:rPr>
      </w:pPr>
    </w:p>
    <w:p>
      <w:pPr>
        <w:jc w:val="both"/>
        <w:ind w:firstLine="682"/>
        <w:spacing w:after="0" w:line="263" w:lineRule="auto"/>
        <w:rPr>
          <w:sz w:val="20"/>
          <w:szCs w:val="20"/>
          <w:color w:val="auto"/>
        </w:rPr>
      </w:pPr>
      <w:r>
        <w:rPr>
          <w:rFonts w:ascii="Arial" w:cs="Arial" w:eastAsia="Arial" w:hAnsi="Arial"/>
          <w:sz w:val="18"/>
          <w:szCs w:val="18"/>
          <w:color w:val="auto"/>
        </w:rPr>
        <w:t>We cannot predict when these matters will be finally resolved, how much it may cost or the timing of the payments to us on the outstanding receivables. The failure to resolve these matters with the City of New York in a timely and effective manner could have a material adverse effect on our business, financial condition and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cannot guarantee that our stock repurchase program will be consummated, fully or at all, or that it will enhance long-term shareholder value.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repurchases could also increase the volatility of the trading price of our stock and could diminish our cash reserves.</w:t>
      </w:r>
    </w:p>
    <w:p>
      <w:pPr>
        <w:spacing w:after="0" w:line="211" w:lineRule="exact"/>
        <w:rPr>
          <w:sz w:val="20"/>
          <w:szCs w:val="20"/>
          <w:color w:val="auto"/>
        </w:rPr>
      </w:pPr>
    </w:p>
    <w:p>
      <w:pPr>
        <w:jc w:val="both"/>
        <w:ind w:firstLine="802"/>
        <w:spacing w:after="0" w:line="289" w:lineRule="auto"/>
        <w:rPr>
          <w:sz w:val="20"/>
          <w:szCs w:val="20"/>
          <w:color w:val="auto"/>
        </w:rPr>
      </w:pPr>
      <w:r>
        <w:rPr>
          <w:rFonts w:ascii="Arial" w:cs="Arial" w:eastAsia="Arial" w:hAnsi="Arial"/>
          <w:sz w:val="16"/>
          <w:szCs w:val="16"/>
          <w:color w:val="auto"/>
        </w:rPr>
        <w:t>In August 2021, we announced that our Board of Directors authorized a share repurchase program for up to an aggregate amount of $100 million of our outstanding shares of Class A common stock over the next twelve months. The timing, price, and quantity of purchases under the program will be at the discretion of our management and will depend upon a variety of factors including share price, general and business market conditions, compliance with applicable laws and regulations, corporate and regulatory requirements, and alternative uses of capital. The program may be amended, suspended or discontinued by our Board of Directors at any time. Although our Board of Directors has authorized this stock repurchase program, there is no guarantee as to the exact number of shares, if any, that will be repurchased by us, and we may discontinue purchases at any time if management determines additional purchases are not warranted. We cannot guarantee that the program will be consummated, fully or at all, or that it will enhance long-term stockholder value. The program could affect the trading price of our common stock and increase volatility, and any announcement of a termination of this program may result in a decrease in the trading price of our common stock. In addition, this program could diminish our cash reserves.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6. Exhibits</w:t>
      </w:r>
    </w:p>
    <w:p>
      <w:pPr>
        <w:spacing w:after="0" w:line="18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560" w:type="dxa"/>
            <w:vAlign w:val="bottom"/>
            <w:gridSpan w:val="3"/>
          </w:tcPr>
          <w:p>
            <w:pPr>
              <w:ind w:left="480"/>
              <w:spacing w:after="0"/>
              <w:rPr>
                <w:sz w:val="20"/>
                <w:szCs w:val="20"/>
                <w:color w:val="auto"/>
              </w:rPr>
            </w:pPr>
            <w:r>
              <w:rPr>
                <w:rFonts w:ascii="Arial" w:cs="Arial" w:eastAsia="Arial" w:hAnsi="Arial"/>
                <w:sz w:val="14"/>
                <w:szCs w:val="14"/>
                <w:b w:val="1"/>
                <w:bCs w:val="1"/>
                <w:color w:val="auto"/>
              </w:rPr>
              <w:t>Incorporated by Reference</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11"/>
        </w:trPr>
        <w:tc>
          <w:tcPr>
            <w:tcW w:w="94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100" w:type="dxa"/>
            <w:vAlign w:val="bottom"/>
            <w:gridSpan w:val="13"/>
            <w:vMerge w:val="restart"/>
          </w:tcPr>
          <w:p>
            <w:pPr>
              <w:ind w:left="100"/>
              <w:spacing w:after="0"/>
              <w:rPr>
                <w:sz w:val="20"/>
                <w:szCs w:val="20"/>
                <w:color w:val="auto"/>
              </w:rPr>
            </w:pPr>
            <w:r>
              <w:rPr>
                <w:rFonts w:ascii="Arial" w:cs="Arial" w:eastAsia="Arial" w:hAnsi="Arial"/>
                <w:sz w:val="14"/>
                <w:szCs w:val="14"/>
                <w:b w:val="1"/>
                <w:bCs w:val="1"/>
                <w:color w:val="auto"/>
              </w:rPr>
              <w:t>Description</w:t>
            </w:r>
          </w:p>
        </w:tc>
        <w:tc>
          <w:tcPr>
            <w:tcW w:w="820" w:type="dxa"/>
            <w:vAlign w:val="bottom"/>
            <w:vMerge w:val="restart"/>
          </w:tcPr>
          <w:p>
            <w:pPr>
              <w:jc w:val="center"/>
              <w:ind w:right="31"/>
              <w:spacing w:after="0"/>
              <w:rPr>
                <w:sz w:val="20"/>
                <w:szCs w:val="20"/>
                <w:color w:val="auto"/>
              </w:rPr>
            </w:pPr>
            <w:r>
              <w:rPr>
                <w:rFonts w:ascii="Arial" w:cs="Arial" w:eastAsia="Arial" w:hAnsi="Arial"/>
                <w:sz w:val="14"/>
                <w:szCs w:val="14"/>
                <w:b w:val="1"/>
                <w:bCs w:val="1"/>
                <w:color w:val="auto"/>
                <w:w w:val="97"/>
              </w:rPr>
              <w:t>Form</w:t>
            </w:r>
          </w:p>
        </w:tc>
        <w:tc>
          <w:tcPr>
            <w:tcW w:w="1220" w:type="dxa"/>
            <w:vAlign w:val="bottom"/>
            <w:vMerge w:val="restart"/>
          </w:tcPr>
          <w:p>
            <w:pPr>
              <w:jc w:val="center"/>
              <w:ind w:left="12"/>
              <w:spacing w:after="0"/>
              <w:rPr>
                <w:sz w:val="20"/>
                <w:szCs w:val="20"/>
                <w:color w:val="auto"/>
              </w:rPr>
            </w:pPr>
            <w:r>
              <w:rPr>
                <w:rFonts w:ascii="Arial" w:cs="Arial" w:eastAsia="Arial" w:hAnsi="Arial"/>
                <w:sz w:val="14"/>
                <w:szCs w:val="14"/>
                <w:b w:val="1"/>
                <w:bCs w:val="1"/>
                <w:color w:val="auto"/>
                <w:w w:val="94"/>
              </w:rPr>
              <w:t>File No.</w:t>
            </w:r>
          </w:p>
        </w:tc>
        <w:tc>
          <w:tcPr>
            <w:tcW w:w="7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Exhibit</w:t>
            </w: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Number</w:t>
            </w: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13"/>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60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69"/>
        </w:trPr>
        <w:tc>
          <w:tcPr>
            <w:tcW w:w="940" w:type="dxa"/>
            <w:vAlign w:val="bottom"/>
            <w:vMerge w:val="restart"/>
          </w:tcPr>
          <w:p>
            <w:pPr>
              <w:spacing w:after="0"/>
              <w:rPr>
                <w:sz w:val="20"/>
                <w:szCs w:val="20"/>
                <w:color w:val="auto"/>
              </w:rPr>
            </w:pPr>
            <w:r>
              <w:rPr>
                <w:rFonts w:ascii="Arial" w:cs="Arial" w:eastAsia="Arial" w:hAnsi="Arial"/>
                <w:sz w:val="18"/>
                <w:szCs w:val="18"/>
                <w:color w:val="auto"/>
              </w:rPr>
              <w:t>2.1</w:t>
            </w:r>
          </w:p>
        </w:tc>
        <w:tc>
          <w:tcPr>
            <w:tcW w:w="5040" w:type="dxa"/>
            <w:vAlign w:val="bottom"/>
            <w:tcBorders>
              <w:bottom w:val="single" w:sz="8" w:color="0000EE"/>
            </w:tcBorders>
            <w:gridSpan w:val="19"/>
          </w:tcPr>
          <w:p>
            <w:pPr>
              <w:spacing w:after="0" w:line="169" w:lineRule="exact"/>
              <w:rPr>
                <w:rFonts w:ascii="Arial" w:cs="Arial" w:eastAsia="Arial" w:hAnsi="Arial"/>
                <w:sz w:val="18"/>
                <w:szCs w:val="18"/>
                <w:color w:val="0000EE"/>
                <w:w w:val="91"/>
              </w:rPr>
            </w:pPr>
            <w:hyperlink r:id="rId70">
              <w:r>
                <w:rPr>
                  <w:rFonts w:ascii="Arial" w:cs="Arial" w:eastAsia="Arial" w:hAnsi="Arial"/>
                  <w:sz w:val="18"/>
                  <w:szCs w:val="18"/>
                  <w:color w:val="0000EE"/>
                  <w:w w:val="91"/>
                </w:rPr>
                <w:t>Merger Agreement, dated as of June 21, 2018, by and among Gores</w:t>
              </w:r>
            </w:hyperlink>
          </w:p>
        </w:tc>
        <w:tc>
          <w:tcPr>
            <w:tcW w:w="80" w:type="dxa"/>
            <w:vAlign w:val="bottom"/>
          </w:tcPr>
          <w:p>
            <w:pPr>
              <w:spacing w:after="0"/>
              <w:rPr>
                <w:sz w:val="14"/>
                <w:szCs w:val="14"/>
                <w:color w:val="auto"/>
              </w:rPr>
            </w:pPr>
          </w:p>
        </w:tc>
        <w:tc>
          <w:tcPr>
            <w:tcW w:w="820" w:type="dxa"/>
            <w:vAlign w:val="bottom"/>
          </w:tcPr>
          <w:p>
            <w:pPr>
              <w:jc w:val="center"/>
              <w:ind w:right="11"/>
              <w:spacing w:after="0" w:line="169" w:lineRule="exact"/>
              <w:rPr>
                <w:sz w:val="20"/>
                <w:szCs w:val="20"/>
                <w:color w:val="auto"/>
              </w:rPr>
            </w:pPr>
            <w:r>
              <w:rPr>
                <w:rFonts w:ascii="Arial" w:cs="Arial" w:eastAsia="Arial" w:hAnsi="Arial"/>
                <w:sz w:val="18"/>
                <w:szCs w:val="18"/>
                <w:color w:val="auto"/>
                <w:w w:val="99"/>
              </w:rPr>
              <w:t>8-K</w:t>
            </w:r>
          </w:p>
        </w:tc>
        <w:tc>
          <w:tcPr>
            <w:tcW w:w="1220" w:type="dxa"/>
            <w:vAlign w:val="bottom"/>
          </w:tcPr>
          <w:p>
            <w:pPr>
              <w:jc w:val="center"/>
              <w:ind w:left="32"/>
              <w:spacing w:after="0" w:line="169" w:lineRule="exact"/>
              <w:rPr>
                <w:sz w:val="20"/>
                <w:szCs w:val="20"/>
                <w:color w:val="auto"/>
              </w:rPr>
            </w:pPr>
            <w:r>
              <w:rPr>
                <w:rFonts w:ascii="Arial" w:cs="Arial" w:eastAsia="Arial" w:hAnsi="Arial"/>
                <w:sz w:val="18"/>
                <w:szCs w:val="18"/>
                <w:color w:val="auto"/>
                <w:w w:val="90"/>
              </w:rPr>
              <w:t>001-37979</w:t>
            </w:r>
          </w:p>
        </w:tc>
        <w:tc>
          <w:tcPr>
            <w:tcW w:w="740" w:type="dxa"/>
            <w:vAlign w:val="bottom"/>
          </w:tcPr>
          <w:p>
            <w:pPr>
              <w:jc w:val="center"/>
              <w:spacing w:after="0" w:line="169" w:lineRule="exact"/>
              <w:rPr>
                <w:sz w:val="20"/>
                <w:szCs w:val="20"/>
                <w:color w:val="auto"/>
              </w:rPr>
            </w:pPr>
            <w:r>
              <w:rPr>
                <w:rFonts w:ascii="Arial" w:cs="Arial" w:eastAsia="Arial" w:hAnsi="Arial"/>
                <w:sz w:val="18"/>
                <w:szCs w:val="18"/>
                <w:color w:val="auto"/>
                <w:w w:val="95"/>
              </w:rPr>
              <w:t>2.1</w:t>
            </w:r>
          </w:p>
        </w:tc>
        <w:tc>
          <w:tcPr>
            <w:tcW w:w="1600" w:type="dxa"/>
            <w:vAlign w:val="bottom"/>
          </w:tcPr>
          <w:p>
            <w:pPr>
              <w:jc w:val="center"/>
              <w:spacing w:after="0" w:line="169" w:lineRule="exact"/>
              <w:rPr>
                <w:sz w:val="20"/>
                <w:szCs w:val="20"/>
                <w:color w:val="auto"/>
              </w:rPr>
            </w:pPr>
            <w:r>
              <w:rPr>
                <w:rFonts w:ascii="Arial" w:cs="Arial" w:eastAsia="Arial" w:hAnsi="Arial"/>
                <w:sz w:val="18"/>
                <w:szCs w:val="18"/>
                <w:color w:val="auto"/>
                <w:w w:val="87"/>
              </w:rPr>
              <w:t>June 21, 2018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940" w:type="dxa"/>
            <w:vAlign w:val="bottom"/>
            <w:vMerge w:val="continue"/>
          </w:tcPr>
          <w:p>
            <w:pPr>
              <w:spacing w:after="0"/>
              <w:rPr>
                <w:sz w:val="8"/>
                <w:szCs w:val="8"/>
                <w:color w:val="auto"/>
              </w:rPr>
            </w:pPr>
          </w:p>
        </w:tc>
        <w:tc>
          <w:tcPr>
            <w:tcW w:w="4940" w:type="dxa"/>
            <w:vAlign w:val="bottom"/>
            <w:gridSpan w:val="14"/>
            <w:vMerge w:val="restart"/>
          </w:tcPr>
          <w:p>
            <w:pPr>
              <w:spacing w:after="0" w:line="196" w:lineRule="exact"/>
              <w:rPr>
                <w:rFonts w:ascii="Arial" w:cs="Arial" w:eastAsia="Arial" w:hAnsi="Arial"/>
                <w:sz w:val="18"/>
                <w:szCs w:val="18"/>
                <w:color w:val="0000EE"/>
                <w:w w:val="96"/>
              </w:rPr>
            </w:pPr>
            <w:hyperlink r:id="rId70">
              <w:r>
                <w:rPr>
                  <w:rFonts w:ascii="Arial" w:cs="Arial" w:eastAsia="Arial" w:hAnsi="Arial"/>
                  <w:sz w:val="18"/>
                  <w:szCs w:val="18"/>
                  <w:color w:val="0000EE"/>
                  <w:w w:val="96"/>
                </w:rPr>
                <w:t>Holdings II, Inc., AM Merger Sub I, Inc., AM Merger Sub II, LLC,</w:t>
              </w:r>
            </w:hyperlink>
          </w:p>
        </w:tc>
        <w:tc>
          <w:tcPr>
            <w:tcW w:w="180" w:type="dxa"/>
            <w:vAlign w:val="bottom"/>
            <w:gridSpan w:val="6"/>
            <w:vMerge w:val="restart"/>
          </w:tcPr>
          <w:p>
            <w:pPr>
              <w:spacing w:after="0"/>
              <w:rPr>
                <w:sz w:val="8"/>
                <w:szCs w:val="8"/>
                <w:color w:val="auto"/>
              </w:rPr>
            </w:pPr>
          </w:p>
        </w:tc>
        <w:tc>
          <w:tcPr>
            <w:tcW w:w="8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940" w:type="dxa"/>
            <w:vAlign w:val="bottom"/>
          </w:tcPr>
          <w:p>
            <w:pPr>
              <w:spacing w:after="0"/>
              <w:rPr>
                <w:sz w:val="8"/>
                <w:szCs w:val="8"/>
                <w:color w:val="auto"/>
              </w:rPr>
            </w:pPr>
          </w:p>
        </w:tc>
        <w:tc>
          <w:tcPr>
            <w:tcW w:w="4940" w:type="dxa"/>
            <w:vAlign w:val="bottom"/>
            <w:tcBorders>
              <w:bottom w:val="single" w:sz="8" w:color="0000EE"/>
            </w:tcBorders>
            <w:gridSpan w:val="14"/>
            <w:vMerge w:val="continue"/>
          </w:tcPr>
          <w:p>
            <w:pPr>
              <w:spacing w:after="0"/>
              <w:rPr>
                <w:sz w:val="8"/>
                <w:szCs w:val="8"/>
                <w:color w:val="auto"/>
              </w:rPr>
            </w:pPr>
          </w:p>
        </w:tc>
        <w:tc>
          <w:tcPr>
            <w:tcW w:w="180" w:type="dxa"/>
            <w:vAlign w:val="bottom"/>
            <w:gridSpan w:val="6"/>
            <w:vMerge w:val="continue"/>
          </w:tcPr>
          <w:p>
            <w:pPr>
              <w:spacing w:after="0"/>
              <w:rPr>
                <w:sz w:val="8"/>
                <w:szCs w:val="8"/>
                <w:color w:val="auto"/>
              </w:rPr>
            </w:pPr>
          </w:p>
        </w:tc>
        <w:tc>
          <w:tcPr>
            <w:tcW w:w="8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tcBorders>
              <w:bottom w:val="single" w:sz="8" w:color="0000EE"/>
            </w:tcBorders>
            <w:gridSpan w:val="14"/>
          </w:tcPr>
          <w:p>
            <w:pPr>
              <w:spacing w:after="0" w:line="196" w:lineRule="exact"/>
              <w:rPr>
                <w:rFonts w:ascii="Arial" w:cs="Arial" w:eastAsia="Arial" w:hAnsi="Arial"/>
                <w:sz w:val="18"/>
                <w:szCs w:val="18"/>
                <w:color w:val="0000EE"/>
                <w:w w:val="99"/>
              </w:rPr>
            </w:pPr>
            <w:hyperlink r:id="rId70">
              <w:r>
                <w:rPr>
                  <w:rFonts w:ascii="Arial" w:cs="Arial" w:eastAsia="Arial" w:hAnsi="Arial"/>
                  <w:sz w:val="18"/>
                  <w:szCs w:val="18"/>
                  <w:color w:val="0000EE"/>
                  <w:w w:val="99"/>
                </w:rPr>
                <w:t>Greenlight Holding II Corporation and PE Greenlight Holdings,</w:t>
              </w:r>
            </w:hyperlink>
          </w:p>
        </w:tc>
        <w:tc>
          <w:tcPr>
            <w:tcW w:w="180" w:type="dxa"/>
            <w:vAlign w:val="bottom"/>
            <w:gridSpan w:val="6"/>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5120" w:type="dxa"/>
            <w:vAlign w:val="bottom"/>
            <w:gridSpan w:val="20"/>
          </w:tcPr>
          <w:p>
            <w:pPr>
              <w:spacing w:after="0" w:line="196" w:lineRule="exact"/>
              <w:rPr>
                <w:rFonts w:ascii="Arial" w:cs="Arial" w:eastAsia="Arial" w:hAnsi="Arial"/>
                <w:sz w:val="18"/>
                <w:szCs w:val="18"/>
                <w:color w:val="0000EE"/>
              </w:rPr>
            </w:pPr>
            <w:hyperlink r:id="rId70">
              <w:r>
                <w:rPr>
                  <w:rFonts w:ascii="Arial" w:cs="Arial" w:eastAsia="Arial" w:hAnsi="Arial"/>
                  <w:sz w:val="18"/>
                  <w:szCs w:val="18"/>
                  <w:color w:val="0000EE"/>
                </w:rPr>
                <w:t>LLC, in its capacity as the Stockholder Representative.</w:t>
              </w:r>
            </w:hyperlink>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40" w:type="dxa"/>
            <w:vAlign w:val="bottom"/>
          </w:tcPr>
          <w:p>
            <w:pPr>
              <w:spacing w:after="0"/>
              <w:rPr>
                <w:sz w:val="20"/>
                <w:szCs w:val="20"/>
                <w:color w:val="auto"/>
              </w:rPr>
            </w:pPr>
            <w:r>
              <w:rPr>
                <w:rFonts w:ascii="Arial" w:cs="Arial" w:eastAsia="Arial" w:hAnsi="Arial"/>
                <w:sz w:val="18"/>
                <w:szCs w:val="18"/>
                <w:color w:val="auto"/>
              </w:rPr>
              <w:t>2.2</w:t>
            </w:r>
          </w:p>
        </w:tc>
        <w:tc>
          <w:tcPr>
            <w:tcW w:w="4940" w:type="dxa"/>
            <w:vAlign w:val="bottom"/>
            <w:tcBorders>
              <w:bottom w:val="single" w:sz="8" w:color="0000EE"/>
            </w:tcBorders>
            <w:gridSpan w:val="14"/>
          </w:tcPr>
          <w:p>
            <w:pPr>
              <w:spacing w:after="0"/>
              <w:rPr>
                <w:rFonts w:ascii="Arial" w:cs="Arial" w:eastAsia="Arial" w:hAnsi="Arial"/>
                <w:sz w:val="18"/>
                <w:szCs w:val="18"/>
                <w:color w:val="0000EE"/>
                <w:w w:val="95"/>
              </w:rPr>
            </w:pPr>
            <w:hyperlink r:id="rId71">
              <w:r>
                <w:rPr>
                  <w:rFonts w:ascii="Arial" w:cs="Arial" w:eastAsia="Arial" w:hAnsi="Arial"/>
                  <w:sz w:val="18"/>
                  <w:szCs w:val="18"/>
                  <w:color w:val="0000EE"/>
                  <w:w w:val="95"/>
                </w:rPr>
                <w:t>Amendment No. 1 to Agreement and Plan of Merger, dated as of</w:t>
              </w:r>
            </w:hyperlink>
          </w:p>
        </w:tc>
        <w:tc>
          <w:tcPr>
            <w:tcW w:w="180" w:type="dxa"/>
            <w:vAlign w:val="bottom"/>
            <w:gridSpan w:val="6"/>
          </w:tcPr>
          <w:p>
            <w:pPr>
              <w:spacing w:after="0"/>
              <w:rPr>
                <w:sz w:val="24"/>
                <w:szCs w:val="24"/>
                <w:color w:val="auto"/>
              </w:rPr>
            </w:pPr>
          </w:p>
        </w:tc>
        <w:tc>
          <w:tcPr>
            <w:tcW w:w="820" w:type="dxa"/>
            <w:vAlign w:val="bottom"/>
          </w:tcPr>
          <w:p>
            <w:pPr>
              <w:jc w:val="center"/>
              <w:ind w:right="11"/>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ind w:left="32"/>
              <w:spacing w:after="0"/>
              <w:rPr>
                <w:sz w:val="20"/>
                <w:szCs w:val="20"/>
                <w:color w:val="auto"/>
              </w:rPr>
            </w:pPr>
            <w:r>
              <w:rPr>
                <w:rFonts w:ascii="Arial" w:cs="Arial" w:eastAsia="Arial" w:hAnsi="Arial"/>
                <w:sz w:val="18"/>
                <w:szCs w:val="18"/>
                <w:color w:val="auto"/>
                <w:w w:val="90"/>
              </w:rPr>
              <w:t>001-37979</w:t>
            </w:r>
          </w:p>
        </w:tc>
        <w:tc>
          <w:tcPr>
            <w:tcW w:w="740" w:type="dxa"/>
            <w:vAlign w:val="bottom"/>
          </w:tcPr>
          <w:p>
            <w:pPr>
              <w:jc w:val="center"/>
              <w:spacing w:after="0"/>
              <w:rPr>
                <w:sz w:val="20"/>
                <w:szCs w:val="20"/>
                <w:color w:val="auto"/>
              </w:rPr>
            </w:pPr>
            <w:r>
              <w:rPr>
                <w:rFonts w:ascii="Arial" w:cs="Arial" w:eastAsia="Arial" w:hAnsi="Arial"/>
                <w:sz w:val="18"/>
                <w:szCs w:val="18"/>
                <w:color w:val="auto"/>
                <w:w w:val="95"/>
              </w:rPr>
              <w:t>2.2</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August 24, 2018</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tcBorders>
              <w:bottom w:val="single" w:sz="8" w:color="0000EE"/>
            </w:tcBorders>
            <w:gridSpan w:val="14"/>
          </w:tcPr>
          <w:p>
            <w:pPr>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August 23, 2018, by and among Gores Holdings II, Inc., AM</w:t>
              </w:r>
            </w:hyperlink>
          </w:p>
        </w:tc>
        <w:tc>
          <w:tcPr>
            <w:tcW w:w="180" w:type="dxa"/>
            <w:vAlign w:val="bottom"/>
            <w:gridSpan w:val="6"/>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tcBorders>
              <w:bottom w:val="single" w:sz="8" w:color="0000EE"/>
            </w:tcBorders>
            <w:gridSpan w:val="14"/>
          </w:tcPr>
          <w:p>
            <w:pPr>
              <w:spacing w:after="0" w:line="196" w:lineRule="exact"/>
              <w:rPr>
                <w:rFonts w:ascii="Arial" w:cs="Arial" w:eastAsia="Arial" w:hAnsi="Arial"/>
                <w:sz w:val="18"/>
                <w:szCs w:val="18"/>
                <w:color w:val="0000EE"/>
                <w:w w:val="96"/>
              </w:rPr>
            </w:pPr>
            <w:hyperlink r:id="rId71">
              <w:r>
                <w:rPr>
                  <w:rFonts w:ascii="Arial" w:cs="Arial" w:eastAsia="Arial" w:hAnsi="Arial"/>
                  <w:sz w:val="18"/>
                  <w:szCs w:val="18"/>
                  <w:color w:val="0000EE"/>
                  <w:w w:val="96"/>
                </w:rPr>
                <w:t>Merger Sub I, Inc., AM Merger Sub II, LLC, Greenlight Holding II</w:t>
              </w:r>
            </w:hyperlink>
          </w:p>
        </w:tc>
        <w:tc>
          <w:tcPr>
            <w:tcW w:w="180" w:type="dxa"/>
            <w:vAlign w:val="bottom"/>
            <w:gridSpan w:val="6"/>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5020" w:type="dxa"/>
            <w:vAlign w:val="bottom"/>
            <w:tcBorders>
              <w:bottom w:val="single" w:sz="8" w:color="0000EE"/>
            </w:tcBorders>
            <w:gridSpan w:val="18"/>
          </w:tcPr>
          <w:p>
            <w:pPr>
              <w:spacing w:after="0" w:line="196" w:lineRule="exact"/>
              <w:rPr>
                <w:rFonts w:ascii="Arial" w:cs="Arial" w:eastAsia="Arial" w:hAnsi="Arial"/>
                <w:sz w:val="18"/>
                <w:szCs w:val="18"/>
                <w:color w:val="0000EE"/>
                <w:w w:val="93"/>
              </w:rPr>
            </w:pPr>
            <w:hyperlink r:id="rId71">
              <w:r>
                <w:rPr>
                  <w:rFonts w:ascii="Arial" w:cs="Arial" w:eastAsia="Arial" w:hAnsi="Arial"/>
                  <w:sz w:val="18"/>
                  <w:szCs w:val="18"/>
                  <w:color w:val="0000EE"/>
                  <w:w w:val="93"/>
                </w:rPr>
                <w:t>Corporation and PE Greenlight Holdings, LLC, in its capacity as the</w:t>
              </w:r>
            </w:hyperlink>
          </w:p>
        </w:tc>
        <w:tc>
          <w:tcPr>
            <w:tcW w:w="10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5120" w:type="dxa"/>
            <w:vAlign w:val="bottom"/>
            <w:gridSpan w:val="20"/>
          </w:tcPr>
          <w:p>
            <w:pPr>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Stockholder Representative.</w:t>
              </w:r>
            </w:hyperlink>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40" w:type="dxa"/>
            <w:vAlign w:val="bottom"/>
          </w:tcPr>
          <w:p>
            <w:pPr>
              <w:spacing w:after="0"/>
              <w:rPr>
                <w:sz w:val="20"/>
                <w:szCs w:val="20"/>
                <w:color w:val="auto"/>
              </w:rPr>
            </w:pPr>
            <w:r>
              <w:rPr>
                <w:rFonts w:ascii="Arial" w:cs="Arial" w:eastAsia="Arial" w:hAnsi="Arial"/>
                <w:sz w:val="18"/>
                <w:szCs w:val="18"/>
                <w:color w:val="auto"/>
              </w:rPr>
              <w:t>2.3</w:t>
            </w:r>
          </w:p>
        </w:tc>
        <w:tc>
          <w:tcPr>
            <w:tcW w:w="5000" w:type="dxa"/>
            <w:vAlign w:val="bottom"/>
            <w:tcBorders>
              <w:bottom w:val="single" w:sz="8" w:color="0000EE"/>
            </w:tcBorders>
            <w:gridSpan w:val="17"/>
          </w:tcPr>
          <w:p>
            <w:pPr>
              <w:spacing w:after="0"/>
              <w:rPr>
                <w:rFonts w:ascii="Arial" w:cs="Arial" w:eastAsia="Arial" w:hAnsi="Arial"/>
                <w:sz w:val="18"/>
                <w:szCs w:val="18"/>
                <w:color w:val="0000EE"/>
                <w:w w:val="93"/>
              </w:rPr>
            </w:pPr>
            <w:hyperlink r:id="rId72">
              <w:r>
                <w:rPr>
                  <w:rFonts w:ascii="Arial" w:cs="Arial" w:eastAsia="Arial" w:hAnsi="Arial"/>
                  <w:sz w:val="18"/>
                  <w:szCs w:val="18"/>
                  <w:color w:val="0000EE"/>
                  <w:w w:val="93"/>
                </w:rPr>
                <w:t>Scheme Implementation Agreement, dated as of January 21, 2021,</w:t>
              </w:r>
            </w:hyperlink>
          </w:p>
        </w:tc>
        <w:tc>
          <w:tcPr>
            <w:tcW w:w="120" w:type="dxa"/>
            <w:vAlign w:val="bottom"/>
            <w:gridSpan w:val="3"/>
          </w:tcPr>
          <w:p>
            <w:pPr>
              <w:spacing w:after="0"/>
              <w:rPr>
                <w:sz w:val="24"/>
                <w:szCs w:val="24"/>
                <w:color w:val="auto"/>
              </w:rPr>
            </w:pPr>
          </w:p>
        </w:tc>
        <w:tc>
          <w:tcPr>
            <w:tcW w:w="820" w:type="dxa"/>
            <w:vAlign w:val="bottom"/>
          </w:tcPr>
          <w:p>
            <w:pPr>
              <w:jc w:val="center"/>
              <w:ind w:right="11"/>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ind w:left="32"/>
              <w:spacing w:after="0"/>
              <w:rPr>
                <w:sz w:val="20"/>
                <w:szCs w:val="20"/>
                <w:color w:val="auto"/>
              </w:rPr>
            </w:pPr>
            <w:r>
              <w:rPr>
                <w:rFonts w:ascii="Arial" w:cs="Arial" w:eastAsia="Arial" w:hAnsi="Arial"/>
                <w:sz w:val="18"/>
                <w:szCs w:val="18"/>
                <w:color w:val="auto"/>
                <w:w w:val="90"/>
              </w:rPr>
              <w:t>001-37979</w:t>
            </w:r>
          </w:p>
        </w:tc>
        <w:tc>
          <w:tcPr>
            <w:tcW w:w="740" w:type="dxa"/>
            <w:vAlign w:val="bottom"/>
          </w:tcPr>
          <w:p>
            <w:pPr>
              <w:jc w:val="center"/>
              <w:spacing w:after="0"/>
              <w:rPr>
                <w:sz w:val="20"/>
                <w:szCs w:val="20"/>
                <w:color w:val="auto"/>
              </w:rPr>
            </w:pPr>
            <w:r>
              <w:rPr>
                <w:rFonts w:ascii="Arial" w:cs="Arial" w:eastAsia="Arial" w:hAnsi="Arial"/>
                <w:sz w:val="18"/>
                <w:szCs w:val="18"/>
                <w:color w:val="auto"/>
                <w:w w:val="95"/>
              </w:rPr>
              <w:t>2.1</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January 21, 2021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98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r:id="rId72">
              <w:r>
                <w:rPr>
                  <w:rFonts w:ascii="Arial" w:cs="Arial" w:eastAsia="Arial" w:hAnsi="Arial"/>
                  <w:sz w:val="18"/>
                  <w:szCs w:val="18"/>
                  <w:color w:val="0000EE"/>
                  <w:w w:val="95"/>
                </w:rPr>
                <w:t>by and between Verra Mobility Corporation and Redflex Holdings</w:t>
              </w:r>
            </w:hyperlink>
          </w:p>
        </w:tc>
        <w:tc>
          <w:tcPr>
            <w:tcW w:w="140" w:type="dxa"/>
            <w:vAlign w:val="bottom"/>
            <w:gridSpan w:val="4"/>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620" w:type="dxa"/>
            <w:vAlign w:val="bottom"/>
            <w:tcBorders>
              <w:bottom w:val="single" w:sz="8" w:color="0000EE"/>
            </w:tcBorders>
            <w:gridSpan w:val="2"/>
          </w:tcPr>
          <w:p>
            <w:pPr>
              <w:spacing w:after="0" w:line="196" w:lineRule="exact"/>
              <w:rPr>
                <w:rFonts w:ascii="Arial" w:cs="Arial" w:eastAsia="Arial" w:hAnsi="Arial"/>
                <w:sz w:val="18"/>
                <w:szCs w:val="18"/>
                <w:color w:val="0000EE"/>
                <w:w w:val="95"/>
              </w:rPr>
            </w:pPr>
            <w:hyperlink r:id="rId72">
              <w:r>
                <w:rPr>
                  <w:rFonts w:ascii="Arial" w:cs="Arial" w:eastAsia="Arial" w:hAnsi="Arial"/>
                  <w:sz w:val="18"/>
                  <w:szCs w:val="18"/>
                  <w:color w:val="0000EE"/>
                  <w:w w:val="95"/>
                </w:rPr>
                <w:t>Limited.</w:t>
              </w:r>
            </w:hyperlink>
          </w:p>
        </w:tc>
        <w:tc>
          <w:tcPr>
            <w:tcW w:w="4500" w:type="dxa"/>
            <w:vAlign w:val="bottom"/>
            <w:gridSpan w:val="18"/>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940" w:type="dxa"/>
            <w:vAlign w:val="bottom"/>
          </w:tcPr>
          <w:p>
            <w:pPr>
              <w:spacing w:after="0"/>
              <w:rPr>
                <w:sz w:val="20"/>
                <w:szCs w:val="20"/>
                <w:color w:val="auto"/>
              </w:rPr>
            </w:pPr>
            <w:r>
              <w:rPr>
                <w:rFonts w:ascii="Arial" w:cs="Arial" w:eastAsia="Arial" w:hAnsi="Arial"/>
                <w:sz w:val="18"/>
                <w:szCs w:val="18"/>
                <w:color w:val="auto"/>
              </w:rPr>
              <w:t>2.4</w:t>
            </w:r>
          </w:p>
        </w:tc>
        <w:tc>
          <w:tcPr>
            <w:tcW w:w="5120" w:type="dxa"/>
            <w:vAlign w:val="bottom"/>
            <w:gridSpan w:val="20"/>
          </w:tcPr>
          <w:p>
            <w:pPr>
              <w:spacing w:after="0"/>
              <w:rPr>
                <w:rFonts w:ascii="Arial" w:cs="Arial" w:eastAsia="Arial" w:hAnsi="Arial"/>
                <w:sz w:val="18"/>
                <w:szCs w:val="18"/>
                <w:color w:val="0000EE"/>
                <w:w w:val="98"/>
              </w:rPr>
            </w:pPr>
            <w:hyperlink r:id="rId73">
              <w:r>
                <w:rPr>
                  <w:rFonts w:ascii="Arial" w:cs="Arial" w:eastAsia="Arial" w:hAnsi="Arial"/>
                  <w:sz w:val="18"/>
                  <w:szCs w:val="18"/>
                  <w:color w:val="0000EE"/>
                  <w:w w:val="98"/>
                </w:rPr>
                <w:t>Deed of Amendment and Consent, dated as of April 30, 2021, by</w:t>
              </w:r>
            </w:hyperlink>
          </w:p>
        </w:tc>
        <w:tc>
          <w:tcPr>
            <w:tcW w:w="820" w:type="dxa"/>
            <w:vAlign w:val="bottom"/>
          </w:tcPr>
          <w:p>
            <w:pPr>
              <w:jc w:val="center"/>
              <w:ind w:right="11"/>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ind w:left="32"/>
              <w:spacing w:after="0"/>
              <w:rPr>
                <w:sz w:val="20"/>
                <w:szCs w:val="20"/>
                <w:color w:val="auto"/>
              </w:rPr>
            </w:pPr>
            <w:r>
              <w:rPr>
                <w:rFonts w:ascii="Arial" w:cs="Arial" w:eastAsia="Arial" w:hAnsi="Arial"/>
                <w:sz w:val="18"/>
                <w:szCs w:val="18"/>
                <w:color w:val="auto"/>
                <w:w w:val="90"/>
              </w:rPr>
              <w:t>001-37979</w:t>
            </w:r>
          </w:p>
        </w:tc>
        <w:tc>
          <w:tcPr>
            <w:tcW w:w="740" w:type="dxa"/>
            <w:vAlign w:val="bottom"/>
          </w:tcPr>
          <w:p>
            <w:pPr>
              <w:jc w:val="center"/>
              <w:spacing w:after="0"/>
              <w:rPr>
                <w:sz w:val="20"/>
                <w:szCs w:val="20"/>
                <w:color w:val="auto"/>
              </w:rPr>
            </w:pPr>
            <w:r>
              <w:rPr>
                <w:rFonts w:ascii="Arial" w:cs="Arial" w:eastAsia="Arial" w:hAnsi="Arial"/>
                <w:sz w:val="18"/>
                <w:szCs w:val="18"/>
                <w:color w:val="auto"/>
                <w:w w:val="95"/>
              </w:rPr>
              <w:t>2.1</w:t>
            </w:r>
          </w:p>
        </w:tc>
        <w:tc>
          <w:tcPr>
            <w:tcW w:w="1600" w:type="dxa"/>
            <w:vAlign w:val="bottom"/>
          </w:tcPr>
          <w:p>
            <w:pPr>
              <w:jc w:val="center"/>
              <w:spacing w:after="0"/>
              <w:rPr>
                <w:sz w:val="20"/>
                <w:szCs w:val="20"/>
                <w:color w:val="auto"/>
              </w:rPr>
            </w:pPr>
            <w:r>
              <w:rPr>
                <w:rFonts w:ascii="Arial" w:cs="Arial" w:eastAsia="Arial" w:hAnsi="Arial"/>
                <w:sz w:val="18"/>
                <w:szCs w:val="18"/>
                <w:color w:val="auto"/>
                <w:w w:val="95"/>
              </w:rPr>
              <w:t>April 30, 2021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120" w:type="dxa"/>
            <w:vAlign w:val="bottom"/>
            <w:gridSpan w:val="20"/>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and between Verra Mobility Corporation and Redflex Holdings</w:t>
              </w:r>
            </w:hyperlink>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6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5"/>
              </w:rPr>
            </w:pPr>
            <w:hyperlink r:id="rId73">
              <w:r>
                <w:rPr>
                  <w:rFonts w:ascii="Arial" w:cs="Arial" w:eastAsia="Arial" w:hAnsi="Arial"/>
                  <w:sz w:val="18"/>
                  <w:szCs w:val="18"/>
                  <w:color w:val="0000EE"/>
                  <w:w w:val="95"/>
                </w:rPr>
                <w:t>Limited.</w:t>
              </w:r>
            </w:hyperlink>
          </w:p>
        </w:tc>
        <w:tc>
          <w:tcPr>
            <w:tcW w:w="4300" w:type="dxa"/>
            <w:vAlign w:val="bottom"/>
            <w:tcBorders>
              <w:top w:val="single" w:sz="8" w:color="0000EE"/>
            </w:tcBorders>
            <w:gridSpan w:val="11"/>
          </w:tcPr>
          <w:p>
            <w:pPr>
              <w:spacing w:after="0"/>
              <w:rPr>
                <w:sz w:val="17"/>
                <w:szCs w:val="17"/>
                <w:color w:val="auto"/>
              </w:rPr>
            </w:pPr>
          </w:p>
        </w:tc>
        <w:tc>
          <w:tcPr>
            <w:tcW w:w="200" w:type="dxa"/>
            <w:vAlign w:val="bottom"/>
            <w:gridSpan w:val="7"/>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940" w:type="dxa"/>
            <w:vAlign w:val="bottom"/>
          </w:tcPr>
          <w:p>
            <w:pPr>
              <w:spacing w:after="0"/>
              <w:rPr>
                <w:sz w:val="20"/>
                <w:szCs w:val="20"/>
                <w:color w:val="auto"/>
              </w:rPr>
            </w:pPr>
            <w:r>
              <w:rPr>
                <w:rFonts w:ascii="Arial" w:cs="Arial" w:eastAsia="Arial" w:hAnsi="Arial"/>
                <w:sz w:val="18"/>
                <w:szCs w:val="18"/>
                <w:color w:val="auto"/>
              </w:rPr>
              <w:t>3.1</w:t>
            </w:r>
          </w:p>
        </w:tc>
        <w:tc>
          <w:tcPr>
            <w:tcW w:w="4960" w:type="dxa"/>
            <w:vAlign w:val="bottom"/>
            <w:tcBorders>
              <w:bottom w:val="single" w:sz="8" w:color="0000EE"/>
            </w:tcBorders>
            <w:gridSpan w:val="15"/>
          </w:tcPr>
          <w:p>
            <w:pPr>
              <w:spacing w:after="0"/>
              <w:rPr>
                <w:rFonts w:ascii="Arial" w:cs="Arial" w:eastAsia="Arial" w:hAnsi="Arial"/>
                <w:sz w:val="18"/>
                <w:szCs w:val="18"/>
                <w:color w:val="0000EE"/>
                <w:w w:val="91"/>
              </w:rPr>
            </w:pPr>
            <w:hyperlink r:id="rId74">
              <w:r>
                <w:rPr>
                  <w:rFonts w:ascii="Arial" w:cs="Arial" w:eastAsia="Arial" w:hAnsi="Arial"/>
                  <w:sz w:val="18"/>
                  <w:szCs w:val="18"/>
                  <w:color w:val="0000EE"/>
                  <w:w w:val="91"/>
                </w:rPr>
                <w:t>Second Amended and Restated Certificate of Incorporation of Verra</w:t>
              </w:r>
            </w:hyperlink>
          </w:p>
        </w:tc>
        <w:tc>
          <w:tcPr>
            <w:tcW w:w="160" w:type="dxa"/>
            <w:vAlign w:val="bottom"/>
            <w:gridSpan w:val="5"/>
          </w:tcPr>
          <w:p>
            <w:pPr>
              <w:spacing w:after="0"/>
              <w:rPr>
                <w:sz w:val="24"/>
                <w:szCs w:val="24"/>
                <w:color w:val="auto"/>
              </w:rPr>
            </w:pPr>
          </w:p>
        </w:tc>
        <w:tc>
          <w:tcPr>
            <w:tcW w:w="820" w:type="dxa"/>
            <w:vAlign w:val="bottom"/>
          </w:tcPr>
          <w:p>
            <w:pPr>
              <w:jc w:val="center"/>
              <w:ind w:right="11"/>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ind w:left="32"/>
              <w:spacing w:after="0"/>
              <w:rPr>
                <w:sz w:val="20"/>
                <w:szCs w:val="20"/>
                <w:color w:val="auto"/>
              </w:rPr>
            </w:pPr>
            <w:r>
              <w:rPr>
                <w:rFonts w:ascii="Arial" w:cs="Arial" w:eastAsia="Arial" w:hAnsi="Arial"/>
                <w:sz w:val="18"/>
                <w:szCs w:val="18"/>
                <w:color w:val="auto"/>
                <w:w w:val="90"/>
              </w:rPr>
              <w:t>001-37979</w:t>
            </w:r>
          </w:p>
        </w:tc>
        <w:tc>
          <w:tcPr>
            <w:tcW w:w="74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October 22, 2018</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5120" w:type="dxa"/>
            <w:vAlign w:val="bottom"/>
            <w:gridSpan w:val="20"/>
          </w:tcPr>
          <w:p>
            <w:pPr>
              <w:spacing w:after="0" w:line="196" w:lineRule="exact"/>
              <w:rPr>
                <w:rFonts w:ascii="Arial" w:cs="Arial" w:eastAsia="Arial" w:hAnsi="Arial"/>
                <w:sz w:val="18"/>
                <w:szCs w:val="18"/>
                <w:color w:val="0000EE"/>
              </w:rPr>
            </w:pPr>
            <w:hyperlink r:id="rId74">
              <w:r>
                <w:rPr>
                  <w:rFonts w:ascii="Arial" w:cs="Arial" w:eastAsia="Arial" w:hAnsi="Arial"/>
                  <w:sz w:val="18"/>
                  <w:szCs w:val="18"/>
                  <w:color w:val="0000EE"/>
                </w:rPr>
                <w:t>Mobility Corporation.</w:t>
              </w:r>
            </w:hyperlink>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40" w:type="dxa"/>
            <w:vAlign w:val="bottom"/>
          </w:tcPr>
          <w:p>
            <w:pPr>
              <w:spacing w:after="0"/>
              <w:rPr>
                <w:sz w:val="20"/>
                <w:szCs w:val="20"/>
                <w:color w:val="auto"/>
              </w:rPr>
            </w:pPr>
            <w:r>
              <w:rPr>
                <w:rFonts w:ascii="Arial" w:cs="Arial" w:eastAsia="Arial" w:hAnsi="Arial"/>
                <w:sz w:val="18"/>
                <w:szCs w:val="18"/>
                <w:color w:val="auto"/>
              </w:rPr>
              <w:t>3.2</w:t>
            </w:r>
          </w:p>
        </w:tc>
        <w:tc>
          <w:tcPr>
            <w:tcW w:w="4520" w:type="dxa"/>
            <w:vAlign w:val="bottom"/>
            <w:tcBorders>
              <w:bottom w:val="single" w:sz="8" w:color="0000EE"/>
            </w:tcBorders>
            <w:gridSpan w:val="12"/>
          </w:tcPr>
          <w:p>
            <w:pPr>
              <w:spacing w:after="0"/>
              <w:rPr>
                <w:rFonts w:ascii="Arial" w:cs="Arial" w:eastAsia="Arial" w:hAnsi="Arial"/>
                <w:sz w:val="18"/>
                <w:szCs w:val="18"/>
                <w:color w:val="0000EE"/>
                <w:w w:val="91"/>
              </w:rPr>
            </w:pPr>
            <w:hyperlink r:id="rId75">
              <w:r>
                <w:rPr>
                  <w:rFonts w:ascii="Arial" w:cs="Arial" w:eastAsia="Arial" w:hAnsi="Arial"/>
                  <w:sz w:val="18"/>
                  <w:szCs w:val="18"/>
                  <w:color w:val="0000EE"/>
                  <w:w w:val="91"/>
                </w:rPr>
                <w:t>Amended and Restated Bylaws of Verra Mobility Corporation.</w:t>
              </w:r>
            </w:hyperlink>
          </w:p>
        </w:tc>
        <w:tc>
          <w:tcPr>
            <w:tcW w:w="600" w:type="dxa"/>
            <w:vAlign w:val="bottom"/>
            <w:gridSpan w:val="8"/>
          </w:tcPr>
          <w:p>
            <w:pPr>
              <w:spacing w:after="0"/>
              <w:rPr>
                <w:sz w:val="24"/>
                <w:szCs w:val="24"/>
                <w:color w:val="auto"/>
              </w:rPr>
            </w:pPr>
          </w:p>
        </w:tc>
        <w:tc>
          <w:tcPr>
            <w:tcW w:w="820" w:type="dxa"/>
            <w:vAlign w:val="bottom"/>
          </w:tcPr>
          <w:p>
            <w:pPr>
              <w:jc w:val="center"/>
              <w:ind w:right="11"/>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ind w:left="32"/>
              <w:spacing w:after="0"/>
              <w:rPr>
                <w:sz w:val="20"/>
                <w:szCs w:val="20"/>
                <w:color w:val="auto"/>
              </w:rPr>
            </w:pPr>
            <w:r>
              <w:rPr>
                <w:rFonts w:ascii="Arial" w:cs="Arial" w:eastAsia="Arial" w:hAnsi="Arial"/>
                <w:sz w:val="18"/>
                <w:szCs w:val="18"/>
                <w:color w:val="auto"/>
                <w:w w:val="90"/>
              </w:rPr>
              <w:t>001-37979</w:t>
            </w:r>
          </w:p>
        </w:tc>
        <w:tc>
          <w:tcPr>
            <w:tcW w:w="74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October 22, 2018</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4.1</w:t>
            </w:r>
          </w:p>
        </w:tc>
        <w:tc>
          <w:tcPr>
            <w:tcW w:w="3340" w:type="dxa"/>
            <w:vAlign w:val="bottom"/>
            <w:tcBorders>
              <w:bottom w:val="single" w:sz="8" w:color="0000EE"/>
            </w:tcBorders>
            <w:gridSpan w:val="9"/>
          </w:tcPr>
          <w:p>
            <w:pPr>
              <w:spacing w:after="0"/>
              <w:rPr>
                <w:rFonts w:ascii="Arial" w:cs="Arial" w:eastAsia="Arial" w:hAnsi="Arial"/>
                <w:sz w:val="18"/>
                <w:szCs w:val="18"/>
                <w:color w:val="0000EE"/>
                <w:w w:val="90"/>
              </w:rPr>
            </w:pPr>
            <w:hyperlink r:id="rId76">
              <w:r>
                <w:rPr>
                  <w:rFonts w:ascii="Arial" w:cs="Arial" w:eastAsia="Arial" w:hAnsi="Arial"/>
                  <w:sz w:val="18"/>
                  <w:szCs w:val="18"/>
                  <w:color w:val="0000EE"/>
                  <w:w w:val="90"/>
                </w:rPr>
                <w:t>Specimen Class A Common Stock Certificate.</w:t>
              </w:r>
            </w:hyperlink>
          </w:p>
        </w:tc>
        <w:tc>
          <w:tcPr>
            <w:tcW w:w="1780" w:type="dxa"/>
            <w:vAlign w:val="bottom"/>
            <w:gridSpan w:val="11"/>
          </w:tcPr>
          <w:p>
            <w:pPr>
              <w:spacing w:after="0"/>
              <w:rPr>
                <w:sz w:val="24"/>
                <w:szCs w:val="24"/>
                <w:color w:val="auto"/>
              </w:rPr>
            </w:pPr>
          </w:p>
        </w:tc>
        <w:tc>
          <w:tcPr>
            <w:tcW w:w="820" w:type="dxa"/>
            <w:vAlign w:val="bottom"/>
          </w:tcPr>
          <w:p>
            <w:pPr>
              <w:jc w:val="center"/>
              <w:ind w:right="31"/>
              <w:spacing w:after="0"/>
              <w:rPr>
                <w:sz w:val="20"/>
                <w:szCs w:val="20"/>
                <w:color w:val="auto"/>
              </w:rPr>
            </w:pPr>
            <w:r>
              <w:rPr>
                <w:rFonts w:ascii="Arial" w:cs="Arial" w:eastAsia="Arial" w:hAnsi="Arial"/>
                <w:sz w:val="18"/>
                <w:szCs w:val="18"/>
                <w:color w:val="auto"/>
                <w:w w:val="92"/>
              </w:rPr>
              <w:t>S-1</w:t>
            </w:r>
          </w:p>
        </w:tc>
        <w:tc>
          <w:tcPr>
            <w:tcW w:w="1220" w:type="dxa"/>
            <w:vAlign w:val="bottom"/>
          </w:tcPr>
          <w:p>
            <w:pPr>
              <w:jc w:val="center"/>
              <w:ind w:left="32"/>
              <w:spacing w:after="0"/>
              <w:rPr>
                <w:sz w:val="20"/>
                <w:szCs w:val="20"/>
                <w:color w:val="auto"/>
              </w:rPr>
            </w:pPr>
            <w:r>
              <w:rPr>
                <w:rFonts w:ascii="Arial" w:cs="Arial" w:eastAsia="Arial" w:hAnsi="Arial"/>
                <w:sz w:val="18"/>
                <w:szCs w:val="18"/>
                <w:color w:val="auto"/>
                <w:w w:val="90"/>
              </w:rPr>
              <w:t>333-21503</w:t>
            </w:r>
          </w:p>
        </w:tc>
        <w:tc>
          <w:tcPr>
            <w:tcW w:w="74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December 9, 2016</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4.2</w:t>
            </w:r>
          </w:p>
        </w:tc>
        <w:tc>
          <w:tcPr>
            <w:tcW w:w="2180" w:type="dxa"/>
            <w:vAlign w:val="bottom"/>
            <w:tcBorders>
              <w:bottom w:val="single" w:sz="8" w:color="0000EE"/>
            </w:tcBorders>
            <w:gridSpan w:val="8"/>
          </w:tcPr>
          <w:p>
            <w:pPr>
              <w:spacing w:after="0"/>
              <w:rPr>
                <w:rFonts w:ascii="Arial" w:cs="Arial" w:eastAsia="Arial" w:hAnsi="Arial"/>
                <w:sz w:val="18"/>
                <w:szCs w:val="18"/>
                <w:color w:val="0000EE"/>
                <w:w w:val="89"/>
              </w:rPr>
            </w:pPr>
            <w:hyperlink r:id="rId77">
              <w:r>
                <w:rPr>
                  <w:rFonts w:ascii="Arial" w:cs="Arial" w:eastAsia="Arial" w:hAnsi="Arial"/>
                  <w:sz w:val="18"/>
                  <w:szCs w:val="18"/>
                  <w:color w:val="0000EE"/>
                  <w:w w:val="89"/>
                </w:rPr>
                <w:t>Specimen Warrant Certificate.</w:t>
              </w:r>
            </w:hyperlink>
          </w:p>
        </w:tc>
        <w:tc>
          <w:tcPr>
            <w:tcW w:w="2940" w:type="dxa"/>
            <w:vAlign w:val="bottom"/>
            <w:gridSpan w:val="12"/>
          </w:tcPr>
          <w:p>
            <w:pPr>
              <w:spacing w:after="0"/>
              <w:rPr>
                <w:sz w:val="24"/>
                <w:szCs w:val="24"/>
                <w:color w:val="auto"/>
              </w:rPr>
            </w:pPr>
          </w:p>
        </w:tc>
        <w:tc>
          <w:tcPr>
            <w:tcW w:w="820" w:type="dxa"/>
            <w:vAlign w:val="bottom"/>
          </w:tcPr>
          <w:p>
            <w:pPr>
              <w:jc w:val="center"/>
              <w:ind w:right="31"/>
              <w:spacing w:after="0"/>
              <w:rPr>
                <w:sz w:val="20"/>
                <w:szCs w:val="20"/>
                <w:color w:val="auto"/>
              </w:rPr>
            </w:pPr>
            <w:r>
              <w:rPr>
                <w:rFonts w:ascii="Arial" w:cs="Arial" w:eastAsia="Arial" w:hAnsi="Arial"/>
                <w:sz w:val="18"/>
                <w:szCs w:val="18"/>
                <w:color w:val="auto"/>
                <w:w w:val="92"/>
              </w:rPr>
              <w:t>S-1</w:t>
            </w:r>
          </w:p>
        </w:tc>
        <w:tc>
          <w:tcPr>
            <w:tcW w:w="1220" w:type="dxa"/>
            <w:vAlign w:val="bottom"/>
          </w:tcPr>
          <w:p>
            <w:pPr>
              <w:jc w:val="center"/>
              <w:ind w:left="32"/>
              <w:spacing w:after="0"/>
              <w:rPr>
                <w:sz w:val="20"/>
                <w:szCs w:val="20"/>
                <w:color w:val="auto"/>
              </w:rPr>
            </w:pPr>
            <w:r>
              <w:rPr>
                <w:rFonts w:ascii="Arial" w:cs="Arial" w:eastAsia="Arial" w:hAnsi="Arial"/>
                <w:sz w:val="18"/>
                <w:szCs w:val="18"/>
                <w:color w:val="auto"/>
                <w:w w:val="90"/>
              </w:rPr>
              <w:t>333-21503</w:t>
            </w:r>
          </w:p>
        </w:tc>
        <w:tc>
          <w:tcPr>
            <w:tcW w:w="74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December 9, 2016</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4.3</w:t>
            </w:r>
          </w:p>
        </w:tc>
        <w:tc>
          <w:tcPr>
            <w:tcW w:w="5120" w:type="dxa"/>
            <w:vAlign w:val="bottom"/>
            <w:gridSpan w:val="20"/>
          </w:tcPr>
          <w:p>
            <w:pPr>
              <w:spacing w:after="0"/>
              <w:rPr>
                <w:rFonts w:ascii="Arial" w:cs="Arial" w:eastAsia="Arial" w:hAnsi="Arial"/>
                <w:sz w:val="18"/>
                <w:szCs w:val="18"/>
                <w:color w:val="0000EE"/>
                <w:w w:val="92"/>
              </w:rPr>
            </w:pPr>
            <w:hyperlink r:id="rId78">
              <w:r>
                <w:rPr>
                  <w:rFonts w:ascii="Arial" w:cs="Arial" w:eastAsia="Arial" w:hAnsi="Arial"/>
                  <w:sz w:val="18"/>
                  <w:szCs w:val="18"/>
                  <w:color w:val="0000EE"/>
                  <w:w w:val="92"/>
                </w:rPr>
                <w:t>Warrant Agreement, dated January 12, 2017, between the Registrant</w:t>
              </w:r>
            </w:hyperlink>
          </w:p>
        </w:tc>
        <w:tc>
          <w:tcPr>
            <w:tcW w:w="820" w:type="dxa"/>
            <w:vAlign w:val="bottom"/>
          </w:tcPr>
          <w:p>
            <w:pPr>
              <w:jc w:val="center"/>
              <w:ind w:right="11"/>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ind w:left="32"/>
              <w:spacing w:after="0"/>
              <w:rPr>
                <w:sz w:val="20"/>
                <w:szCs w:val="20"/>
                <w:color w:val="auto"/>
              </w:rPr>
            </w:pPr>
            <w:r>
              <w:rPr>
                <w:rFonts w:ascii="Arial" w:cs="Arial" w:eastAsia="Arial" w:hAnsi="Arial"/>
                <w:sz w:val="18"/>
                <w:szCs w:val="18"/>
                <w:color w:val="auto"/>
                <w:w w:val="90"/>
              </w:rPr>
              <w:t>001-37979</w:t>
            </w:r>
          </w:p>
        </w:tc>
        <w:tc>
          <w:tcPr>
            <w:tcW w:w="74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January 19, 2017</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9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r:id="rId78">
              <w:r>
                <w:rPr>
                  <w:rFonts w:ascii="Arial" w:cs="Arial" w:eastAsia="Arial" w:hAnsi="Arial"/>
                  <w:sz w:val="18"/>
                  <w:szCs w:val="18"/>
                  <w:color w:val="0000EE"/>
                  <w:w w:val="89"/>
                </w:rPr>
                <w:t>and Continental Stock Transfer &amp; Trust Company, as warrant agent.</w:t>
              </w:r>
            </w:hyperlink>
          </w:p>
        </w:tc>
        <w:tc>
          <w:tcPr>
            <w:tcW w:w="200" w:type="dxa"/>
            <w:vAlign w:val="bottom"/>
            <w:gridSpan w:val="7"/>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940" w:type="dxa"/>
            <w:vAlign w:val="bottom"/>
          </w:tcPr>
          <w:p>
            <w:pPr>
              <w:spacing w:after="0"/>
              <w:rPr>
                <w:sz w:val="20"/>
                <w:szCs w:val="20"/>
                <w:color w:val="auto"/>
              </w:rPr>
            </w:pPr>
            <w:r>
              <w:rPr>
                <w:rFonts w:ascii="Arial" w:cs="Arial" w:eastAsia="Arial" w:hAnsi="Arial"/>
                <w:sz w:val="18"/>
                <w:szCs w:val="18"/>
                <w:color w:val="auto"/>
              </w:rPr>
              <w:t>4.4</w:t>
            </w:r>
          </w:p>
        </w:tc>
        <w:tc>
          <w:tcPr>
            <w:tcW w:w="4940" w:type="dxa"/>
            <w:vAlign w:val="bottom"/>
            <w:tcBorders>
              <w:bottom w:val="single" w:sz="8" w:color="0000EE"/>
            </w:tcBorders>
            <w:gridSpan w:val="14"/>
          </w:tcPr>
          <w:p>
            <w:pPr>
              <w:spacing w:after="0"/>
              <w:rPr>
                <w:rFonts w:ascii="Arial" w:cs="Arial" w:eastAsia="Arial" w:hAnsi="Arial"/>
                <w:sz w:val="18"/>
                <w:szCs w:val="18"/>
                <w:color w:val="0000EE"/>
                <w:w w:val="94"/>
              </w:rPr>
            </w:pPr>
            <w:hyperlink r:id="rId79">
              <w:r>
                <w:rPr>
                  <w:rFonts w:ascii="Arial" w:cs="Arial" w:eastAsia="Arial" w:hAnsi="Arial"/>
                  <w:sz w:val="18"/>
                  <w:szCs w:val="18"/>
                  <w:color w:val="0000EE"/>
                  <w:w w:val="94"/>
                </w:rPr>
                <w:t>First Amendment to Warrant Agreement, dated January 15, 2020,</w:t>
              </w:r>
            </w:hyperlink>
          </w:p>
        </w:tc>
        <w:tc>
          <w:tcPr>
            <w:tcW w:w="180" w:type="dxa"/>
            <w:vAlign w:val="bottom"/>
            <w:gridSpan w:val="6"/>
          </w:tcPr>
          <w:p>
            <w:pPr>
              <w:spacing w:after="0"/>
              <w:rPr>
                <w:sz w:val="24"/>
                <w:szCs w:val="24"/>
                <w:color w:val="auto"/>
              </w:rPr>
            </w:pPr>
          </w:p>
        </w:tc>
        <w:tc>
          <w:tcPr>
            <w:tcW w:w="820" w:type="dxa"/>
            <w:vAlign w:val="bottom"/>
          </w:tcPr>
          <w:p>
            <w:pPr>
              <w:jc w:val="center"/>
              <w:ind w:right="31"/>
              <w:spacing w:after="0"/>
              <w:rPr>
                <w:sz w:val="20"/>
                <w:szCs w:val="20"/>
                <w:color w:val="auto"/>
              </w:rPr>
            </w:pPr>
            <w:r>
              <w:rPr>
                <w:rFonts w:ascii="Arial" w:cs="Arial" w:eastAsia="Arial" w:hAnsi="Arial"/>
                <w:sz w:val="18"/>
                <w:szCs w:val="18"/>
                <w:color w:val="auto"/>
                <w:w w:val="99"/>
              </w:rPr>
              <w:t>10-K</w:t>
            </w:r>
          </w:p>
        </w:tc>
        <w:tc>
          <w:tcPr>
            <w:tcW w:w="1220" w:type="dxa"/>
            <w:vAlign w:val="bottom"/>
          </w:tcPr>
          <w:p>
            <w:pPr>
              <w:jc w:val="center"/>
              <w:ind w:left="32"/>
              <w:spacing w:after="0"/>
              <w:rPr>
                <w:sz w:val="20"/>
                <w:szCs w:val="20"/>
                <w:color w:val="auto"/>
              </w:rPr>
            </w:pPr>
            <w:r>
              <w:rPr>
                <w:rFonts w:ascii="Arial" w:cs="Arial" w:eastAsia="Arial" w:hAnsi="Arial"/>
                <w:sz w:val="18"/>
                <w:szCs w:val="18"/>
                <w:color w:val="auto"/>
                <w:w w:val="90"/>
              </w:rPr>
              <w:t>001-37979</w:t>
            </w:r>
          </w:p>
        </w:tc>
        <w:tc>
          <w:tcPr>
            <w:tcW w:w="740" w:type="dxa"/>
            <w:vAlign w:val="bottom"/>
          </w:tcPr>
          <w:p>
            <w:pPr>
              <w:jc w:val="center"/>
              <w:spacing w:after="0"/>
              <w:rPr>
                <w:sz w:val="20"/>
                <w:szCs w:val="20"/>
                <w:color w:val="auto"/>
              </w:rPr>
            </w:pPr>
            <w:r>
              <w:rPr>
                <w:rFonts w:ascii="Arial" w:cs="Arial" w:eastAsia="Arial" w:hAnsi="Arial"/>
                <w:sz w:val="18"/>
                <w:szCs w:val="18"/>
                <w:color w:val="auto"/>
                <w:w w:val="95"/>
              </w:rPr>
              <w:t>4.4</w:t>
            </w: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March 2, 2020</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tcBorders>
              <w:bottom w:val="single" w:sz="8" w:color="0000EE"/>
            </w:tcBorders>
            <w:gridSpan w:val="14"/>
          </w:tcPr>
          <w:p>
            <w:pPr>
              <w:spacing w:after="0" w:line="196" w:lineRule="exact"/>
              <w:rPr>
                <w:rFonts w:ascii="Arial" w:cs="Arial" w:eastAsia="Arial" w:hAnsi="Arial"/>
                <w:sz w:val="18"/>
                <w:szCs w:val="18"/>
                <w:color w:val="0000EE"/>
                <w:w w:val="95"/>
              </w:rPr>
            </w:pPr>
            <w:hyperlink r:id="rId79">
              <w:r>
                <w:rPr>
                  <w:rFonts w:ascii="Arial" w:cs="Arial" w:eastAsia="Arial" w:hAnsi="Arial"/>
                  <w:sz w:val="18"/>
                  <w:szCs w:val="18"/>
                  <w:color w:val="0000EE"/>
                  <w:w w:val="95"/>
                </w:rPr>
                <w:t>by and among the Registrant, Continental Stock Transfer &amp; Trust</w:t>
              </w:r>
            </w:hyperlink>
          </w:p>
        </w:tc>
        <w:tc>
          <w:tcPr>
            <w:tcW w:w="180" w:type="dxa"/>
            <w:vAlign w:val="bottom"/>
            <w:gridSpan w:val="6"/>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5120" w:type="dxa"/>
            <w:vAlign w:val="bottom"/>
            <w:gridSpan w:val="20"/>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Company and American Stock Transfer &amp; Trust Company.</w:t>
              </w:r>
            </w:hyperlink>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20" w:type="dxa"/>
            <w:vAlign w:val="bottom"/>
            <w:gridSpan w:val="6"/>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40" w:type="dxa"/>
            <w:vAlign w:val="bottom"/>
          </w:tcPr>
          <w:p>
            <w:pPr>
              <w:spacing w:after="0"/>
              <w:rPr>
                <w:sz w:val="20"/>
                <w:szCs w:val="20"/>
                <w:color w:val="auto"/>
              </w:rPr>
            </w:pPr>
            <w:r>
              <w:rPr>
                <w:rFonts w:ascii="Arial" w:cs="Arial" w:eastAsia="Arial" w:hAnsi="Arial"/>
                <w:sz w:val="18"/>
                <w:szCs w:val="18"/>
                <w:color w:val="auto"/>
              </w:rPr>
              <w:t>10.1#</w:t>
            </w:r>
          </w:p>
        </w:tc>
        <w:tc>
          <w:tcPr>
            <w:tcW w:w="4980" w:type="dxa"/>
            <w:vAlign w:val="bottom"/>
            <w:tcBorders>
              <w:bottom w:val="single" w:sz="8" w:color="0000EE"/>
            </w:tcBorders>
            <w:gridSpan w:val="16"/>
          </w:tcPr>
          <w:p>
            <w:pPr>
              <w:spacing w:after="0"/>
              <w:rPr>
                <w:rFonts w:ascii="Arial" w:cs="Arial" w:eastAsia="Arial" w:hAnsi="Arial"/>
                <w:sz w:val="18"/>
                <w:szCs w:val="18"/>
                <w:color w:val="0000EE"/>
                <w:w w:val="90"/>
              </w:rPr>
            </w:pPr>
            <w:hyperlink r:id="rId80">
              <w:r>
                <w:rPr>
                  <w:rFonts w:ascii="Arial" w:cs="Arial" w:eastAsia="Arial" w:hAnsi="Arial"/>
                  <w:sz w:val="18"/>
                  <w:szCs w:val="18"/>
                  <w:color w:val="0000EE"/>
                  <w:w w:val="90"/>
                </w:rPr>
                <w:t>Amended and Restated Executive Employment Agreement, dated as</w:t>
              </w:r>
            </w:hyperlink>
          </w:p>
        </w:tc>
        <w:tc>
          <w:tcPr>
            <w:tcW w:w="140" w:type="dxa"/>
            <w:vAlign w:val="bottom"/>
            <w:gridSpan w:val="4"/>
          </w:tcPr>
          <w:p>
            <w:pPr>
              <w:spacing w:after="0"/>
              <w:rPr>
                <w:sz w:val="24"/>
                <w:szCs w:val="24"/>
                <w:color w:val="auto"/>
              </w:rPr>
            </w:pPr>
          </w:p>
        </w:tc>
        <w:tc>
          <w:tcPr>
            <w:tcW w:w="820" w:type="dxa"/>
            <w:vAlign w:val="bottom"/>
          </w:tcPr>
          <w:p>
            <w:pPr>
              <w:jc w:val="center"/>
              <w:ind w:right="31"/>
              <w:spacing w:after="0"/>
              <w:rPr>
                <w:sz w:val="20"/>
                <w:szCs w:val="20"/>
                <w:color w:val="auto"/>
              </w:rPr>
            </w:pPr>
            <w:r>
              <w:rPr>
                <w:rFonts w:ascii="Arial" w:cs="Arial" w:eastAsia="Arial" w:hAnsi="Arial"/>
                <w:sz w:val="18"/>
                <w:szCs w:val="18"/>
                <w:color w:val="auto"/>
                <w:w w:val="94"/>
              </w:rPr>
              <w:t>10-Q</w:t>
            </w:r>
          </w:p>
        </w:tc>
        <w:tc>
          <w:tcPr>
            <w:tcW w:w="1220" w:type="dxa"/>
            <w:vAlign w:val="bottom"/>
          </w:tcPr>
          <w:p>
            <w:pPr>
              <w:jc w:val="center"/>
              <w:ind w:left="32"/>
              <w:spacing w:after="0"/>
              <w:rPr>
                <w:sz w:val="20"/>
                <w:szCs w:val="20"/>
                <w:color w:val="auto"/>
              </w:rPr>
            </w:pPr>
            <w:r>
              <w:rPr>
                <w:rFonts w:ascii="Arial" w:cs="Arial" w:eastAsia="Arial" w:hAnsi="Arial"/>
                <w:sz w:val="18"/>
                <w:szCs w:val="18"/>
                <w:color w:val="auto"/>
                <w:w w:val="90"/>
              </w:rPr>
              <w:t>001-37979</w:t>
            </w: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May 17, 2021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tcBorders>
              <w:bottom w:val="single" w:sz="8" w:color="0000EE"/>
            </w:tcBorders>
            <w:gridSpan w:val="14"/>
          </w:tcPr>
          <w:p>
            <w:pPr>
              <w:spacing w:after="0" w:line="196" w:lineRule="exact"/>
              <w:rPr>
                <w:rFonts w:ascii="Arial" w:cs="Arial" w:eastAsia="Arial" w:hAnsi="Arial"/>
                <w:sz w:val="18"/>
                <w:szCs w:val="18"/>
                <w:color w:val="0000EE"/>
                <w:w w:val="98"/>
              </w:rPr>
            </w:pPr>
            <w:hyperlink r:id="rId80">
              <w:r>
                <w:rPr>
                  <w:rFonts w:ascii="Arial" w:cs="Arial" w:eastAsia="Arial" w:hAnsi="Arial"/>
                  <w:sz w:val="18"/>
                  <w:szCs w:val="18"/>
                  <w:color w:val="0000EE"/>
                  <w:w w:val="98"/>
                </w:rPr>
                <w:t>of March 25, 2021, by and between VM Consolidated, Inc. and</w:t>
              </w:r>
            </w:hyperlink>
          </w:p>
        </w:tc>
        <w:tc>
          <w:tcPr>
            <w:tcW w:w="180" w:type="dxa"/>
            <w:vAlign w:val="bottom"/>
            <w:gridSpan w:val="6"/>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5120" w:type="dxa"/>
            <w:vAlign w:val="bottom"/>
            <w:gridSpan w:val="20"/>
          </w:tcPr>
          <w:p>
            <w:pPr>
              <w:spacing w:after="0" w:line="196" w:lineRule="exact"/>
              <w:rPr>
                <w:rFonts w:ascii="Arial" w:cs="Arial" w:eastAsia="Arial" w:hAnsi="Arial"/>
                <w:sz w:val="18"/>
                <w:szCs w:val="18"/>
                <w:color w:val="0000EE"/>
              </w:rPr>
            </w:pPr>
            <w:hyperlink r:id="rId80">
              <w:r>
                <w:rPr>
                  <w:rFonts w:ascii="Arial" w:cs="Arial" w:eastAsia="Arial" w:hAnsi="Arial"/>
                  <w:sz w:val="18"/>
                  <w:szCs w:val="18"/>
                  <w:color w:val="0000EE"/>
                </w:rPr>
                <w:t>David Roberts.</w:t>
              </w:r>
            </w:hyperlink>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40" w:type="dxa"/>
            <w:vAlign w:val="bottom"/>
          </w:tcPr>
          <w:p>
            <w:pPr>
              <w:spacing w:after="0"/>
              <w:rPr>
                <w:sz w:val="20"/>
                <w:szCs w:val="20"/>
                <w:color w:val="auto"/>
              </w:rPr>
            </w:pPr>
            <w:r>
              <w:rPr>
                <w:rFonts w:ascii="Arial" w:cs="Arial" w:eastAsia="Arial" w:hAnsi="Arial"/>
                <w:sz w:val="18"/>
                <w:szCs w:val="18"/>
                <w:color w:val="auto"/>
              </w:rPr>
              <w:t>10.2#</w:t>
            </w:r>
          </w:p>
        </w:tc>
        <w:tc>
          <w:tcPr>
            <w:tcW w:w="4980" w:type="dxa"/>
            <w:vAlign w:val="bottom"/>
            <w:tcBorders>
              <w:bottom w:val="single" w:sz="8" w:color="0000EE"/>
            </w:tcBorders>
            <w:gridSpan w:val="16"/>
          </w:tcPr>
          <w:p>
            <w:pPr>
              <w:spacing w:after="0"/>
              <w:rPr>
                <w:rFonts w:ascii="Arial" w:cs="Arial" w:eastAsia="Arial" w:hAnsi="Arial"/>
                <w:sz w:val="18"/>
                <w:szCs w:val="18"/>
                <w:color w:val="0000EE"/>
                <w:w w:val="90"/>
              </w:rPr>
            </w:pPr>
            <w:hyperlink r:id="rId81">
              <w:r>
                <w:rPr>
                  <w:rFonts w:ascii="Arial" w:cs="Arial" w:eastAsia="Arial" w:hAnsi="Arial"/>
                  <w:sz w:val="18"/>
                  <w:szCs w:val="18"/>
                  <w:color w:val="0000EE"/>
                  <w:w w:val="90"/>
                </w:rPr>
                <w:t>Amended and Restated Executive Employment Agreement, dated as</w:t>
              </w:r>
            </w:hyperlink>
          </w:p>
        </w:tc>
        <w:tc>
          <w:tcPr>
            <w:tcW w:w="140" w:type="dxa"/>
            <w:vAlign w:val="bottom"/>
            <w:gridSpan w:val="4"/>
          </w:tcPr>
          <w:p>
            <w:pPr>
              <w:spacing w:after="0"/>
              <w:rPr>
                <w:sz w:val="24"/>
                <w:szCs w:val="24"/>
                <w:color w:val="auto"/>
              </w:rPr>
            </w:pPr>
          </w:p>
        </w:tc>
        <w:tc>
          <w:tcPr>
            <w:tcW w:w="820" w:type="dxa"/>
            <w:vAlign w:val="bottom"/>
          </w:tcPr>
          <w:p>
            <w:pPr>
              <w:jc w:val="center"/>
              <w:ind w:right="31"/>
              <w:spacing w:after="0"/>
              <w:rPr>
                <w:sz w:val="20"/>
                <w:szCs w:val="20"/>
                <w:color w:val="auto"/>
              </w:rPr>
            </w:pPr>
            <w:r>
              <w:rPr>
                <w:rFonts w:ascii="Arial" w:cs="Arial" w:eastAsia="Arial" w:hAnsi="Arial"/>
                <w:sz w:val="18"/>
                <w:szCs w:val="18"/>
                <w:color w:val="auto"/>
                <w:w w:val="94"/>
              </w:rPr>
              <w:t>10-Q</w:t>
            </w:r>
          </w:p>
        </w:tc>
        <w:tc>
          <w:tcPr>
            <w:tcW w:w="1220" w:type="dxa"/>
            <w:vAlign w:val="bottom"/>
          </w:tcPr>
          <w:p>
            <w:pPr>
              <w:jc w:val="center"/>
              <w:ind w:left="32"/>
              <w:spacing w:after="0"/>
              <w:rPr>
                <w:sz w:val="20"/>
                <w:szCs w:val="20"/>
                <w:color w:val="auto"/>
              </w:rPr>
            </w:pPr>
            <w:r>
              <w:rPr>
                <w:rFonts w:ascii="Arial" w:cs="Arial" w:eastAsia="Arial" w:hAnsi="Arial"/>
                <w:sz w:val="18"/>
                <w:szCs w:val="18"/>
                <w:color w:val="auto"/>
                <w:w w:val="90"/>
              </w:rPr>
              <w:t>001-37979</w:t>
            </w: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May 17, 2021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tcBorders>
              <w:bottom w:val="single" w:sz="8" w:color="0000EE"/>
            </w:tcBorders>
            <w:gridSpan w:val="14"/>
          </w:tcPr>
          <w:p>
            <w:pPr>
              <w:spacing w:after="0" w:line="196" w:lineRule="exact"/>
              <w:rPr>
                <w:rFonts w:ascii="Arial" w:cs="Arial" w:eastAsia="Arial" w:hAnsi="Arial"/>
                <w:sz w:val="18"/>
                <w:szCs w:val="18"/>
                <w:color w:val="0000EE"/>
                <w:w w:val="98"/>
              </w:rPr>
            </w:pPr>
            <w:hyperlink r:id="rId81">
              <w:r>
                <w:rPr>
                  <w:rFonts w:ascii="Arial" w:cs="Arial" w:eastAsia="Arial" w:hAnsi="Arial"/>
                  <w:sz w:val="18"/>
                  <w:szCs w:val="18"/>
                  <w:color w:val="0000EE"/>
                  <w:w w:val="98"/>
                </w:rPr>
                <w:t>of March 25, 2021, by and between VM Consolidated, Inc. and</w:t>
              </w:r>
            </w:hyperlink>
          </w:p>
        </w:tc>
        <w:tc>
          <w:tcPr>
            <w:tcW w:w="180" w:type="dxa"/>
            <w:vAlign w:val="bottom"/>
            <w:gridSpan w:val="6"/>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5120" w:type="dxa"/>
            <w:vAlign w:val="bottom"/>
            <w:gridSpan w:val="20"/>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Patricia Chiodo.</w:t>
              </w:r>
            </w:hyperlink>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40" w:type="dxa"/>
            <w:vAlign w:val="bottom"/>
          </w:tcPr>
          <w:p>
            <w:pPr>
              <w:spacing w:after="0"/>
              <w:rPr>
                <w:sz w:val="20"/>
                <w:szCs w:val="20"/>
                <w:color w:val="auto"/>
              </w:rPr>
            </w:pPr>
            <w:r>
              <w:rPr>
                <w:rFonts w:ascii="Arial" w:cs="Arial" w:eastAsia="Arial" w:hAnsi="Arial"/>
                <w:sz w:val="18"/>
                <w:szCs w:val="18"/>
                <w:color w:val="auto"/>
              </w:rPr>
              <w:t>10.3#</w:t>
            </w:r>
          </w:p>
        </w:tc>
        <w:tc>
          <w:tcPr>
            <w:tcW w:w="4980" w:type="dxa"/>
            <w:vAlign w:val="bottom"/>
            <w:tcBorders>
              <w:bottom w:val="single" w:sz="8" w:color="0000EE"/>
            </w:tcBorders>
            <w:gridSpan w:val="16"/>
          </w:tcPr>
          <w:p>
            <w:pPr>
              <w:spacing w:after="0"/>
              <w:rPr>
                <w:rFonts w:ascii="Arial" w:cs="Arial" w:eastAsia="Arial" w:hAnsi="Arial"/>
                <w:sz w:val="18"/>
                <w:szCs w:val="18"/>
                <w:color w:val="0000EE"/>
                <w:w w:val="90"/>
              </w:rPr>
            </w:pPr>
            <w:hyperlink r:id="rId82">
              <w:r>
                <w:rPr>
                  <w:rFonts w:ascii="Arial" w:cs="Arial" w:eastAsia="Arial" w:hAnsi="Arial"/>
                  <w:sz w:val="18"/>
                  <w:szCs w:val="18"/>
                  <w:color w:val="0000EE"/>
                  <w:w w:val="90"/>
                </w:rPr>
                <w:t>Amended and Restated Executive Employment Agreement, dated as</w:t>
              </w:r>
            </w:hyperlink>
          </w:p>
        </w:tc>
        <w:tc>
          <w:tcPr>
            <w:tcW w:w="140" w:type="dxa"/>
            <w:vAlign w:val="bottom"/>
            <w:gridSpan w:val="4"/>
          </w:tcPr>
          <w:p>
            <w:pPr>
              <w:spacing w:after="0"/>
              <w:rPr>
                <w:sz w:val="24"/>
                <w:szCs w:val="24"/>
                <w:color w:val="auto"/>
              </w:rPr>
            </w:pPr>
          </w:p>
        </w:tc>
        <w:tc>
          <w:tcPr>
            <w:tcW w:w="820" w:type="dxa"/>
            <w:vAlign w:val="bottom"/>
          </w:tcPr>
          <w:p>
            <w:pPr>
              <w:jc w:val="center"/>
              <w:ind w:right="31"/>
              <w:spacing w:after="0"/>
              <w:rPr>
                <w:sz w:val="20"/>
                <w:szCs w:val="20"/>
                <w:color w:val="auto"/>
              </w:rPr>
            </w:pPr>
            <w:r>
              <w:rPr>
                <w:rFonts w:ascii="Arial" w:cs="Arial" w:eastAsia="Arial" w:hAnsi="Arial"/>
                <w:sz w:val="18"/>
                <w:szCs w:val="18"/>
                <w:color w:val="auto"/>
                <w:w w:val="94"/>
              </w:rPr>
              <w:t>10-Q</w:t>
            </w:r>
          </w:p>
        </w:tc>
        <w:tc>
          <w:tcPr>
            <w:tcW w:w="1220" w:type="dxa"/>
            <w:vAlign w:val="bottom"/>
          </w:tcPr>
          <w:p>
            <w:pPr>
              <w:jc w:val="center"/>
              <w:ind w:left="32"/>
              <w:spacing w:after="0"/>
              <w:rPr>
                <w:sz w:val="20"/>
                <w:szCs w:val="20"/>
                <w:color w:val="auto"/>
              </w:rPr>
            </w:pPr>
            <w:r>
              <w:rPr>
                <w:rFonts w:ascii="Arial" w:cs="Arial" w:eastAsia="Arial" w:hAnsi="Arial"/>
                <w:sz w:val="18"/>
                <w:szCs w:val="18"/>
                <w:color w:val="auto"/>
                <w:w w:val="90"/>
              </w:rPr>
              <w:t>001-37979</w:t>
            </w: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May 17, 2021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tcBorders>
              <w:bottom w:val="single" w:sz="8" w:color="0000EE"/>
            </w:tcBorders>
            <w:gridSpan w:val="14"/>
          </w:tcPr>
          <w:p>
            <w:pPr>
              <w:spacing w:after="0" w:line="196" w:lineRule="exact"/>
              <w:rPr>
                <w:rFonts w:ascii="Arial" w:cs="Arial" w:eastAsia="Arial" w:hAnsi="Arial"/>
                <w:sz w:val="18"/>
                <w:szCs w:val="18"/>
                <w:color w:val="0000EE"/>
                <w:w w:val="98"/>
              </w:rPr>
            </w:pPr>
            <w:hyperlink r:id="rId82">
              <w:r>
                <w:rPr>
                  <w:rFonts w:ascii="Arial" w:cs="Arial" w:eastAsia="Arial" w:hAnsi="Arial"/>
                  <w:sz w:val="18"/>
                  <w:szCs w:val="18"/>
                  <w:color w:val="0000EE"/>
                  <w:w w:val="98"/>
                </w:rPr>
                <w:t>of March 25, 2021, by and between VM Consolidated, Inc. and</w:t>
              </w:r>
            </w:hyperlink>
          </w:p>
        </w:tc>
        <w:tc>
          <w:tcPr>
            <w:tcW w:w="180" w:type="dxa"/>
            <w:vAlign w:val="bottom"/>
            <w:gridSpan w:val="6"/>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22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r:id="rId82">
              <w:r>
                <w:rPr>
                  <w:rFonts w:ascii="Arial" w:cs="Arial" w:eastAsia="Arial" w:hAnsi="Arial"/>
                  <w:sz w:val="18"/>
                  <w:szCs w:val="18"/>
                  <w:color w:val="0000EE"/>
                  <w:w w:val="88"/>
                </w:rPr>
                <w:t>Rebecca Collins.</w:t>
              </w:r>
            </w:hyperlink>
          </w:p>
        </w:tc>
        <w:tc>
          <w:tcPr>
            <w:tcW w:w="3900" w:type="dxa"/>
            <w:vAlign w:val="bottom"/>
            <w:gridSpan w:val="15"/>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940" w:type="dxa"/>
            <w:vAlign w:val="bottom"/>
          </w:tcPr>
          <w:p>
            <w:pPr>
              <w:spacing w:after="0"/>
              <w:rPr>
                <w:sz w:val="20"/>
                <w:szCs w:val="20"/>
                <w:color w:val="auto"/>
              </w:rPr>
            </w:pPr>
            <w:r>
              <w:rPr>
                <w:rFonts w:ascii="Arial" w:cs="Arial" w:eastAsia="Arial" w:hAnsi="Arial"/>
                <w:sz w:val="18"/>
                <w:szCs w:val="18"/>
                <w:color w:val="auto"/>
              </w:rPr>
              <w:t>31.1</w:t>
            </w:r>
          </w:p>
        </w:tc>
        <w:tc>
          <w:tcPr>
            <w:tcW w:w="4960" w:type="dxa"/>
            <w:vAlign w:val="bottom"/>
            <w:tcBorders>
              <w:bottom w:val="single" w:sz="8" w:color="0000EE"/>
            </w:tcBorders>
            <w:gridSpan w:val="15"/>
          </w:tcPr>
          <w:p>
            <w:pPr>
              <w:spacing w:after="0"/>
              <w:rPr>
                <w:rFonts w:ascii="Arial" w:cs="Arial" w:eastAsia="Arial" w:hAnsi="Arial"/>
                <w:sz w:val="18"/>
                <w:szCs w:val="18"/>
                <w:color w:val="0000EE"/>
                <w:w w:val="96"/>
              </w:rPr>
            </w:pPr>
            <w:hyperlink w:anchor="page51">
              <w:r>
                <w:rPr>
                  <w:rFonts w:ascii="Arial" w:cs="Arial" w:eastAsia="Arial" w:hAnsi="Arial"/>
                  <w:sz w:val="18"/>
                  <w:szCs w:val="18"/>
                  <w:color w:val="0000EE"/>
                  <w:w w:val="96"/>
                </w:rPr>
                <w:t>Certification  of  Principal  Executive  Officer  Pursuant  to  Rules</w:t>
              </w:r>
            </w:hyperlink>
          </w:p>
        </w:tc>
        <w:tc>
          <w:tcPr>
            <w:tcW w:w="160" w:type="dxa"/>
            <w:vAlign w:val="bottom"/>
            <w:gridSpan w:val="5"/>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94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13a</w:t>
              </w:r>
              <w:r>
                <w:rPr>
                  <w:rFonts w:ascii="MS PGothic" w:cs="MS PGothic" w:eastAsia="MS PGothic" w:hAnsi="MS PGothic"/>
                  <w:sz w:val="18"/>
                  <w:szCs w:val="18"/>
                  <w:color w:val="0000EE"/>
                  <w:w w:val="90"/>
                </w:rPr>
                <w:t>‑</w:t>
              </w:r>
              <w:r>
                <w:rPr>
                  <w:rFonts w:ascii="Arial" w:cs="Arial" w:eastAsia="Arial" w:hAnsi="Arial"/>
                  <w:sz w:val="18"/>
                  <w:szCs w:val="18"/>
                  <w:color w:val="0000EE"/>
                  <w:w w:val="90"/>
                </w:rPr>
                <w:t>14(a) and 15d</w:t>
              </w:r>
              <w:r>
                <w:rPr>
                  <w:rFonts w:ascii="MS PGothic" w:cs="MS PGothic" w:eastAsia="MS PGothic" w:hAnsi="MS PGothic"/>
                  <w:sz w:val="18"/>
                  <w:szCs w:val="18"/>
                  <w:color w:val="0000EE"/>
                  <w:w w:val="90"/>
                </w:rPr>
                <w:t>‑</w:t>
              </w:r>
              <w:r>
                <w:rPr>
                  <w:rFonts w:ascii="Arial" w:cs="Arial" w:eastAsia="Arial" w:hAnsi="Arial"/>
                  <w:sz w:val="18"/>
                  <w:szCs w:val="18"/>
                  <w:color w:val="0000EE"/>
                  <w:w w:val="90"/>
                </w:rPr>
                <w:t>14(a) under the Securities Exchange Act of 1934,</w:t>
              </w:r>
            </w:hyperlink>
          </w:p>
        </w:tc>
        <w:tc>
          <w:tcPr>
            <w:tcW w:w="180" w:type="dxa"/>
            <w:vAlign w:val="bottom"/>
            <w:gridSpan w:val="6"/>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5120" w:type="dxa"/>
            <w:vAlign w:val="bottom"/>
            <w:gridSpan w:val="20"/>
          </w:tcPr>
          <w:p>
            <w:pPr>
              <w:spacing w:after="0" w:line="196" w:lineRule="exact"/>
              <w:rPr>
                <w:rFonts w:ascii="Arial" w:cs="Arial" w:eastAsia="Arial" w:hAnsi="Arial"/>
                <w:sz w:val="18"/>
                <w:szCs w:val="18"/>
                <w:color w:val="0000EE"/>
                <w:w w:val="97"/>
              </w:rPr>
            </w:pPr>
            <w:hyperlink w:anchor="page51">
              <w:r>
                <w:rPr>
                  <w:rFonts w:ascii="Arial" w:cs="Arial" w:eastAsia="Arial" w:hAnsi="Arial"/>
                  <w:sz w:val="18"/>
                  <w:szCs w:val="18"/>
                  <w:color w:val="0000EE"/>
                  <w:w w:val="97"/>
                </w:rPr>
                <w:t>as Adopted Pursuant to Section 302 of the Sarbanes-Oxley Act of</w:t>
              </w:r>
            </w:hyperlink>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62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2002.</w:t>
              </w:r>
            </w:hyperlink>
          </w:p>
        </w:tc>
        <w:tc>
          <w:tcPr>
            <w:tcW w:w="4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94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520" w:type="dxa"/>
            <w:vAlign w:val="bottom"/>
            <w:gridSpan w:val="12"/>
          </w:tcPr>
          <w:p>
            <w:pPr>
              <w:jc w:val="right"/>
              <w:ind w:right="14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86"/>
        </w:trPr>
        <w:tc>
          <w:tcPr>
            <w:tcW w:w="9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20" w:type="dxa"/>
            <w:vAlign w:val="bottom"/>
            <w:gridSpan w:val="2"/>
          </w:tcPr>
          <w:p>
            <w:pPr>
              <w:ind w:left="420"/>
              <w:spacing w:after="0"/>
              <w:rPr>
                <w:sz w:val="20"/>
                <w:szCs w:val="20"/>
                <w:color w:val="auto"/>
              </w:rPr>
            </w:pPr>
            <w:r>
              <w:rPr>
                <w:rFonts w:ascii="Arial" w:cs="Arial" w:eastAsia="Arial" w:hAnsi="Arial"/>
                <w:sz w:val="14"/>
                <w:szCs w:val="14"/>
                <w:b w:val="1"/>
                <w:bCs w:val="1"/>
                <w:color w:val="auto"/>
              </w:rPr>
              <w:t>Incorporated by Reference</w:t>
            </w:r>
          </w:p>
        </w:tc>
        <w:tc>
          <w:tcPr>
            <w:tcW w:w="1120" w:type="dxa"/>
            <w:vAlign w:val="bottom"/>
          </w:tcPr>
          <w:p>
            <w:pPr>
              <w:spacing w:after="0"/>
              <w:rPr>
                <w:sz w:val="16"/>
                <w:szCs w:val="16"/>
                <w:color w:val="auto"/>
              </w:rPr>
            </w:pPr>
          </w:p>
        </w:tc>
        <w:tc>
          <w:tcPr>
            <w:tcW w:w="960" w:type="dxa"/>
            <w:vAlign w:val="bottom"/>
            <w:vMerge w:val="restart"/>
          </w:tcPr>
          <w:p>
            <w:pPr>
              <w:jc w:val="center"/>
              <w:ind w:left="133"/>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11"/>
        </w:trPr>
        <w:tc>
          <w:tcPr>
            <w:tcW w:w="94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314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Description</w:t>
            </w: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Form</w:t>
            </w:r>
          </w:p>
        </w:tc>
        <w:tc>
          <w:tcPr>
            <w:tcW w:w="108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File No.</w:t>
            </w:r>
          </w:p>
        </w:tc>
        <w:tc>
          <w:tcPr>
            <w:tcW w:w="11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Exhibit</w:t>
            </w:r>
          </w:p>
        </w:tc>
        <w:tc>
          <w:tcPr>
            <w:tcW w:w="11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Filing Date</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Number</w:t>
            </w:r>
          </w:p>
        </w:tc>
        <w:tc>
          <w:tcPr>
            <w:tcW w:w="4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tcPr>
          <w:p>
            <w:pPr>
              <w:jc w:val="center"/>
              <w:ind w:left="133"/>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69"/>
        </w:trPr>
        <w:tc>
          <w:tcPr>
            <w:tcW w:w="940" w:type="dxa"/>
            <w:vAlign w:val="bottom"/>
          </w:tcPr>
          <w:p>
            <w:pPr>
              <w:spacing w:after="0" w:line="169" w:lineRule="exact"/>
              <w:rPr>
                <w:sz w:val="20"/>
                <w:szCs w:val="20"/>
                <w:color w:val="auto"/>
              </w:rPr>
            </w:pPr>
            <w:r>
              <w:rPr>
                <w:rFonts w:ascii="Arial" w:cs="Arial" w:eastAsia="Arial" w:hAnsi="Arial"/>
                <w:sz w:val="18"/>
                <w:szCs w:val="18"/>
                <w:color w:val="auto"/>
              </w:rPr>
              <w:t>31.2</w:t>
            </w:r>
          </w:p>
        </w:tc>
        <w:tc>
          <w:tcPr>
            <w:tcW w:w="4520" w:type="dxa"/>
            <w:vAlign w:val="bottom"/>
            <w:gridSpan w:val="3"/>
          </w:tcPr>
          <w:p>
            <w:pPr>
              <w:spacing w:after="0" w:line="169" w:lineRule="exact"/>
              <w:rPr>
                <w:rFonts w:ascii="Arial" w:cs="Arial" w:eastAsia="Arial" w:hAnsi="Arial"/>
                <w:sz w:val="18"/>
                <w:szCs w:val="18"/>
                <w:color w:val="0000EE"/>
                <w:w w:val="99"/>
              </w:rPr>
            </w:pPr>
            <w:hyperlink w:anchor="page52">
              <w:r>
                <w:rPr>
                  <w:rFonts w:ascii="Arial" w:cs="Arial" w:eastAsia="Arial" w:hAnsi="Arial"/>
                  <w:sz w:val="18"/>
                  <w:szCs w:val="18"/>
                  <w:color w:val="0000EE"/>
                  <w:w w:val="99"/>
                </w:rPr>
                <w:t>Certification  of  Principal  Financial  Officer  Pursuant  to</w:t>
              </w:r>
            </w:hyperlink>
          </w:p>
        </w:tc>
        <w:tc>
          <w:tcPr>
            <w:tcW w:w="1480" w:type="dxa"/>
            <w:vAlign w:val="bottom"/>
            <w:gridSpan w:val="4"/>
          </w:tcPr>
          <w:p>
            <w:pPr>
              <w:spacing w:after="0" w:line="169" w:lineRule="exact"/>
              <w:rPr>
                <w:rFonts w:ascii="Arial" w:cs="Arial" w:eastAsia="Arial" w:hAnsi="Arial"/>
                <w:sz w:val="18"/>
                <w:szCs w:val="18"/>
                <w:color w:val="0000EE"/>
              </w:rPr>
            </w:pPr>
            <w:hyperlink w:anchor="page52">
              <w:r>
                <w:rPr>
                  <w:rFonts w:ascii="Arial" w:cs="Arial" w:eastAsia="Arial" w:hAnsi="Arial"/>
                  <w:sz w:val="18"/>
                  <w:szCs w:val="18"/>
                  <w:color w:val="0000EE"/>
                </w:rPr>
                <w:t>Rules</w:t>
              </w:r>
            </w:hyperlink>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jc w:val="center"/>
              <w:ind w:left="133"/>
              <w:spacing w:after="0" w:line="169"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5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6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13a</w:t>
              </w:r>
              <w:r>
                <w:rPr>
                  <w:rFonts w:ascii="MS PGothic" w:cs="MS PGothic" w:eastAsia="MS PGothic" w:hAnsi="MS PGothic"/>
                  <w:sz w:val="18"/>
                  <w:szCs w:val="18"/>
                  <w:color w:val="0000EE"/>
                  <w:w w:val="90"/>
                </w:rPr>
                <w:t>‑</w:t>
              </w:r>
              <w:r>
                <w:rPr>
                  <w:rFonts w:ascii="Arial" w:cs="Arial" w:eastAsia="Arial" w:hAnsi="Arial"/>
                  <w:sz w:val="18"/>
                  <w:szCs w:val="18"/>
                  <w:color w:val="0000EE"/>
                  <w:w w:val="90"/>
                </w:rPr>
                <w:t>14(a) and 15d</w:t>
              </w:r>
              <w:r>
                <w:rPr>
                  <w:rFonts w:ascii="MS PGothic" w:cs="MS PGothic" w:eastAsia="MS PGothic" w:hAnsi="MS PGothic"/>
                  <w:sz w:val="18"/>
                  <w:szCs w:val="18"/>
                  <w:color w:val="0000EE"/>
                  <w:w w:val="90"/>
                </w:rPr>
                <w:t>‑</w:t>
              </w:r>
              <w:r>
                <w:rPr>
                  <w:rFonts w:ascii="Arial" w:cs="Arial" w:eastAsia="Arial" w:hAnsi="Arial"/>
                  <w:sz w:val="18"/>
                  <w:szCs w:val="18"/>
                  <w:color w:val="0000EE"/>
                  <w:w w:val="90"/>
                </w:rPr>
                <w:t>14(a) under the Securities Exchange Act of 1934,</w:t>
              </w:r>
            </w:hyperlink>
          </w:p>
        </w:tc>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6000" w:type="dxa"/>
            <w:vAlign w:val="bottom"/>
            <w:gridSpan w:val="7"/>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as Adopted Pursuant to Section 302 of the Sarbanes-Oxley Act of</w:t>
              </w:r>
            </w:hyperlink>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52">
              <w:r>
                <w:rPr>
                  <w:rFonts w:ascii="Arial" w:cs="Arial" w:eastAsia="Arial" w:hAnsi="Arial"/>
                  <w:sz w:val="18"/>
                  <w:szCs w:val="18"/>
                  <w:color w:val="0000EE"/>
                  <w:w w:val="84"/>
                </w:rPr>
                <w:t>2002.</w:t>
              </w:r>
            </w:hyperlink>
          </w:p>
        </w:tc>
        <w:tc>
          <w:tcPr>
            <w:tcW w:w="980" w:type="dxa"/>
            <w:vAlign w:val="bottom"/>
            <w:tcBorders>
              <w:top w:val="single" w:sz="8" w:color="0000EE"/>
            </w:tcBorders>
          </w:tcPr>
          <w:p>
            <w:pPr>
              <w:spacing w:after="0"/>
              <w:rPr>
                <w:sz w:val="17"/>
                <w:szCs w:val="17"/>
                <w:color w:val="auto"/>
              </w:rPr>
            </w:pPr>
          </w:p>
        </w:tc>
        <w:tc>
          <w:tcPr>
            <w:tcW w:w="31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940" w:type="dxa"/>
            <w:vAlign w:val="bottom"/>
          </w:tcPr>
          <w:p>
            <w:pPr>
              <w:spacing w:after="0"/>
              <w:rPr>
                <w:sz w:val="20"/>
                <w:szCs w:val="20"/>
                <w:color w:val="auto"/>
              </w:rPr>
            </w:pPr>
            <w:r>
              <w:rPr>
                <w:rFonts w:ascii="Arial" w:cs="Arial" w:eastAsia="Arial" w:hAnsi="Arial"/>
                <w:sz w:val="18"/>
                <w:szCs w:val="18"/>
                <w:color w:val="auto"/>
              </w:rPr>
              <w:t>32.1*</w:t>
            </w:r>
          </w:p>
        </w:tc>
        <w:tc>
          <w:tcPr>
            <w:tcW w:w="6000" w:type="dxa"/>
            <w:vAlign w:val="bottom"/>
            <w:gridSpan w:val="7"/>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Certification of Principal Executive Officer Pursuant to 18 U.S.C.</w:t>
              </w:r>
            </w:hyperlink>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jc w:val="center"/>
              <w:ind w:left="13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35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6000" w:type="dxa"/>
            <w:vAlign w:val="bottom"/>
            <w:gridSpan w:val="7"/>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Section 1350, as Adopted Pursuant to Section 906 of the Sarbanes-</w:t>
              </w:r>
            </w:hyperlink>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52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Oxley Act of 2002.</w:t>
              </w:r>
            </w:hyperlink>
          </w:p>
        </w:tc>
        <w:tc>
          <w:tcPr>
            <w:tcW w:w="4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40" w:type="dxa"/>
            <w:vAlign w:val="bottom"/>
          </w:tcPr>
          <w:p>
            <w:pPr>
              <w:spacing w:after="0"/>
              <w:rPr>
                <w:sz w:val="20"/>
                <w:szCs w:val="20"/>
                <w:color w:val="auto"/>
              </w:rPr>
            </w:pPr>
            <w:r>
              <w:rPr>
                <w:rFonts w:ascii="Arial" w:cs="Arial" w:eastAsia="Arial" w:hAnsi="Arial"/>
                <w:sz w:val="18"/>
                <w:szCs w:val="18"/>
                <w:color w:val="auto"/>
              </w:rPr>
              <w:t>32.2*</w:t>
            </w:r>
          </w:p>
        </w:tc>
        <w:tc>
          <w:tcPr>
            <w:tcW w:w="4940" w:type="dxa"/>
            <w:vAlign w:val="bottom"/>
            <w:tcBorders>
              <w:bottom w:val="single" w:sz="8" w:color="0000EE"/>
            </w:tcBorders>
            <w:gridSpan w:val="5"/>
          </w:tcPr>
          <w:p>
            <w:pPr>
              <w:spacing w:after="0"/>
              <w:rPr>
                <w:rFonts w:ascii="Arial" w:cs="Arial" w:eastAsia="Arial" w:hAnsi="Arial"/>
                <w:sz w:val="18"/>
                <w:szCs w:val="18"/>
                <w:color w:val="0000EE"/>
                <w:w w:val="97"/>
              </w:rPr>
            </w:pPr>
            <w:hyperlink w:anchor="page54">
              <w:r>
                <w:rPr>
                  <w:rFonts w:ascii="Arial" w:cs="Arial" w:eastAsia="Arial" w:hAnsi="Arial"/>
                  <w:sz w:val="18"/>
                  <w:szCs w:val="18"/>
                  <w:color w:val="0000EE"/>
                  <w:w w:val="97"/>
                </w:rPr>
                <w:t>Certification of Principal Financial Officer Pursuant to 18 U.S.C.</w:t>
              </w:r>
            </w:hyperlink>
          </w:p>
        </w:tc>
        <w:tc>
          <w:tcPr>
            <w:tcW w:w="1060" w:type="dxa"/>
            <w:vAlign w:val="bottom"/>
            <w:gridSpan w:val="2"/>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jc w:val="center"/>
              <w:ind w:left="13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6000" w:type="dxa"/>
            <w:vAlign w:val="bottom"/>
            <w:gridSpan w:val="7"/>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Section 1350, as Adopted Pursuant to Section 906 of the Sarbanes-</w:t>
              </w:r>
            </w:hyperlink>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52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Oxley Act of 2002.</w:t>
              </w:r>
            </w:hyperlink>
          </w:p>
        </w:tc>
        <w:tc>
          <w:tcPr>
            <w:tcW w:w="4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462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40" w:type="dxa"/>
            <w:vAlign w:val="bottom"/>
          </w:tcPr>
          <w:p>
            <w:pPr>
              <w:spacing w:after="0"/>
              <w:rPr>
                <w:sz w:val="20"/>
                <w:szCs w:val="20"/>
                <w:color w:val="auto"/>
              </w:rPr>
            </w:pPr>
            <w:r>
              <w:rPr>
                <w:rFonts w:ascii="Arial" w:cs="Arial" w:eastAsia="Arial" w:hAnsi="Arial"/>
                <w:sz w:val="18"/>
                <w:szCs w:val="18"/>
                <w:color w:val="auto"/>
              </w:rPr>
              <w:t>101.INS</w:t>
            </w:r>
          </w:p>
        </w:tc>
        <w:tc>
          <w:tcPr>
            <w:tcW w:w="6000" w:type="dxa"/>
            <w:vAlign w:val="bottom"/>
            <w:gridSpan w:val="7"/>
          </w:tcPr>
          <w:p>
            <w:pPr>
              <w:spacing w:after="0"/>
              <w:rPr>
                <w:sz w:val="20"/>
                <w:szCs w:val="20"/>
                <w:color w:val="auto"/>
              </w:rPr>
            </w:pPr>
            <w:r>
              <w:rPr>
                <w:rFonts w:ascii="Arial" w:cs="Arial" w:eastAsia="Arial" w:hAnsi="Arial"/>
                <w:sz w:val="18"/>
                <w:szCs w:val="18"/>
                <w:color w:val="auto"/>
              </w:rPr>
              <w:t>Inline XBRL Instance Document (the instance does not appear in</w:t>
            </w: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jc w:val="center"/>
              <w:ind w:left="13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6000" w:type="dxa"/>
            <w:vAlign w:val="bottom"/>
            <w:gridSpan w:val="7"/>
          </w:tcPr>
          <w:p>
            <w:pPr>
              <w:spacing w:after="0"/>
              <w:rPr>
                <w:sz w:val="20"/>
                <w:szCs w:val="20"/>
                <w:color w:val="auto"/>
              </w:rPr>
            </w:pPr>
            <w:r>
              <w:rPr>
                <w:rFonts w:ascii="Arial" w:cs="Arial" w:eastAsia="Arial" w:hAnsi="Arial"/>
                <w:sz w:val="18"/>
                <w:szCs w:val="18"/>
                <w:color w:val="auto"/>
              </w:rPr>
              <w:t>the Interactive Data File because its XBRL tags are embedded</w:t>
            </w: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within the Inline XBRL document).</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452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 Document.</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jc w:val="center"/>
              <w:ind w:left="13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38"/>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600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jc w:val="center"/>
              <w:ind w:left="13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38"/>
        </w:trPr>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600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jc w:val="center"/>
              <w:ind w:left="13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38"/>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4520" w:type="dxa"/>
            <w:vAlign w:val="bottom"/>
            <w:gridSpan w:val="3"/>
          </w:tcPr>
          <w:p>
            <w:pPr>
              <w:spacing w:after="0"/>
              <w:rPr>
                <w:sz w:val="20"/>
                <w:szCs w:val="20"/>
                <w:color w:val="auto"/>
              </w:rPr>
            </w:pPr>
            <w:r>
              <w:rPr>
                <w:rFonts w:ascii="Arial" w:cs="Arial" w:eastAsia="Arial" w:hAnsi="Arial"/>
                <w:sz w:val="18"/>
                <w:szCs w:val="18"/>
                <w:color w:val="auto"/>
                <w:w w:val="92"/>
              </w:rPr>
              <w:t>Inline XBRL Taxonomy Extension Label Linkbase Document.</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jc w:val="center"/>
              <w:ind w:left="13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3"/>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600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jc w:val="center"/>
              <w:ind w:left="13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Document.</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940" w:type="dxa"/>
            <w:vAlign w:val="bottom"/>
          </w:tcPr>
          <w:p>
            <w:pPr>
              <w:spacing w:after="0"/>
              <w:rPr>
                <w:sz w:val="20"/>
                <w:szCs w:val="20"/>
                <w:color w:val="auto"/>
              </w:rPr>
            </w:pPr>
            <w:r>
              <w:rPr>
                <w:rFonts w:ascii="Arial" w:cs="Arial" w:eastAsia="Arial" w:hAnsi="Arial"/>
                <w:sz w:val="18"/>
                <w:szCs w:val="18"/>
                <w:color w:val="auto"/>
              </w:rPr>
              <w:t>104</w:t>
            </w:r>
          </w:p>
        </w:tc>
        <w:tc>
          <w:tcPr>
            <w:tcW w:w="6000" w:type="dxa"/>
            <w:vAlign w:val="bottom"/>
            <w:gridSpan w:val="7"/>
          </w:tcPr>
          <w:p>
            <w:pPr>
              <w:spacing w:after="0"/>
              <w:rPr>
                <w:sz w:val="20"/>
                <w:szCs w:val="20"/>
                <w:color w:val="auto"/>
              </w:rPr>
            </w:pPr>
            <w:r>
              <w:rPr>
                <w:rFonts w:ascii="Arial" w:cs="Arial" w:eastAsia="Arial" w:hAnsi="Arial"/>
                <w:sz w:val="18"/>
                <w:szCs w:val="18"/>
                <w:color w:val="auto"/>
              </w:rPr>
              <w:t>Cover Page Interactive Data File (embedded within the Inline</w:t>
            </w: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jc w:val="center"/>
              <w:ind w:left="133"/>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XBRL document)</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36" w:lineRule="exact"/>
        <w:rPr>
          <w:sz w:val="20"/>
          <w:szCs w:val="20"/>
          <w:color w:val="auto"/>
        </w:rPr>
      </w:pPr>
    </w:p>
    <w:p>
      <w:pPr>
        <w:ind w:firstLine="8"/>
        <w:spacing w:after="0" w:line="277" w:lineRule="auto"/>
        <w:tabs>
          <w:tab w:leader="none" w:pos="24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80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700" w:type="dxa"/>
            <w:vAlign w:val="bottom"/>
            <w:gridSpan w:val="2"/>
          </w:tcPr>
          <w:p>
            <w:pPr>
              <w:ind w:left="2240"/>
              <w:spacing w:after="0"/>
              <w:rPr>
                <w:sz w:val="20"/>
                <w:szCs w:val="20"/>
                <w:color w:val="auto"/>
              </w:rPr>
            </w:pPr>
            <w:r>
              <w:rPr>
                <w:rFonts w:ascii="Arial" w:cs="Arial" w:eastAsia="Arial" w:hAnsi="Arial"/>
                <w:sz w:val="18"/>
                <w:szCs w:val="18"/>
                <w:color w:val="auto"/>
              </w:rPr>
              <w:t>VERRA MOBILITY CORPORATION</w:t>
            </w:r>
          </w:p>
        </w:tc>
      </w:tr>
      <w:tr>
        <w:trPr>
          <w:trHeight w:val="446"/>
        </w:trPr>
        <w:tc>
          <w:tcPr>
            <w:tcW w:w="3540" w:type="dxa"/>
            <w:vAlign w:val="bottom"/>
          </w:tcPr>
          <w:p>
            <w:pPr>
              <w:spacing w:after="0"/>
              <w:rPr>
                <w:sz w:val="20"/>
                <w:szCs w:val="20"/>
                <w:color w:val="auto"/>
              </w:rPr>
            </w:pPr>
            <w:r>
              <w:rPr>
                <w:rFonts w:ascii="Arial" w:cs="Arial" w:eastAsia="Arial" w:hAnsi="Arial"/>
                <w:sz w:val="18"/>
                <w:szCs w:val="18"/>
                <w:color w:val="auto"/>
              </w:rPr>
              <w:t>Date: August 9, 2021</w:t>
            </w:r>
          </w:p>
        </w:tc>
        <w:tc>
          <w:tcPr>
            <w:tcW w:w="7700" w:type="dxa"/>
            <w:vAlign w:val="bottom"/>
            <w:gridSpan w:val="2"/>
          </w:tcPr>
          <w:p>
            <w:pPr>
              <w:ind w:left="2240"/>
              <w:spacing w:after="0"/>
              <w:rPr>
                <w:sz w:val="20"/>
                <w:szCs w:val="20"/>
                <w:color w:val="auto"/>
              </w:rPr>
            </w:pPr>
            <w:r>
              <w:rPr>
                <w:rFonts w:ascii="Arial" w:cs="Arial" w:eastAsia="Arial" w:hAnsi="Arial"/>
                <w:sz w:val="18"/>
                <w:szCs w:val="18"/>
                <w:color w:val="auto"/>
              </w:rPr>
              <w:t>By:  /s/ David Roberts</w:t>
            </w:r>
          </w:p>
        </w:tc>
      </w:tr>
      <w:tr>
        <w:trPr>
          <w:trHeight w:val="195"/>
        </w:trPr>
        <w:tc>
          <w:tcPr>
            <w:tcW w:w="35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0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Roberts</w:t>
            </w:r>
          </w:p>
        </w:tc>
      </w:tr>
      <w:tr>
        <w:trPr>
          <w:trHeight w:val="216"/>
        </w:trPr>
        <w:tc>
          <w:tcPr>
            <w:tcW w:w="35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5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891"/>
        </w:trPr>
        <w:tc>
          <w:tcPr>
            <w:tcW w:w="3540" w:type="dxa"/>
            <w:vAlign w:val="bottom"/>
          </w:tcPr>
          <w:p>
            <w:pPr>
              <w:spacing w:after="0"/>
              <w:rPr>
                <w:sz w:val="24"/>
                <w:szCs w:val="24"/>
                <w:color w:val="auto"/>
              </w:rPr>
            </w:pPr>
          </w:p>
        </w:tc>
        <w:tc>
          <w:tcPr>
            <w:tcW w:w="2700" w:type="dxa"/>
            <w:vAlign w:val="bottom"/>
          </w:tcPr>
          <w:p>
            <w:pPr>
              <w:jc w:val="right"/>
              <w:ind w:right="430"/>
              <w:spacing w:after="0"/>
              <w:rPr>
                <w:sz w:val="20"/>
                <w:szCs w:val="20"/>
                <w:color w:val="auto"/>
              </w:rPr>
            </w:pPr>
            <w:r>
              <w:rPr>
                <w:rFonts w:ascii="Arial" w:cs="Arial" w:eastAsia="Arial" w:hAnsi="Arial"/>
                <w:sz w:val="18"/>
                <w:szCs w:val="18"/>
                <w:color w:val="auto"/>
              </w:rPr>
              <w:t>50</w:t>
            </w:r>
          </w:p>
        </w:tc>
        <w:tc>
          <w:tcPr>
            <w:tcW w:w="5000" w:type="dxa"/>
            <w:vAlign w:val="bottom"/>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David Roberts, certify that:</w:t>
      </w:r>
    </w:p>
    <w:p>
      <w:pPr>
        <w:spacing w:after="0" w:line="185" w:lineRule="exact"/>
        <w:rPr>
          <w:sz w:val="20"/>
          <w:szCs w:val="20"/>
          <w:color w:val="auto"/>
        </w:rPr>
      </w:pPr>
    </w:p>
    <w:p>
      <w:pPr>
        <w:ind w:left="560" w:hanging="552"/>
        <w:spacing w:after="0"/>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Verra Mobility Corporation;</w:t>
      </w:r>
    </w:p>
    <w:p>
      <w:pPr>
        <w:spacing w:after="0" w:line="184" w:lineRule="exact"/>
        <w:rPr>
          <w:rFonts w:ascii="Arial" w:cs="Arial" w:eastAsia="Arial" w:hAnsi="Arial"/>
          <w:sz w:val="18"/>
          <w:szCs w:val="18"/>
          <w:color w:val="auto"/>
        </w:rPr>
      </w:pPr>
    </w:p>
    <w:p>
      <w:pPr>
        <w:jc w:val="both"/>
        <w:ind w:left="560" w:hanging="552"/>
        <w:spacing w:after="0" w:line="263" w:lineRule="auto"/>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Quarterly Report on Form 10-Q does not contain any untrue statement of a material fact or omit to state a material fact necessary to make the statements made, in light of the circumstances under which such statements were made, not misleading with respect to the period covered by this Quarterly Report on Form 10-Q;</w:t>
      </w:r>
    </w:p>
    <w:p>
      <w:pPr>
        <w:spacing w:after="0" w:line="143" w:lineRule="exact"/>
        <w:rPr>
          <w:rFonts w:ascii="Arial" w:cs="Arial" w:eastAsia="Arial" w:hAnsi="Arial"/>
          <w:sz w:val="18"/>
          <w:szCs w:val="18"/>
          <w:color w:val="auto"/>
        </w:rPr>
      </w:pPr>
    </w:p>
    <w:p>
      <w:pPr>
        <w:ind w:left="560" w:hanging="552"/>
        <w:spacing w:after="0" w:line="342" w:lineRule="auto"/>
        <w:tabs>
          <w:tab w:leader="none" w:pos="5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3" w:lineRule="exact"/>
        <w:rPr>
          <w:rFonts w:ascii="Arial" w:cs="Arial" w:eastAsia="Arial" w:hAnsi="Arial"/>
          <w:sz w:val="16"/>
          <w:szCs w:val="16"/>
          <w:color w:val="auto"/>
        </w:rPr>
      </w:pPr>
    </w:p>
    <w:p>
      <w:pPr>
        <w:jc w:val="both"/>
        <w:ind w:left="560" w:hanging="552"/>
        <w:spacing w:after="0" w:line="263" w:lineRule="auto"/>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120" w:hanging="559"/>
        <w:spacing w:after="0" w:line="286" w:lineRule="auto"/>
        <w:tabs>
          <w:tab w:leader="none" w:pos="112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on Form 10-Q is being prepared;</w:t>
      </w:r>
    </w:p>
    <w:p>
      <w:pPr>
        <w:spacing w:after="0" w:line="57" w:lineRule="exact"/>
        <w:rPr>
          <w:rFonts w:ascii="Arial" w:cs="Arial" w:eastAsia="Arial" w:hAnsi="Arial"/>
          <w:sz w:val="17"/>
          <w:szCs w:val="17"/>
          <w:color w:val="auto"/>
        </w:rPr>
      </w:pPr>
    </w:p>
    <w:p>
      <w:pPr>
        <w:jc w:val="both"/>
        <w:ind w:left="1120" w:hanging="559"/>
        <w:spacing w:after="0" w:line="263" w:lineRule="auto"/>
        <w:tabs>
          <w:tab w:leader="none" w:pos="11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120" w:hanging="559"/>
        <w:spacing w:after="0" w:line="263" w:lineRule="auto"/>
        <w:tabs>
          <w:tab w:leader="none" w:pos="11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on Form 10-Q our conclusions about the effectiveness of the disclosure controls and procedures, as of the end of the period covered by this Quarterly Report on Form 10-Q based on such evaluation; and</w:t>
      </w:r>
    </w:p>
    <w:p>
      <w:pPr>
        <w:spacing w:after="0" w:line="75" w:lineRule="exact"/>
        <w:rPr>
          <w:rFonts w:ascii="Arial" w:cs="Arial" w:eastAsia="Arial" w:hAnsi="Arial"/>
          <w:sz w:val="18"/>
          <w:szCs w:val="18"/>
          <w:color w:val="auto"/>
        </w:rPr>
      </w:pPr>
    </w:p>
    <w:p>
      <w:pPr>
        <w:jc w:val="both"/>
        <w:ind w:left="1120" w:hanging="559"/>
        <w:spacing w:after="0" w:line="286" w:lineRule="auto"/>
        <w:tabs>
          <w:tab w:leader="none" w:pos="112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Disclosed in this Quarterly Report on Form 10-Q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Arial" w:cs="Arial" w:eastAsia="Arial" w:hAnsi="Arial"/>
          <w:sz w:val="17"/>
          <w:szCs w:val="17"/>
          <w:color w:val="auto"/>
        </w:rPr>
      </w:pPr>
    </w:p>
    <w:p>
      <w:pPr>
        <w:ind w:left="560" w:right="20" w:hanging="552"/>
        <w:spacing w:after="0" w:line="308" w:lineRule="auto"/>
        <w:tabs>
          <w:tab w:leader="none" w:pos="5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20" w:hanging="559"/>
        <w:spacing w:after="0" w:line="308" w:lineRule="auto"/>
        <w:tabs>
          <w:tab w:leader="none" w:pos="112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120" w:hanging="559"/>
        <w:spacing w:after="0" w:line="277" w:lineRule="auto"/>
        <w:tabs>
          <w:tab w:leader="none" w:pos="11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Dated: August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Roberts</w:t>
      </w:r>
    </w:p>
    <w:p>
      <w:pPr>
        <w:spacing w:after="0" w:line="5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David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-130175</wp:posOffset>
            </wp:positionV>
            <wp:extent cx="25628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35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Patricia Chiodo, certify that:</w:t>
      </w:r>
    </w:p>
    <w:p>
      <w:pPr>
        <w:spacing w:after="0" w:line="185" w:lineRule="exact"/>
        <w:rPr>
          <w:sz w:val="20"/>
          <w:szCs w:val="20"/>
          <w:color w:val="auto"/>
        </w:rPr>
      </w:pPr>
    </w:p>
    <w:p>
      <w:pPr>
        <w:ind w:left="560" w:hanging="552"/>
        <w:spacing w:after="0"/>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Verra Mobility Corporation;</w:t>
      </w:r>
    </w:p>
    <w:p>
      <w:pPr>
        <w:spacing w:after="0" w:line="184" w:lineRule="exact"/>
        <w:rPr>
          <w:rFonts w:ascii="Arial" w:cs="Arial" w:eastAsia="Arial" w:hAnsi="Arial"/>
          <w:sz w:val="18"/>
          <w:szCs w:val="18"/>
          <w:color w:val="auto"/>
        </w:rPr>
      </w:pPr>
    </w:p>
    <w:p>
      <w:pPr>
        <w:jc w:val="both"/>
        <w:ind w:left="560" w:hanging="552"/>
        <w:spacing w:after="0" w:line="263" w:lineRule="auto"/>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Quarterly Report on Form 10-Q does not contain any untrue statement of a material fact or omit to state a material fact necessary to make the statements made, in light of the circumstances under which such statements were made, not misleading with respect to the period covered by this Quarterly Report on Form 10-Q;</w:t>
      </w:r>
    </w:p>
    <w:p>
      <w:pPr>
        <w:spacing w:after="0" w:line="143" w:lineRule="exact"/>
        <w:rPr>
          <w:rFonts w:ascii="Arial" w:cs="Arial" w:eastAsia="Arial" w:hAnsi="Arial"/>
          <w:sz w:val="18"/>
          <w:szCs w:val="18"/>
          <w:color w:val="auto"/>
        </w:rPr>
      </w:pPr>
    </w:p>
    <w:p>
      <w:pPr>
        <w:ind w:left="560" w:hanging="552"/>
        <w:spacing w:after="0" w:line="342" w:lineRule="auto"/>
        <w:tabs>
          <w:tab w:leader="none" w:pos="5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3" w:lineRule="exact"/>
        <w:rPr>
          <w:rFonts w:ascii="Arial" w:cs="Arial" w:eastAsia="Arial" w:hAnsi="Arial"/>
          <w:sz w:val="16"/>
          <w:szCs w:val="16"/>
          <w:color w:val="auto"/>
        </w:rPr>
      </w:pPr>
    </w:p>
    <w:p>
      <w:pPr>
        <w:jc w:val="both"/>
        <w:ind w:left="560" w:hanging="552"/>
        <w:spacing w:after="0" w:line="263" w:lineRule="auto"/>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120" w:hanging="559"/>
        <w:spacing w:after="0" w:line="286" w:lineRule="auto"/>
        <w:tabs>
          <w:tab w:leader="none" w:pos="112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on Form 10-Q is being prepared;</w:t>
      </w:r>
    </w:p>
    <w:p>
      <w:pPr>
        <w:spacing w:after="0" w:line="57" w:lineRule="exact"/>
        <w:rPr>
          <w:rFonts w:ascii="Arial" w:cs="Arial" w:eastAsia="Arial" w:hAnsi="Arial"/>
          <w:sz w:val="17"/>
          <w:szCs w:val="17"/>
          <w:color w:val="auto"/>
        </w:rPr>
      </w:pPr>
    </w:p>
    <w:p>
      <w:pPr>
        <w:jc w:val="both"/>
        <w:ind w:left="1120" w:hanging="559"/>
        <w:spacing w:after="0" w:line="263" w:lineRule="auto"/>
        <w:tabs>
          <w:tab w:leader="none" w:pos="11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120" w:hanging="559"/>
        <w:spacing w:after="0" w:line="263" w:lineRule="auto"/>
        <w:tabs>
          <w:tab w:leader="none" w:pos="11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on Form 10-Q our conclusions about the effectiveness of the disclosure controls and procedures, as of the end of the period covered by this Quarterly Report on Form 10-Q based on such evaluation; and</w:t>
      </w:r>
    </w:p>
    <w:p>
      <w:pPr>
        <w:spacing w:after="0" w:line="75" w:lineRule="exact"/>
        <w:rPr>
          <w:rFonts w:ascii="Arial" w:cs="Arial" w:eastAsia="Arial" w:hAnsi="Arial"/>
          <w:sz w:val="18"/>
          <w:szCs w:val="18"/>
          <w:color w:val="auto"/>
        </w:rPr>
      </w:pPr>
    </w:p>
    <w:p>
      <w:pPr>
        <w:jc w:val="both"/>
        <w:ind w:left="1120" w:hanging="559"/>
        <w:spacing w:after="0" w:line="263" w:lineRule="auto"/>
        <w:tabs>
          <w:tab w:leader="none" w:pos="11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560" w:right="20" w:hanging="552"/>
        <w:spacing w:after="0" w:line="308" w:lineRule="auto"/>
        <w:tabs>
          <w:tab w:leader="none" w:pos="5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20" w:hanging="559"/>
        <w:spacing w:after="0" w:line="308" w:lineRule="auto"/>
        <w:tabs>
          <w:tab w:leader="none" w:pos="112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120" w:hanging="559"/>
        <w:spacing w:after="0" w:line="277" w:lineRule="auto"/>
        <w:tabs>
          <w:tab w:leader="none" w:pos="11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Dated: August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Patricia Chiodo</w:t>
      </w:r>
    </w:p>
    <w:p>
      <w:pPr>
        <w:spacing w:after="0" w:line="5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Patricia Chiodo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-130175</wp:posOffset>
            </wp:positionV>
            <wp:extent cx="25628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35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periodic report of Verra Mobility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on Form 10-Q for the period ended June 30, 2021 as filed with the Securities and Exchange Commission (the “</w:t>
      </w:r>
      <w:r>
        <w:rPr>
          <w:rFonts w:ascii="Arial" w:cs="Arial" w:eastAsia="Arial" w:hAnsi="Arial"/>
          <w:sz w:val="17"/>
          <w:szCs w:val="17"/>
          <w:b w:val="1"/>
          <w:bCs w:val="1"/>
          <w:i w:val="1"/>
          <w:iCs w:val="1"/>
          <w:color w:val="auto"/>
        </w:rPr>
        <w:t>Report</w:t>
      </w:r>
      <w:r>
        <w:rPr>
          <w:rFonts w:ascii="Arial" w:cs="Arial" w:eastAsia="Arial" w:hAnsi="Arial"/>
          <w:sz w:val="17"/>
          <w:szCs w:val="17"/>
          <w:color w:val="auto"/>
        </w:rPr>
        <w:t>”), I, David Roberts, President and Chief Executive Officer of the Company, hereby certify as of the date hereof, solely for purposes of Title 18, Chapter 63, Section 1350 of the United States Code, that to the best of my knowledge:</w:t>
      </w:r>
    </w:p>
    <w:p>
      <w:pPr>
        <w:spacing w:after="0" w:line="57" w:lineRule="exact"/>
        <w:rPr>
          <w:sz w:val="20"/>
          <w:szCs w:val="20"/>
          <w:color w:val="auto"/>
        </w:rPr>
      </w:pPr>
    </w:p>
    <w:p>
      <w:pPr>
        <w:ind w:left="560" w:hanging="552"/>
        <w:spacing w:after="0"/>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17" w:lineRule="exact"/>
        <w:rPr>
          <w:rFonts w:ascii="Arial" w:cs="Arial" w:eastAsia="Arial" w:hAnsi="Arial"/>
          <w:sz w:val="18"/>
          <w:szCs w:val="18"/>
          <w:color w:val="auto"/>
        </w:rPr>
      </w:pPr>
    </w:p>
    <w:p>
      <w:pPr>
        <w:ind w:left="560" w:hanging="552"/>
        <w:spacing w:after="0" w:line="277" w:lineRule="auto"/>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29"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52" w:lineRule="exact"/>
        <w:rPr>
          <w:sz w:val="20"/>
          <w:szCs w:val="20"/>
          <w:color w:val="auto"/>
        </w:rPr>
      </w:pPr>
    </w:p>
    <w:p>
      <w:pPr>
        <w:spacing w:after="0"/>
        <w:tabs>
          <w:tab w:leader="none" w:pos="5580" w:val="left"/>
        </w:tabs>
        <w:rPr>
          <w:sz w:val="20"/>
          <w:szCs w:val="20"/>
          <w:color w:val="auto"/>
        </w:rPr>
      </w:pPr>
      <w:r>
        <w:rPr>
          <w:rFonts w:ascii="Arial" w:cs="Arial" w:eastAsia="Arial" w:hAnsi="Arial"/>
          <w:sz w:val="18"/>
          <w:szCs w:val="18"/>
          <w:color w:val="auto"/>
        </w:rPr>
        <w:t>Dated: August 9, 2021</w:t>
      </w:r>
      <w:r>
        <w:rPr>
          <w:sz w:val="20"/>
          <w:szCs w:val="20"/>
          <w:color w:val="auto"/>
        </w:rPr>
        <w:tab/>
      </w:r>
      <w:r>
        <w:rPr>
          <w:rFonts w:ascii="Arial" w:cs="Arial" w:eastAsia="Arial" w:hAnsi="Arial"/>
          <w:sz w:val="16"/>
          <w:szCs w:val="16"/>
          <w:color w:val="auto"/>
        </w:rPr>
        <w:t>By:  /s/ David Roberts</w:t>
      </w:r>
    </w:p>
    <w:p>
      <w:pPr>
        <w:spacing w:after="0" w:line="5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David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-130175</wp:posOffset>
            </wp:positionV>
            <wp:extent cx="334327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8">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21"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VERRA MOBILITY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periodic report of Verra Mobility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on Form 10-Q for the period ended June 30, 2021 as filed with the Securities and Exchange Commission (the “</w:t>
      </w:r>
      <w:r>
        <w:rPr>
          <w:rFonts w:ascii="Arial" w:cs="Arial" w:eastAsia="Arial" w:hAnsi="Arial"/>
          <w:sz w:val="18"/>
          <w:szCs w:val="18"/>
          <w:b w:val="1"/>
          <w:bCs w:val="1"/>
          <w:i w:val="1"/>
          <w:iCs w:val="1"/>
          <w:color w:val="auto"/>
        </w:rPr>
        <w:t>Report</w:t>
      </w:r>
      <w:r>
        <w:rPr>
          <w:rFonts w:ascii="Arial" w:cs="Arial" w:eastAsia="Arial" w:hAnsi="Arial"/>
          <w:sz w:val="18"/>
          <w:szCs w:val="18"/>
          <w:color w:val="auto"/>
        </w:rPr>
        <w:t>”), I, Patricia Chiodo, Chief Financial Officer of the Company, hereby certify as of the date hereof, solely for purposes of Title 18, Chapter 63, Section 1350 of the United States Code, that to the best of my knowledge:</w:t>
      </w:r>
    </w:p>
    <w:p>
      <w:pPr>
        <w:spacing w:after="0" w:line="76" w:lineRule="exact"/>
        <w:rPr>
          <w:sz w:val="20"/>
          <w:szCs w:val="20"/>
          <w:color w:val="auto"/>
        </w:rPr>
      </w:pPr>
    </w:p>
    <w:p>
      <w:pPr>
        <w:ind w:left="560" w:hanging="552"/>
        <w:spacing w:after="0"/>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17" w:lineRule="exact"/>
        <w:rPr>
          <w:rFonts w:ascii="Arial" w:cs="Arial" w:eastAsia="Arial" w:hAnsi="Arial"/>
          <w:sz w:val="18"/>
          <w:szCs w:val="18"/>
          <w:color w:val="auto"/>
        </w:rPr>
      </w:pPr>
    </w:p>
    <w:p>
      <w:pPr>
        <w:ind w:left="560" w:hanging="552"/>
        <w:spacing w:after="0" w:line="277" w:lineRule="auto"/>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29"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52" w:lineRule="exact"/>
        <w:rPr>
          <w:sz w:val="20"/>
          <w:szCs w:val="20"/>
          <w:color w:val="auto"/>
        </w:rPr>
      </w:pPr>
    </w:p>
    <w:p>
      <w:pPr>
        <w:spacing w:after="0"/>
        <w:tabs>
          <w:tab w:leader="none" w:pos="5580" w:val="left"/>
        </w:tabs>
        <w:rPr>
          <w:sz w:val="20"/>
          <w:szCs w:val="20"/>
          <w:color w:val="auto"/>
        </w:rPr>
      </w:pPr>
      <w:r>
        <w:rPr>
          <w:rFonts w:ascii="Arial" w:cs="Arial" w:eastAsia="Arial" w:hAnsi="Arial"/>
          <w:sz w:val="18"/>
          <w:szCs w:val="18"/>
          <w:color w:val="auto"/>
        </w:rPr>
        <w:t>Dated: August 9, 2021</w:t>
      </w:r>
      <w:r>
        <w:rPr>
          <w:sz w:val="20"/>
          <w:szCs w:val="20"/>
          <w:color w:val="auto"/>
        </w:rPr>
        <w:tab/>
      </w:r>
      <w:r>
        <w:rPr>
          <w:rFonts w:ascii="Arial" w:cs="Arial" w:eastAsia="Arial" w:hAnsi="Arial"/>
          <w:sz w:val="16"/>
          <w:szCs w:val="16"/>
          <w:color w:val="auto"/>
        </w:rPr>
        <w:t>By:  /s/ Patricia Chiodo</w:t>
      </w:r>
    </w:p>
    <w:p>
      <w:pPr>
        <w:spacing w:after="0" w:line="5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Patricia Chiodo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-130175</wp:posOffset>
            </wp:positionV>
            <wp:extent cx="334327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2"/>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lowerRoman"/>
      <w:start w:val="2"/>
    </w:lvl>
  </w:abstractNum>
  <w:abstractNum w:abstractNumId="8">
    <w:nsid w:val="4E6AFB66"/>
    <w:multiLevelType w:val="hybridMultilevel"/>
    <w:lvl w:ilvl="0">
      <w:lvlJc w:val="left"/>
      <w:lvlText w:val="%1."/>
      <w:numFmt w:val="decimal"/>
      <w:start w:val="3"/>
    </w:lvl>
  </w:abstractNum>
  <w:abstractNum w:abstractNumId="9">
    <w:nsid w:val="25E45D32"/>
    <w:multiLevelType w:val="hybridMultilevel"/>
    <w:lvl w:ilvl="0">
      <w:lvlJc w:val="left"/>
      <w:lvlText w:val="%1."/>
      <w:numFmt w:val="decimal"/>
      <w:start w:val="5"/>
    </w:lvl>
  </w:abstractNum>
  <w:abstractNum w:abstractNumId="10">
    <w:nsid w:val="519B500D"/>
    <w:multiLevelType w:val="hybridMultilevel"/>
    <w:lvl w:ilvl="0">
      <w:lvlJc w:val="left"/>
      <w:lvlText w:val="%1."/>
      <w:numFmt w:val="decimal"/>
      <w:start w:val="8"/>
    </w:lvl>
  </w:abstractNum>
  <w:abstractNum w:abstractNumId="11">
    <w:nsid w:val="431BD7B7"/>
    <w:multiLevelType w:val="hybridMultilevel"/>
    <w:lvl w:ilvl="0">
      <w:lvlJc w:val="left"/>
      <w:lvlText w:val="%1."/>
      <w:numFmt w:val="decimal"/>
      <w:start w:val="9"/>
    </w:lvl>
  </w:abstractNum>
  <w:abstractNum w:abstractNumId="12">
    <w:nsid w:val="3F2DBA31"/>
    <w:multiLevelType w:val="hybridMultilevel"/>
    <w:lvl w:ilvl="0">
      <w:lvlJc w:val="left"/>
      <w:lvlText w:val="%1"/>
      <w:numFmt w:val="decimal"/>
      <w:start w:val="1"/>
    </w:lvl>
    <w:lvl w:ilvl="1">
      <w:lvlJc w:val="left"/>
      <w:lvlText w:val="(%2)"/>
      <w:numFmt w:val="decimal"/>
      <w:start w:val="1"/>
    </w:lvl>
  </w:abstractNum>
  <w:abstractNum w:abstractNumId="13">
    <w:nsid w:val="7C83E458"/>
    <w:multiLevelType w:val="hybridMultilevel"/>
    <w:lvl w:ilvl="0">
      <w:lvlJc w:val="left"/>
      <w:lvlText w:val="%1."/>
      <w:numFmt w:val="decimal"/>
      <w:start w:val="10"/>
    </w:lvl>
    <w:lvl w:ilvl="1">
      <w:lvlJc w:val="left"/>
      <w:lvlText w:val="%2"/>
      <w:numFmt w:val="decimal"/>
      <w:start w:val="1"/>
    </w:lvl>
  </w:abstractNum>
  <w:abstractNum w:abstractNumId="14">
    <w:nsid w:val="257130A3"/>
    <w:multiLevelType w:val="hybridMultilevel"/>
    <w:lvl w:ilvl="0">
      <w:lvlJc w:val="left"/>
      <w:lvlText w:val="%1."/>
      <w:numFmt w:val="decimal"/>
      <w:start w:val="16"/>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83" Type="http://schemas.openxmlformats.org/officeDocument/2006/relationships/image" Target="media/image63.png"/><Relationship Id="rId84" Type="http://schemas.openxmlformats.org/officeDocument/2006/relationships/image" Target="media/image64.png"/><Relationship Id="rId85" Type="http://schemas.openxmlformats.org/officeDocument/2006/relationships/image" Target="media/image65.png"/><Relationship Id="rId86" Type="http://schemas.openxmlformats.org/officeDocument/2006/relationships/image" Target="media/image66.png"/><Relationship Id="rId87" Type="http://schemas.openxmlformats.org/officeDocument/2006/relationships/image" Target="media/image67.png"/><Relationship Id="rId88" Type="http://schemas.openxmlformats.org/officeDocument/2006/relationships/image" Target="media/image68.png"/><Relationship Id="rId89" Type="http://schemas.openxmlformats.org/officeDocument/2006/relationships/image" Target="media/image69.png"/><Relationship Id="rId70" Type="http://schemas.openxmlformats.org/officeDocument/2006/relationships/hyperlink" Target="http://www.sec.gov/Archives/edgar/data/0001682745/000110465918041476/a18-15692_1ex2d1.htm" TargetMode="External"/><Relationship Id="rId71" Type="http://schemas.openxmlformats.org/officeDocument/2006/relationships/hyperlink" Target="http://www.sec.gov/Archives/edgar/data/0001682745/000104746918005773/a2236552zex-2_2.htm" TargetMode="External"/><Relationship Id="rId72" Type="http://schemas.openxmlformats.org/officeDocument/2006/relationships/hyperlink" Target="http://www.sec.gov/Archives/edgar/data/1682745/000156459021001806/vrrm-ex21_146.htm" TargetMode="External"/><Relationship Id="rId73" Type="http://schemas.openxmlformats.org/officeDocument/2006/relationships/hyperlink" Target="http://www.sec.gov/Archives/edgar/data/1682745/000156459021022171/vrrm-ex21_27.htm" TargetMode="External"/><Relationship Id="rId74" Type="http://schemas.openxmlformats.org/officeDocument/2006/relationships/hyperlink" Target="http://www.sec.gov/Archives/edgar/data/0001682745/000156459018024644/vrrm-ex31_941.htm" TargetMode="External"/><Relationship Id="rId75" Type="http://schemas.openxmlformats.org/officeDocument/2006/relationships/hyperlink" Target="http://www.sec.gov/Archives/edgar/data/0001682745/000156459018024644/vrrm-ex32_939.htm" TargetMode="External"/><Relationship Id="rId76" Type="http://schemas.openxmlformats.org/officeDocument/2006/relationships/hyperlink" Target="http://www.sec.gov/Archives/edgar/data/0001682745/000104746916017126/a2230401zex-4_2.htm" TargetMode="External"/><Relationship Id="rId77" Type="http://schemas.openxmlformats.org/officeDocument/2006/relationships/hyperlink" Target="http://www.sec.gov/Archives/edgar/data/0001682745/000104746916017126/a2230401zex-4_3.htm" TargetMode="External"/><Relationship Id="rId78" Type="http://schemas.openxmlformats.org/officeDocument/2006/relationships/hyperlink" Target="http://www.sec.gov/Archives/edgar/data/0001682745/000110465917003086/a17-2559_1ex4d1.htm" TargetMode="External"/><Relationship Id="rId79" Type="http://schemas.openxmlformats.org/officeDocument/2006/relationships/hyperlink" Target="http://www.sec.gov/Archives/edgar/data/0001682745/000156459020008153/vrrm-ex44_298.htm" TargetMode="External"/><Relationship Id="rId80" Type="http://schemas.openxmlformats.org/officeDocument/2006/relationships/hyperlink" Target="http://www.sec.gov/Archives/edgar/data/1682745/000156459021028122/vrrm-ex103_76.htm" TargetMode="External"/><Relationship Id="rId81" Type="http://schemas.openxmlformats.org/officeDocument/2006/relationships/hyperlink" Target="http://www.sec.gov/Archives/edgar/data/1682745/000156459021028122/vrrm-ex104_77.htm" TargetMode="External"/><Relationship Id="rId82" Type="http://schemas.openxmlformats.org/officeDocument/2006/relationships/hyperlink" Target="http://www.sec.gov/Archives/edgar/data/1682745/000156459021028122/vrrm-ex105_7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2021-08-09T16:34:20Z</dcterms:created>
  <dcterms:modified xsi:type="dcterms:W3CDTF">2021-08-09T16:34:20Z</dcterms:modified>
</cp:coreProperties>
</file>