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-232410</wp:posOffset>
            </wp:positionV>
            <wp:extent cx="152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92710</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80" w:right="1540" w:hanging="3872"/>
        <w:spacing w:after="0" w:line="266" w:lineRule="auto"/>
        <w:tabs>
          <w:tab w:leader="none" w:pos="54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-272415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180" w:right="1540" w:hanging="3172"/>
        <w:spacing w:after="0" w:line="328" w:lineRule="auto"/>
        <w:tabs>
          <w:tab w:leader="none" w:pos="55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-464185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VERRA MOBILITY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-311785</wp:posOffset>
            </wp:positionV>
            <wp:extent cx="1525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jc w:val="center"/>
              <w:ind w:left="1384"/>
              <w:spacing w:after="0"/>
              <w:rPr>
                <w:sz w:val="20"/>
                <w:szCs w:val="20"/>
                <w:color w:val="auto"/>
              </w:rPr>
            </w:pPr>
            <w:r>
              <w:rPr>
                <w:rFonts w:ascii="Arial" w:cs="Arial" w:eastAsia="Arial" w:hAnsi="Arial"/>
                <w:sz w:val="16"/>
                <w:szCs w:val="16"/>
                <w:b w:val="1"/>
                <w:bCs w:val="1"/>
                <w:color w:val="auto"/>
                <w:w w:val="91"/>
              </w:rPr>
              <w:t>Delaware</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3720" w:type="dxa"/>
            <w:vAlign w:val="bottom"/>
          </w:tcPr>
          <w:p>
            <w:pPr>
              <w:jc w:val="right"/>
              <w:ind w:right="2324"/>
              <w:spacing w:after="0"/>
              <w:rPr>
                <w:sz w:val="20"/>
                <w:szCs w:val="20"/>
                <w:color w:val="auto"/>
              </w:rPr>
            </w:pPr>
            <w:r>
              <w:rPr>
                <w:rFonts w:ascii="Arial" w:cs="Arial" w:eastAsia="Arial" w:hAnsi="Arial"/>
                <w:sz w:val="16"/>
                <w:szCs w:val="16"/>
                <w:b w:val="1"/>
                <w:bCs w:val="1"/>
                <w:color w:val="auto"/>
              </w:rPr>
              <w:t>81-3563824</w:t>
            </w:r>
          </w:p>
        </w:tc>
        <w:tc>
          <w:tcPr>
            <w:tcW w:w="0" w:type="dxa"/>
            <w:vAlign w:val="bottom"/>
          </w:tcPr>
          <w:p>
            <w:pPr>
              <w:spacing w:after="0"/>
              <w:rPr>
                <w:sz w:val="1"/>
                <w:szCs w:val="1"/>
                <w:color w:val="auto"/>
              </w:rPr>
            </w:pPr>
          </w:p>
        </w:tc>
      </w:tr>
      <w:tr>
        <w:trPr>
          <w:trHeight w:val="156"/>
        </w:trPr>
        <w:tc>
          <w:tcPr>
            <w:tcW w:w="4100" w:type="dxa"/>
            <w:vAlign w:val="bottom"/>
          </w:tcPr>
          <w:p>
            <w:pPr>
              <w:jc w:val="center"/>
              <w:ind w:left="1384"/>
              <w:spacing w:after="0" w:line="156" w:lineRule="exact"/>
              <w:rPr>
                <w:sz w:val="20"/>
                <w:szCs w:val="20"/>
                <w:color w:val="auto"/>
              </w:rPr>
            </w:pPr>
            <w:r>
              <w:rPr>
                <w:rFonts w:ascii="Arial" w:cs="Arial" w:eastAsia="Arial" w:hAnsi="Arial"/>
                <w:sz w:val="14"/>
                <w:szCs w:val="14"/>
                <w:color w:val="auto"/>
                <w:w w:val="90"/>
              </w:rPr>
              <w:t>(</w:t>
            </w:r>
            <w:r>
              <w:rPr>
                <w:rFonts w:ascii="Arial" w:cs="Arial" w:eastAsia="Arial" w:hAnsi="Arial"/>
                <w:sz w:val="14"/>
                <w:szCs w:val="14"/>
                <w:i w:val="1"/>
                <w:iCs w:val="1"/>
                <w:color w:val="auto"/>
                <w:w w:val="90"/>
              </w:rPr>
              <w:t>State of</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20" w:type="dxa"/>
            <w:vAlign w:val="bottom"/>
          </w:tcPr>
          <w:p>
            <w:pPr>
              <w:jc w:val="center"/>
              <w:ind w:right="1764"/>
              <w:spacing w:after="0" w:line="156" w:lineRule="exact"/>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4100" w:type="dxa"/>
            <w:vAlign w:val="bottom"/>
          </w:tcPr>
          <w:p>
            <w:pPr>
              <w:jc w:val="center"/>
              <w:ind w:left="1384"/>
              <w:spacing w:after="0"/>
              <w:rPr>
                <w:sz w:val="20"/>
                <w:szCs w:val="20"/>
                <w:color w:val="auto"/>
              </w:rPr>
            </w:pPr>
            <w:r>
              <w:rPr>
                <w:rFonts w:ascii="Arial" w:cs="Arial" w:eastAsia="Arial" w:hAnsi="Arial"/>
                <w:sz w:val="14"/>
                <w:szCs w:val="14"/>
                <w:i w:val="1"/>
                <w:iCs w:val="1"/>
                <w:color w:val="auto"/>
                <w:w w:val="97"/>
              </w:rPr>
              <w:t>Incorporation</w:t>
            </w:r>
            <w:r>
              <w:rPr>
                <w:rFonts w:ascii="Arial" w:cs="Arial" w:eastAsia="Arial" w:hAnsi="Arial"/>
                <w:sz w:val="14"/>
                <w:szCs w:val="14"/>
                <w:color w:val="auto"/>
                <w:w w:val="97"/>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20" w:type="dxa"/>
            <w:vAlign w:val="bottom"/>
          </w:tcPr>
          <w:p>
            <w:pPr>
              <w:jc w:val="center"/>
              <w:ind w:right="1784"/>
              <w:spacing w:after="0"/>
              <w:rPr>
                <w:sz w:val="20"/>
                <w:szCs w:val="20"/>
                <w:color w:val="auto"/>
              </w:rPr>
            </w:pPr>
            <w:r>
              <w:rPr>
                <w:rFonts w:ascii="Arial" w:cs="Arial" w:eastAsia="Arial" w:hAnsi="Arial"/>
                <w:sz w:val="14"/>
                <w:szCs w:val="14"/>
                <w:i w:val="1"/>
                <w:iCs w:val="1"/>
                <w:color w:val="auto"/>
                <w:w w:val="97"/>
              </w:rPr>
              <w:t>Identification No.</w:t>
            </w: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398"/>
        </w:trPr>
        <w:tc>
          <w:tcPr>
            <w:tcW w:w="4100" w:type="dxa"/>
            <w:vAlign w:val="bottom"/>
          </w:tcPr>
          <w:p>
            <w:pPr>
              <w:jc w:val="center"/>
              <w:ind w:left="1404"/>
              <w:spacing w:after="0"/>
              <w:rPr>
                <w:sz w:val="20"/>
                <w:szCs w:val="20"/>
                <w:color w:val="auto"/>
              </w:rPr>
            </w:pPr>
            <w:r>
              <w:rPr>
                <w:rFonts w:ascii="Arial" w:cs="Arial" w:eastAsia="Arial" w:hAnsi="Arial"/>
                <w:sz w:val="16"/>
                <w:szCs w:val="16"/>
                <w:b w:val="1"/>
                <w:bCs w:val="1"/>
                <w:color w:val="auto"/>
                <w:w w:val="91"/>
              </w:rPr>
              <w:t>1150 North Alma School Road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jc w:val="right"/>
              <w:ind w:right="2504"/>
              <w:spacing w:after="0"/>
              <w:rPr>
                <w:sz w:val="20"/>
                <w:szCs w:val="20"/>
                <w:color w:val="auto"/>
              </w:rPr>
            </w:pPr>
            <w:r>
              <w:rPr>
                <w:rFonts w:ascii="Arial" w:cs="Arial" w:eastAsia="Arial" w:hAnsi="Arial"/>
                <w:sz w:val="16"/>
                <w:szCs w:val="16"/>
                <w:b w:val="1"/>
                <w:bCs w:val="1"/>
                <w:color w:val="auto"/>
              </w:rPr>
              <w:t>85201</w:t>
            </w:r>
          </w:p>
        </w:tc>
        <w:tc>
          <w:tcPr>
            <w:tcW w:w="0" w:type="dxa"/>
            <w:vAlign w:val="bottom"/>
          </w:tcPr>
          <w:p>
            <w:pPr>
              <w:spacing w:after="0"/>
              <w:rPr>
                <w:sz w:val="1"/>
                <w:szCs w:val="1"/>
                <w:color w:val="auto"/>
              </w:rPr>
            </w:pPr>
          </w:p>
        </w:tc>
      </w:tr>
      <w:tr>
        <w:trPr>
          <w:trHeight w:val="217"/>
        </w:trPr>
        <w:tc>
          <w:tcPr>
            <w:tcW w:w="4100" w:type="dxa"/>
            <w:vAlign w:val="bottom"/>
          </w:tcPr>
          <w:p>
            <w:pPr>
              <w:jc w:val="center"/>
              <w:ind w:left="1384"/>
              <w:spacing w:after="0"/>
              <w:rPr>
                <w:sz w:val="20"/>
                <w:szCs w:val="20"/>
                <w:color w:val="auto"/>
              </w:rPr>
            </w:pPr>
            <w:r>
              <w:rPr>
                <w:rFonts w:ascii="Arial" w:cs="Arial" w:eastAsia="Arial" w:hAnsi="Arial"/>
                <w:sz w:val="16"/>
                <w:szCs w:val="16"/>
                <w:b w:val="1"/>
                <w:bCs w:val="1"/>
                <w:color w:val="auto"/>
                <w:w w:val="92"/>
              </w:rPr>
              <w:t>Mesa, Arizona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784"/>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Zip Code</w:t>
            </w: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182"/>
        </w:trPr>
        <w:tc>
          <w:tcPr>
            <w:tcW w:w="4100" w:type="dxa"/>
            <w:vAlign w:val="bottom"/>
          </w:tcPr>
          <w:p>
            <w:pPr>
              <w:jc w:val="center"/>
              <w:ind w:left="1384"/>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Address of Principal Executive Offices</w:t>
            </w:r>
            <w:r>
              <w:rPr>
                <w:rFonts w:ascii="Arial" w:cs="Arial" w:eastAsia="Arial" w:hAnsi="Arial"/>
                <w:sz w:val="14"/>
                <w:szCs w:val="14"/>
                <w:color w:val="auto"/>
                <w:w w:val="94"/>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2520" w:type="dxa"/>
            <w:vAlign w:val="bottom"/>
            <w:gridSpan w:val="4"/>
          </w:tcPr>
          <w:p>
            <w:pPr>
              <w:jc w:val="center"/>
              <w:ind w:left="464"/>
              <w:spacing w:after="0"/>
              <w:rPr>
                <w:sz w:val="20"/>
                <w:szCs w:val="20"/>
                <w:color w:val="auto"/>
              </w:rPr>
            </w:pPr>
            <w:r>
              <w:rPr>
                <w:rFonts w:ascii="Arial" w:cs="Arial" w:eastAsia="Arial" w:hAnsi="Arial"/>
                <w:sz w:val="16"/>
                <w:szCs w:val="16"/>
                <w:b w:val="1"/>
                <w:bCs w:val="1"/>
                <w:color w:val="auto"/>
                <w:w w:val="93"/>
              </w:rPr>
              <w:t>(480) 443-7000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3420" w:type="dxa"/>
            <w:vAlign w:val="bottom"/>
            <w:gridSpan w:val="7"/>
          </w:tcPr>
          <w:p>
            <w:pPr>
              <w:jc w:val="center"/>
              <w:ind w:right="360"/>
              <w:spacing w:after="0"/>
              <w:rPr>
                <w:sz w:val="20"/>
                <w:szCs w:val="20"/>
                <w:color w:val="auto"/>
              </w:rPr>
            </w:pPr>
            <w:r>
              <w:rPr>
                <w:rFonts w:ascii="Arial" w:cs="Arial" w:eastAsia="Arial" w:hAnsi="Arial"/>
                <w:sz w:val="14"/>
                <w:szCs w:val="14"/>
                <w:color w:val="auto"/>
                <w:w w:val="92"/>
              </w:rPr>
              <w:t>(</w:t>
            </w:r>
            <w:r>
              <w:rPr>
                <w:rFonts w:ascii="Arial" w:cs="Arial" w:eastAsia="Arial" w:hAnsi="Arial"/>
                <w:sz w:val="14"/>
                <w:szCs w:val="14"/>
                <w:i w:val="1"/>
                <w:iCs w:val="1"/>
                <w:color w:val="auto"/>
                <w:w w:val="92"/>
              </w:rPr>
              <w:t>Registrant’s telephone number, including area code</w:t>
            </w:r>
            <w:r>
              <w:rPr>
                <w:rFonts w:ascii="Arial" w:cs="Arial" w:eastAsia="Arial" w:hAnsi="Arial"/>
                <w:sz w:val="14"/>
                <w:szCs w:val="14"/>
                <w:color w:val="auto"/>
                <w:w w:val="92"/>
              </w:rPr>
              <w:t>)</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7520" w:type="dxa"/>
            <w:vAlign w:val="bottom"/>
            <w:gridSpan w:val="8"/>
          </w:tcPr>
          <w:p>
            <w:pPr>
              <w:jc w:val="center"/>
              <w:ind w:left="3644"/>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00" w:type="dxa"/>
            <w:vAlign w:val="bottom"/>
          </w:tcPr>
          <w:p>
            <w:pPr>
              <w:jc w:val="center"/>
              <w:ind w:left="404"/>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20" w:type="dxa"/>
            <w:vAlign w:val="bottom"/>
            <w:gridSpan w:val="4"/>
          </w:tcPr>
          <w:p>
            <w:pPr>
              <w:jc w:val="center"/>
              <w:ind w:right="920"/>
              <w:spacing w:after="0"/>
              <w:rPr>
                <w:sz w:val="20"/>
                <w:szCs w:val="20"/>
                <w:color w:val="auto"/>
              </w:rPr>
            </w:pPr>
            <w:r>
              <w:rPr>
                <w:rFonts w:ascii="Arial" w:cs="Arial" w:eastAsia="Arial" w:hAnsi="Arial"/>
                <w:sz w:val="16"/>
                <w:szCs w:val="16"/>
                <w:b w:val="1"/>
                <w:bCs w:val="1"/>
                <w:color w:val="auto"/>
              </w:rPr>
              <w:t>VRRM</w:t>
            </w:r>
          </w:p>
        </w:tc>
        <w:tc>
          <w:tcPr>
            <w:tcW w:w="3720" w:type="dxa"/>
            <w:vAlign w:val="bottom"/>
          </w:tcPr>
          <w:p>
            <w:pPr>
              <w:jc w:val="center"/>
              <w:ind w:right="644"/>
              <w:spacing w:after="0"/>
              <w:rPr>
                <w:sz w:val="20"/>
                <w:szCs w:val="20"/>
                <w:color w:val="auto"/>
              </w:rPr>
            </w:pPr>
            <w:r>
              <w:rPr>
                <w:rFonts w:ascii="Arial" w:cs="Arial" w:eastAsia="Arial" w:hAnsi="Arial"/>
                <w:sz w:val="16"/>
                <w:szCs w:val="16"/>
                <w:b w:val="1"/>
                <w:bCs w:val="1"/>
                <w:color w:val="auto"/>
                <w:w w:val="95"/>
              </w:rPr>
              <w:t>Nasdaq Capital Market</w:t>
            </w:r>
          </w:p>
        </w:tc>
        <w:tc>
          <w:tcPr>
            <w:tcW w:w="0" w:type="dxa"/>
            <w:vAlign w:val="bottom"/>
          </w:tcPr>
          <w:p>
            <w:pPr>
              <w:spacing w:after="0"/>
              <w:rPr>
                <w:sz w:val="1"/>
                <w:szCs w:val="1"/>
                <w:color w:val="auto"/>
              </w:rPr>
            </w:pPr>
          </w:p>
        </w:tc>
      </w:tr>
      <w:tr>
        <w:trPr>
          <w:trHeight w:val="47"/>
        </w:trPr>
        <w:tc>
          <w:tcPr>
            <w:tcW w:w="4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vMerge w:val="restart"/>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100" w:type="dxa"/>
            <w:vAlign w:val="bottom"/>
          </w:tcPr>
          <w:p>
            <w:pPr>
              <w:jc w:val="center"/>
              <w:ind w:left="384"/>
              <w:spacing w:after="0"/>
              <w:rPr>
                <w:sz w:val="20"/>
                <w:szCs w:val="20"/>
                <w:color w:val="auto"/>
              </w:rPr>
            </w:pPr>
            <w:r>
              <w:rPr>
                <w:rFonts w:ascii="Arial" w:cs="Arial" w:eastAsia="Arial" w:hAnsi="Arial"/>
                <w:sz w:val="14"/>
                <w:szCs w:val="14"/>
                <w:i w:val="1"/>
                <w:iCs w:val="1"/>
                <w:color w:val="auto"/>
                <w:w w:val="95"/>
              </w:rPr>
              <w:t>(Title of Each Class)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i w:val="1"/>
                <w:iCs w:val="1"/>
                <w:color w:val="auto"/>
                <w:w w:val="93"/>
              </w:rPr>
              <w:t>(Trading Symbol)</w:t>
            </w:r>
          </w:p>
        </w:tc>
        <w:tc>
          <w:tcPr>
            <w:tcW w:w="180" w:type="dxa"/>
            <w:vAlign w:val="bottom"/>
            <w:vMerge w:val="continue"/>
          </w:tcPr>
          <w:p>
            <w:pPr>
              <w:spacing w:after="0"/>
              <w:rPr>
                <w:sz w:val="15"/>
                <w:szCs w:val="15"/>
                <w:color w:val="auto"/>
              </w:rPr>
            </w:pPr>
          </w:p>
        </w:tc>
        <w:tc>
          <w:tcPr>
            <w:tcW w:w="720" w:type="dxa"/>
            <w:vAlign w:val="bottom"/>
            <w:gridSpan w:val="2"/>
          </w:tcPr>
          <w:p>
            <w:pPr>
              <w:spacing w:after="0"/>
              <w:rPr>
                <w:sz w:val="15"/>
                <w:szCs w:val="15"/>
                <w:color w:val="auto"/>
              </w:rPr>
            </w:pPr>
          </w:p>
        </w:tc>
        <w:tc>
          <w:tcPr>
            <w:tcW w:w="3720" w:type="dxa"/>
            <w:vAlign w:val="bottom"/>
          </w:tcPr>
          <w:p>
            <w:pPr>
              <w:jc w:val="center"/>
              <w:ind w:right="644"/>
              <w:spacing w:after="0"/>
              <w:rPr>
                <w:sz w:val="20"/>
                <w:szCs w:val="20"/>
                <w:color w:val="auto"/>
              </w:rPr>
            </w:pPr>
            <w:r>
              <w:rPr>
                <w:rFonts w:ascii="Arial" w:cs="Arial" w:eastAsia="Arial" w:hAnsi="Arial"/>
                <w:sz w:val="14"/>
                <w:szCs w:val="14"/>
                <w:i w:val="1"/>
                <w:iCs w:val="1"/>
                <w:color w:val="auto"/>
                <w:w w:val="92"/>
              </w:rPr>
              <w:t>(Name of Each Exchange on Which Registered)</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w:t>
      </w:r>
      <w:r>
        <w:rPr>
          <w:rFonts w:ascii="MS PGothic" w:cs="MS PGothic" w:eastAsia="MS PGothic" w:hAnsi="MS PGothic"/>
          <w:sz w:val="15"/>
          <w:szCs w:val="15"/>
          <w:color w:val="auto"/>
        </w:rPr>
        <w:t>‑</w:t>
      </w:r>
      <w:r>
        <w:rPr>
          <w:rFonts w:ascii="Arial" w:cs="Arial" w:eastAsia="Arial" w:hAnsi="Arial"/>
          <w:sz w:val="15"/>
          <w:szCs w:val="15"/>
          <w:color w:val="auto"/>
        </w:rPr>
        <w:t>2 of the Exchange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280"/>
              <w:spacing w:after="0"/>
              <w:rPr>
                <w:sz w:val="20"/>
                <w:szCs w:val="20"/>
                <w:color w:val="auto"/>
              </w:rPr>
            </w:pPr>
            <w:r>
              <w:rPr>
                <w:rFonts w:ascii="Arial" w:cs="Arial" w:eastAsia="Arial" w:hAnsi="Arial"/>
                <w:sz w:val="15"/>
                <w:szCs w:val="15"/>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660" w:type="dxa"/>
            <w:vAlign w:val="bottom"/>
          </w:tcPr>
          <w:p>
            <w:pPr>
              <w:spacing w:after="0"/>
              <w:rPr>
                <w:sz w:val="20"/>
                <w:szCs w:val="20"/>
                <w:color w:val="auto"/>
              </w:rPr>
            </w:pPr>
            <w:r>
              <w:rPr>
                <w:rFonts w:ascii="Arial" w:cs="Arial" w:eastAsia="Arial" w:hAnsi="Arial"/>
                <w:sz w:val="15"/>
                <w:szCs w:val="15"/>
                <w:color w:val="auto"/>
              </w:rPr>
              <w:t>Non-accelerated filer</w:t>
            </w:r>
          </w:p>
        </w:tc>
        <w:tc>
          <w:tcPr>
            <w:tcW w:w="36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280"/>
              <w:spacing w:after="0"/>
              <w:rPr>
                <w:sz w:val="20"/>
                <w:szCs w:val="20"/>
                <w:color w:val="auto"/>
              </w:rPr>
            </w:pPr>
            <w:r>
              <w:rPr>
                <w:rFonts w:ascii="Arial" w:cs="Arial" w:eastAsia="Arial" w:hAnsi="Arial"/>
                <w:sz w:val="15"/>
                <w:szCs w:val="15"/>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16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340" w:type="dxa"/>
            <w:vAlign w:val="bottom"/>
          </w:tcPr>
          <w:p>
            <w:pPr>
              <w:ind w:left="3280"/>
              <w:spacing w:after="0"/>
              <w:rPr>
                <w:sz w:val="20"/>
                <w:szCs w:val="20"/>
                <w:color w:val="auto"/>
              </w:rPr>
            </w:pPr>
            <w:r>
              <w:rPr>
                <w:rFonts w:ascii="Arial" w:cs="Arial" w:eastAsia="Arial" w:hAnsi="Arial"/>
                <w:sz w:val="15"/>
                <w:szCs w:val="15"/>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Indicate by check mark whether the registrant is a shell company (as defined in Rule 12b</w:t>
      </w:r>
      <w:r>
        <w:rPr>
          <w:rFonts w:ascii="MS PGothic" w:cs="MS PGothic" w:eastAsia="MS PGothic" w:hAnsi="MS PGothic"/>
          <w:sz w:val="15"/>
          <w:szCs w:val="15"/>
          <w:color w:val="auto"/>
        </w:rPr>
        <w:t>‑</w:t>
      </w:r>
      <w:r>
        <w:rPr>
          <w:rFonts w:ascii="Arial" w:cs="Arial" w:eastAsia="Arial" w:hAnsi="Arial"/>
          <w:sz w:val="15"/>
          <w:szCs w:val="15"/>
          <w:color w:val="auto"/>
        </w:rPr>
        <w:t xml:space="preserve">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r>
        <w:rPr>
          <w:rFonts w:ascii="MS PGothic" w:cs="MS PGothic" w:eastAsia="MS PGothic" w:hAnsi="MS PGothic"/>
          <w:sz w:val="15"/>
          <w:szCs w:val="15"/>
          <w:color w:val="auto"/>
        </w:rPr>
        <w:t>☒</w:t>
      </w:r>
    </w:p>
    <w:p>
      <w:pPr>
        <w:spacing w:after="0" w:line="114" w:lineRule="exact"/>
        <w:rPr>
          <w:sz w:val="24"/>
          <w:szCs w:val="24"/>
          <w:color w:val="auto"/>
        </w:rPr>
      </w:pPr>
    </w:p>
    <w:p>
      <w:pPr>
        <w:spacing w:after="0"/>
        <w:rPr>
          <w:sz w:val="20"/>
          <w:szCs w:val="20"/>
          <w:color w:val="auto"/>
        </w:rPr>
      </w:pPr>
      <w:r>
        <w:rPr>
          <w:rFonts w:ascii="Arial" w:cs="Arial" w:eastAsia="Arial" w:hAnsi="Arial"/>
          <w:sz w:val="15"/>
          <w:szCs w:val="15"/>
          <w:color w:val="auto"/>
        </w:rPr>
        <w:t>As of July 31, 2020, there were 161,736,615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40" w:type="dxa"/>
            <w:vAlign w:val="bottom"/>
          </w:tcPr>
          <w:p>
            <w:pPr>
              <w:jc w:val="center"/>
              <w:ind w:left="1930"/>
              <w:spacing w:after="0"/>
              <w:rPr>
                <w:sz w:val="20"/>
                <w:szCs w:val="20"/>
                <w:color w:val="auto"/>
              </w:rPr>
            </w:pPr>
            <w:r>
              <w:rPr>
                <w:rFonts w:ascii="Arial" w:cs="Arial" w:eastAsia="Arial" w:hAnsi="Arial"/>
                <w:sz w:val="18"/>
                <w:szCs w:val="18"/>
                <w:b w:val="1"/>
                <w:bCs w:val="1"/>
                <w:color w:val="auto"/>
              </w:rPr>
              <w:t>VERRA MOBILITY CORPORATION</w:t>
            </w:r>
          </w:p>
        </w:tc>
        <w:tc>
          <w:tcPr>
            <w:tcW w:w="2000" w:type="dxa"/>
            <w:vAlign w:val="bottom"/>
          </w:tcPr>
          <w:p>
            <w:pPr>
              <w:spacing w:after="0"/>
              <w:rPr>
                <w:sz w:val="20"/>
                <w:szCs w:val="20"/>
                <w:color w:val="auto"/>
              </w:rPr>
            </w:pPr>
          </w:p>
        </w:tc>
      </w:tr>
      <w:tr>
        <w:trPr>
          <w:trHeight w:val="392"/>
        </w:trPr>
        <w:tc>
          <w:tcPr>
            <w:tcW w:w="9240" w:type="dxa"/>
            <w:vAlign w:val="bottom"/>
          </w:tcPr>
          <w:p>
            <w:pPr>
              <w:jc w:val="center"/>
              <w:ind w:left="1930"/>
              <w:spacing w:after="0"/>
              <w:rPr>
                <w:sz w:val="20"/>
                <w:szCs w:val="20"/>
                <w:color w:val="auto"/>
              </w:rPr>
            </w:pPr>
            <w:r>
              <w:rPr>
                <w:rFonts w:ascii="Arial" w:cs="Arial" w:eastAsia="Arial" w:hAnsi="Arial"/>
                <w:sz w:val="18"/>
                <w:szCs w:val="18"/>
                <w:b w:val="1"/>
                <w:bCs w:val="1"/>
                <w:color w:val="auto"/>
                <w:w w:val="99"/>
              </w:rPr>
              <w:t>FORM 10-Q</w:t>
            </w:r>
          </w:p>
        </w:tc>
        <w:tc>
          <w:tcPr>
            <w:tcW w:w="2000" w:type="dxa"/>
            <w:vAlign w:val="bottom"/>
          </w:tcPr>
          <w:p>
            <w:pPr>
              <w:spacing w:after="0"/>
              <w:rPr>
                <w:sz w:val="24"/>
                <w:szCs w:val="24"/>
                <w:color w:val="auto"/>
              </w:rPr>
            </w:pPr>
          </w:p>
        </w:tc>
      </w:tr>
      <w:tr>
        <w:trPr>
          <w:trHeight w:val="405"/>
        </w:trPr>
        <w:tc>
          <w:tcPr>
            <w:tcW w:w="9240" w:type="dxa"/>
            <w:vAlign w:val="bottom"/>
          </w:tcPr>
          <w:p>
            <w:pPr>
              <w:jc w:val="center"/>
              <w:ind w:left="1910"/>
              <w:spacing w:after="0"/>
              <w:rPr>
                <w:sz w:val="20"/>
                <w:szCs w:val="20"/>
                <w:color w:val="auto"/>
              </w:rPr>
            </w:pPr>
            <w:r>
              <w:rPr>
                <w:rFonts w:ascii="Arial" w:cs="Arial" w:eastAsia="Arial" w:hAnsi="Arial"/>
                <w:sz w:val="18"/>
                <w:szCs w:val="18"/>
                <w:b w:val="1"/>
                <w:bCs w:val="1"/>
                <w:color w:val="auto"/>
                <w:w w:val="97"/>
              </w:rPr>
              <w:t>FOR THE QUARTER ENDED JUNE 30, 2020</w:t>
            </w:r>
          </w:p>
        </w:tc>
        <w:tc>
          <w:tcPr>
            <w:tcW w:w="2000" w:type="dxa"/>
            <w:vAlign w:val="bottom"/>
          </w:tcPr>
          <w:p>
            <w:pPr>
              <w:spacing w:after="0"/>
              <w:rPr>
                <w:sz w:val="24"/>
                <w:szCs w:val="24"/>
                <w:color w:val="auto"/>
              </w:rPr>
            </w:pPr>
          </w:p>
        </w:tc>
      </w:tr>
      <w:tr>
        <w:trPr>
          <w:trHeight w:val="392"/>
        </w:trPr>
        <w:tc>
          <w:tcPr>
            <w:tcW w:w="9240" w:type="dxa"/>
            <w:vAlign w:val="bottom"/>
          </w:tcPr>
          <w:p>
            <w:pPr>
              <w:jc w:val="center"/>
              <w:ind w:left="1910"/>
              <w:spacing w:after="0"/>
              <w:rPr>
                <w:sz w:val="20"/>
                <w:szCs w:val="20"/>
                <w:color w:val="auto"/>
              </w:rPr>
            </w:pPr>
            <w:r>
              <w:rPr>
                <w:rFonts w:ascii="Arial" w:cs="Arial" w:eastAsia="Arial" w:hAnsi="Arial"/>
                <w:sz w:val="18"/>
                <w:szCs w:val="18"/>
                <w:b w:val="1"/>
                <w:bCs w:val="1"/>
                <w:color w:val="auto"/>
                <w:w w:val="98"/>
              </w:rPr>
              <w:t>TABLE OF CONTENTS</w:t>
            </w:r>
          </w:p>
        </w:tc>
        <w:tc>
          <w:tcPr>
            <w:tcW w:w="2000" w:type="dxa"/>
            <w:vAlign w:val="bottom"/>
          </w:tcPr>
          <w:p>
            <w:pPr>
              <w:spacing w:after="0"/>
              <w:rPr>
                <w:sz w:val="24"/>
                <w:szCs w:val="24"/>
                <w:color w:val="auto"/>
              </w:rPr>
            </w:pPr>
          </w:p>
        </w:tc>
      </w:tr>
      <w:tr>
        <w:trPr>
          <w:trHeight w:val="459"/>
        </w:trPr>
        <w:tc>
          <w:tcPr>
            <w:tcW w:w="924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I—FINANCIAL INFORMATION</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43"/>
        </w:trPr>
        <w:tc>
          <w:tcPr>
            <w:tcW w:w="9240" w:type="dxa"/>
            <w:vAlign w:val="bottom"/>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Financial Statements</w:t>
              </w:r>
            </w:hyperlink>
            <w:r>
              <w:rPr>
                <w:rFonts w:ascii="Arial" w:cs="Arial" w:eastAsia="Arial" w:hAnsi="Arial"/>
                <w:sz w:val="18"/>
                <w:szCs w:val="18"/>
                <w:u w:val="single" w:color="auto"/>
                <w:color w:val="000000"/>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240" w:type="dxa"/>
            <w:vAlign w:val="bottom"/>
          </w:tcPr>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240" w:type="dxa"/>
            <w:vAlign w:val="bottom"/>
          </w:tcPr>
          <w:p>
            <w:pPr>
              <w:ind w:left="9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 and Comprehensive (Loss) Income</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9240" w:type="dxa"/>
            <w:vAlign w:val="bottom"/>
          </w:tcPr>
          <w:p>
            <w:pPr>
              <w:ind w:left="9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Stockholders’ Equity</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240" w:type="dxa"/>
            <w:vAlign w:val="bottom"/>
          </w:tcPr>
          <w:p>
            <w:pPr>
              <w:ind w:left="9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9240" w:type="dxa"/>
            <w:vAlign w:val="bottom"/>
          </w:tcPr>
          <w:p>
            <w:pPr>
              <w:ind w:left="9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the Condensed Consolidated Financial Statements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9240" w:type="dxa"/>
            <w:vAlign w:val="bottom"/>
          </w:tcPr>
          <w:p>
            <w:pPr>
              <w:ind w:left="3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 Management’s Discussion and Analysis of Financial Condition and Results of Operations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240" w:type="dxa"/>
            <w:vAlign w:val="bottom"/>
          </w:tcPr>
          <w:p>
            <w:pPr>
              <w:ind w:left="3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3. Quantitative and Qualitative Disclosures About Market Risk</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9240" w:type="dxa"/>
            <w:vAlign w:val="bottom"/>
          </w:tcPr>
          <w:p>
            <w:pPr>
              <w:ind w:left="3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4. Controls and Procedures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92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PART II—OTHER INFORMATION</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43"/>
        </w:trPr>
        <w:tc>
          <w:tcPr>
            <w:tcW w:w="9240" w:type="dxa"/>
            <w:vAlign w:val="bottom"/>
          </w:tcPr>
          <w:p>
            <w:pPr>
              <w:ind w:left="3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 Legal Proceedings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9240" w:type="dxa"/>
            <w:vAlign w:val="bottom"/>
          </w:tcPr>
          <w:p>
            <w:pPr>
              <w:ind w:left="3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1A. Risk Factors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9240" w:type="dxa"/>
            <w:vAlign w:val="bottom"/>
          </w:tcPr>
          <w:p>
            <w:pPr>
              <w:ind w:left="3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2. Unregistered Sales of Equity Securities and Use of Proceeds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240" w:type="dxa"/>
            <w:vAlign w:val="bottom"/>
          </w:tcPr>
          <w:p>
            <w:pPr>
              <w:ind w:left="3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3. Defaults Upon Senior Securities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240" w:type="dxa"/>
            <w:vAlign w:val="bottom"/>
          </w:tcPr>
          <w:p>
            <w:pPr>
              <w:ind w:left="3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4. Mine Safety Disclosures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240" w:type="dxa"/>
            <w:vAlign w:val="bottom"/>
          </w:tcPr>
          <w:p>
            <w:pPr>
              <w:ind w:left="3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5. Other Information</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240" w:type="dxa"/>
            <w:vAlign w:val="bottom"/>
          </w:tcPr>
          <w:p>
            <w:pPr>
              <w:ind w:left="3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6. Exhibits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9240" w:type="dxa"/>
            <w:vAlign w:val="bottom"/>
          </w:tcPr>
          <w:p>
            <w:pPr>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SIGNATURES</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702"/>
        </w:trPr>
        <w:tc>
          <w:tcPr>
            <w:tcW w:w="9240" w:type="dxa"/>
            <w:vAlign w:val="bottom"/>
          </w:tcPr>
          <w:p>
            <w:pPr>
              <w:jc w:val="center"/>
              <w:ind w:left="1910"/>
              <w:spacing w:after="0"/>
              <w:rPr>
                <w:sz w:val="20"/>
                <w:szCs w:val="20"/>
                <w:color w:val="auto"/>
              </w:rPr>
            </w:pPr>
            <w:r>
              <w:rPr>
                <w:rFonts w:ascii="Arial" w:cs="Arial" w:eastAsia="Arial" w:hAnsi="Arial"/>
                <w:sz w:val="18"/>
                <w:szCs w:val="18"/>
                <w:color w:val="auto"/>
                <w:w w:val="79"/>
              </w:rPr>
              <w:t>2</w:t>
            </w:r>
          </w:p>
        </w:tc>
        <w:tc>
          <w:tcPr>
            <w:tcW w:w="2000" w:type="dxa"/>
            <w:vAlign w:val="bottom"/>
          </w:tcPr>
          <w:p>
            <w:pPr>
              <w:spacing w:after="0"/>
              <w:rPr>
                <w:sz w:val="24"/>
                <w:szCs w:val="24"/>
                <w:color w:val="auto"/>
              </w:rPr>
            </w:pPr>
          </w:p>
        </w:tc>
      </w:tr>
      <w:tr>
        <w:trPr>
          <w:trHeight w:val="115"/>
        </w:trPr>
        <w:tc>
          <w:tcPr>
            <w:tcW w:w="92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w:t>
      </w:r>
    </w:p>
    <w:p>
      <w:pPr>
        <w:spacing w:after="0" w:line="151"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Part II, Item 1A, “Risk Factors,” of this Quarterly Report on Form 10-Q, Part II, Item 1A, “Risk Factors” of our Quarterly Report on Form 10-Q for the quarter ended March 31, 2020 and in Part I, Item 1A, “Risk Factors,” of our Annual Report on Form 10-K for the year ended December 31, 2019.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51"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Forward-looking statements are subject to inherent risks and uncertainties. Factors that could cause actual results to differ materially from those expressed or implied in forward-looking statements include, among other things:</w:t>
      </w:r>
    </w:p>
    <w:p>
      <w:pPr>
        <w:spacing w:after="0" w:line="130" w:lineRule="exact"/>
        <w:rPr>
          <w:sz w:val="20"/>
          <w:szCs w:val="20"/>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to our business and results of operations as a result of the novel coronavirus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pandemic;</w:t>
      </w:r>
    </w:p>
    <w:p>
      <w:pPr>
        <w:spacing w:after="0" w:line="184" w:lineRule="exact"/>
        <w:rPr>
          <w:rFonts w:ascii="Arial" w:cs="Arial" w:eastAsia="Arial" w:hAnsi="Arial"/>
          <w:sz w:val="18"/>
          <w:szCs w:val="18"/>
          <w:color w:val="auto"/>
        </w:rPr>
      </w:pPr>
    </w:p>
    <w:p>
      <w:pPr>
        <w:ind w:left="1200" w:right="20" w:hanging="396"/>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revenues from key customers in the rental car industry and from photo enforcement programs;</w:t>
      </w:r>
    </w:p>
    <w:p>
      <w:pPr>
        <w:spacing w:after="0" w:line="129"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historical data regarding our business, results of operations, financial condition and liquidity may not reflect the impact of COVID-19;</w:t>
      </w:r>
    </w:p>
    <w:p>
      <w:pPr>
        <w:spacing w:after="0" w:line="196" w:lineRule="exact"/>
        <w:rPr>
          <w:rFonts w:ascii="Arial" w:cs="Arial" w:eastAsia="Arial" w:hAnsi="Arial"/>
          <w:sz w:val="17"/>
          <w:szCs w:val="17"/>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concentration in our Commercial Services and Government Solutions segments;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the prevalence of automated and other similar methods of photo enforcement or the use of tolling;</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and uncertainties related to our government contracts, including legislative changes, termination rights, audits and investigations;</w:t>
      </w:r>
    </w:p>
    <w:p>
      <w:pPr>
        <w:spacing w:after="0" w:line="207" w:lineRule="exact"/>
        <w:rPr>
          <w:rFonts w:ascii="Arial" w:cs="Arial" w:eastAsia="Arial" w:hAnsi="Arial"/>
          <w:sz w:val="16"/>
          <w:szCs w:val="16"/>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interest in outsourcing from our customers;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perform under our contracts and otherwise satisfy our customers;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a highly competitive and rapidly evolving market;</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up with technological developments and changing customer preferences;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new products and changes to existing products and services;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our recent or future acquisitions; and</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failures in or breaches of our networks or systems, including as a result of cyber-attacks.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ind w:firstLine="802"/>
        <w:spacing w:after="0" w:line="279" w:lineRule="auto"/>
        <w:rPr>
          <w:sz w:val="20"/>
          <w:szCs w:val="20"/>
          <w:color w:val="auto"/>
        </w:rPr>
      </w:pPr>
      <w:r>
        <w:rPr>
          <w:rFonts w:ascii="Arial" w:cs="Arial" w:eastAsia="Arial" w:hAnsi="Arial"/>
          <w:sz w:val="17"/>
          <w:szCs w:val="17"/>
          <w:color w:val="auto"/>
        </w:rPr>
        <w:t>You should not rely 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Quarterly Report on Form 10-Q or to conform these statements to actual results or revised expectations.</w:t>
      </w:r>
    </w:p>
    <w:p>
      <w:pPr>
        <w:spacing w:after="0" w:line="144"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Unless the context indicates otherwise, the terms “Verra Mobility,” the “Company,” “we,” “us,” and “our” as used in this Quarterly Report on Form 10-Q refer to Verra Mobility Corporation, a Delaware corporation, and its subsidiaries taken as a whole.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 except per share data)</w:t>
            </w:r>
          </w:p>
        </w:tc>
        <w:tc>
          <w:tcPr>
            <w:tcW w:w="52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ind w:right="571"/>
              <w:spacing w:after="0" w:line="158"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91"/>
              <w:spacing w:after="0" w:line="158"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113,239</w:t>
            </w:r>
          </w:p>
        </w:tc>
        <w:tc>
          <w:tcPr>
            <w:tcW w:w="3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credit loss</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of $12.9 million at June 30, 2020)</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125,252</w:t>
            </w: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12,532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270,698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272,438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Installation and service parts, net</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8,672</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73,604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assets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386,363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434,443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581,615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1,355,122</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1,407,426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36,346</w:t>
            </w:r>
          </w:p>
        </w:tc>
        <w:tc>
          <w:tcPr>
            <w:tcW w:w="32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65,020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Long-term debt, net of current portion and deferred financing costs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834,317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837,686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Payable to related party pursuant to tax receivable agreement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65,620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Asset retirement obligation</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Deferred tax liabilities, net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22,691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1,023,372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1,068,079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15)</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Preferred stock, $.0001 par value</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Common stock, $.0001 par value</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 contingent consideration</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391,240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(89,629)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(80,220)</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(6,452)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331,750</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1,355,122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4"/>
                <w:szCs w:val="14"/>
                <w:color w:val="auto"/>
              </w:rPr>
            </w:pPr>
          </w:p>
        </w:tc>
        <w:tc>
          <w:tcPr>
            <w:tcW w:w="2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5160" w:type="dxa"/>
            <w:vAlign w:val="bottom"/>
            <w:gridSpan w:val="2"/>
            <w:vMerge w:val="continue"/>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8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62,815</w:t>
            </w: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103,057</w:t>
            </w: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162,312</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201,127</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Product sales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16,994</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6,518</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34,210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79,809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109,575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196,522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1,013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9,060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17,750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26,699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31,795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58,958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20,821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20,865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46,707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 disposal of assets,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29,166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28,850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86,759</w:t>
            </w:r>
          </w:p>
        </w:tc>
        <w:tc>
          <w:tcPr>
            <w:tcW w:w="2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91,939</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184,059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172,434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7"/>
                <w:szCs w:val="17"/>
                <w:b w:val="1"/>
                <w:bCs w:val="1"/>
                <w:color w:val="auto"/>
              </w:rPr>
              <w:t>(Loss) income from operations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(6,950)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17,636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9,539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15,656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21,990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Loss from tax receivable agreement adjustment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(1,523)</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(3,345)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(4,448)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(5,552)</w:t>
            </w: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Total other expenses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12,462</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12,311</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21,988</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26,137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7"/>
                <w:szCs w:val="17"/>
                <w:color w:val="auto"/>
              </w:rPr>
              <w:t>(Loss) income before income tax (benefit) provision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(19,412)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(benefit) provision</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(4,024)</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(810)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b w:val="1"/>
                <w:bCs w:val="1"/>
                <w:color w:val="auto"/>
              </w:rPr>
              <w:t>Net (loss) income</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(15,388)</w:t>
            </w:r>
          </w:p>
        </w:tc>
        <w:tc>
          <w:tcPr>
            <w:tcW w:w="26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3,591</w:t>
            </w:r>
          </w:p>
        </w:tc>
        <w:tc>
          <w:tcPr>
            <w:tcW w:w="2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(8,715)</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6,411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60" w:type="dxa"/>
            <w:vAlign w:val="bottom"/>
            <w:gridSpan w:val="2"/>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Other comprehensive loss: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Change in foreign currency translation adjustment</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(508)</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(1,396)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(3,875)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Total comprehensive (loss) income</w:t>
            </w: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(15,896)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2,195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(12,590)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6,339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(loss) income per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(0.10)</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0.02</w:t>
            </w:r>
          </w:p>
        </w:tc>
        <w:tc>
          <w:tcPr>
            <w:tcW w:w="2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(0.05)</w:t>
            </w:r>
          </w:p>
        </w:tc>
        <w:tc>
          <w:tcPr>
            <w:tcW w:w="4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Diluted</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(0.10)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0.02</w:t>
            </w:r>
          </w:p>
        </w:tc>
        <w:tc>
          <w:tcPr>
            <w:tcW w:w="200" w:type="dxa"/>
            <w:vAlign w:val="bottom"/>
          </w:tcPr>
          <w:p>
            <w:pPr>
              <w:spacing w:after="0"/>
              <w:rPr>
                <w:sz w:val="18"/>
                <w:szCs w:val="18"/>
                <w:color w:val="auto"/>
              </w:rPr>
            </w:pPr>
          </w:p>
        </w:tc>
        <w:tc>
          <w:tcPr>
            <w:tcW w:w="46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(0.05)</w:t>
            </w:r>
          </w:p>
        </w:tc>
        <w:tc>
          <w:tcPr>
            <w:tcW w:w="4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Weighted average shares used in per share calculation:</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Basic outstanding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161,710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157,846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161,317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Diluted outstanding</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161,710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161,977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161,317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159,223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For the Three and Six Months Ended June 30, 2020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Stock</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Contingent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2"/>
        </w:trPr>
        <w:tc>
          <w:tcPr>
            <w:tcW w:w="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900" w:type="dxa"/>
            <w:vAlign w:val="bottom"/>
          </w:tcPr>
          <w:p>
            <w:pPr>
              <w:spacing w:after="0"/>
              <w:rPr>
                <w:sz w:val="14"/>
                <w:szCs w:val="14"/>
                <w:color w:val="auto"/>
              </w:rPr>
            </w:pPr>
          </w:p>
        </w:tc>
        <w:tc>
          <w:tcPr>
            <w:tcW w:w="9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10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1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80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Balance as of December 31, 2019</w:t>
            </w:r>
          </w:p>
        </w:tc>
        <w:tc>
          <w:tcPr>
            <w:tcW w:w="9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159,150</w:t>
            </w: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54,862</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367,266</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(80,220)</w:t>
            </w:r>
          </w:p>
        </w:tc>
        <w:tc>
          <w:tcPr>
            <w:tcW w:w="2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(2,577)</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339,347</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6,673</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adoption of the CECL</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accounting standard, net of tax</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(694)</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rPr>
              <w:t>Earn-out shares issued to Platinum</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Stockholder</w:t>
            </w:r>
          </w:p>
        </w:tc>
        <w:tc>
          <w:tcPr>
            <w:tcW w:w="980" w:type="dxa"/>
            <w:vAlign w:val="bottom"/>
          </w:tcPr>
          <w:p>
            <w:pPr>
              <w:jc w:val="right"/>
              <w:spacing w:after="0"/>
              <w:rPr>
                <w:sz w:val="20"/>
                <w:szCs w:val="20"/>
                <w:color w:val="auto"/>
              </w:rPr>
            </w:pPr>
            <w:r>
              <w:rPr>
                <w:rFonts w:ascii="Arial" w:cs="Arial" w:eastAsia="Arial" w:hAnsi="Arial"/>
                <w:sz w:val="14"/>
                <w:szCs w:val="14"/>
                <w:color w:val="auto"/>
              </w:rPr>
              <w:t>2,500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(18,287)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restricted stock units ("</w:t>
            </w:r>
            <w:r>
              <w:rPr>
                <w:rFonts w:ascii="Arial" w:cs="Arial" w:eastAsia="Arial" w:hAnsi="Arial"/>
                <w:sz w:val="14"/>
                <w:szCs w:val="14"/>
                <w:b w:val="1"/>
                <w:bCs w:val="1"/>
                <w:i w:val="1"/>
                <w:iCs w:val="1"/>
                <w:color w:val="auto"/>
              </w:rPr>
              <w:t>RSU</w:t>
            </w:r>
            <w:r>
              <w:rPr>
                <w:rFonts w:ascii="Arial" w:cs="Arial" w:eastAsia="Arial" w:hAnsi="Arial"/>
                <w:sz w:val="14"/>
                <w:szCs w:val="14"/>
                <w:color w:val="auto"/>
              </w:rPr>
              <w:t>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w w:val="99"/>
              </w:rPr>
              <w:t>Payment of employee tax withholding related</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to RSU vesting</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(3,367)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56"/>
        </w:trPr>
        <w:tc>
          <w:tcPr>
            <w:tcW w:w="28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March 31, 2020</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161,692</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387,994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(74,241)</w:t>
            </w:r>
          </w:p>
        </w:tc>
        <w:tc>
          <w:tcPr>
            <w:tcW w:w="2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(5,944)</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344,400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(15,388)</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(15,388)</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RSUs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w w:val="99"/>
              </w:rPr>
              <w:t>Payment of employee tax withholding related</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to RSU vesting</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55"/>
        </w:trPr>
        <w:tc>
          <w:tcPr>
            <w:tcW w:w="280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June 30, 2020</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161,737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391,240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(89,629)</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(6,452)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331,750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For the Three and Six Months Ended June 30, 2019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Balance as of December 31, 2018</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156,057</w:t>
            </w:r>
          </w:p>
        </w:tc>
        <w:tc>
          <w:tcPr>
            <w:tcW w:w="4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73,150</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348,017</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(113,306)</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(5,821)</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302,056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2,820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adoption of the new</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revenue accounting standard</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(257)</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Adjustment to equity infusion from Gores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(6,205)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(6,205)</w:t>
            </w:r>
          </w:p>
        </w:tc>
        <w:tc>
          <w:tcPr>
            <w:tcW w:w="0" w:type="dxa"/>
            <w:vAlign w:val="bottom"/>
          </w:tcPr>
          <w:p>
            <w:pPr>
              <w:spacing w:after="0"/>
              <w:rPr>
                <w:sz w:val="1"/>
                <w:szCs w:val="1"/>
                <w:color w:val="auto"/>
              </w:rPr>
            </w:pPr>
          </w:p>
        </w:tc>
      </w:tr>
      <w:tr>
        <w:trPr>
          <w:trHeight w:val="143"/>
        </w:trPr>
        <w:tc>
          <w:tcPr>
            <w:tcW w:w="28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Adjustment to tax receivable agreement</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liability</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gain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March 31, 2019</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156,057</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73,150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346,895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(110,743)</w:t>
            </w: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(4,497)</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304,821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3,591</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rPr>
              <w:t>Earn-out shares issued to Platinum</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Stockholder</w:t>
            </w:r>
          </w:p>
        </w:tc>
        <w:tc>
          <w:tcPr>
            <w:tcW w:w="980" w:type="dxa"/>
            <w:vAlign w:val="bottom"/>
          </w:tcPr>
          <w:p>
            <w:pPr>
              <w:jc w:val="right"/>
              <w:spacing w:after="0"/>
              <w:rPr>
                <w:sz w:val="20"/>
                <w:szCs w:val="20"/>
                <w:color w:val="auto"/>
              </w:rPr>
            </w:pPr>
            <w:r>
              <w:rPr>
                <w:rFonts w:ascii="Arial" w:cs="Arial" w:eastAsia="Arial" w:hAnsi="Arial"/>
                <w:sz w:val="14"/>
                <w:szCs w:val="14"/>
                <w:color w:val="auto"/>
              </w:rPr>
              <w:t>2,500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(18,288)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18,288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RSUs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(1,396)</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155"/>
        </w:trPr>
        <w:tc>
          <w:tcPr>
            <w:tcW w:w="2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June 30, 2019</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158,610</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54,862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367,995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(107,152)</w:t>
            </w:r>
          </w:p>
        </w:tc>
        <w:tc>
          <w:tcPr>
            <w:tcW w:w="2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(5,893)</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309,828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(8,715)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58,409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discounts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Impairment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from tax receivable agreement adjustment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(2,496)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(11,568)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6,039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Installation and service parts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Accretion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(gain) on disposal of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(43,183)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(21,433)</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7,476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(17,863)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(3,069)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22,543</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Purchases of installation and service parts and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(14,301)</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(14,192)</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proceeds from the sale of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(14,252)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Repayment of long-term debt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(24,227)</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Payment of employee tax withholding related to RSU vesting</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(25,501)</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132,430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113,950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93,990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128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cash flow information:</w:t>
            </w:r>
          </w:p>
        </w:tc>
        <w:tc>
          <w:tcPr>
            <w:tcW w:w="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2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12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20,201</w:t>
            </w:r>
          </w:p>
        </w:tc>
        <w:tc>
          <w:tcPr>
            <w:tcW w:w="12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28,144</w:t>
            </w:r>
          </w:p>
        </w:tc>
        <w:tc>
          <w:tcPr>
            <w:tcW w:w="120" w:type="dxa"/>
            <w:vAlign w:val="bottom"/>
          </w:tcPr>
          <w:p>
            <w:pPr>
              <w:spacing w:after="0"/>
              <w:rPr>
                <w:sz w:val="19"/>
                <w:szCs w:val="19"/>
                <w:color w:val="auto"/>
              </w:rPr>
            </w:pPr>
          </w:p>
        </w:tc>
      </w:tr>
      <w:tr>
        <w:trPr>
          <w:trHeight w:val="229"/>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 net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15,448</w:t>
            </w:r>
          </w:p>
        </w:tc>
        <w:tc>
          <w:tcPr>
            <w:tcW w:w="120" w:type="dxa"/>
            <w:vAlign w:val="bottom"/>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 to tax receivable agreement liability</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120" w:type="dxa"/>
            <w:vAlign w:val="bottom"/>
            <w:shd w:val="clear" w:color="auto" w:fill="CFF0FC"/>
          </w:tcPr>
          <w:p>
            <w:pPr>
              <w:spacing w:after="0"/>
              <w:rPr>
                <w:sz w:val="19"/>
                <w:szCs w:val="19"/>
                <w:color w:val="auto"/>
              </w:rPr>
            </w:pPr>
          </w:p>
        </w:tc>
      </w:tr>
      <w:tr>
        <w:trPr>
          <w:trHeight w:val="229"/>
        </w:trPr>
        <w:tc>
          <w:tcPr>
            <w:tcW w:w="7420" w:type="dxa"/>
            <w:vAlign w:val="bottom"/>
          </w:tcPr>
          <w:p>
            <w:pPr>
              <w:ind w:left="260"/>
              <w:spacing w:after="0"/>
              <w:rPr>
                <w:sz w:val="20"/>
                <w:szCs w:val="20"/>
                <w:color w:val="auto"/>
              </w:rPr>
            </w:pPr>
            <w:r>
              <w:rPr>
                <w:rFonts w:ascii="Arial" w:cs="Arial" w:eastAsia="Arial" w:hAnsi="Arial"/>
                <w:sz w:val="18"/>
                <w:szCs w:val="18"/>
                <w:color w:val="auto"/>
              </w:rPr>
              <w:t>Gores equity infusion working capital adjustment payable to related party</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6,205</w:t>
            </w:r>
          </w:p>
        </w:tc>
        <w:tc>
          <w:tcPr>
            <w:tcW w:w="120" w:type="dxa"/>
            <w:vAlign w:val="bottom"/>
          </w:tcPr>
          <w:p>
            <w:pPr>
              <w:spacing w:after="0"/>
              <w:rPr>
                <w:sz w:val="19"/>
                <w:szCs w:val="19"/>
                <w:color w:val="auto"/>
              </w:rPr>
            </w:pPr>
          </w:p>
        </w:tc>
      </w:tr>
      <w:tr>
        <w:trPr>
          <w:trHeight w:val="229"/>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Earn-out shares issued to Platinum Stockholder</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18,287</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18,288</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ind w:left="260"/>
              <w:spacing w:after="0"/>
              <w:rPr>
                <w:sz w:val="20"/>
                <w:szCs w:val="20"/>
                <w:color w:val="auto"/>
              </w:rPr>
            </w:pPr>
            <w:r>
              <w:rPr>
                <w:rFonts w:ascii="Arial" w:cs="Arial" w:eastAsia="Arial" w:hAnsi="Arial"/>
                <w:sz w:val="18"/>
                <w:szCs w:val="18"/>
                <w:color w:val="auto"/>
              </w:rPr>
              <w:t>Additions to ARO, property and equipment, and other</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r>
      <w:tr>
        <w:trPr>
          <w:trHeight w:val="215"/>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Purchases of installation and service parts and property and equipment in accounts payable and</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 at period-end</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w:t>
            </w:r>
          </w:p>
        </w:tc>
        <w:tc>
          <w:tcPr>
            <w:tcW w:w="120" w:type="dxa"/>
            <w:vAlign w:val="bottom"/>
            <w:shd w:val="clear" w:color="auto" w:fill="CFF0FC"/>
          </w:tcPr>
          <w:p>
            <w:pPr>
              <w:spacing w:after="0"/>
              <w:rPr>
                <w:sz w:val="20"/>
                <w:szCs w:val="20"/>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9" w:lineRule="exact"/>
        <w:rPr>
          <w:sz w:val="20"/>
          <w:szCs w:val="20"/>
          <w:color w:val="auto"/>
        </w:rPr>
      </w:pPr>
    </w:p>
    <w:p>
      <w:pPr>
        <w:jc w:val="both"/>
        <w:ind w:firstLine="802"/>
        <w:spacing w:after="0" w:line="269" w:lineRule="auto"/>
        <w:rPr>
          <w:sz w:val="20"/>
          <w:szCs w:val="20"/>
          <w:color w:val="auto"/>
        </w:rPr>
      </w:pPr>
      <w:r>
        <w:rPr>
          <w:rFonts w:ascii="Arial" w:cs="Arial" w:eastAsia="Arial" w:hAnsi="Arial"/>
          <w:sz w:val="17"/>
          <w:szCs w:val="17"/>
          <w:color w:val="auto"/>
        </w:rPr>
        <w:t>Verra Mobility Corporation (collectively with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Verra Mobility</w:t>
      </w:r>
      <w:r>
        <w:rPr>
          <w:rFonts w:ascii="Arial" w:cs="Arial" w:eastAsia="Arial" w:hAnsi="Arial"/>
          <w:sz w:val="17"/>
          <w:szCs w:val="17"/>
          <w:color w:val="auto"/>
        </w:rPr>
        <w:t>”), formerly known as Gores Holdings II, Inc. (“</w:t>
      </w:r>
      <w:r>
        <w:rPr>
          <w:rFonts w:ascii="Arial" w:cs="Arial" w:eastAsia="Arial" w:hAnsi="Arial"/>
          <w:sz w:val="17"/>
          <w:szCs w:val="17"/>
          <w:b w:val="1"/>
          <w:bCs w:val="1"/>
          <w:i w:val="1"/>
          <w:iCs w:val="1"/>
          <w:color w:val="auto"/>
        </w:rPr>
        <w:t>Gores</w:t>
      </w:r>
      <w:r>
        <w:rPr>
          <w:rFonts w:ascii="Arial" w:cs="Arial" w:eastAsia="Arial" w:hAnsi="Arial"/>
          <w:sz w:val="17"/>
          <w:szCs w:val="17"/>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following which its shares began trading on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On June 21, 2018, Gores entered into an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Greenlight Holding II Corporation, PE Greenlight Holdings, LLC, AM Merger Sub I, Inc., a direct, wholly-owned subsidiary of Gores and AM Merger Sub II, LLC, a direct, wholly-owned subsidiary of Gores. On October 17, 2018, the transactions contemplated by the Merger Agreement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were consummated. In connection with the closing of the Business Combination, Gores changed its name to Verra Mobility Corporation. As a result of the Business Combination, Verra Mobility Corporation became the owner, directly or indirectly, of all of the equity interests of Verra Mobility Holdings, LLC and its subsidiaries.</w:t>
      </w:r>
    </w:p>
    <w:p>
      <w:pPr>
        <w:spacing w:after="0" w:line="15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Verra Mobility offers integrated technology solutions and services to commercial fleets, rental car companies and state and local governments. The Company has customers located throughout the United States, Canada and Europe. The Company is organized into two operating segments: Commercial Services and Government Solutions (see Note 16).</w:t>
      </w:r>
    </w:p>
    <w:p>
      <w:pPr>
        <w:spacing w:after="0" w:line="143"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w:t>
      </w:r>
      <w:r>
        <w:rPr>
          <w:rFonts w:ascii="Arial" w:cs="Arial" w:eastAsia="Arial" w:hAnsi="Arial"/>
          <w:sz w:val="17"/>
          <w:szCs w:val="17"/>
          <w:b w:val="1"/>
          <w:bCs w:val="1"/>
          <w:i w:val="1"/>
          <w:iCs w:val="1"/>
          <w:color w:val="auto"/>
        </w:rPr>
        <w:t>EPC</w:t>
      </w:r>
      <w:r>
        <w:rPr>
          <w:rFonts w:ascii="Arial" w:cs="Arial" w:eastAsia="Arial" w:hAnsi="Arial"/>
          <w:sz w:val="17"/>
          <w:szCs w:val="17"/>
          <w:color w:val="auto"/>
        </w:rPr>
        <w:t>”) and tolling services through Pagatelia S.L (“</w:t>
      </w:r>
      <w:r>
        <w:rPr>
          <w:rFonts w:ascii="Arial" w:cs="Arial" w:eastAsia="Arial" w:hAnsi="Arial"/>
          <w:sz w:val="17"/>
          <w:szCs w:val="17"/>
          <w:b w:val="1"/>
          <w:bCs w:val="1"/>
          <w:i w:val="1"/>
          <w:iCs w:val="1"/>
          <w:color w:val="auto"/>
        </w:rPr>
        <w:t>Pagatelia</w:t>
      </w:r>
      <w:r>
        <w:rPr>
          <w:rFonts w:ascii="Arial" w:cs="Arial" w:eastAsia="Arial" w:hAnsi="Arial"/>
          <w:sz w:val="17"/>
          <w:szCs w:val="17"/>
          <w:color w:val="auto"/>
        </w:rPr>
        <w:t>”).</w:t>
      </w:r>
    </w:p>
    <w:p>
      <w:pPr>
        <w:spacing w:after="0" w:line="137" w:lineRule="exact"/>
        <w:rPr>
          <w:sz w:val="20"/>
          <w:szCs w:val="20"/>
          <w:color w:val="auto"/>
        </w:rPr>
      </w:pPr>
    </w:p>
    <w:p>
      <w:pPr>
        <w:jc w:val="both"/>
        <w:ind w:right="20" w:firstLine="802"/>
        <w:spacing w:after="0" w:line="286" w:lineRule="auto"/>
        <w:rPr>
          <w:sz w:val="20"/>
          <w:szCs w:val="20"/>
          <w:color w:val="auto"/>
        </w:rPr>
      </w:pPr>
      <w:r>
        <w:rPr>
          <w:rFonts w:ascii="Arial" w:cs="Arial" w:eastAsia="Arial" w:hAnsi="Arial"/>
          <w:sz w:val="17"/>
          <w:szCs w:val="17"/>
          <w:color w:val="auto"/>
        </w:rPr>
        <w:t>The Government Solutions segment provides complete, end-to-end red-light, speed, school bus stop arm and bus lane enforcement solutions. The Company’s programs are designed to reduce traffic violations and resulting collisions, injuries, and fatalities. The Company implements and administers traffic safety programs for municipalities, counties, school districts and law enforcement agencies of all sizes.</w:t>
      </w:r>
    </w:p>
    <w:p>
      <w:pPr>
        <w:spacing w:after="0" w:line="13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accompanying unaudited interim condensed consolidated financial statements include the accounts of the Company prepared in accordance with generally accepted accounting principles in the United States of America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All intercompany balances and transactions have been eliminated in consolidation. In the opinion of the Company’s management, the unaudited interim condensed consolidated financial statements reflect all adjustments, which are normal and recurring in nature, necessary for fair financial statement presentation.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The preparation of these financial statements in conformity with GAAP requires management to make estimates and assumptions that affect the amounts reported in the unaudited interim condensed consolidated financial statements and accompanying notes. Significant items subject to such estimates and assumptions include the fair values assigned to net assets acquired (including identifiable intangibles) in business combinations, the carrying amounts of long-lived assets and goodwill, the carrying amount of installation and service parts, the allowance for credit loss, valuation allowances on deferred tax assets, asset retirement obligations, contingent consideration and the recognition and measurement of loss contingencies.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802"/>
        <w:spacing w:after="0" w:line="277" w:lineRule="auto"/>
        <w:rPr>
          <w:sz w:val="20"/>
          <w:szCs w:val="20"/>
          <w:color w:val="auto"/>
        </w:rPr>
      </w:pPr>
      <w:r>
        <w:rPr>
          <w:rFonts w:ascii="Arial" w:cs="Arial" w:eastAsia="Arial" w:hAnsi="Arial"/>
          <w:sz w:val="18"/>
          <w:szCs w:val="18"/>
          <w:color w:val="auto"/>
        </w:rPr>
        <w:t>Management believes that its estimates and assumptions are reasonable in the circumstances; however, actual results could differ materially from those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185"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In January 2017,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xml:space="preserve">”)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w:t>
      </w:r>
      <w:r>
        <w:rPr>
          <w:rFonts w:ascii="Arial" w:cs="Arial" w:eastAsia="Arial" w:hAnsi="Arial"/>
          <w:sz w:val="17"/>
          <w:szCs w:val="17"/>
          <w:i w:val="1"/>
          <w:iCs w:val="1"/>
          <w:color w:val="auto"/>
        </w:rPr>
        <w:t>Goodwill and Other (Topic 350): Simplifying the Test for Goodwill Impairment</w:t>
      </w:r>
      <w:r>
        <w:rPr>
          <w:rFonts w:ascii="Arial" w:cs="Arial" w:eastAsia="Arial" w:hAnsi="Arial"/>
          <w:sz w:val="17"/>
          <w:szCs w:val="17"/>
          <w:color w:val="auto"/>
        </w:rPr>
        <w:t>. ASU 2017-04 simplifies the accounting for goodwill impairment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removes Step 2 of the goodwill impairment test. Goodwill impairment is now the amount by which a reporting unit’s carrying value exceeds its fair value limited to the total amount of goodwill allocated to that reporting unit. Entities will continue to have the option to perform a qualitative assessment to determine if a quantitative impairment test is necessary. The same one-step impairment test will be applied to goodwill for all reporting units, even those with zero or negative carrying amounts. The Company adopted the ASU as of January 1, 2020 and followed the one-step method in evaluating potential goodwill impairment for the first and second quarters of fiscal 2020, refer to Note 6,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The adoption of this guidance did not have a material impact on our condensed consolidated financial statements and related disclosures.</w:t>
      </w:r>
    </w:p>
    <w:p>
      <w:pPr>
        <w:spacing w:after="0" w:line="205"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issued certain amendments within ASU 2019-04, ASU 2019-05 and ASU 2019-11, respectively. The guidance replaced the incurred loss</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model and applies a new model, current expected credit losses (“</w:t>
      </w:r>
      <w:r>
        <w:rPr>
          <w:rFonts w:ascii="Arial" w:cs="Arial" w:eastAsia="Arial" w:hAnsi="Arial"/>
          <w:sz w:val="17"/>
          <w:szCs w:val="17"/>
          <w:b w:val="1"/>
          <w:bCs w:val="1"/>
          <w:i w:val="1"/>
          <w:iCs w:val="1"/>
          <w:color w:val="auto"/>
        </w:rPr>
        <w:t>CECL</w:t>
      </w:r>
      <w:r>
        <w:rPr>
          <w:rFonts w:ascii="Arial" w:cs="Arial" w:eastAsia="Arial" w:hAnsi="Arial"/>
          <w:sz w:val="17"/>
          <w:szCs w:val="17"/>
          <w:color w:val="auto"/>
        </w:rPr>
        <w:t>”), that requires entities to estimate expected credit losses measured over the contractual life of an instrument that consider supportable forecasts of future economic conditions in addition to information about past events and current conditions. An entity is required to measure and record an allowance for credit loss upon initial recognition of a financial asset, and present in-scope assets at amortized cost net of the amount expected to be collected. Under legacy GAAP, the Company recognized credit losses on trade receivables when it was probable that a loss has been incurred.</w:t>
      </w:r>
    </w:p>
    <w:p>
      <w:pPr>
        <w:spacing w:after="0" w:line="204"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 xml:space="preserve">The Company adopted the CECL standard as of January 1, 2020 through a cumulative effect adjustment of $0.7 million, net of tax, to the opening balance of Accumulated deficit. The adjustment increased Accumulated deficit and increased the Allowance for credit loss accounts. Subsequent impacts to the Allowance for credit loss have been recorded through the Credit loss expense account included within Selling, general and administrative expenses in our condensed consolidated statements of operations and as an Allowance for credit loss on our condensed consolidated balance sheet. See Note 4.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Not Yet Adopted</w:t>
      </w:r>
    </w:p>
    <w:p>
      <w:pPr>
        <w:spacing w:after="0" w:line="185"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The ASU removes specific exceptions to the general principles in Topic 740 in U.S. GAAP including the exception to the incremental approach for intra-period tax allocation, exceptions to accounting for basis differences when there are ownership changes in foreign investments, and the exception in interim period income tax accounting for year-to-date losses that exceed anticipated losses. The ASU also simplifies current guidance in relation to franchise taxes that are partially based on income, transactions with a government that result in a step-up in tax basis of goodwill, separate financial statements of legal entities that are not subject to tax, and enacted changes in tax laws in interim periods. ASU 2019-12 is effective for fiscal years beginning after December 15, 2020 and interim periods within those fiscal years. Early adoption is permitted. The impact of the implementation of this standard is still being determined by the Company.</w:t>
      </w:r>
    </w:p>
    <w:p>
      <w:pPr>
        <w:spacing w:after="0" w:line="126"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 xml:space="preserve">On March 12,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The ASU provides temporary optional guidance to ease the potential burden in accounting for reference rate reform. It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optional expedients and exceptions for applying GAAP to contract modifications, subject to meeting certain criteria, that reference LIBOR or another reference rate expected to be discontinued. The ASU is in effect for a limited time through December 31, 2022, to help stakeholders during the global market-wide reference rate transition period. The impact of the implementation of this standard is still being determined by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Pagatelia Acquisition</w:t>
      </w:r>
    </w:p>
    <w:p>
      <w:pPr>
        <w:spacing w:after="0" w:line="252" w:lineRule="exact"/>
        <w:rPr>
          <w:sz w:val="20"/>
          <w:szCs w:val="20"/>
          <w:color w:val="auto"/>
        </w:rPr>
      </w:pPr>
    </w:p>
    <w:p>
      <w:pPr>
        <w:jc w:val="both"/>
        <w:ind w:right="20" w:firstLine="802"/>
        <w:spacing w:after="0" w:line="263" w:lineRule="auto"/>
        <w:rPr>
          <w:sz w:val="20"/>
          <w:szCs w:val="20"/>
          <w:color w:val="auto"/>
        </w:rPr>
      </w:pPr>
      <w:r>
        <w:rPr>
          <w:rFonts w:ascii="Arial" w:cs="Arial" w:eastAsia="Arial" w:hAnsi="Arial"/>
          <w:sz w:val="18"/>
          <w:szCs w:val="18"/>
          <w:color w:val="auto"/>
        </w:rPr>
        <w:t>On October 31, 2019, the Company completed the acquisition of all of the outstanding shares of Pagatelia S.L., (“</w:t>
      </w:r>
      <w:r>
        <w:rPr>
          <w:rFonts w:ascii="Arial" w:cs="Arial" w:eastAsia="Arial" w:hAnsi="Arial"/>
          <w:sz w:val="18"/>
          <w:szCs w:val="18"/>
          <w:b w:val="1"/>
          <w:bCs w:val="1"/>
          <w:i w:val="1"/>
          <w:iCs w:val="1"/>
          <w:color w:val="auto"/>
        </w:rPr>
        <w:t>Pagatelia</w:t>
      </w:r>
      <w:r>
        <w:rPr>
          <w:rFonts w:ascii="Arial" w:cs="Arial" w:eastAsia="Arial" w:hAnsi="Arial"/>
          <w:sz w:val="18"/>
          <w:szCs w:val="18"/>
          <w:color w:val="auto"/>
        </w:rPr>
        <w:t>”), a Spanish limited liability company that provides electronic consumer tolling and parking solutions in Spain, Portugal, France and Italy. The purchase consideration for Pagatelia was $26.6 million. Transaction costs were not material.</w:t>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allocation of the purchase consideration is summarized as follows: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Assets acquired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Cash</w:t>
            </w:r>
          </w:p>
        </w:tc>
        <w:tc>
          <w:tcPr>
            <w:tcW w:w="378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Trademark</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relationships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Non-compete agreements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Goodwill</w:t>
            </w:r>
          </w:p>
        </w:tc>
        <w:tc>
          <w:tcPr>
            <w:tcW w:w="30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17,528</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Total assets acquired</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35,442</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w:t>
            </w:r>
          </w:p>
        </w:tc>
        <w:tc>
          <w:tcPr>
            <w:tcW w:w="30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100" w:type="dxa"/>
            <w:vAlign w:val="bottom"/>
            <w:shd w:val="clear" w:color="auto" w:fill="CFF0FC"/>
          </w:tcPr>
          <w:p>
            <w:pPr>
              <w:spacing w:after="0"/>
              <w:rPr>
                <w:sz w:val="19"/>
                <w:szCs w:val="19"/>
                <w:color w:val="auto"/>
              </w:rPr>
            </w:pPr>
          </w:p>
        </w:tc>
      </w:tr>
      <w:tr>
        <w:trPr>
          <w:trHeight w:val="223"/>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30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0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Goodwill arising from Pagatelia was assigned to the Company’s Commercial Services segment and consists largely of the expected cash flows and future growth anticipated for the Company. The goodwill is not expected to be deductible for tax purposes. The customer relationships value was based on an excess earnings methodology utilizing projected cash flows. The trademark and the developed technology values were based on a relief-from-royalty method. The non-compete agreement values were based on the with-or-without method. The trademark, customer relationships, developed technology and non-compete agreements were assigned useful lives of 8.5 years, 9.5 years, 6.5 years and 3 years, respectively.</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did not provide pro forma financial information for Pagatelia as it was not material.</w:t>
      </w:r>
    </w:p>
    <w:p>
      <w:pPr>
        <w:spacing w:after="0" w:line="248"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56"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Accounts receivable are uncollateralized customer obligations arising from the sale of products or services. Accounts receivable have normal trade terms less than one year and are initially stated at the amounts billed to the customers. Accounts receivable are subsequently measured at amortized cost net of allowance for credit loss. As part of its analysis for implementation of the CECL standard as of January 1, 2020, the Company reviewed historical loss rates, customer payment trends and collection rates on customer balances. Estimated loss rates were developed using historical credit loss experience, adjusted for future expectations using probability-weighted assumptions about potential outcomes. Receivables are written off against the allowance for credit loss when it is probable that amounts will not be collected based on terms of the customer contracts, and subsequent recoveries reverse the previous write-off and apply to the receivable in the period recovered. The Company periodically evaluates the adequacy of its allowance for expected credit losses by comparing its actual historical write-offs to its previously recorded estimates.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802"/>
        <w:spacing w:after="0" w:line="263" w:lineRule="auto"/>
        <w:rPr>
          <w:sz w:val="20"/>
          <w:szCs w:val="20"/>
          <w:color w:val="auto"/>
        </w:rPr>
      </w:pPr>
      <w:r>
        <w:rPr>
          <w:rFonts w:ascii="Arial" w:cs="Arial" w:eastAsia="Arial" w:hAnsi="Arial"/>
          <w:sz w:val="18"/>
          <w:szCs w:val="18"/>
          <w:color w:val="auto"/>
        </w:rPr>
        <w:t>The Company identified portfolio segments based on type of business, industry in which the customer operates and historical credit loss patterns. The following presents by portfolio segment Accounts receivable, net and the activity in the Allowance for credit loss for the six months ended June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12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Commercial Services</w:t>
            </w:r>
          </w:p>
        </w:tc>
        <w:tc>
          <w:tcPr>
            <w:tcW w:w="120" w:type="dxa"/>
            <w:vAlign w:val="bottom"/>
          </w:tcPr>
          <w:p>
            <w:pPr>
              <w:spacing w:after="0"/>
              <w:rPr>
                <w:sz w:val="14"/>
                <w:szCs w:val="14"/>
                <w:color w:val="auto"/>
              </w:rPr>
            </w:pPr>
          </w:p>
        </w:tc>
        <w:tc>
          <w:tcPr>
            <w:tcW w:w="1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Commercial Services</w:t>
            </w:r>
          </w:p>
        </w:tc>
        <w:tc>
          <w:tcPr>
            <w:tcW w:w="1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Government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w w:val="98"/>
              </w:rPr>
              <w:t xml:space="preserve">(Driver-billed) </w:t>
            </w:r>
            <w:r>
              <w:rPr>
                <w:rFonts w:ascii="Arial" w:cs="Arial" w:eastAsia="Arial" w:hAnsi="Arial"/>
                <w:sz w:val="12"/>
                <w:szCs w:val="12"/>
                <w:b w:val="1"/>
                <w:bCs w:val="1"/>
                <w:color w:val="auto"/>
                <w:w w:val="98"/>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700"/>
              <w:spacing w:after="0" w:line="158"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5"/>
                <w:szCs w:val="15"/>
                <w:color w:val="auto"/>
              </w:rPr>
            </w:pPr>
          </w:p>
        </w:tc>
        <w:tc>
          <w:tcPr>
            <w:tcW w:w="132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Accounts Receivable, Net at January 1, 2020 </w:t>
            </w:r>
            <w:r>
              <w:rPr>
                <w:rFonts w:ascii="Arial" w:cs="Arial" w:eastAsia="Arial" w:hAnsi="Arial"/>
                <w:sz w:val="15"/>
                <w:szCs w:val="15"/>
                <w:color w:val="auto"/>
              </w:rPr>
              <w:t>(2)</w:t>
            </w:r>
          </w:p>
        </w:tc>
        <w:tc>
          <w:tcPr>
            <w:tcW w:w="6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9,793</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51,158</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31,744</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92,695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Allowance for credit loss at January 1, 2020 </w:t>
            </w:r>
            <w:r>
              <w:rPr>
                <w:rFonts w:ascii="Arial" w:cs="Arial" w:eastAsia="Arial" w:hAnsi="Arial"/>
                <w:sz w:val="15"/>
                <w:szCs w:val="15"/>
                <w:color w:val="auto"/>
              </w:rPr>
              <w:t>(2)</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6,256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23"/>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Allowance for credit loss at June 30, 2020</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7,328</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Receivable, Net at June 30, 2020</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7,926</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48,934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68,392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200" w:right="20" w:hanging="396"/>
        <w:spacing w:after="0" w:line="304" w:lineRule="auto"/>
        <w:tabs>
          <w:tab w:leader="none" w:pos="1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ind w:left="1200" w:hanging="396"/>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includes a $0.8 million increase to Allowance for credit loss as a result of adopting the CECL standard.</w:t>
      </w: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credit loss expense for the six months ended June 30, 2020 includes a specific provision of $3.5 million for accounts receivable due from one of our Commercial Services (All other) customers who filed for Chapter 11 bankruptcy.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5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Significant customers are those which represent more than 10% of the Company’s total revenue and accounts receivable. Revenue from one of the Government Solutions customers as a percent of total revenue is presented below for the three and six months ended June 30, 2020 and 2019, respectively: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5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City of New York Department of Transportation</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40.5%</w:t>
            </w:r>
          </w:p>
        </w:tc>
        <w:tc>
          <w:tcPr>
            <w:tcW w:w="9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12.4%</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31.6%</w:t>
            </w: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City of New York Department of Transportation represents 42.2% of accounts receivable, net as of June 30, 2020. Significant customer revenue generated through the Company’s Commercial Services partners as a percent of total revenue is presented below for the three and six months ended June 30, 2020 and 2019,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6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620" w:type="dxa"/>
            <w:vAlign w:val="bottom"/>
            <w:tcBorders>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top w:val="single" w:sz="8" w:color="auto"/>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Hertz Corporation</w:t>
            </w:r>
          </w:p>
        </w:tc>
        <w:tc>
          <w:tcPr>
            <w:tcW w:w="14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w:t>
            </w: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Avis Budget Group, Inc.</w:t>
            </w: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3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Enterprise Holdings, Inc.</w:t>
            </w:r>
          </w:p>
        </w:tc>
        <w:tc>
          <w:tcPr>
            <w:tcW w:w="14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13.5%</w:t>
            </w: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(1)</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w:t>
            </w:r>
          </w:p>
        </w:tc>
      </w:tr>
    </w:tbl>
    <w:p>
      <w:pPr>
        <w:spacing w:after="0" w:line="233" w:lineRule="exact"/>
        <w:rPr>
          <w:sz w:val="20"/>
          <w:szCs w:val="20"/>
          <w:color w:val="auto"/>
        </w:rPr>
      </w:pPr>
    </w:p>
    <w:p>
      <w:pPr>
        <w:ind w:left="1200" w:hanging="396"/>
        <w:spacing w:after="0"/>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Customer revenue for the period was below 10% of total revenue.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tabs>
          <w:tab w:leader="none" w:pos="380" w:val="left"/>
        </w:tabs>
        <w:rPr>
          <w:sz w:val="20"/>
          <w:szCs w:val="20"/>
          <w:color w:val="auto"/>
        </w:rPr>
      </w:pPr>
      <w:r>
        <w:rPr>
          <w:rFonts w:ascii="Arial" w:cs="Arial" w:eastAsia="Arial" w:hAnsi="Arial"/>
          <w:sz w:val="18"/>
          <w:szCs w:val="18"/>
          <w:b w:val="1"/>
          <w:bCs w:val="1"/>
          <w:color w:val="auto"/>
        </w:rPr>
        <w:t>5.</w:t>
        <w:tab/>
        <w:t>Prepaid Expenses and Other Current Assets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Prepaid expenses and other current assets consist of the following at: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620" w:type="dxa"/>
            <w:vAlign w:val="bottom"/>
            <w:vMerge w:val="restart"/>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3140" w:type="dxa"/>
            <w:vAlign w:val="bottom"/>
            <w:gridSpan w:val="2"/>
          </w:tcPr>
          <w:p>
            <w:pPr>
              <w:jc w:val="right"/>
              <w:ind w:right="67"/>
              <w:spacing w:after="0" w:line="158"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Prepaid tolls</w:t>
            </w:r>
          </w:p>
        </w:tc>
        <w:tc>
          <w:tcPr>
            <w:tcW w:w="2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7,947</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3,345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services</w:t>
            </w:r>
          </w:p>
        </w:tc>
        <w:tc>
          <w:tcPr>
            <w:tcW w:w="2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spacing w:after="0"/>
              <w:rPr>
                <w:sz w:val="20"/>
                <w:szCs w:val="20"/>
                <w:color w:val="auto"/>
              </w:rPr>
            </w:pPr>
            <w:r>
              <w:rPr>
                <w:rFonts w:ascii="Arial" w:cs="Arial" w:eastAsia="Arial" w:hAnsi="Arial"/>
                <w:sz w:val="18"/>
                <w:szCs w:val="18"/>
                <w:color w:val="auto"/>
              </w:rPr>
              <w:t>Prepaid computer maintenance</w:t>
            </w:r>
          </w:p>
        </w:tc>
        <w:tc>
          <w:tcPr>
            <w:tcW w:w="2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spacing w:after="0"/>
              <w:rPr>
                <w:sz w:val="20"/>
                <w:szCs w:val="20"/>
                <w:color w:val="auto"/>
              </w:rPr>
            </w:pPr>
            <w:r>
              <w:rPr>
                <w:rFonts w:ascii="Arial" w:cs="Arial" w:eastAsia="Arial" w:hAnsi="Arial"/>
                <w:sz w:val="18"/>
                <w:szCs w:val="18"/>
                <w:color w:val="auto"/>
              </w:rPr>
              <w:t>Photo enforcement equipment held for sale</w:t>
            </w:r>
          </w:p>
        </w:tc>
        <w:tc>
          <w:tcPr>
            <w:tcW w:w="2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income taxes</w:t>
            </w:r>
          </w:p>
        </w:tc>
        <w:tc>
          <w:tcPr>
            <w:tcW w:w="2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2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18,964</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6"/>
              </w:rPr>
              <w:t>Government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4"/>
          </w:tcPr>
          <w:p>
            <w:pPr>
              <w:jc w:val="right"/>
              <w:ind w:right="580"/>
              <w:spacing w:after="0" w:line="158" w:lineRule="exact"/>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5"/>
          </w:tcPr>
          <w:p>
            <w:pPr>
              <w:jc w:val="right"/>
              <w:ind w:right="640"/>
              <w:spacing w:after="0" w:line="158" w:lineRule="exact"/>
              <w:rPr>
                <w:sz w:val="20"/>
                <w:szCs w:val="20"/>
                <w:color w:val="auto"/>
              </w:rPr>
            </w:pPr>
            <w:r>
              <w:rPr>
                <w:rFonts w:ascii="Arial" w:cs="Arial" w:eastAsia="Arial" w:hAnsi="Arial"/>
                <w:sz w:val="14"/>
                <w:szCs w:val="14"/>
                <w:b w:val="1"/>
                <w:bCs w:val="1"/>
                <w:color w:val="auto"/>
              </w:rPr>
              <w:t>Solutions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6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424,404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159,746</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584,150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(2,535)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421,869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159,746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581,615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7"/>
            <w:vMerge w:val="restart"/>
          </w:tcPr>
          <w:p>
            <w:pPr>
              <w:ind w:left="800"/>
              <w:spacing w:after="0"/>
              <w:rPr>
                <w:sz w:val="20"/>
                <w:szCs w:val="20"/>
                <w:color w:val="auto"/>
              </w:rPr>
            </w:pPr>
            <w:r>
              <w:rPr>
                <w:rFonts w:ascii="Arial" w:cs="Arial" w:eastAsia="Arial" w:hAnsi="Arial"/>
                <w:sz w:val="18"/>
                <w:szCs w:val="18"/>
                <w:color w:val="auto"/>
                <w:w w:val="91"/>
              </w:rPr>
              <w:t>Intangible assets consist of the following as of the respective period-ends:</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0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4"/>
              </w:rPr>
              <w:t>June 30, 2020</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4"/>
          </w:tcPr>
          <w:p>
            <w:pPr>
              <w:jc w:val="center"/>
              <w:ind w:left="39"/>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4"/>
          </w:tcPr>
          <w:p>
            <w:pPr>
              <w:jc w:val="center"/>
              <w:ind w:left="39"/>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86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000" w:type="dxa"/>
            <w:vAlign w:val="bottom"/>
            <w:gridSpan w:val="2"/>
          </w:tcPr>
          <w:p>
            <w:pPr>
              <w:jc w:val="right"/>
              <w:ind w:right="79"/>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5"/>
                <w:szCs w:val="15"/>
                <w:color w:val="auto"/>
              </w:rPr>
            </w:pPr>
          </w:p>
        </w:tc>
        <w:tc>
          <w:tcPr>
            <w:tcW w:w="860" w:type="dxa"/>
            <w:vAlign w:val="bottom"/>
            <w:gridSpan w:val="4"/>
          </w:tcPr>
          <w:p>
            <w:pPr>
              <w:jc w:val="center"/>
              <w:ind w:left="59"/>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26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6"/>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Trademarks</w:t>
            </w: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0.9 years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32,067</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24,209</w:t>
            </w:r>
          </w:p>
        </w:tc>
        <w:tc>
          <w:tcPr>
            <w:tcW w:w="3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gridSpan w:val="4"/>
            <w:shd w:val="clear" w:color="auto" w:fill="CFF0FC"/>
          </w:tcPr>
          <w:p>
            <w:pPr>
              <w:jc w:val="center"/>
              <w:ind w:left="39"/>
              <w:spacing w:after="0"/>
              <w:rPr>
                <w:sz w:val="20"/>
                <w:szCs w:val="20"/>
                <w:color w:val="auto"/>
              </w:rPr>
            </w:pPr>
            <w:r>
              <w:rPr>
                <w:rFonts w:ascii="Arial" w:cs="Arial" w:eastAsia="Arial" w:hAnsi="Arial"/>
                <w:sz w:val="18"/>
                <w:szCs w:val="18"/>
                <w:color w:val="auto"/>
                <w:w w:val="89"/>
              </w:rPr>
              <w:t>1.5 years</w:t>
            </w: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32,127</w:t>
            </w: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19,106</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2.5 years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62,555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31,119</w:t>
            </w:r>
          </w:p>
        </w:tc>
        <w:tc>
          <w:tcPr>
            <w:tcW w:w="300" w:type="dxa"/>
            <w:vAlign w:val="bottom"/>
          </w:tcPr>
          <w:p>
            <w:pPr>
              <w:spacing w:after="0"/>
              <w:rPr>
                <w:sz w:val="19"/>
                <w:szCs w:val="19"/>
                <w:color w:val="auto"/>
              </w:rPr>
            </w:pPr>
          </w:p>
        </w:tc>
        <w:tc>
          <w:tcPr>
            <w:tcW w:w="860" w:type="dxa"/>
            <w:vAlign w:val="bottom"/>
            <w:gridSpan w:val="4"/>
          </w:tcPr>
          <w:p>
            <w:pPr>
              <w:jc w:val="center"/>
              <w:ind w:left="39"/>
              <w:spacing w:after="0"/>
              <w:rPr>
                <w:sz w:val="20"/>
                <w:szCs w:val="20"/>
                <w:color w:val="auto"/>
              </w:rPr>
            </w:pPr>
            <w:r>
              <w:rPr>
                <w:rFonts w:ascii="Arial" w:cs="Arial" w:eastAsia="Arial" w:hAnsi="Arial"/>
                <w:sz w:val="18"/>
                <w:szCs w:val="18"/>
                <w:color w:val="auto"/>
                <w:w w:val="89"/>
              </w:rPr>
              <w:t>3.0 years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62,549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6.4 years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365,368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103,204</w:t>
            </w:r>
          </w:p>
        </w:tc>
        <w:tc>
          <w:tcPr>
            <w:tcW w:w="30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center"/>
              <w:ind w:left="39"/>
              <w:spacing w:after="0"/>
              <w:rPr>
                <w:sz w:val="20"/>
                <w:szCs w:val="20"/>
                <w:color w:val="auto"/>
              </w:rPr>
            </w:pPr>
            <w:r>
              <w:rPr>
                <w:rFonts w:ascii="Arial" w:cs="Arial" w:eastAsia="Arial" w:hAnsi="Arial"/>
                <w:sz w:val="18"/>
                <w:szCs w:val="18"/>
                <w:color w:val="auto"/>
                <w:w w:val="89"/>
              </w:rPr>
              <w:t>6.9 years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366,533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Developed technology</w:t>
            </w:r>
          </w:p>
        </w:tc>
        <w:tc>
          <w:tcPr>
            <w:tcW w:w="10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2.8 years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165,520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80,615</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4"/>
          </w:tcPr>
          <w:p>
            <w:pPr>
              <w:jc w:val="center"/>
              <w:ind w:left="39"/>
              <w:spacing w:after="0"/>
              <w:rPr>
                <w:sz w:val="20"/>
                <w:szCs w:val="20"/>
                <w:color w:val="auto"/>
              </w:rPr>
            </w:pPr>
            <w:r>
              <w:rPr>
                <w:rFonts w:ascii="Arial" w:cs="Arial" w:eastAsia="Arial" w:hAnsi="Arial"/>
                <w:sz w:val="18"/>
                <w:szCs w:val="18"/>
                <w:color w:val="auto"/>
                <w:w w:val="89"/>
              </w:rPr>
              <w:t>3.3 years</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165,708</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carrying value of intangible assets</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625,510</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239,147</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626,917</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192,474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Less: accumulated amortization</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(239,147)</w:t>
            </w: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(192,474)</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386,363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434,443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Amortization expense was $23.5 million and $23.1 million for the three months ended June 30, 2020 and 2019, respectively, and was $47.1 million and $46.3 million for the six months ended June 30, 2020 and 2019, respectively.</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Estimated amortization expense in future years is expected to be: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4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66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2021</w:t>
            </w:r>
          </w:p>
        </w:tc>
        <w:tc>
          <w:tcPr>
            <w:tcW w:w="24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60" w:type="dxa"/>
            <w:vAlign w:val="bottom"/>
            <w:shd w:val="clear" w:color="auto" w:fill="CFF0FC"/>
          </w:tcPr>
          <w:p>
            <w:pPr>
              <w:spacing w:after="0"/>
              <w:rPr>
                <w:sz w:val="19"/>
                <w:szCs w:val="19"/>
                <w:color w:val="auto"/>
              </w:rPr>
            </w:pPr>
          </w:p>
        </w:tc>
        <w:tc>
          <w:tcPr>
            <w:tcW w:w="6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2023</w:t>
            </w:r>
          </w:p>
        </w:tc>
        <w:tc>
          <w:tcPr>
            <w:tcW w:w="24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60" w:type="dxa"/>
            <w:vAlign w:val="bottom"/>
            <w:shd w:val="clear" w:color="auto" w:fill="CFF0FC"/>
          </w:tcPr>
          <w:p>
            <w:pPr>
              <w:spacing w:after="0"/>
              <w:rPr>
                <w:sz w:val="19"/>
                <w:szCs w:val="19"/>
                <w:color w:val="auto"/>
              </w:rPr>
            </w:pPr>
          </w:p>
        </w:tc>
        <w:tc>
          <w:tcPr>
            <w:tcW w:w="6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6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6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386,363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100" w:type="dxa"/>
            <w:vAlign w:val="bottom"/>
            <w:vMerge w:val="restart"/>
          </w:tcPr>
          <w:p>
            <w:pPr>
              <w:jc w:val="right"/>
              <w:ind w:right="3750"/>
              <w:spacing w:after="0"/>
              <w:rPr>
                <w:sz w:val="20"/>
                <w:szCs w:val="20"/>
                <w:color w:val="auto"/>
              </w:rPr>
            </w:pPr>
            <w:r>
              <w:rPr>
                <w:rFonts w:ascii="Arial" w:cs="Arial" w:eastAsia="Arial" w:hAnsi="Arial"/>
                <w:sz w:val="18"/>
                <w:szCs w:val="18"/>
                <w:color w:val="auto"/>
              </w:rPr>
              <w:t>14</w:t>
            </w: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Interim Goodwill Impairment Review</w:t>
      </w:r>
    </w:p>
    <w:p>
      <w:pPr>
        <w:spacing w:after="0" w:line="252"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During the fourth quarter of each fiscal year, we perform our annual goodwill impairment test for each of our reporting units. Our reporting units are the same as our two reportable segments (Government Solutions and Commercial Services). We also test goodwill for impairment whenever events or circumstances occur which, in our judgment, could more likely than not reduce the fair value of one or more reporting units below its carrying amount. Potential impairment indicators include, but are not limited to, (i) a deterioration of the business environments in which we operate; (ii) downward revisions to internal forecasts, and the magnitude thereof, if any; and (iii) declines in our market capitalization below our book value, and the magnitude and duration of those declines, if any.</w:t>
      </w:r>
    </w:p>
    <w:p>
      <w:pPr>
        <w:spacing w:after="0" w:line="219"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During the first half of fiscal 2020, our market capitalization declined significantly compared to December 31, 2019. Over the same period, the equity value of our key Commercial Services customers, our peer group companies and the overall U.S. stock market also declined significantly amid market volatility. These declines were driven by the uncertainty surrounding the outbreak of the novel coronavirus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and other macroeconomic events. Based on these factors, we concluded that a triggering event occurred and, accordingly, an interim quantitative impairment test was performed as of March 31, 2020 and updated as of June 30, 2020.</w:t>
      </w:r>
    </w:p>
    <w:p>
      <w:pPr>
        <w:spacing w:after="0" w:line="215"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Based upon the results of our interim impairment tests, we concluded that the fair values of the Government Solutions and Commercial Services reporting units exceeded their carrying value. The current economic conditions due to COVID-19 are still evolving and any significant adverse changes in future periods to our internal forecasts or the external market conditions, if any, could reasonably be expected to negatively affect our key assumptions and may result in a future goodwill impairment charge, which could be material.</w:t>
      </w:r>
    </w:p>
    <w:p>
      <w:pPr>
        <w:spacing w:after="0" w:line="210"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243"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The Company reviews its other long-lived assets for impairment (including intangible assets with finite useful lives) whenever events or circumstances indicate that the carrying value of an asset may not be fully recoverable. The Company assesses recoverability by comparing the estimated undiscounted future cash flows expected to be generated by the assets with their carrying value. If the carrying value of the assets exceeds the estimated undiscounted future cash flows, an impairment loss is recognized for the difference between the estimated fair value of the assets and their carrying value. At June 30, 2020, the Company performed a qualitative assessment and concluded that there is no impairment, as the fair values of the asset groups exceeded their respective carrying amounts.</w:t>
      </w:r>
    </w:p>
    <w:p>
      <w:pPr>
        <w:spacing w:after="0" w:line="219"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The state of Texas passed legislation as of June 1, 2019 to ban red-light photo enforcement programs across the state, with certain carve-outs for some existing programs. The Company considered this event an indicator for potential impairment and, as such, evaluated the recoverability of property and equipment used in the operations of red-light photo enforcement programs in Texas. As a result, the Company recognized an impairment charge in the Government Solutions segment of $5.9 million for the three and six months ended June 30, 2019, which is included in Impairment of property and equipment in the condensed consolidated statements of operations.</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tab/>
        <w:t>Accrued Liabilities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Accrued liabilities consist of the following at: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00" w:type="dxa"/>
            <w:vAlign w:val="bottom"/>
            <w:vMerge w:val="restart"/>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4360" w:type="dxa"/>
            <w:vAlign w:val="bottom"/>
            <w:gridSpan w:val="2"/>
          </w:tcPr>
          <w:p>
            <w:pPr>
              <w:jc w:val="right"/>
              <w:ind w:right="36"/>
              <w:spacing w:after="0" w:line="158"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Accrued salaries and wages</w:t>
            </w:r>
          </w:p>
        </w:tc>
        <w:tc>
          <w:tcPr>
            <w:tcW w:w="33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4,228</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Current portion of related party TRA liability</w:t>
            </w:r>
          </w:p>
        </w:tc>
        <w:tc>
          <w:tcPr>
            <w:tcW w:w="3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3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Advanced deposits payable</w:t>
            </w:r>
          </w:p>
        </w:tc>
        <w:tc>
          <w:tcPr>
            <w:tcW w:w="3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 payable</w:t>
            </w:r>
          </w:p>
        </w:tc>
        <w:tc>
          <w:tcPr>
            <w:tcW w:w="3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Restricted cash due to customers</w:t>
            </w:r>
          </w:p>
        </w:tc>
        <w:tc>
          <w:tcPr>
            <w:tcW w:w="3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sales commissions</w:t>
            </w:r>
          </w:p>
        </w:tc>
        <w:tc>
          <w:tcPr>
            <w:tcW w:w="3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3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3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140"/>
              <w:spacing w:after="0"/>
              <w:rPr>
                <w:sz w:val="20"/>
                <w:szCs w:val="20"/>
                <w:color w:val="auto"/>
              </w:rPr>
            </w:pPr>
            <w:r>
              <w:rPr>
                <w:rFonts w:ascii="Arial" w:cs="Arial" w:eastAsia="Arial" w:hAnsi="Arial"/>
                <w:sz w:val="18"/>
                <w:szCs w:val="18"/>
                <w:color w:val="auto"/>
              </w:rPr>
              <w:t>Total accrued liabilities</w:t>
            </w:r>
          </w:p>
        </w:tc>
        <w:tc>
          <w:tcPr>
            <w:tcW w:w="332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19,570</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320" w:type="dxa"/>
            <w:vAlign w:val="bottom"/>
            <w:vMerge w:val="restart"/>
          </w:tcPr>
          <w:p>
            <w:pPr>
              <w:jc w:val="right"/>
              <w:ind w:right="1919"/>
              <w:spacing w:after="0"/>
              <w:rPr>
                <w:sz w:val="20"/>
                <w:szCs w:val="20"/>
                <w:color w:val="auto"/>
              </w:rPr>
            </w:pPr>
            <w:r>
              <w:rPr>
                <w:rFonts w:ascii="Arial" w:cs="Arial" w:eastAsia="Arial" w:hAnsi="Arial"/>
                <w:sz w:val="18"/>
                <w:szCs w:val="18"/>
                <w:color w:val="auto"/>
              </w:rPr>
              <w:t>15</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tabs>
          <w:tab w:leader="none" w:pos="380" w:val="left"/>
        </w:tabs>
        <w:rPr>
          <w:sz w:val="20"/>
          <w:szCs w:val="20"/>
          <w:color w:val="auto"/>
        </w:rPr>
      </w:pPr>
      <w:r>
        <w:rPr>
          <w:rFonts w:ascii="Arial" w:cs="Arial" w:eastAsia="Arial" w:hAnsi="Arial"/>
          <w:sz w:val="18"/>
          <w:szCs w:val="18"/>
          <w:b w:val="1"/>
          <w:bCs w:val="1"/>
          <w:color w:val="auto"/>
        </w:rPr>
        <w:t>9.</w:t>
        <w:tab/>
        <w:t>Debt</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provides a summary of the Company’s debt at: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540" w:type="dxa"/>
            <w:vAlign w:val="bottom"/>
            <w:vMerge w:val="restart"/>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555"/>
              <w:spacing w:after="0" w:line="158"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555"/>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First Lien Term Loan, due February 28, 2025</w:t>
            </w:r>
          </w:p>
        </w:tc>
        <w:tc>
          <w:tcPr>
            <w:tcW w:w="2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870,194</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894,421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Less: original issue discounts</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(4,469)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unamortized deferred financing costs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(22,304)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(23,178)</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843,421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(9,104)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(28,779)</w:t>
            </w:r>
          </w:p>
        </w:tc>
        <w:tc>
          <w:tcPr>
            <w:tcW w:w="0" w:type="dxa"/>
            <w:vAlign w:val="bottom"/>
          </w:tcPr>
          <w:p>
            <w:pPr>
              <w:spacing w:after="0"/>
              <w:rPr>
                <w:sz w:val="1"/>
                <w:szCs w:val="1"/>
                <w:color w:val="auto"/>
              </w:rPr>
            </w:pPr>
          </w:p>
        </w:tc>
      </w:tr>
      <w:tr>
        <w:trPr>
          <w:trHeight w:val="223"/>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Total long-term debt, net of current portion</w:t>
            </w:r>
          </w:p>
        </w:tc>
        <w:tc>
          <w:tcPr>
            <w:tcW w:w="2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834,317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90" w:lineRule="auto"/>
        <w:rPr>
          <w:sz w:val="20"/>
          <w:szCs w:val="20"/>
          <w:color w:val="auto"/>
        </w:rPr>
      </w:pPr>
      <w:r>
        <w:rPr>
          <w:rFonts w:ascii="Arial" w:cs="Arial" w:eastAsia="Arial" w:hAnsi="Arial"/>
          <w:sz w:val="16"/>
          <w:szCs w:val="16"/>
          <w:color w:val="auto"/>
        </w:rPr>
        <w:t>In connection with an acquisition in 2018, VM Consolidated, Inc., a wholly-owned subsidiary of the Company, entered into a First Lien Term Loan Credit Agreement (the “</w:t>
      </w:r>
      <w:r>
        <w:rPr>
          <w:rFonts w:ascii="Arial" w:cs="Arial" w:eastAsia="Arial" w:hAnsi="Arial"/>
          <w:sz w:val="16"/>
          <w:szCs w:val="16"/>
          <w:b w:val="1"/>
          <w:bCs w:val="1"/>
          <w:i w:val="1"/>
          <w:iCs w:val="1"/>
          <w:color w:val="auto"/>
        </w:rPr>
        <w:t>First Lien Term Loan</w:t>
      </w:r>
      <w:r>
        <w:rPr>
          <w:rFonts w:ascii="Arial" w:cs="Arial" w:eastAsia="Arial" w:hAnsi="Arial"/>
          <w:sz w:val="16"/>
          <w:szCs w:val="16"/>
          <w:color w:val="auto"/>
        </w:rPr>
        <w:t>”), a Second Lien Term Loan Credit Agreement (the “</w:t>
      </w:r>
      <w:r>
        <w:rPr>
          <w:rFonts w:ascii="Arial" w:cs="Arial" w:eastAsia="Arial" w:hAnsi="Arial"/>
          <w:sz w:val="16"/>
          <w:szCs w:val="16"/>
          <w:b w:val="1"/>
          <w:bCs w:val="1"/>
          <w:i w:val="1"/>
          <w:iCs w:val="1"/>
          <w:color w:val="auto"/>
        </w:rPr>
        <w:t>Second Lien Term Loan</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Term Loans</w:t>
      </w:r>
      <w:r>
        <w:rPr>
          <w:rFonts w:ascii="Arial" w:cs="Arial" w:eastAsia="Arial" w:hAnsi="Arial"/>
          <w:sz w:val="16"/>
          <w:szCs w:val="16"/>
          <w:color w:val="auto"/>
        </w:rPr>
        <w:t>”) and a Revolving Credit Facility Agreement (the “</w:t>
      </w:r>
      <w:r>
        <w:rPr>
          <w:rFonts w:ascii="Arial" w:cs="Arial" w:eastAsia="Arial" w:hAnsi="Arial"/>
          <w:sz w:val="16"/>
          <w:szCs w:val="16"/>
          <w:b w:val="1"/>
          <w:bCs w:val="1"/>
          <w:i w:val="1"/>
          <w:iCs w:val="1"/>
          <w:color w:val="auto"/>
        </w:rPr>
        <w:t>Revolver</w:t>
      </w:r>
      <w:r>
        <w:rPr>
          <w:rFonts w:ascii="Arial" w:cs="Arial" w:eastAsia="Arial" w:hAnsi="Arial"/>
          <w:sz w:val="16"/>
          <w:szCs w:val="16"/>
          <w:color w:val="auto"/>
        </w:rPr>
        <w:t>”) with a syndicate of lenders (collectively, the “</w:t>
      </w:r>
      <w:r>
        <w:rPr>
          <w:rFonts w:ascii="Arial" w:cs="Arial" w:eastAsia="Arial" w:hAnsi="Arial"/>
          <w:sz w:val="16"/>
          <w:szCs w:val="16"/>
          <w:b w:val="1"/>
          <w:bCs w:val="1"/>
          <w:i w:val="1"/>
          <w:iCs w:val="1"/>
          <w:color w:val="auto"/>
        </w:rPr>
        <w:t>2018 Credit Facilities</w:t>
      </w:r>
      <w:r>
        <w:rPr>
          <w:rFonts w:ascii="Arial" w:cs="Arial" w:eastAsia="Arial" w:hAnsi="Arial"/>
          <w:sz w:val="16"/>
          <w:szCs w:val="16"/>
          <w:color w:val="auto"/>
        </w:rPr>
        <w:t>”). The 2018 Credit Facilities initially provided for committed senior secured financing of $1.115 billion, consisting of the Term Loans in an aggregate principal amount of $1.04 billion and the Revolver available for loans and letters of credit with an aggregate revolving commitment of up to $75 million (subject to borrowing eligibility requirements as described below). In July 2018, the Company amended the First Lien Term Loan to expand the aggregate principal loan amount from $840 million to $910 million. The additional $70 million along with funds contributed by Platinum Equity, LLC were used to repay the $200 million Second Lien Term Loan in full contemporaneously with the close of the Business Combination on October 17, 2018.</w:t>
      </w:r>
    </w:p>
    <w:p>
      <w:pPr>
        <w:spacing w:after="0" w:line="19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The First Lien Term Loan is repayable at 1.0% per annum of the amount initially borrowed, paid in quarterly installments. The First Lien Term Loan matures on February 28, 2025. The Company refinanced the entire outstanding amount under the First Lien Term Loan on February 20, 2020 which reduced the previous applicable margin by 50 basis points. The First Lien Term Loan now bears interest based, at our option, on either (1) LIBOR plus an applicable margin of 3.25% per annum, or (2) an alternate base rate plus an applicable margin of 2.25% per annum. As of June 30, 2020, the interest rate on the First Lien Term Loan was 3.6%.</w:t>
      </w:r>
    </w:p>
    <w:p>
      <w:pPr>
        <w:spacing w:after="0" w:line="16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 addition, the First Lien Term Loan requires mandatory prepayments equal to the product of the excess cash flows of the Company (as defined in the loan agreement) and the applicable prepayment percentages (calculated as of the last day of the fiscal year, beginning with the year ending December 31, 2019), as set forth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9"/>
        </w:trPr>
        <w:tc>
          <w:tcPr>
            <w:tcW w:w="894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Consolidated first lien net leverage ratio (as defined by the First Lien Term Loan agreement)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8940" w:type="dxa"/>
            <w:vAlign w:val="bottom"/>
            <w:gridSpan w:val="6"/>
            <w:vMerge w:val="continue"/>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Arial" w:cs="Arial" w:eastAsia="Arial" w:hAnsi="Arial"/>
                <w:sz w:val="18"/>
                <w:szCs w:val="18"/>
                <w:color w:val="auto"/>
                <w:w w:val="92"/>
              </w:rPr>
              <w:t>&gt; 3.70:1.00</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4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20" w:type="dxa"/>
            <w:vAlign w:val="bottom"/>
            <w:gridSpan w:val="5"/>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&lt; 3.20:1.00</w:t>
            </w:r>
          </w:p>
        </w:tc>
        <w:tc>
          <w:tcPr>
            <w:tcW w:w="220" w:type="dxa"/>
            <w:vAlign w:val="bottom"/>
            <w:shd w:val="clear" w:color="auto" w:fill="CFF0FC"/>
          </w:tcPr>
          <w:p>
            <w:pPr>
              <w:spacing w:after="0"/>
              <w:rPr>
                <w:sz w:val="16"/>
                <w:szCs w:val="16"/>
                <w:color w:val="auto"/>
              </w:rPr>
            </w:pPr>
          </w:p>
        </w:tc>
        <w:tc>
          <w:tcPr>
            <w:tcW w:w="21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Company made a $19.7 million mandatory prepayment of excess cash flow during the first quarter of fiscal 2020, which was classified as current portion of long-term debt in the condensed consolidated balance sheet at December 31, 2019.</w:t>
      </w:r>
    </w:p>
    <w:p>
      <w:pPr>
        <w:spacing w:after="0" w:line="130"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The Revolver matures on February 28, 2023. The terms of the Revolver were not affected by the refinancing of the First Lien Term Loan discussed above.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June 30, 2020, the Company had no outstanding borrowings on the Revolver and availability to borrow under the Revolver was $68.7 million, net of $6.3 million of outstanding letters of credit.</w:t>
      </w:r>
    </w:p>
    <w:p>
      <w:pPr>
        <w:spacing w:after="0" w:line="154"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the Company is also required to pay participation and fronting fees at 1.38% on $6.3 million in outstanding letters of credit as of June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802"/>
        <w:spacing w:after="0" w:line="259" w:lineRule="auto"/>
        <w:rPr>
          <w:sz w:val="20"/>
          <w:szCs w:val="20"/>
          <w:color w:val="auto"/>
        </w:rPr>
      </w:pPr>
      <w:r>
        <w:rPr>
          <w:rFonts w:ascii="Arial" w:cs="Arial" w:eastAsia="Arial" w:hAnsi="Arial"/>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June 30, 2020, the Company was compliant with the 2018 Credit Facilities covenants. Substantially all of the Company’s assets are pledged as collateral to secure the Company’s indebtedness under the 2018 Credit Facilities.</w:t>
      </w:r>
    </w:p>
    <w:p>
      <w:pPr>
        <w:spacing w:after="0" w:line="160"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Company recorded interest expense, including amortization of deferred financing costs and discounts, of $9.5 million and $15.7 million for the three months ended June 30, 2020 and 2019, respectively, and $22.0 million and $31.7 million for the six months ended June 30, 2020 and 2019, respectively.</w:t>
      </w:r>
    </w:p>
    <w:p>
      <w:pPr>
        <w:spacing w:after="0" w:line="143"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In connection with the refinancing of the First Lien Term Loan in February 2020, which the Company determined was to be accounted for as a modification, the Company incurred $0.8 million of lender fees which were capitalized as deferred financing costs and amortized over the remaining life of the First Lien Term Loan, and $0.2 million of legal fees that were expensed as Selling, general and administrative expenses on the condensed consolidated statement of operations.</w:t>
      </w:r>
    </w:p>
    <w:p>
      <w:pPr>
        <w:spacing w:after="0" w:line="146"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weighted average effective interest rates on the Company’s outstanding borrowing under the 2018 Credit Facilities were 3.6% and 5.5% at June 30, 2020 and December 31, 2019, respectively.</w:t>
      </w:r>
    </w:p>
    <w:p>
      <w:pPr>
        <w:spacing w:after="0" w:line="13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of Financial Instruments</w:t>
      </w:r>
    </w:p>
    <w:p>
      <w:pPr>
        <w:spacing w:after="0" w:line="189"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includes a single definition of fair value to be used for financial reporting purposes, provides a framework for applying this definition and for measuring fair value under U.S. GAAP, and establishes a fair value hierarchy that categorizes into three levels the inputs to valuation techniques used to measure fair value. The three levels of the fair value hierarchy are summarized as follows:</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Fair value is based on observable inputs such as quoted prices for identical assets or liabilities in active markets.</w:t>
      </w:r>
    </w:p>
    <w:p>
      <w:pPr>
        <w:spacing w:after="0" w:line="185" w:lineRule="exact"/>
        <w:rPr>
          <w:sz w:val="20"/>
          <w:szCs w:val="20"/>
          <w:color w:val="auto"/>
        </w:rPr>
      </w:pPr>
    </w:p>
    <w:p>
      <w:pPr>
        <w:ind w:left="800" w:right="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Fair value is determined using quoted prices for similar assets or liabilities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inputs other than quoted prices that are directly or indirectly observable.</w:t>
      </w:r>
    </w:p>
    <w:p>
      <w:pPr>
        <w:spacing w:after="0" w:line="143"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Fair value is determined using one or more significant inputs that are unobservable in active markets at the measurement date,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a pricing model, discounted cash flow, or similar technique.</w:t>
      </w:r>
    </w:p>
    <w:p>
      <w:pPr>
        <w:spacing w:after="0" w:line="13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First Lien Term Loan as of June 30, 2020 and December 31, 2019 was categorized in Level 2 of the fair value hierarchy and was calculated based upon available market information. The carrying value and fair value of debt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Level in</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
        </w:trPr>
        <w:tc>
          <w:tcPr>
            <w:tcW w:w="1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60"/>
              <w:spacing w:after="0" w:line="147"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140" w:type="dxa"/>
            <w:vAlign w:val="bottom"/>
          </w:tcPr>
          <w:p>
            <w:pPr>
              <w:spacing w:after="0"/>
              <w:rPr>
                <w:sz w:val="15"/>
                <w:szCs w:val="15"/>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Hierarchy</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spacing w:after="0"/>
              <w:rPr>
                <w:sz w:val="15"/>
                <w:szCs w:val="15"/>
                <w:color w:val="auto"/>
              </w:rPr>
            </w:pPr>
          </w:p>
        </w:tc>
        <w:tc>
          <w:tcPr>
            <w:tcW w:w="134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5"/>
                <w:szCs w:val="15"/>
                <w:color w:val="auto"/>
              </w:rPr>
            </w:pPr>
          </w:p>
        </w:tc>
        <w:tc>
          <w:tcPr>
            <w:tcW w:w="14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5"/>
                <w:szCs w:val="15"/>
                <w:color w:val="auto"/>
              </w:rPr>
            </w:pPr>
          </w:p>
        </w:tc>
        <w:tc>
          <w:tcPr>
            <w:tcW w:w="132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3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843,421</w:t>
            </w: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839,737</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866,465</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905,601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Net (Loss) Income Per Share</w:t>
      </w:r>
    </w:p>
    <w:p>
      <w:pPr>
        <w:spacing w:after="0" w:line="189"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Basic net (loss) income per share is calculated by dividing net (loss) income by the weighted average shares outstanding during the period, without consideration of common stock equivalents. Diluted net (loss) income per share is calculated by adjusting the weighted average shares outstanding for the dilutive effect of common stock equivalents outstanding for the period, determined using the treasury-stock method.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ind w:left="800"/>
        <w:spacing w:after="0"/>
        <w:rPr>
          <w:sz w:val="20"/>
          <w:szCs w:val="20"/>
          <w:color w:val="auto"/>
        </w:rPr>
      </w:pPr>
      <w:r>
        <w:rPr>
          <w:rFonts w:ascii="Arial" w:cs="Arial" w:eastAsia="Arial" w:hAnsi="Arial"/>
          <w:sz w:val="18"/>
          <w:szCs w:val="18"/>
          <w:color w:val="auto"/>
        </w:rPr>
        <w:t>The components of basic and diluted net (loss) income per share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4"/>
                <w:szCs w:val="14"/>
                <w:color w:val="auto"/>
              </w:rPr>
            </w:pPr>
          </w:p>
        </w:tc>
        <w:tc>
          <w:tcPr>
            <w:tcW w:w="2680" w:type="dxa"/>
            <w:vAlign w:val="bottom"/>
            <w:gridSpan w:val="5"/>
          </w:tcPr>
          <w:p>
            <w:pPr>
              <w:jc w:val="right"/>
              <w:ind w:right="471"/>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4680" w:type="dxa"/>
            <w:vAlign w:val="bottom"/>
            <w:gridSpan w:val="2"/>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24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(15,388)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3,591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(8,715)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161,710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157,846</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161,317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equivalents</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161,977</w:t>
            </w:r>
          </w:p>
        </w:tc>
        <w:tc>
          <w:tcPr>
            <w:tcW w:w="4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income per share - basic</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(0.10)</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(0.05)</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gridSpan w:val="2"/>
          </w:tcPr>
          <w:p>
            <w:pPr>
              <w:spacing w:after="0"/>
              <w:rPr>
                <w:sz w:val="20"/>
                <w:szCs w:val="20"/>
                <w:color w:val="auto"/>
              </w:rPr>
            </w:pPr>
            <w:r>
              <w:rPr>
                <w:rFonts w:ascii="Arial" w:cs="Arial" w:eastAsia="Arial" w:hAnsi="Arial"/>
                <w:sz w:val="18"/>
                <w:szCs w:val="18"/>
                <w:color w:val="auto"/>
              </w:rPr>
              <w:t>Net (loss) income per share - diluted</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Antidilutive shares excluded from diluted net (loss) income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per share </w:t>
            </w:r>
            <w:r>
              <w:rPr>
                <w:rFonts w:ascii="Arial" w:cs="Arial" w:eastAsia="Arial" w:hAnsi="Arial"/>
                <w:sz w:val="15"/>
                <w:szCs w:val="15"/>
                <w:color w:val="auto"/>
              </w:rPr>
              <w:t>(1)</w:t>
            </w: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 xml:space="preserve">Contingently issuable shares </w:t>
            </w:r>
            <w:r>
              <w:rPr>
                <w:rFonts w:ascii="Arial" w:cs="Arial" w:eastAsia="Arial" w:hAnsi="Arial"/>
                <w:sz w:val="15"/>
                <w:szCs w:val="15"/>
                <w:color w:val="auto"/>
              </w:rPr>
              <w:t>(2)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8,214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Warrants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Non-qualified stock options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Performance share units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Restricted stock units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antidilutive shares excluded</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w:t>
            </w:r>
          </w:p>
        </w:tc>
        <w:tc>
          <w:tcPr>
            <w:tcW w:w="4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00" w:hanging="401"/>
        <w:spacing w:after="0" w:line="258" w:lineRule="auto"/>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These amounts represent the total antidilutive shares outstanding for the three and six months ended June 30, 2020 and the weighted average antidilutive shares for the three and six months ended June 30, 2019.</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Contingently issuable shares relate to the earn-out agreement as discussed in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Our interim income tax (benefit) provision is determined using an estimated annual effective tax rate, adjusted for discrete items arising in that period. The estimated annual effective tax rate requires judgment and is dependent upon several factors. We provide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46"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We provide a valuation allowance for deferred tax assets if it is more likely than not that these items will expire before we are able to realize their benefit.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46"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In December 2019, COVID-19 emerged in China and has since spread throughout the world causing severe disruption to the global economy. On March 11, 2020, the World Health Organization declared COVID-19 a pandemic. On March 27, 2020, the Coronavirus Aid, Relief, and Economic Security Act (“</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was signed into law. There were several income tax provisions and other non-tax matters incorporated into law as a result of the enactment of the CARES Act. The Company applied certain articles of the CARES Act in the interim income tax (benefit) provision, including the increased interest deduction allowed up to 50 percent of adjusted taxable income for tax years 2019 and 2020. In addition, the Company delayed the employer-side of the FICA payments until 2021. The Company will continue to assess other aspects of the CARES Act and will account for them accordingly, if applicable.</w:t>
      </w:r>
    </w:p>
    <w:p>
      <w:pPr>
        <w:spacing w:after="0" w:line="168"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6"/>
          <w:szCs w:val="16"/>
          <w:color w:val="auto"/>
        </w:rPr>
        <w:t>Our effective income tax rate was 20.7% and 32.6% for the three months ended June 30, 2020 and 2019, respectively, and 8.5% and 32.3% for the six months ended June 30, 2020 and 2019, respectively. The effective tax rate change was primarily due to lower pre-tax income in the current year, resulting in the Company’s permanent book and tax differences having a proportionately greater impact on the effective tax rate in the current year.</w:t>
      </w:r>
    </w:p>
    <w:p>
      <w:pPr>
        <w:spacing w:after="0" w:line="10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total amount of unrecognized tax benefits decreased by $0.9 million during fiscal 2020 primarily from the statute expiration of prior year tax positions. As of June 30, 2020, the total amount of unrecognized tax benefits was $0.8 million, of which $0.7 million would affect our effective tax rate if recognized. We recognize interest and penalties related to unrecognized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tax benefits through income tax expense. As of June 30, 2020, we had less than $0.1 million accrued for the payment of interest and penalties.</w:t>
      </w:r>
    </w:p>
    <w:p>
      <w:pPr>
        <w:spacing w:after="0" w:line="210"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The Company is subject to examination by the Internal Revenue Service and taxing authorities in various states. The Company’s U.S. federal income tax returns remain subject to examination by tax authorities for the years 2016 to 2019. The Company’s state income tax returns are under examination by certain states for tax years 2015 to 2017, and other state income tax returns are subject to examination for tax years 2014 to 2019. Tax returns for years prior to 2014 remain open in a number of states due to tax attributes generated but not yet utilized. The Company regularly assesses the likelihood of additional tax deficiencies in each of the tax jurisdictions and, accordingly, makes appropriate adjustments to the tax provision as deemed necessary.</w:t>
      </w:r>
    </w:p>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details the components of stock-based compensation for the periods presented: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88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17"/>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9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9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stock-based compensation expense</w:t>
            </w:r>
          </w:p>
        </w:tc>
        <w:tc>
          <w:tcPr>
            <w:tcW w:w="6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98"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At the closing of the Business Combination, the Company entered into a tax receivable agreement (“</w:t>
      </w:r>
      <w:r>
        <w:rPr>
          <w:rFonts w:ascii="Arial" w:cs="Arial" w:eastAsia="Arial" w:hAnsi="Arial"/>
          <w:sz w:val="17"/>
          <w:szCs w:val="17"/>
          <w:b w:val="1"/>
          <w:bCs w:val="1"/>
          <w:i w:val="1"/>
          <w:iCs w:val="1"/>
          <w:color w:val="auto"/>
        </w:rPr>
        <w:t>TRA</w:t>
      </w:r>
      <w:r>
        <w:rPr>
          <w:rFonts w:ascii="Arial" w:cs="Arial" w:eastAsia="Arial" w:hAnsi="Arial"/>
          <w:sz w:val="17"/>
          <w:szCs w:val="17"/>
          <w:color w:val="auto"/>
        </w:rPr>
        <w:t>”) with PE Greenlight Holdings, LLC (the “</w:t>
      </w:r>
      <w:r>
        <w:rPr>
          <w:rFonts w:ascii="Arial" w:cs="Arial" w:eastAsia="Arial" w:hAnsi="Arial"/>
          <w:sz w:val="17"/>
          <w:szCs w:val="17"/>
          <w:b w:val="1"/>
          <w:bCs w:val="1"/>
          <w:i w:val="1"/>
          <w:iCs w:val="1"/>
          <w:color w:val="auto"/>
        </w:rPr>
        <w:t>Platinum Stockholder</w:t>
      </w:r>
      <w:r>
        <w:rPr>
          <w:rFonts w:ascii="Arial" w:cs="Arial" w:eastAsia="Arial" w:hAnsi="Arial"/>
          <w:sz w:val="17"/>
          <w:szCs w:val="17"/>
          <w:color w:val="auto"/>
        </w:rPr>
        <w:t>”) and Greenlight Holding II Corporation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which resulted from an acquisition by the Company prior to the Business Combination. The post-closing company generally will retain the benefit of the remaining 50% of these cash savings. The Company estimated the potential maximum benefit to be paid will be approximately $70.0 million, and recorded an initial liability and corresponding charge to equity at the closing of the Business Combination. Subsequently, the Company made adjustments to this amount.</w:t>
      </w:r>
    </w:p>
    <w:p>
      <w:pPr>
        <w:spacing w:after="0" w:line="138"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At June 30, 2020, the Company recorded a $4.4 million increase to the Payable related to tax receivable agreement with an offsetting charge to Loss from tax receivable agreement adjustment in the condensed consolidated statements of operations for the three and six months ended June 30, 2020. The adjustment reflects the impact of an increase to the Company’s deferred tax rate arising from higher estimated state tax rates due to a change in apportionment. At June 30, 2020, the TRA was approximately $70.2 million of which $4.6 million was the current portion included in Accrued liabilities and $65.6 million included in Payable related to tax receivable agreement on the condensed consolidated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Agreement</w:t>
      </w:r>
    </w:p>
    <w:p>
      <w:pPr>
        <w:spacing w:after="0" w:line="198"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if the volume weighted average closing sale price of one share of Class A Common Stock on Nasdaq exceeds certain thresholds for a period of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 Price</w:t>
      </w:r>
      <w:r>
        <w:rPr>
          <w:rFonts w:ascii="Arial" w:cs="Arial" w:eastAsia="Arial" w:hAnsi="Arial"/>
          <w:sz w:val="18"/>
          <w:szCs w:val="18"/>
          <w:color w:val="auto"/>
        </w:rPr>
        <w:t>”).</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Common Stock Price thresholds</w:t>
            </w:r>
          </w:p>
        </w:tc>
        <w:tc>
          <w:tcPr>
            <w:tcW w:w="4260" w:type="dxa"/>
            <w:vAlign w:val="bottom"/>
            <w:gridSpan w:val="2"/>
          </w:tcPr>
          <w:p>
            <w:pPr>
              <w:ind w:left="1220"/>
              <w:spacing w:after="0"/>
              <w:rPr>
                <w:sz w:val="20"/>
                <w:szCs w:val="20"/>
                <w:color w:val="auto"/>
              </w:rPr>
            </w:pPr>
            <w:r>
              <w:rPr>
                <w:rFonts w:ascii="Arial" w:cs="Arial" w:eastAsia="Arial" w:hAnsi="Arial"/>
                <w:sz w:val="14"/>
                <w:szCs w:val="14"/>
                <w:b w:val="1"/>
                <w:bCs w:val="1"/>
                <w:color w:val="auto"/>
              </w:rPr>
              <w:t>One-time issuance of shares</w:t>
            </w:r>
          </w:p>
        </w:tc>
      </w:tr>
      <w:tr>
        <w:trPr>
          <w:trHeight w:val="223"/>
        </w:trPr>
        <w:tc>
          <w:tcPr>
            <w:tcW w:w="6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 xml:space="preserve">&gt; $13.00 </w:t>
            </w:r>
            <w:r>
              <w:rPr>
                <w:rFonts w:ascii="Arial" w:cs="Arial" w:eastAsia="Arial" w:hAnsi="Arial"/>
                <w:sz w:val="15"/>
                <w:szCs w:val="15"/>
                <w:color w:val="auto"/>
                <w:w w:val="91"/>
              </w:rPr>
              <w:t>(a)</w:t>
            </w:r>
          </w:p>
        </w:tc>
        <w:tc>
          <w:tcPr>
            <w:tcW w:w="520" w:type="dxa"/>
            <w:vAlign w:val="bottom"/>
            <w:tcBorders>
              <w:top w:val="single" w:sz="8" w:color="CFF0FC"/>
            </w:tcBorders>
            <w:shd w:val="clear" w:color="auto" w:fill="CFF0FC"/>
          </w:tcPr>
          <w:p>
            <w:pPr>
              <w:spacing w:after="0"/>
              <w:rPr>
                <w:sz w:val="19"/>
                <w:szCs w:val="19"/>
                <w:color w:val="auto"/>
              </w:rPr>
            </w:pPr>
          </w:p>
        </w:tc>
        <w:tc>
          <w:tcPr>
            <w:tcW w:w="4140" w:type="dxa"/>
            <w:vAlign w:val="bottom"/>
            <w:tcBorders>
              <w:top w:val="single" w:sz="8" w:color="auto"/>
            </w:tcBorders>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8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 xml:space="preserve">&gt; $15.50 </w:t>
            </w:r>
            <w:r>
              <w:rPr>
                <w:rFonts w:ascii="Arial" w:cs="Arial" w:eastAsia="Arial" w:hAnsi="Arial"/>
                <w:sz w:val="15"/>
                <w:szCs w:val="15"/>
                <w:color w:val="auto"/>
                <w:w w:val="91"/>
              </w:rPr>
              <w:t>(a)</w:t>
            </w:r>
          </w:p>
        </w:tc>
        <w:tc>
          <w:tcPr>
            <w:tcW w:w="414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&gt; $18.00</w:t>
            </w:r>
          </w:p>
        </w:tc>
        <w:tc>
          <w:tcPr>
            <w:tcW w:w="520" w:type="dxa"/>
            <w:vAlign w:val="bottom"/>
            <w:shd w:val="clear" w:color="auto" w:fill="CFF0FC"/>
          </w:tcPr>
          <w:p>
            <w:pPr>
              <w:spacing w:after="0"/>
              <w:rPr>
                <w:sz w:val="19"/>
                <w:szCs w:val="19"/>
                <w:color w:val="auto"/>
              </w:rPr>
            </w:pPr>
          </w:p>
        </w:tc>
        <w:tc>
          <w:tcPr>
            <w:tcW w:w="4140" w:type="dxa"/>
            <w:vAlign w:val="bottom"/>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jc w:val="center"/>
              <w:spacing w:after="0"/>
              <w:rPr>
                <w:sz w:val="20"/>
                <w:szCs w:val="20"/>
                <w:color w:val="auto"/>
              </w:rPr>
            </w:pPr>
            <w:r>
              <w:rPr>
                <w:rFonts w:ascii="Arial" w:cs="Arial" w:eastAsia="Arial" w:hAnsi="Arial"/>
                <w:sz w:val="18"/>
                <w:szCs w:val="18"/>
                <w:color w:val="auto"/>
                <w:w w:val="90"/>
              </w:rPr>
              <w:t>&gt; $20.50</w:t>
            </w:r>
          </w:p>
        </w:tc>
        <w:tc>
          <w:tcPr>
            <w:tcW w:w="520" w:type="dxa"/>
            <w:vAlign w:val="bottom"/>
          </w:tcPr>
          <w:p>
            <w:pPr>
              <w:spacing w:after="0"/>
              <w:rPr>
                <w:sz w:val="20"/>
                <w:szCs w:val="20"/>
                <w:color w:val="auto"/>
              </w:rPr>
            </w:pPr>
          </w:p>
        </w:tc>
        <w:tc>
          <w:tcPr>
            <w:tcW w:w="414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8"/>
          <w:szCs w:val="18"/>
          <w:color w:val="auto"/>
        </w:rPr>
        <w:t>(a)</w:t>
        <w:tab/>
        <w:t>The first and second tranches of Earn-Out Shares have been issued, as discussed below.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jc w:val="both"/>
        <w:ind w:firstLine="802"/>
        <w:spacing w:after="0" w:line="286" w:lineRule="auto"/>
        <w:rPr>
          <w:sz w:val="20"/>
          <w:szCs w:val="20"/>
          <w:color w:val="auto"/>
        </w:rPr>
      </w:pPr>
      <w:r>
        <w:rPr>
          <w:rFonts w:ascii="Arial" w:cs="Arial" w:eastAsia="Arial" w:hAnsi="Arial"/>
          <w:sz w:val="17"/>
          <w:szCs w:val="17"/>
          <w:color w:val="auto"/>
        </w:rPr>
        <w:t>If any of the Common Stock Price thresholds above (each, a “</w:t>
      </w:r>
      <w:r>
        <w:rPr>
          <w:rFonts w:ascii="Arial" w:cs="Arial" w:eastAsia="Arial" w:hAnsi="Arial"/>
          <w:sz w:val="17"/>
          <w:szCs w:val="17"/>
          <w:b w:val="1"/>
          <w:bCs w:val="1"/>
          <w:i w:val="1"/>
          <w:iCs w:val="1"/>
          <w:color w:val="auto"/>
        </w:rPr>
        <w:t>Triggering Event</w:t>
      </w:r>
      <w:r>
        <w:rPr>
          <w:rFonts w:ascii="Arial" w:cs="Arial" w:eastAsia="Arial" w:hAnsi="Arial"/>
          <w:sz w:val="17"/>
          <w:szCs w:val="17"/>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25"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If, during the earn-out period, there is a change of control (as defined in the Merger Agreement) that will result in the holders of Greenlight Acquisition Corporation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Class A Common Stock receiving a per share price equal to or in excess of the applicable Common Stock Price required in connection with any Triggering Event (an “</w:t>
      </w:r>
      <w:r>
        <w:rPr>
          <w:rFonts w:ascii="Arial" w:cs="Arial" w:eastAsia="Arial" w:hAnsi="Arial"/>
          <w:sz w:val="17"/>
          <w:szCs w:val="17"/>
          <w:b w:val="1"/>
          <w:bCs w:val="1"/>
          <w:i w:val="1"/>
          <w:iCs w:val="1"/>
          <w:color w:val="auto"/>
        </w:rPr>
        <w:t>Acceleration Event</w:t>
      </w:r>
      <w:r>
        <w:rPr>
          <w:rFonts w:ascii="Arial" w:cs="Arial" w:eastAsia="Arial" w:hAnsi="Arial"/>
          <w:sz w:val="17"/>
          <w:szCs w:val="17"/>
          <w:color w:val="auto"/>
        </w:rPr>
        <w:t>”), then immediately prior to the consummation of such change of control: (a) any such Triggering Event that has not previously occurred shall be deemed to have occurred; and (b) Parent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205"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The Company estimated the original fair value of the contingently issuable shares to be $73.15 million, of which $36.6 million remains contingently issuable as of June 30, 2020.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 free rates utilizing a peer group based on a five year term. This was initially recorded as a distribution to shareholders and was presented as Common stock contingent consideration. Upon the occurrence of a Triggering Event, any issuable shares would be transferred from Common stock contingent consideration to Common stock and Additional paid-in capital accounts. Any contingently issuable shares not issued as a result of a Triggering Event not being attained by the end of earn-out period will be cancelled.</w:t>
      </w:r>
    </w:p>
    <w:p>
      <w:pPr>
        <w:spacing w:after="0" w:line="139"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w:t>
      </w:r>
    </w:p>
    <w:p>
      <w:pPr>
        <w:spacing w:after="0" w:line="1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The Company has issued various letters of credit under contractual arrangements with certain of its vendors and customers. Outstanding letters of credit under these arrangements totaled $6.3 million at June 30, 2020.</w:t>
      </w:r>
    </w:p>
    <w:p>
      <w:pPr>
        <w:spacing w:after="0" w:line="130"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Company has non-cancelable purchase commitments to certain vendors. The aggregate non-cancelable purchase commitments outstanding at June 30, 2020 were $16.0 million.</w:t>
      </w:r>
    </w:p>
    <w:p>
      <w:pPr>
        <w:spacing w:after="0" w:line="143" w:lineRule="exact"/>
        <w:rPr>
          <w:sz w:val="20"/>
          <w:szCs w:val="20"/>
          <w:color w:val="auto"/>
        </w:rPr>
      </w:pPr>
    </w:p>
    <w:p>
      <w:pPr>
        <w:ind w:right="100" w:firstLine="802"/>
        <w:spacing w:after="0" w:line="453" w:lineRule="auto"/>
        <w:rPr>
          <w:sz w:val="20"/>
          <w:szCs w:val="20"/>
          <w:color w:val="auto"/>
        </w:rPr>
      </w:pPr>
      <w:r>
        <w:rPr>
          <w:rFonts w:ascii="Arial" w:cs="Arial" w:eastAsia="Arial" w:hAnsi="Arial"/>
          <w:sz w:val="18"/>
          <w:szCs w:val="18"/>
          <w:color w:val="auto"/>
        </w:rPr>
        <w:t xml:space="preserve">The Company is subject to tax audits in the normal course of business and does not have material contingencies recorded related to such audits. </w:t>
      </w:r>
      <w:r>
        <w:rPr>
          <w:rFonts w:ascii="Arial" w:cs="Arial" w:eastAsia="Arial" w:hAnsi="Arial"/>
          <w:sz w:val="18"/>
          <w:szCs w:val="18"/>
          <w:i w:val="1"/>
          <w:iCs w:val="1"/>
          <w:color w:val="auto"/>
        </w:rPr>
        <w:t>Customer Guarantee</w:t>
      </w:r>
    </w:p>
    <w:p>
      <w:pPr>
        <w:spacing w:after="0" w:line="2"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In the ordinary course of business, the Company occasionally employs contract terms that mitigate the customer’s risk of aggregate revenue decline in connection with the customer’s adoption of additional or changes to service models within its existing portfolio. These agreements require the customer to satisfy numerous conditions to trigger payment, including volume metrics and other operational requirements. The Company has one such guarantee outstanding for the one-year period ending March 31, 2021. At June 30, 2020, the Company has concluded that the likelihood of making payment under this guarantee is remote, and consequently no liability or corresponding contra revenue has been recorded in the Company’s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Exit Activities</w:t>
      </w:r>
    </w:p>
    <w:p>
      <w:pPr>
        <w:spacing w:after="0" w:line="18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We commenced exit activities related to severance and other employee separation costs during the three and six months ended June 30, 2020. We accrued $0.5 million as of June 30, 2020, of which $0.4 million related to the Commercial Services segment and the remaining related to the Government Solutions segment. The Company expects to pay the amount before the end of fiscal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condensed consolidated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Segment Reporting</w:t>
      </w:r>
    </w:p>
    <w:p>
      <w:pPr>
        <w:spacing w:after="0" w:line="189"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The Company has two operating and reportable segments, Commercial Services and Government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local government agencies of all sizes. The Company’s Chief Operating Decision Maker function (“</w:t>
      </w:r>
      <w:r>
        <w:rPr>
          <w:rFonts w:ascii="Arial" w:cs="Arial" w:eastAsia="Arial" w:hAnsi="Arial"/>
          <w:sz w:val="18"/>
          <w:szCs w:val="18"/>
          <w:b w:val="1"/>
          <w:bCs w:val="1"/>
          <w:i w:val="1"/>
          <w:iCs w:val="1"/>
          <w:color w:val="auto"/>
        </w:rPr>
        <w:t>CODM</w:t>
      </w:r>
      <w:r>
        <w:rPr>
          <w:rFonts w:ascii="Arial" w:cs="Arial" w:eastAsia="Arial" w:hAnsi="Arial"/>
          <w:sz w:val="18"/>
          <w:szCs w:val="18"/>
          <w:color w:val="auto"/>
        </w:rPr>
        <w:t>”) is comprised of the Company’s CEO and certain defined representatives of the Company’s executive management team. The Company’s CODM monitors operating performance, allocates resources and deploys capital based on these two segments.</w:t>
      </w:r>
    </w:p>
    <w:p>
      <w:pPr>
        <w:spacing w:after="0" w:line="152"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Segment performance is based on revenues and (loss) income from operations before depreciation, amortization, gain (loss) on disposal of assets, net, and stock-based compensation. The measure also excludes interest expense, net, income taxes and is inclusive of other income, net. The tables below refer to this measure as Segment profit (loss). The aforementioned items are not indicative of operating performance, and, as a result are not included in the measures that are reviewed by the CODM for the segments. Other income, net consists primarily of credit card rebates earned on the prepayment of tolling transactions and is therefore included in Segment profit (loss). There are no significant non-cash items reported in Segment profit (loss).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tables set forth financial information by segment for the respective periods: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9"/>
              </w:rPr>
              <w:t>For the Three Months Ended June 30, 2020</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2"/>
                <w:szCs w:val="12"/>
                <w:color w:val="auto"/>
              </w:rPr>
            </w:pPr>
          </w:p>
        </w:tc>
        <w:tc>
          <w:tcPr>
            <w:tcW w:w="116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w w:val="94"/>
              </w:rPr>
              <w:t>Government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116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0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27,272</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62,815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27,272</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52,537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tax receivable agreement adjustment</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benefit</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40" w:type="dxa"/>
            <w:vAlign w:val="bottom"/>
            <w:gridSpan w:val="3"/>
          </w:tcPr>
          <w:p>
            <w:pPr>
              <w:ind w:left="106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w w:val="98"/>
              </w:rPr>
              <w:t>For the Three Months Ended June 30, 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440"/>
              <w:spacing w:after="0" w:line="147" w:lineRule="exact"/>
              <w:rPr>
                <w:sz w:val="20"/>
                <w:szCs w:val="20"/>
                <w:color w:val="auto"/>
              </w:rPr>
            </w:pPr>
            <w:r>
              <w:rPr>
                <w:rFonts w:ascii="Arial" w:cs="Arial" w:eastAsia="Arial" w:hAnsi="Arial"/>
                <w:sz w:val="14"/>
                <w:szCs w:val="14"/>
                <w:b w:val="1"/>
                <w:bCs w:val="1"/>
                <w:color w:val="auto"/>
                <w:w w:val="99"/>
              </w:rPr>
              <w:t>Commercial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340"/>
              <w:spacing w:after="0" w:line="147" w:lineRule="exact"/>
              <w:rPr>
                <w:sz w:val="20"/>
                <w:szCs w:val="20"/>
                <w:color w:val="auto"/>
              </w:rPr>
            </w:pPr>
            <w:r>
              <w:rPr>
                <w:rFonts w:ascii="Arial" w:cs="Arial" w:eastAsia="Arial" w:hAnsi="Arial"/>
                <w:sz w:val="14"/>
                <w:szCs w:val="14"/>
                <w:b w:val="1"/>
                <w:bCs w:val="1"/>
                <w:color w:val="auto"/>
                <w:w w:val="99"/>
              </w:rPr>
              <w:t>Government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580"/>
              <w:spacing w:after="0" w:line="158" w:lineRule="exact"/>
              <w:rPr>
                <w:sz w:val="20"/>
                <w:szCs w:val="20"/>
                <w:color w:val="auto"/>
              </w:rPr>
            </w:pPr>
            <w:r>
              <w:rPr>
                <w:rFonts w:ascii="Arial" w:cs="Arial" w:eastAsia="Arial" w:hAnsi="Arial"/>
                <w:sz w:val="14"/>
                <w:szCs w:val="14"/>
                <w:b w:val="1"/>
                <w:bCs w:val="1"/>
                <w:color w:val="auto"/>
              </w:rPr>
              <w:t>Services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440"/>
              <w:spacing w:after="0" w:line="158" w:lineRule="exact"/>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ind w:left="140"/>
              <w:spacing w:after="0" w:line="158" w:lineRule="exact"/>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3"/>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0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68,091</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34,966</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103,057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6,518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68,091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41,484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109,575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16,722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14,801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(3,308)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44,133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58,541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0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44,133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44,133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(48,468)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For the Six Months Ended June 30, 2020</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480"/>
              <w:spacing w:after="0" w:line="147" w:lineRule="exact"/>
              <w:rPr>
                <w:sz w:val="20"/>
                <w:szCs w:val="20"/>
                <w:color w:val="auto"/>
              </w:rPr>
            </w:pPr>
            <w:r>
              <w:rPr>
                <w:rFonts w:ascii="Arial" w:cs="Arial" w:eastAsia="Arial" w:hAnsi="Arial"/>
                <w:sz w:val="14"/>
                <w:szCs w:val="14"/>
                <w:b w:val="1"/>
                <w:bCs w:val="1"/>
                <w:color w:val="auto"/>
                <w:w w:val="94"/>
              </w:rPr>
              <w:t>Commercial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Government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ind w:left="120"/>
              <w:spacing w:after="0" w:line="147"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rPr>
              <w:t>Services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480"/>
              <w:spacing w:after="0" w:line="158" w:lineRule="exact"/>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ind w:left="120"/>
              <w:spacing w:after="0" w:line="158" w:lineRule="exact"/>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3"/>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0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88,514</w:t>
            </w:r>
          </w:p>
        </w:tc>
        <w:tc>
          <w:tcPr>
            <w:tcW w:w="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73,798</w:t>
            </w: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gridSpan w:val="2"/>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162,312</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34,210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88,514</w:t>
            </w: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108,008</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196,522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27,280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31,164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23,575</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(4,396)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40,602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41,548</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81,362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1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Loss (gain) on disposal of assets, net</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tax receivable agreement adjustment</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benefit</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40,597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41,550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(91,672)</w:t>
            </w:r>
          </w:p>
        </w:tc>
        <w:tc>
          <w:tcPr>
            <w:tcW w:w="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40" w:type="dxa"/>
            <w:vAlign w:val="bottom"/>
            <w:gridSpan w:val="4"/>
          </w:tcPr>
          <w:p>
            <w:pPr>
              <w:ind w:left="106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For the Six Months Ended June 30, 2019</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2"/>
                <w:szCs w:val="12"/>
                <w:color w:val="auto"/>
              </w:rPr>
            </w:pPr>
          </w:p>
        </w:tc>
        <w:tc>
          <w:tcPr>
            <w:tcW w:w="11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116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130,679</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70,448</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201,127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130,679</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77,357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31,818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(5,478)</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82,169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28,764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82,169</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82,169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(95,583)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Guarantor/Non-Guarantor Financial Information</w:t>
      </w:r>
    </w:p>
    <w:p>
      <w:pPr>
        <w:spacing w:after="0" w:line="189"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VM Consolidated, Inc., a wholly-owned subsidiary of the Company, is the lead borrower of the First Lien Term Loan and the Revolver. VM Consolidated, Inc. is owned by the Company through a series of holding companies that ultimately end with the Company. VM Consolidated, Inc. is wholly-owned by Greenlight Acquisition Corporation, which is wholly-owned by Greenlight Intermediate Holding Corporation, which is wholly-owned by Greenlight Holding Corporation, which is wholly-owned by Verra Mobility Holdings, LLC, which is wholly-owned by Verra Mobility Corporation or the Company. The principal elimination entries relate to investments in subsidiaries and intercompany balances and transactions, including transactions with the Company’s wholly-owned subsidiary guarantors and non-guarantor subsidiaries.</w:t>
      </w:r>
    </w:p>
    <w:p>
      <w:pPr>
        <w:spacing w:after="0" w:line="151"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6"/>
          <w:szCs w:val="16"/>
          <w:color w:val="auto"/>
        </w:rPr>
        <w:t>The following financial information presents the condensed consolidated balance sheets as of June 30, 2020 and the related condensed consolidated statements of operations and comprehensive loss for the three and six months ended June 30, 2020 and condensed consolidated statements of cash flows for the six months ended June 30, 2020 for the Company, combined guarantor subsidiaries and combined non-guarantor subsidiaries.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rPr>
              <w:t>VM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Verra Mobility</w:t>
            </w:r>
          </w:p>
        </w:tc>
        <w:tc>
          <w:tcPr>
            <w:tcW w:w="12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9"/>
              </w:rPr>
              <w:t>Inc.</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(Guarantor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(Ultimate Parent)</w:t>
            </w:r>
          </w:p>
        </w:tc>
        <w:tc>
          <w:tcPr>
            <w:tcW w:w="120" w:type="dxa"/>
            <w:vAlign w:val="bottom"/>
          </w:tcPr>
          <w:p>
            <w:pPr>
              <w:spacing w:after="0"/>
              <w:rPr>
                <w:sz w:val="15"/>
                <w:szCs w:val="15"/>
                <w:color w:val="auto"/>
              </w:rPr>
            </w:pPr>
          </w:p>
        </w:tc>
        <w:tc>
          <w:tcPr>
            <w:tcW w:w="104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1"/>
              </w:rPr>
              <w:t>Subsidiary)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0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98,566</w:t>
            </w:r>
          </w:p>
        </w:tc>
        <w:tc>
          <w:tcPr>
            <w:tcW w:w="36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14,673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113,239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ind w:left="26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0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Accounts receivable (net of allowance for credit loss of $12.9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million )</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122,373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2,879</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125,252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ind w:left="260"/>
              <w:spacing w:after="0"/>
              <w:rPr>
                <w:sz w:val="20"/>
                <w:szCs w:val="20"/>
                <w:color w:val="auto"/>
              </w:rPr>
            </w:pPr>
            <w:r>
              <w:rPr>
                <w:rFonts w:ascii="Arial" w:cs="Arial" w:eastAsia="Arial" w:hAnsi="Arial"/>
                <w:sz w:val="14"/>
                <w:szCs w:val="14"/>
                <w:color w:val="auto"/>
              </w:rPr>
              <w:t>Unbilled receivables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Investment in subsidiary</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162,491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73,069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(235,560)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gridSpan w:val="2"/>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16,655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2,309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162,491</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323,618</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20,149</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(235,560)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270,698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Installation and service parts, net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8,672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69,987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Operating lease assets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30,588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30,933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360,280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26,083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386,363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524,766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56,849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581,615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from affiliates</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169,259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(169,259)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331,750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1,321,134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107,057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(404,819)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1,355,122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ind w:left="260"/>
              <w:spacing w:after="0"/>
              <w:rPr>
                <w:sz w:val="20"/>
                <w:szCs w:val="20"/>
                <w:color w:val="auto"/>
              </w:rPr>
            </w:pPr>
            <w:r>
              <w:rPr>
                <w:rFonts w:ascii="Arial" w:cs="Arial" w:eastAsia="Arial" w:hAnsi="Arial"/>
                <w:sz w:val="14"/>
                <w:szCs w:val="14"/>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26,229</w:t>
            </w:r>
          </w:p>
        </w:tc>
        <w:tc>
          <w:tcPr>
            <w:tcW w:w="3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10,117</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36,346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16,546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ind w:left="26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9,104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liabilities</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51,879</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13,141</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65,020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ind w:left="140"/>
              <w:spacing w:after="0"/>
              <w:rPr>
                <w:sz w:val="20"/>
                <w:szCs w:val="20"/>
                <w:color w:val="auto"/>
              </w:rPr>
            </w:pPr>
            <w:r>
              <w:rPr>
                <w:rFonts w:ascii="Arial" w:cs="Arial" w:eastAsia="Arial" w:hAnsi="Arial"/>
                <w:sz w:val="14"/>
                <w:szCs w:val="14"/>
                <w:color w:val="auto"/>
                <w:w w:val="98"/>
              </w:rPr>
              <w:t>Long-term debt, net of current portion and deferred financing costs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834,317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834,317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Operating lease liabilities, net of current portion</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29,070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Payable to related party pursuant to tax receivable agreement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65,620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65,620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to affiliates</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153,369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15,890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(169,259)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Asset retirement obligation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6,237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Deferred tax liabilities, net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17,904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22,691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Other long-term liabilities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1,158,643</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33,988</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(169,259)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1,023,372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331,750</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162,491</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73,069</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(235,560)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331,750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331,750</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1,321,134</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107,057</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(404,819)</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1,355,122</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Verra Mobility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(Guarantor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Service revenue</w:t>
            </w:r>
          </w:p>
        </w:tc>
        <w:tc>
          <w:tcPr>
            <w:tcW w:w="3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59,784</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3,031</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62,815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Product sales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16,994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16,994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revenue</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76,778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3,031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79,809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Cost of product sales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9,060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24,926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19,649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w w:val="99"/>
              </w:rPr>
              <w:t>Depreciation, amortization and (gain) loss on disposal of assets,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27,876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29,166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costs and expenses</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81,962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4,797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86,759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Loss from operations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(5,184)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(1,766)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(6,950)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from equity investment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15,388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(16,909)</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9,540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from tax receivable agreement adjustment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155"/>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other expenses (income)</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15,388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14,013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(16,909)</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12,462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spacing w:after="0" w:line="155" w:lineRule="exact"/>
              <w:rPr>
                <w:sz w:val="20"/>
                <w:szCs w:val="20"/>
                <w:color w:val="auto"/>
              </w:rPr>
            </w:pPr>
            <w:r>
              <w:rPr>
                <w:rFonts w:ascii="Arial" w:cs="Arial" w:eastAsia="Arial" w:hAnsi="Arial"/>
                <w:sz w:val="14"/>
                <w:szCs w:val="14"/>
                <w:color w:val="auto"/>
              </w:rPr>
              <w:t>Loss before income tax benefit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(15,388)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(19,197)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(1,736)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16,909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(19,412)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benefit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(3,809)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(4,024)</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FF0FC"/>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Net loss</w:t>
            </w:r>
          </w:p>
        </w:tc>
        <w:tc>
          <w:tcPr>
            <w:tcW w:w="34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(15,388)</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(15,388)</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16,909</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(15,388)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2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Other comprehensive loss:</w:t>
            </w: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Change in foreign currency translation adjustment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bottom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comprehensive loss</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(15,388)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(15,388)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(2,029)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16,909</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(15,896)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Verra Mobility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(Guarantor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Service revenue</w:t>
            </w:r>
          </w:p>
        </w:tc>
        <w:tc>
          <w:tcPr>
            <w:tcW w:w="3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155,434</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6,878</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162,312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Product sales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34,210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34,210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revenue</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189,644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6,878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196,522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Cost of product sales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17,750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55,504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3,454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58,958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43,624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w w:val="99"/>
              </w:rPr>
              <w:t>Depreciation, amortization and (gain) loss on disposal of assets,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55,871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58,412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costs and expenses</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173,868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10,191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184,059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15,776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(3,313)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12,463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from equity investment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8,715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(11,543)</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22,002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from tax receivable agreement adjustment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(4,381)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(4,448)</w:t>
            </w:r>
          </w:p>
        </w:tc>
        <w:tc>
          <w:tcPr>
            <w:tcW w:w="0" w:type="dxa"/>
            <w:vAlign w:val="bottom"/>
          </w:tcPr>
          <w:p>
            <w:pPr>
              <w:spacing w:after="0"/>
              <w:rPr>
                <w:sz w:val="1"/>
                <w:szCs w:val="1"/>
                <w:color w:val="auto"/>
              </w:rPr>
            </w:pPr>
          </w:p>
        </w:tc>
      </w:tr>
      <w:tr>
        <w:trPr>
          <w:trHeight w:val="155"/>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other expenses (income)</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8,715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24,895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(11,543)</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21,988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spacing w:after="0" w:line="155" w:lineRule="exact"/>
              <w:rPr>
                <w:sz w:val="20"/>
                <w:szCs w:val="20"/>
                <w:color w:val="auto"/>
              </w:rPr>
            </w:pPr>
            <w:r>
              <w:rPr>
                <w:rFonts w:ascii="Arial" w:cs="Arial" w:eastAsia="Arial" w:hAnsi="Arial"/>
                <w:sz w:val="14"/>
                <w:szCs w:val="14"/>
                <w:color w:val="auto"/>
              </w:rPr>
              <w:t>Loss before income tax benefit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(8,715)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(9,119)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(3,234)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11,543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(9,525)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benefit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(406)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FF0FC"/>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Net loss</w:t>
            </w:r>
          </w:p>
        </w:tc>
        <w:tc>
          <w:tcPr>
            <w:tcW w:w="34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(8,715)</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(2,828)</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11,543</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2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Other comprehensive loss:</w:t>
            </w: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Change in foreign currency translation adjustment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(3,875)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(3,875)</w:t>
            </w: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bottom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comprehensive loss</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(8,715)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(8,715)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(6,703)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11,543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(12,590)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Verra Mobility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Inc.</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(Guarantor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(Ultimate Parent)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Subsidiary)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4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(8,715)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(8,715)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(2,828)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11,543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(8,715)</w:t>
            </w:r>
          </w:p>
        </w:tc>
        <w:tc>
          <w:tcPr>
            <w:tcW w:w="0" w:type="dxa"/>
            <w:vAlign w:val="bottom"/>
          </w:tcPr>
          <w:p>
            <w:pPr>
              <w:spacing w:after="0"/>
              <w:rPr>
                <w:sz w:val="1"/>
                <w:szCs w:val="1"/>
                <w:color w:val="auto"/>
              </w:rPr>
            </w:pPr>
          </w:p>
        </w:tc>
      </w:tr>
      <w:tr>
        <w:trPr>
          <w:trHeight w:val="143"/>
        </w:trPr>
        <w:tc>
          <w:tcPr>
            <w:tcW w:w="454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w w:val="95"/>
              </w:rPr>
              <w:t>Adjustments to reconcile net loss to net cash provided by (used in) operating</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activities:</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ind w:left="26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55,873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2,536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58,409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Amortization of deferred financing costs and discounts</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ind w:left="260"/>
              <w:spacing w:after="0"/>
              <w:rPr>
                <w:sz w:val="20"/>
                <w:szCs w:val="20"/>
                <w:color w:val="auto"/>
              </w:rPr>
            </w:pPr>
            <w:r>
              <w:rPr>
                <w:rFonts w:ascii="Arial" w:cs="Arial" w:eastAsia="Arial" w:hAnsi="Arial"/>
                <w:sz w:val="14"/>
                <w:szCs w:val="14"/>
                <w:color w:val="auto"/>
              </w:rPr>
              <w:t>Loss from tax receivable agreement adjustment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Credit loss expense</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10,723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ind w:left="26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(1,869)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(2,496)</w:t>
            </w: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ind w:left="260"/>
              <w:spacing w:after="0"/>
              <w:rPr>
                <w:sz w:val="20"/>
                <w:szCs w:val="20"/>
                <w:color w:val="auto"/>
              </w:rPr>
            </w:pPr>
            <w:r>
              <w:rPr>
                <w:rFonts w:ascii="Arial" w:cs="Arial" w:eastAsia="Arial" w:hAnsi="Arial"/>
                <w:sz w:val="14"/>
                <w:szCs w:val="14"/>
                <w:color w:val="auto"/>
              </w:rPr>
              <w:t>Installation and service parts expense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Accretion expense</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ind w:left="260"/>
              <w:spacing w:after="0"/>
              <w:rPr>
                <w:sz w:val="20"/>
                <w:szCs w:val="20"/>
                <w:color w:val="auto"/>
              </w:rPr>
            </w:pPr>
            <w:r>
              <w:rPr>
                <w:rFonts w:ascii="Arial" w:cs="Arial" w:eastAsia="Arial" w:hAnsi="Arial"/>
                <w:sz w:val="14"/>
                <w:szCs w:val="14"/>
                <w:color w:val="auto"/>
              </w:rPr>
              <w:t>(Gain) loss on disposal of 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Loss from equity investment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8,715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(11,543)</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(44,969)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(43,183)</w:t>
            </w:r>
          </w:p>
        </w:tc>
        <w:tc>
          <w:tcPr>
            <w:tcW w:w="0" w:type="dxa"/>
            <w:vAlign w:val="bottom"/>
          </w:tcPr>
          <w:p>
            <w:pPr>
              <w:spacing w:after="0"/>
              <w:rPr>
                <w:sz w:val="1"/>
                <w:szCs w:val="1"/>
                <w:color w:val="auto"/>
              </w:rPr>
            </w:pPr>
          </w:p>
        </w:tc>
      </w:tr>
      <w:tr>
        <w:trPr>
          <w:trHeight w:val="162"/>
        </w:trPr>
        <w:tc>
          <w:tcPr>
            <w:tcW w:w="4540" w:type="dxa"/>
            <w:vAlign w:val="bottom"/>
            <w:gridSpan w:val="2"/>
          </w:tcPr>
          <w:p>
            <w:pPr>
              <w:ind w:left="260"/>
              <w:spacing w:after="0"/>
              <w:rPr>
                <w:sz w:val="20"/>
                <w:szCs w:val="20"/>
                <w:color w:val="auto"/>
              </w:rPr>
            </w:pPr>
            <w:r>
              <w:rPr>
                <w:rFonts w:ascii="Arial" w:cs="Arial" w:eastAsia="Arial" w:hAnsi="Arial"/>
                <w:sz w:val="14"/>
                <w:szCs w:val="14"/>
                <w:color w:val="auto"/>
              </w:rPr>
              <w:t>Unbilled receivables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ind w:left="260"/>
              <w:spacing w:after="0"/>
              <w:rPr>
                <w:sz w:val="20"/>
                <w:szCs w:val="20"/>
                <w:color w:val="auto"/>
              </w:rPr>
            </w:pPr>
            <w:r>
              <w:rPr>
                <w:rFonts w:ascii="Arial" w:cs="Arial" w:eastAsia="Arial" w:hAnsi="Arial"/>
                <w:sz w:val="14"/>
                <w:szCs w:val="14"/>
                <w:color w:val="auto"/>
              </w:rPr>
              <w:t>Accounts payable and accrued liabilities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(13,865)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(3,998)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(17,863)</w:t>
            </w: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Due to affiliates</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(2,027)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40" w:type="dxa"/>
            <w:vAlign w:val="bottom"/>
            <w:gridSpan w:val="2"/>
          </w:tcPr>
          <w:p>
            <w:pPr>
              <w:ind w:left="26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(3,069)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155"/>
        </w:trPr>
        <w:tc>
          <w:tcPr>
            <w:tcW w:w="454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23,268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22,543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w w:val="96"/>
              </w:rPr>
              <w:t>Purchases of installation and service parts and property and equipment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(12,825)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(1,476)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(14,301)</w:t>
            </w:r>
          </w:p>
        </w:tc>
        <w:tc>
          <w:tcPr>
            <w:tcW w:w="0" w:type="dxa"/>
            <w:vAlign w:val="bottom"/>
          </w:tcPr>
          <w:p>
            <w:pPr>
              <w:spacing w:after="0"/>
              <w:rPr>
                <w:sz w:val="1"/>
                <w:szCs w:val="1"/>
                <w:color w:val="auto"/>
              </w:rPr>
            </w:pPr>
          </w:p>
        </w:tc>
      </w:tr>
      <w:tr>
        <w:trPr>
          <w:trHeight w:val="162"/>
        </w:trPr>
        <w:tc>
          <w:tcPr>
            <w:tcW w:w="4540" w:type="dxa"/>
            <w:vAlign w:val="bottom"/>
            <w:gridSpan w:val="2"/>
          </w:tcPr>
          <w:p>
            <w:pPr>
              <w:ind w:left="260"/>
              <w:spacing w:after="0"/>
              <w:rPr>
                <w:sz w:val="20"/>
                <w:szCs w:val="20"/>
                <w:color w:val="auto"/>
              </w:rPr>
            </w:pPr>
            <w:r>
              <w:rPr>
                <w:rFonts w:ascii="Arial" w:cs="Arial" w:eastAsia="Arial" w:hAnsi="Arial"/>
                <w:sz w:val="14"/>
                <w:szCs w:val="14"/>
                <w:color w:val="auto"/>
              </w:rPr>
              <w:t>Cash proceeds from the sale of 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(12,776)</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(1,476)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(14,252)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Repayment of long-term debt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(24,227)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(24,227)</w:t>
            </w:r>
          </w:p>
        </w:tc>
        <w:tc>
          <w:tcPr>
            <w:tcW w:w="0" w:type="dxa"/>
            <w:vAlign w:val="bottom"/>
          </w:tcPr>
          <w:p>
            <w:pPr>
              <w:spacing w:after="0"/>
              <w:rPr>
                <w:sz w:val="1"/>
                <w:szCs w:val="1"/>
                <w:color w:val="auto"/>
              </w:rPr>
            </w:pPr>
          </w:p>
        </w:tc>
      </w:tr>
      <w:tr>
        <w:trPr>
          <w:trHeight w:val="162"/>
        </w:trPr>
        <w:tc>
          <w:tcPr>
            <w:tcW w:w="4540" w:type="dxa"/>
            <w:vAlign w:val="bottom"/>
            <w:gridSpan w:val="2"/>
          </w:tcPr>
          <w:p>
            <w:pPr>
              <w:ind w:left="260"/>
              <w:spacing w:after="0"/>
              <w:rPr>
                <w:sz w:val="20"/>
                <w:szCs w:val="20"/>
                <w:color w:val="auto"/>
              </w:rPr>
            </w:pPr>
            <w:r>
              <w:rPr>
                <w:rFonts w:ascii="Arial" w:cs="Arial" w:eastAsia="Arial" w:hAnsi="Arial"/>
                <w:sz w:val="14"/>
                <w:szCs w:val="14"/>
                <w:color w:val="auto"/>
              </w:rPr>
              <w:t>Payment of debt issuance costs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(922)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Payment of employee tax withholding related to RSU vesting</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(352)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55"/>
        </w:trPr>
        <w:tc>
          <w:tcPr>
            <w:tcW w:w="454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1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(25,501)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(25,501)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Net decrease in cash, cash equivalents and restricted cash</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(15,009)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(3,471)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(18,480)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cash equivalents and restricted cash - beginning of period</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114,286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18,144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Cash, cash equivalents and restricted cash - end of period</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99,277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113,950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Verra Mobility</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(Guarantor</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(Ultimate Parent)</w:t>
            </w: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Subsidiary)</w:t>
            </w: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Supplemental cash flow information:</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Interest paid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20,201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20,201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paid, net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20"/>
                <w:szCs w:val="20"/>
                <w:color w:val="auto"/>
              </w:rPr>
            </w:pPr>
            <w:r>
              <w:rPr>
                <w:rFonts w:ascii="Arial" w:cs="Arial" w:eastAsia="Arial" w:hAnsi="Arial"/>
                <w:sz w:val="14"/>
                <w:szCs w:val="14"/>
                <w:color w:val="auto"/>
              </w:rPr>
              <w:t>Supplemental non-cash investing and financing activities: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Earn-out shares issued to Platinum Stockholder</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Additions to ARO, property and equipment, and other</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4"/>
              </w:rPr>
              <w:t>Purchases of installation and service parts and property and equipment in accounts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payable and accrued liabilities at period-end</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together with our Annual Report on Form 10-K for the year ended December 31, 2019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II, Item IA. “Risk Factors” in this Quarterly Report on Form 10-Q and those set forth in Part I, Item 1A. “Risk Factors” in our Annual Report on Form 10-K for the year ended December 31, 2019. Please also refer to the section entitled “Cautionary Note Regarding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 Affecting Our Operating Results</w:t>
      </w:r>
    </w:p>
    <w:p>
      <w:pPr>
        <w:spacing w:after="0" w:line="189"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In December 2019, a novel coronavirus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emerged in China and has since spread throughout the world. The World Health Organization declared COVID-19 a pandemic in March 2020, and it continues to significantly disrupt the global economy. In the United States and abroad, many federal, state and local governments have instituted travel restrictions, stay-at-home orders, social distancing orders, and border closures in order to minimize the spread of the virus. We expect that COVID-19 will continue to have a significant negative impact on the global economy and travel industry, including rental car companies (“</w:t>
      </w:r>
      <w:r>
        <w:rPr>
          <w:rFonts w:ascii="Arial" w:cs="Arial" w:eastAsia="Arial" w:hAnsi="Arial"/>
          <w:sz w:val="18"/>
          <w:szCs w:val="18"/>
          <w:b w:val="1"/>
          <w:bCs w:val="1"/>
          <w:i w:val="1"/>
          <w:iCs w:val="1"/>
          <w:color w:val="auto"/>
        </w:rPr>
        <w:t>RACs</w:t>
      </w:r>
      <w:r>
        <w:rPr>
          <w:rFonts w:ascii="Arial" w:cs="Arial" w:eastAsia="Arial" w:hAnsi="Arial"/>
          <w:sz w:val="18"/>
          <w:szCs w:val="18"/>
          <w:color w:val="auto"/>
        </w:rPr>
        <w:t>”).</w:t>
      </w:r>
    </w:p>
    <w:p>
      <w:pPr>
        <w:spacing w:after="0" w:line="147"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Revenues from RACs in our Commercial Services segment have decreased significantly in the first half of fiscal 2020 as a result of reduced airline travel and widespread travel restrictions related to COVID-19. Our RAC customers are experiencing increased rental cancellations and declining forward bookings, and many are actively reducing fleet sizes in response to the decline in customer demand. On May 22, 2020, The Hertz Corporation (“</w:t>
      </w:r>
      <w:r>
        <w:rPr>
          <w:rFonts w:ascii="Arial" w:cs="Arial" w:eastAsia="Arial" w:hAnsi="Arial"/>
          <w:sz w:val="17"/>
          <w:szCs w:val="17"/>
          <w:b w:val="1"/>
          <w:bCs w:val="1"/>
          <w:i w:val="1"/>
          <w:iCs w:val="1"/>
          <w:color w:val="auto"/>
        </w:rPr>
        <w:t>Hertz</w:t>
      </w:r>
      <w:r>
        <w:rPr>
          <w:rFonts w:ascii="Arial" w:cs="Arial" w:eastAsia="Arial" w:hAnsi="Arial"/>
          <w:sz w:val="17"/>
          <w:szCs w:val="17"/>
          <w:color w:val="auto"/>
        </w:rPr>
        <w:t>”), one of our key Commercial Services customers, filed for bankruptcy protection under Chapter 11 of the U.S. Bankruptcy Code, as amended, in the United States Bankruptcy Court for the District of Delaware. The full extent and duration of COVID-19’s impact on the RAC industry and the financial health of our key RAC customers cannot be predicted at this time. These trends have had, and are expected to continue to have, a significant negative effect on revenues in our Commercial Services segment.</w:t>
      </w:r>
    </w:p>
    <w:p>
      <w:pPr>
        <w:spacing w:after="0" w:line="150"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In our Government Solutions segment, school closures resulting from the COVID-19 pandemic have negatively impacted revenues from our school bus stop arm camera and school zone speed camera products. More generally, reductions in vehicle traffic as a result of stay-at-home orders in jurisdictions where we operate photo enforcement programs, as well as temporary inactivity of school zone speed cameras and payment rates for photo enforcement tickets, have negatively impacted service revenue in our Government Solutions segment. We cannot predict the duration or full impact of COVID-19 on our overall business and results of operations at this time, but we expect the impact to continue into the third quarter of 2020.</w:t>
      </w:r>
    </w:p>
    <w:p>
      <w:pPr>
        <w:spacing w:after="0" w:line="12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As a precautionary measure taken in response to COVID-19, we shifted most of our workforce to remote operations in March 2020 and we have implemented changes in our physical locations to ensure social distancing. We have not experienced any significant disruptions in our operations as a result of these measures.</w:t>
      </w:r>
    </w:p>
    <w:p>
      <w:pPr>
        <w:spacing w:after="0" w:line="143"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 light of the extraordinary impact of COVID-19 and related containment measures on the global economy and our business, prior trends in our business may not be applicable to our operations for the duration of the pandemic.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We believe we are a leading provider of smart mobility technology solutions and services throughout the United States, Canada and Europe. These solutions and services include toll and violations management, title and registration, automated safety solutions, and other data-driven solutions, to our customers, which include RACs, fleet management companies (“</w:t>
      </w:r>
      <w:r>
        <w:rPr>
          <w:rFonts w:ascii="Arial" w:cs="Arial" w:eastAsia="Arial" w:hAnsi="Arial"/>
          <w:sz w:val="17"/>
          <w:szCs w:val="17"/>
          <w:b w:val="1"/>
          <w:bCs w:val="1"/>
          <w:i w:val="1"/>
          <w:iCs w:val="1"/>
          <w:color w:val="auto"/>
        </w:rPr>
        <w:t>FMC</w:t>
      </w:r>
      <w:r>
        <w:rPr>
          <w:rFonts w:ascii="Arial" w:cs="Arial" w:eastAsia="Arial" w:hAnsi="Arial"/>
          <w:sz w:val="17"/>
          <w:szCs w:val="17"/>
          <w:color w:val="auto"/>
        </w:rPr>
        <w:t>s”), other large fleet owners, municipalities, school districts and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and safety solutions for hundreds of agencies and millions of end users annually, while also making cities and roadways safer for everyone.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have two operating and reportable segments, Commercial Services and Government Solutions:</w:t>
      </w:r>
    </w:p>
    <w:p>
      <w:pPr>
        <w:spacing w:after="0" w:line="185" w:lineRule="exact"/>
        <w:rPr>
          <w:sz w:val="20"/>
          <w:szCs w:val="20"/>
          <w:color w:val="auto"/>
        </w:rPr>
      </w:pPr>
    </w:p>
    <w:p>
      <w:pPr>
        <w:jc w:val="both"/>
        <w:ind w:left="1200" w:hanging="396"/>
        <w:spacing w:after="0" w:line="263"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Commercial Services segment offers toll and violation management solutions, title and registration services for RACs and FMCs in North America. In Europe, we provide violations processing through Euro Parking Collection plc (“</w:t>
      </w:r>
      <w:r>
        <w:rPr>
          <w:rFonts w:ascii="Arial" w:cs="Arial" w:eastAsia="Arial" w:hAnsi="Arial"/>
          <w:sz w:val="18"/>
          <w:szCs w:val="18"/>
          <w:b w:val="1"/>
          <w:bCs w:val="1"/>
          <w:i w:val="1"/>
          <w:iCs w:val="1"/>
          <w:color w:val="auto"/>
        </w:rPr>
        <w:t>EPC</w:t>
      </w:r>
      <w:r>
        <w:rPr>
          <w:rFonts w:ascii="Arial" w:cs="Arial" w:eastAsia="Arial" w:hAnsi="Arial"/>
          <w:sz w:val="18"/>
          <w:szCs w:val="18"/>
          <w:color w:val="auto"/>
        </w:rPr>
        <w:t>”) and consumer tolling services through Pagatelia S.L (“</w:t>
      </w:r>
      <w:r>
        <w:rPr>
          <w:rFonts w:ascii="Arial" w:cs="Arial" w:eastAsia="Arial" w:hAnsi="Arial"/>
          <w:sz w:val="18"/>
          <w:szCs w:val="18"/>
          <w:b w:val="1"/>
          <w:bCs w:val="1"/>
          <w:i w:val="1"/>
          <w:iCs w:val="1"/>
          <w:color w:val="auto"/>
        </w:rPr>
        <w:t>Pagatelia</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200" w:hanging="396"/>
        <w:spacing w:after="0" w:line="342"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Government Solutions segment provides complete, end-to-end red-light, speed, school bus stop arm and bus lane enforcement solutions. We implement and administer traffic safety programs and products for municipalities and local government agencies of all sizes.</w:t>
      </w:r>
    </w:p>
    <w:p>
      <w:pPr>
        <w:spacing w:after="0" w:line="83"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color w:val="auto"/>
        </w:rPr>
        <w:t>Segment performance is based on revenues and (loss) income from operations before depreciation, amortization, gain (loss) on disposal of assets, net, and stock-based compensation. The measure also excludes interest expense, net, income taxes and is inclusive of other income,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We operate with long-term customer contracts and a highly reoccurring service revenue model. We continue to execute on our strategy of growing revenues with existing customers, expanding offerings into adjacent markets through innovation or acquisition and reducing operating costs. During the periods presented, we:</w:t>
      </w:r>
    </w:p>
    <w:p>
      <w:pPr>
        <w:spacing w:after="0" w:line="143" w:lineRule="exact"/>
        <w:rPr>
          <w:sz w:val="20"/>
          <w:szCs w:val="20"/>
          <w:color w:val="auto"/>
        </w:rPr>
      </w:pPr>
    </w:p>
    <w:p>
      <w:pPr>
        <w:jc w:val="both"/>
        <w:ind w:left="1200" w:hanging="396"/>
        <w:spacing w:after="0" w:line="263"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Generated total revenue of $196.5 million and $208.0 million during the six months ended June 30, 2020 and 2019, respectively. We grew product sales by $27.3 million year over year; however, due to the impact of COVID-19, our service revenue declined significantly, as discussed below.</w:t>
      </w:r>
    </w:p>
    <w:p>
      <w:pPr>
        <w:spacing w:after="0" w:line="143" w:lineRule="exact"/>
        <w:rPr>
          <w:rFonts w:ascii="Arial" w:cs="Arial" w:eastAsia="Arial" w:hAnsi="Arial"/>
          <w:sz w:val="18"/>
          <w:szCs w:val="18"/>
          <w:color w:val="auto"/>
        </w:rPr>
      </w:pPr>
    </w:p>
    <w:p>
      <w:pPr>
        <w:ind w:left="1200" w:right="20" w:hanging="396"/>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Generated cash flows from operating activities of $22.5 million and $45.8 million for the six months ended June 30, 2020 and 2019, respectively. Our cash on hand was $113.2 million as of June 30, 2020.</w:t>
      </w:r>
    </w:p>
    <w:p>
      <w:pPr>
        <w:spacing w:after="0" w:line="129" w:lineRule="exact"/>
        <w:rPr>
          <w:rFonts w:ascii="Arial" w:cs="Arial" w:eastAsia="Arial" w:hAnsi="Arial"/>
          <w:sz w:val="18"/>
          <w:szCs w:val="18"/>
          <w:color w:val="auto"/>
        </w:rPr>
      </w:pPr>
    </w:p>
    <w:p>
      <w:pPr>
        <w:jc w:val="both"/>
        <w:ind w:left="1200" w:hanging="396"/>
        <w:spacing w:after="0" w:line="263"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our financing costs by refinancing our term loan in February 2020, which reduced the applicable margin on our interest rate by 50 basis points. Our interest expense, net for the six months ended June 30, 2020 was $22.0 million, a $9.7 million decrease compared to $31.7 million in the same period in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Our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Total revenue consists of service revenue generated by our Commercial Services and Government Solutions segments and product sales generated by our Government Solutions segment.</w:t>
      </w:r>
    </w:p>
    <w:p>
      <w:pPr>
        <w:spacing w:after="0" w:line="130"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Our Commercial Services segment generates service revenue primarily through the management and operation of tolling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for RACs, FMCs and other large fleet customers. These solutions are full service offerings by which we enroll plates of our customers’ vehicles with tolling authorities, process payments on the customers’ behalf and, through proprietary technology, integrate with customer data to match the toll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registrations and violations for our customers.</w:t>
      </w:r>
    </w:p>
    <w:p>
      <w:pPr>
        <w:spacing w:after="0" w:line="15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Our Government Solutions segment generates service revenue through the operation and maintenance of photo enforcement systems. This revenue is generally tied to long-term contracts, and revenue is recognized either when services are performed or when citations are issued or paid, depending on the terms of the customer contract.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6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are generated by the sale of photo enforcement equipment to certain Government Solutions customers. A small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customers purchase this equipment, and their buying patterns vary greatly from period to period. We recognize product sales revenue when the equipment is accepted or installed.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98"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 xml:space="preserve">Cost of Service Revenue. </w:t>
      </w:r>
      <w:r>
        <w:rPr>
          <w:rFonts w:ascii="Arial" w:cs="Arial" w:eastAsia="Arial" w:hAnsi="Arial"/>
          <w:sz w:val="17"/>
          <w:szCs w:val="17"/>
          <w:color w:val="auto"/>
        </w:rPr>
        <w:t>Cost of service revenue consists of collection and other professional services provided by third parties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delivery of certain ancillary services performed by both our Government Solutions and Commercial Services segments.</w:t>
      </w:r>
    </w:p>
    <w:p>
      <w:pPr>
        <w:spacing w:after="0" w:line="106"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consists of the cost to acquire and install photo enforcement equipment purchased by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customers.</w:t>
      </w:r>
    </w:p>
    <w:p>
      <w:pPr>
        <w:spacing w:after="0" w:line="130"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Operating expenses include payroll and payroll-related costs (including stock-based compensation), costs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of our call centers and other operational costs, including transaction processing, print, postage and communication costs.</w:t>
      </w:r>
    </w:p>
    <w:p>
      <w:pPr>
        <w:spacing w:after="0" w:line="119"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include payroll and payroll-related costs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real estate lease expense, insurance costs, professional services fees and general corporate expenses.</w:t>
      </w:r>
    </w:p>
    <w:p>
      <w:pPr>
        <w:spacing w:after="0" w:line="10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Depreciation, Amortization and (Gain) Loss on Disposal of Assets, Net</w:t>
      </w:r>
      <w:r>
        <w:rPr>
          <w:rFonts w:ascii="Arial" w:cs="Arial" w:eastAsia="Arial" w:hAnsi="Arial"/>
          <w:sz w:val="18"/>
          <w:szCs w:val="18"/>
          <w:color w:val="auto"/>
        </w:rPr>
        <w:t>. 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depreciation on property, plant and equipment, and amortization of definite-lived intangible assets. This line item also includes any one-time gains or losses incurred in connection with the disposal of certain assets.</w:t>
      </w:r>
    </w:p>
    <w:p>
      <w:pPr>
        <w:spacing w:after="0" w:line="143"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includes interest expense and amortization of deferred financing costs and discounts and is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Loss from tax receivable agreement adjustment</w:t>
      </w:r>
      <w:r>
        <w:rPr>
          <w:rFonts w:ascii="Arial" w:cs="Arial" w:eastAsia="Arial" w:hAnsi="Arial"/>
          <w:sz w:val="16"/>
          <w:szCs w:val="16"/>
          <w:color w:val="auto"/>
        </w:rPr>
        <w:t>. This consists of adjustments made to the related party TRA liability due to changes in estimates.</w:t>
      </w:r>
    </w:p>
    <w:p>
      <w:pPr>
        <w:spacing w:after="0" w:line="208"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primarily consists of volume rebates from total spend on purchasing cards and gain or loss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8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were derived from exact numbers and may have immaterial rounding differences.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20" w:type="dxa"/>
            <w:vAlign w:val="bottom"/>
            <w:gridSpan w:val="4"/>
            <w:vMerge w:val="restart"/>
          </w:tcPr>
          <w:p>
            <w:pPr>
              <w:jc w:val="right"/>
              <w:ind w:right="920"/>
              <w:spacing w:after="0"/>
              <w:rPr>
                <w:sz w:val="20"/>
                <w:szCs w:val="20"/>
                <w:color w:val="auto"/>
              </w:rPr>
            </w:pPr>
            <w:r>
              <w:rPr>
                <w:rFonts w:ascii="Arial" w:cs="Arial" w:eastAsia="Arial" w:hAnsi="Arial"/>
                <w:sz w:val="14"/>
                <w:szCs w:val="14"/>
                <w:b w:val="1"/>
                <w:bCs w:val="1"/>
                <w:color w:val="auto"/>
              </w:rPr>
              <w:t>Percentage of Revenue</w:t>
            </w:r>
          </w:p>
        </w:tc>
        <w:tc>
          <w:tcPr>
            <w:tcW w:w="220" w:type="dxa"/>
            <w:vAlign w:val="bottom"/>
          </w:tcPr>
          <w:p>
            <w:pPr>
              <w:spacing w:after="0"/>
              <w:rPr>
                <w:sz w:val="11"/>
                <w:szCs w:val="11"/>
                <w:color w:val="auto"/>
              </w:rPr>
            </w:pPr>
          </w:p>
        </w:tc>
        <w:tc>
          <w:tcPr>
            <w:tcW w:w="1740" w:type="dxa"/>
            <w:vAlign w:val="bottom"/>
            <w:gridSpan w:val="4"/>
          </w:tcPr>
          <w:p>
            <w:pPr>
              <w:jc w:val="center"/>
              <w:ind w:right="17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4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8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1"/>
              </w:rPr>
              <w:t>2020 vs 2019</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80" w:type="dxa"/>
            <w:vAlign w:val="bottom"/>
            <w:gridSpan w:val="2"/>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62,815</w:t>
            </w:r>
          </w:p>
        </w:tc>
        <w:tc>
          <w:tcPr>
            <w:tcW w:w="160" w:type="dxa"/>
            <w:vAlign w:val="bottom"/>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103,057</w:t>
            </w: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78.7%</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94.1%</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(40,242)</w:t>
            </w:r>
          </w:p>
        </w:tc>
        <w:tc>
          <w:tcPr>
            <w:tcW w:w="2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16,994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6,518</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21.3%</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5.9%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10,476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160.7%</w:t>
            </w: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(27.2)%</w:t>
            </w:r>
          </w:p>
        </w:tc>
        <w:tc>
          <w:tcPr>
            <w:tcW w:w="0" w:type="dxa"/>
            <w:vAlign w:val="bottom"/>
          </w:tcPr>
          <w:p>
            <w:pPr>
              <w:spacing w:after="0" w:line="20" w:lineRule="exact"/>
              <w:rPr>
                <w:sz w:val="1"/>
                <w:szCs w:val="1"/>
                <w:color w:val="auto"/>
              </w:rPr>
            </w:pPr>
          </w:p>
        </w:tc>
      </w:tr>
      <w:tr>
        <w:trPr>
          <w:trHeight w:val="210"/>
        </w:trPr>
        <w:tc>
          <w:tcPr>
            <w:tcW w:w="34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79,809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109,575</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(29,766)</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1,613</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1.3%</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(600)</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9,060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2,918</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11.4%</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2.7%</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6,142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210.5%</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31,795</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33.4%</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29.0%</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(5,096)</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20,865</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26.1%</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19.0%</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(44)</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198"/>
        </w:trPr>
        <w:tc>
          <w:tcPr>
            <w:tcW w:w="348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8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28,850</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36.5%</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26.3%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8"/>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5.4%</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(5,898)</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 costs and expenses</w:t>
            </w: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(5.6)%</w:t>
            </w:r>
          </w:p>
        </w:tc>
        <w:tc>
          <w:tcPr>
            <w:tcW w:w="0" w:type="dxa"/>
            <w:vAlign w:val="bottom"/>
          </w:tcPr>
          <w:p>
            <w:pPr>
              <w:spacing w:after="0" w:line="20" w:lineRule="exact"/>
              <w:rPr>
                <w:sz w:val="1"/>
                <w:szCs w:val="1"/>
                <w:color w:val="auto"/>
              </w:rPr>
            </w:pPr>
          </w:p>
        </w:tc>
      </w:tr>
      <w:tr>
        <w:trPr>
          <w:trHeight w:val="209"/>
        </w:trPr>
        <w:tc>
          <w:tcPr>
            <w:tcW w:w="3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86,759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91,939</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108.7%</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83.9%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(5,180)</w:t>
            </w:r>
          </w:p>
        </w:tc>
        <w:tc>
          <w:tcPr>
            <w:tcW w:w="2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(Loss) income from operations</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(139.4)%</w:t>
            </w:r>
          </w:p>
        </w:tc>
        <w:tc>
          <w:tcPr>
            <w:tcW w:w="0" w:type="dxa"/>
            <w:vAlign w:val="bottom"/>
          </w:tcPr>
          <w:p>
            <w:pPr>
              <w:spacing w:after="0" w:line="20" w:lineRule="exact"/>
              <w:rPr>
                <w:sz w:val="1"/>
                <w:szCs w:val="1"/>
                <w:color w:val="auto"/>
              </w:rPr>
            </w:pPr>
          </w:p>
        </w:tc>
      </w:tr>
      <w:tr>
        <w:trPr>
          <w:trHeight w:val="209"/>
        </w:trPr>
        <w:tc>
          <w:tcPr>
            <w:tcW w:w="34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(6,950)</w:t>
            </w:r>
          </w:p>
        </w:tc>
        <w:tc>
          <w:tcPr>
            <w:tcW w:w="1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17,636</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(8.7)%</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16.1%</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(24,586)</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15,656</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11.9%</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14.3%</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(6,117)</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6"/>
              </w:rPr>
              <w:t>Loss from tax receivable agreement adjustment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5.6%</w:t>
            </w:r>
          </w:p>
        </w:tc>
        <w:tc>
          <w:tcPr>
            <w:tcW w:w="1400" w:type="dxa"/>
            <w:vAlign w:val="bottom"/>
            <w:tcBorders>
              <w:right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(1,523)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(3,345)</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other expenses</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1.2%</w:t>
            </w:r>
          </w:p>
        </w:tc>
        <w:tc>
          <w:tcPr>
            <w:tcW w:w="0" w:type="dxa"/>
            <w:vAlign w:val="bottom"/>
          </w:tcPr>
          <w:p>
            <w:pPr>
              <w:spacing w:after="0" w:line="20" w:lineRule="exact"/>
              <w:rPr>
                <w:sz w:val="1"/>
                <w:szCs w:val="1"/>
                <w:color w:val="auto"/>
              </w:rPr>
            </w:pPr>
          </w:p>
        </w:tc>
      </w:tr>
      <w:tr>
        <w:trPr>
          <w:trHeight w:val="209"/>
        </w:trPr>
        <w:tc>
          <w:tcPr>
            <w:tcW w:w="34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12,311</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15.6%</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11.2%</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480" w:type="dxa"/>
            <w:vAlign w:val="bottom"/>
            <w:gridSpan w:val="2"/>
          </w:tcPr>
          <w:p>
            <w:pPr>
              <w:spacing w:after="0" w:line="192" w:lineRule="exact"/>
              <w:rPr>
                <w:sz w:val="20"/>
                <w:szCs w:val="20"/>
                <w:color w:val="auto"/>
              </w:rPr>
            </w:pPr>
            <w:r>
              <w:rPr>
                <w:rFonts w:ascii="Arial" w:cs="Arial" w:eastAsia="Arial" w:hAnsi="Arial"/>
                <w:sz w:val="17"/>
                <w:szCs w:val="17"/>
                <w:color w:val="auto"/>
              </w:rPr>
              <w:t>(Loss) income before income tax (benefit)</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80" w:type="dxa"/>
            <w:vAlign w:val="bottom"/>
            <w:gridSpan w:val="2"/>
          </w:tcPr>
          <w:p>
            <w:pPr>
              <w:spacing w:after="0"/>
              <w:rPr>
                <w:sz w:val="20"/>
                <w:szCs w:val="20"/>
                <w:color w:val="auto"/>
              </w:rPr>
            </w:pPr>
            <w:r>
              <w:rPr>
                <w:rFonts w:ascii="Arial" w:cs="Arial" w:eastAsia="Arial" w:hAnsi="Arial"/>
                <w:sz w:val="17"/>
                <w:szCs w:val="17"/>
                <w:color w:val="auto"/>
              </w:rPr>
              <w:t>provision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(19,412)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5,325</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(24.3)%</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(24,737)</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(464.5)%</w:t>
            </w:r>
          </w:p>
        </w:tc>
        <w:tc>
          <w:tcPr>
            <w:tcW w:w="0" w:type="dxa"/>
            <w:vAlign w:val="bottom"/>
          </w:tcPr>
          <w:p>
            <w:pPr>
              <w:spacing w:after="0"/>
              <w:rPr>
                <w:sz w:val="1"/>
                <w:szCs w:val="1"/>
                <w:color w:val="auto"/>
              </w:rPr>
            </w:pPr>
          </w:p>
        </w:tc>
      </w:tr>
      <w:tr>
        <w:trPr>
          <w:trHeight w:val="218"/>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(benefit) provision</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(4,024)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1,734</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(5.0)%</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(5,758)</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(332.1)%</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Net (loss) income</w:t>
            </w: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26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(528.5)%</w:t>
            </w:r>
          </w:p>
        </w:tc>
        <w:tc>
          <w:tcPr>
            <w:tcW w:w="0" w:type="dxa"/>
            <w:vAlign w:val="bottom"/>
          </w:tcPr>
          <w:p>
            <w:pPr>
              <w:spacing w:after="0" w:line="20" w:lineRule="exact"/>
              <w:rPr>
                <w:sz w:val="1"/>
                <w:szCs w:val="1"/>
                <w:color w:val="auto"/>
              </w:rPr>
            </w:pPr>
          </w:p>
        </w:tc>
      </w:tr>
      <w:tr>
        <w:trPr>
          <w:trHeight w:val="209"/>
        </w:trPr>
        <w:tc>
          <w:tcPr>
            <w:tcW w:w="34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(15,388)</w:t>
            </w:r>
          </w:p>
        </w:tc>
        <w:tc>
          <w:tcPr>
            <w:tcW w:w="1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3,591</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(19.3)%</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3.3%</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(18,979</w:t>
            </w:r>
          </w:p>
        </w:tc>
        <w:tc>
          <w:tcPr>
            <w:tcW w:w="2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decreased by $40.2 million, or 39.0%, to $62.8 million for the three months ended June 30,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$103.0 million for the three months ended June 30, 2019, representing 78.7% and 94.1% of total revenue, respectively. The following table depicts service revenue by segment: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6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2000" w:type="dxa"/>
            <w:vAlign w:val="bottom"/>
            <w:gridSpan w:val="4"/>
          </w:tcPr>
          <w:p>
            <w:pPr>
              <w:jc w:val="center"/>
              <w:ind w:right="19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174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1"/>
              </w:rPr>
              <w:t>2020 vs 2019</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8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10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27,272</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68,091</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62.2%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(40,819)</w:t>
            </w: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34,966</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44.5%</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8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line="20" w:lineRule="exact"/>
              <w:rPr>
                <w:sz w:val="1"/>
                <w:szCs w:val="1"/>
                <w:color w:val="auto"/>
              </w:rPr>
            </w:pPr>
          </w:p>
        </w:tc>
      </w:tr>
      <w:tr>
        <w:trPr>
          <w:trHeight w:val="223"/>
        </w:trPr>
        <w:tc>
          <w:tcPr>
            <w:tcW w:w="2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62,815</w:t>
            </w:r>
          </w:p>
        </w:tc>
        <w:tc>
          <w:tcPr>
            <w:tcW w:w="26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103,057</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78.7%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94.1%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(40,242)</w:t>
            </w:r>
          </w:p>
        </w:tc>
        <w:tc>
          <w:tcPr>
            <w:tcW w:w="2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Commercial Services service revenue decreased by $40.8 million, or 60%, from $68.1 million for the three months ended June 30, 2019 to $27.3 million for the three months ended June 30, 2020. This decrease was primarily due to the COVID-19 pandemic and related containment measures, which continue to have a significant negative impact on the RAC industry. Reduced airline travel and widespread travel restrictions beginning in March 2020 have continued in the second quarter, resulting in rental cancellations and declining forward bookings. Our revenues from RAC customers are anticipated to decrease for the remainder of fiscal 2020 as a result of COVID-19, and the full extent and duration of this impact is not yet known.</w:t>
      </w:r>
    </w:p>
    <w:p>
      <w:pPr>
        <w:spacing w:after="0" w:line="121"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Government Solutions service revenue includes revenue from red-light, speed, school bus stop arm and bus lane photo enforcement systems. Service revenue increased by $0.6 million to $35.5 million for the three months ended June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2" w:name="page33"/>
    <w:bookmarkEnd w:id="32"/>
    <w:p>
      <w:pPr>
        <w:jc w:val="both"/>
        <w:spacing w:after="0" w:line="290" w:lineRule="auto"/>
        <w:rPr>
          <w:sz w:val="20"/>
          <w:szCs w:val="20"/>
          <w:color w:val="auto"/>
        </w:rPr>
      </w:pPr>
      <w:r>
        <w:rPr>
          <w:rFonts w:ascii="Arial" w:cs="Arial" w:eastAsia="Arial" w:hAnsi="Arial"/>
          <w:sz w:val="16"/>
          <w:szCs w:val="16"/>
          <w:color w:val="auto"/>
        </w:rPr>
        <w:t>from $34.9 million for the three months ended June 30, 2019. The increase is primarily due to a $4.8 million increase in speed program revenue during the three months ended June 30, 2020 compared to the same period in 2019, resulting from the increase in the total number of camera systems installed. The increase in total installed cameras was partially offset by temporarily inactive school-zone speed cameras due to COVID-19. Our red-light photo enforcement service revenue declined $2.8 million during the three months ended June 30, 2020 compared to the same period in 2019 which was primarily due to a $1.3 million decline from the loss of certain Texas programs and the remaining from the impact of COVID-19. We also had a $1.6 million service revenue decline from the suspension of school bus stop arm cameras as school buses were not operating. Service revenue overall for the quarter was negatively impacted by COVID-19 which led to reduction in vehicle traffic as a result of widespread stay-at-home orders and early school closures. To the extent that stay-at-home orders and school closures continue, we anticipate a negative impact in future quarters from COVID-19.</w:t>
      </w:r>
    </w:p>
    <w:p>
      <w:pPr>
        <w:spacing w:after="0" w:line="138"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There were an average of 3,293 active camera systems during the three months ended June 30, 2020 compared to an average of 4,636 for the three months ended June 30, 2019. The decline in active camera systems was primarily due to 1,920 cameras that were temporarily inactive due to COVID-19, and the loss of Texas programs noted above. These declines were partially offset by the expansion of speed enforcement systems with existing customers.</w:t>
      </w:r>
    </w:p>
    <w:p>
      <w:pPr>
        <w:spacing w:after="0" w:line="146"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Product sales of $17.0 million for the three months ended June 30, 2020 include revenue generated from Government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who purchased their equipment. Product sales increased by $10.5 million compared to $6.5 million for the same period in 2019 which was primarily driven by sales to a single customer that is currently expanding its existing school zone speed program.</w:t>
      </w:r>
    </w:p>
    <w:p>
      <w:pPr>
        <w:spacing w:after="0" w:line="12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decreased from $1.6 million for the three months ended June 30, 2019 to $1.0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2020. The decrease resulted from decreased costs of collection and other third-party professional services and associated with the delivery of certain ancillary services performed by both of our segments.</w:t>
      </w:r>
    </w:p>
    <w:p>
      <w:pPr>
        <w:spacing w:after="0" w:line="157"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by $6.1 million from $2.9 million in the three months ended June 30,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$9.0 million in the same period in 2020, and was consistent with the increase in product sales.</w:t>
      </w:r>
    </w:p>
    <w:p>
      <w:pPr>
        <w:spacing w:after="0" w:line="130"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decreased by $5.1 million, or 16.0%, from $31.8 million for the three months ended June 30,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$26.7 million for the three months ended June 30, 2020. The decrease was primarily attributable to lower employee wage expense due to furloughs and reduced hours, transaction processing and related costs in our Commercial Services segment as a result of COVID-19. Operating expenses as a percentage of total revenue increased from 29.0% to 33.4% for the three months ended June 30, 2019 and 2020, respectively. The following table presents operating expenses by segment: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68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1"/>
              </w:rPr>
              <w:t>2020 vs 2019</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16,722</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(5,972)</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14,801</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19.6%</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9"/>
        </w:trPr>
        <w:tc>
          <w:tcPr>
            <w:tcW w:w="3680" w:type="dxa"/>
            <w:vAlign w:val="bottom"/>
            <w:gridSpan w:val="2"/>
          </w:tcPr>
          <w:p>
            <w:pPr>
              <w:spacing w:after="0"/>
              <w:rPr>
                <w:sz w:val="20"/>
                <w:szCs w:val="20"/>
                <w:color w:val="auto"/>
              </w:rPr>
            </w:pPr>
            <w:r>
              <w:rPr>
                <w:rFonts w:ascii="Arial" w:cs="Arial" w:eastAsia="Arial" w:hAnsi="Arial"/>
                <w:sz w:val="18"/>
                <w:szCs w:val="18"/>
                <w:color w:val="auto"/>
              </w:rPr>
              <w:t>Total operating expenses before stock-based</w:t>
            </w: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26,405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31,523</w:t>
            </w:r>
          </w:p>
        </w:tc>
        <w:tc>
          <w:tcPr>
            <w:tcW w:w="2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(5,118)</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line="20" w:lineRule="exact"/>
              <w:rPr>
                <w:sz w:val="1"/>
                <w:szCs w:val="1"/>
                <w:color w:val="auto"/>
              </w:rPr>
            </w:pPr>
          </w:p>
        </w:tc>
      </w:tr>
      <w:tr>
        <w:trPr>
          <w:trHeight w:val="223"/>
        </w:trPr>
        <w:tc>
          <w:tcPr>
            <w:tcW w:w="368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26,699</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31,795</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8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(5,096)</w:t>
            </w:r>
          </w:p>
        </w:tc>
        <w:tc>
          <w:tcPr>
            <w:tcW w:w="2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33"/>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jc w:val="both"/>
        <w:ind w:firstLine="802"/>
        <w:spacing w:after="0" w:line="25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remained consistent at $20.8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compared to $20.9 million for the same period in 2019. The current quarter includes a $5.4 million credit loss expense related to the CECL standard, which is further discussed in the notes to the condensed consolidated financial statements. The credit loss expense increased $3.9 million compared to the 2019 period, and is partially offset by an aggregate $2.7 million decrease in costs related to the bonus expense as a result of eliminating the bonus accrual, marketing and non-essential travel. Selling, general and administrative expenses as a percentage of total revenue increased from 19.0% to 26.1 % for the three months ended June 30, 2019 and 2020, respectively. The following table presents selling, general and administrative expenses by segment: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2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1"/>
              </w:rPr>
              <w:t>2020 vs 2019</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10,191</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9,629</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7,561</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(632)</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before stock-based compensation</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18,325</w:t>
            </w: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22.4%</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2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2,540</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selling, general and administrative expenses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8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line="20" w:lineRule="exact"/>
              <w:rPr>
                <w:sz w:val="1"/>
                <w:szCs w:val="1"/>
                <w:color w:val="auto"/>
              </w:rPr>
            </w:pPr>
          </w:p>
        </w:tc>
      </w:tr>
      <w:tr>
        <w:trPr>
          <w:trHeight w:val="223"/>
        </w:trPr>
        <w:tc>
          <w:tcPr>
            <w:tcW w:w="422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20,821</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20,865</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26.1%</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Depreciation, Amortization and Gain or Loss on Disposal of Assets, Net. </w:t>
      </w:r>
      <w:r>
        <w:rPr>
          <w:rFonts w:ascii="Arial" w:cs="Arial" w:eastAsia="Arial" w:hAnsi="Arial"/>
          <w:sz w:val="18"/>
          <w:szCs w:val="18"/>
          <w:color w:val="auto"/>
        </w:rPr>
        <w:t>Depreciation, amortization and gain or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slightly from $28.9 million for the three months ended June 30, 2019 to $29.2 million for the same period in 2020. The increase is primarily due to the increased amortization expense resulting from the Pagatelia acquisition included in the three months ended June 30, 2020 with no comparable amount in the prior year.</w:t>
      </w:r>
    </w:p>
    <w:p>
      <w:pPr>
        <w:spacing w:after="0" w:line="14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Impairment of Property and Equipment</w:t>
      </w:r>
      <w:r>
        <w:rPr>
          <w:rFonts w:ascii="Arial" w:cs="Arial" w:eastAsia="Arial" w:hAnsi="Arial"/>
          <w:sz w:val="18"/>
          <w:szCs w:val="18"/>
          <w:color w:val="auto"/>
        </w:rPr>
        <w:t>. Impairment of property and equipment for the three months ended June 30, 2019 includes a $5.9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impairment charge as a result of legislation that banned most red-light photo enforcement programs in Texas on June 1, 2019, which was in the Government Solutions segment.</w:t>
      </w:r>
    </w:p>
    <w:p>
      <w:pPr>
        <w:spacing w:after="0" w:line="157"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$6.1 million from $15.6 million for the three months ended June 30, 2019 to $9.5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2020. This decrease is primarily as a result of lower interest rates coupled with the refinancing of our First Lien Term Loan (as defined and discussed below) in February 2020, which reduced the applicable margin on the interest rate by 50 basis points. See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w:t>
      </w:r>
      <w:r>
        <w:rPr>
          <w:rFonts w:ascii="Arial" w:cs="Arial" w:eastAsia="Arial" w:hAnsi="Arial"/>
          <w:sz w:val="18"/>
          <w:szCs w:val="18"/>
          <w:color w:val="auto"/>
        </w:rPr>
        <w:t>.”</w:t>
      </w:r>
    </w:p>
    <w:p>
      <w:pPr>
        <w:spacing w:after="0" w:line="14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Loss from Tax Receivable Agreement Adjustment</w:t>
      </w:r>
      <w:r>
        <w:rPr>
          <w:rFonts w:ascii="Arial" w:cs="Arial" w:eastAsia="Arial" w:hAnsi="Arial"/>
          <w:sz w:val="18"/>
          <w:szCs w:val="18"/>
          <w:color w:val="auto"/>
        </w:rPr>
        <w:t>. We recorded a $4.4 million charge to Loss from tax receivable agreement adjustment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2020. The adjustment reflects the impact of an increase to the Company’s deferred tax rate arising from higher estimated state tax rates due to a change in apportionment.</w:t>
      </w:r>
    </w:p>
    <w:p>
      <w:pPr>
        <w:spacing w:after="0" w:line="143"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We pay a high volume of tolls on behalf of our customers with purchasing cards which generate rebates based on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terms and rebate frequency. Other income, net was $1.5 million for the three months ended June 30, 2020, compared to $3.3 million for the three months ended June 30, 2019. The decrease of $1.8 million was primarily due to the decreased volume in purchasing card rebates as a result of COVID-19 impacting toll usage. We anticipate lower rebates for the remainder of 2020.</w:t>
      </w:r>
    </w:p>
    <w:p>
      <w:pPr>
        <w:spacing w:after="0" w:line="16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Income Tax (Benefit) Provision. </w:t>
      </w:r>
      <w:r>
        <w:rPr>
          <w:rFonts w:ascii="Arial" w:cs="Arial" w:eastAsia="Arial" w:hAnsi="Arial"/>
          <w:sz w:val="18"/>
          <w:szCs w:val="18"/>
          <w:color w:val="auto"/>
        </w:rPr>
        <w:t>Income tax benefit was $(4.0) million representing an effective tax benefit of (20.7)%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compared to a tax provision of $1.7 million, representing an effective tax rate of 32.6 % for the same period in 2019. The effective tax rate change was primarily due to lower pre-tax income in the current period, resulting in the Company’s permanent book and tax differences having a proportionately greater impact on the effective tax rate in the current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both"/>
        <w:ind w:firstLine="802"/>
        <w:spacing w:after="0" w:line="255" w:lineRule="auto"/>
        <w:rPr>
          <w:sz w:val="20"/>
          <w:szCs w:val="20"/>
          <w:color w:val="auto"/>
        </w:rPr>
      </w:pPr>
      <w:r>
        <w:rPr>
          <w:rFonts w:ascii="Arial" w:cs="Arial" w:eastAsia="Arial" w:hAnsi="Arial"/>
          <w:sz w:val="18"/>
          <w:szCs w:val="18"/>
          <w:i w:val="1"/>
          <w:iCs w:val="1"/>
          <w:color w:val="auto"/>
        </w:rPr>
        <w:t xml:space="preserve">Net (Loss) Income. </w:t>
      </w:r>
      <w:r>
        <w:rPr>
          <w:rFonts w:ascii="Arial" w:cs="Arial" w:eastAsia="Arial" w:hAnsi="Arial"/>
          <w:sz w:val="18"/>
          <w:szCs w:val="18"/>
          <w:color w:val="auto"/>
        </w:rPr>
        <w:t>We had a net loss of $(15.4) million for the three months ended June 30, 2020, as compared to net income of $3.6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2019. The $19.0 million change in net (loss) income was primarily due to the decline in revenue related to the impact of COVID-19 on our RAC customers, credit loss expense related to the CECL standard, loss from tax receivable agreement adjustment, and increased cost related to product sales. These decreases to income were partially offset by growth in product sales revenue, decrease in interest expense, net from lower interest rates and refinancing of our First Lien Term Loan in February 2020, and due to the impairment on property and equipment in the prior year for which there is no comparable amount in the current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8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were derived from exact numbers and may have immaterial rounding differences.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20" w:type="dxa"/>
            <w:vAlign w:val="bottom"/>
            <w:gridSpan w:val="4"/>
            <w:vMerge w:val="restart"/>
          </w:tcPr>
          <w:p>
            <w:pPr>
              <w:jc w:val="right"/>
              <w:ind w:right="920"/>
              <w:spacing w:after="0"/>
              <w:rPr>
                <w:sz w:val="20"/>
                <w:szCs w:val="20"/>
                <w:color w:val="auto"/>
              </w:rPr>
            </w:pPr>
            <w:r>
              <w:rPr>
                <w:rFonts w:ascii="Arial" w:cs="Arial" w:eastAsia="Arial" w:hAnsi="Arial"/>
                <w:sz w:val="14"/>
                <w:szCs w:val="14"/>
                <w:b w:val="1"/>
                <w:bCs w:val="1"/>
                <w:color w:val="auto"/>
              </w:rPr>
              <w:t>Percentage of Revenue</w:t>
            </w:r>
          </w:p>
        </w:tc>
        <w:tc>
          <w:tcPr>
            <w:tcW w:w="220" w:type="dxa"/>
            <w:vAlign w:val="bottom"/>
          </w:tcPr>
          <w:p>
            <w:pPr>
              <w:spacing w:after="0"/>
              <w:rPr>
                <w:sz w:val="11"/>
                <w:szCs w:val="11"/>
                <w:color w:val="auto"/>
              </w:rPr>
            </w:pPr>
          </w:p>
        </w:tc>
        <w:tc>
          <w:tcPr>
            <w:tcW w:w="1740" w:type="dxa"/>
            <w:vAlign w:val="bottom"/>
            <w:gridSpan w:val="4"/>
          </w:tcPr>
          <w:p>
            <w:pPr>
              <w:jc w:val="center"/>
              <w:ind w:right="17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4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8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1"/>
              </w:rPr>
              <w:t>2020 vs 2019</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80" w:type="dxa"/>
            <w:vAlign w:val="bottom"/>
            <w:gridSpan w:val="2"/>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162,312</w:t>
            </w:r>
          </w:p>
        </w:tc>
        <w:tc>
          <w:tcPr>
            <w:tcW w:w="160" w:type="dxa"/>
            <w:vAlign w:val="bottom"/>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201,127</w:t>
            </w: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82.6%</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96.7%</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(38,815)</w:t>
            </w:r>
          </w:p>
        </w:tc>
        <w:tc>
          <w:tcPr>
            <w:tcW w:w="2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34,210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6,909</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17.4%</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27,301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395.2%</w:t>
            </w: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(5.5)%</w:t>
            </w:r>
          </w:p>
        </w:tc>
        <w:tc>
          <w:tcPr>
            <w:tcW w:w="0" w:type="dxa"/>
            <w:vAlign w:val="bottom"/>
          </w:tcPr>
          <w:p>
            <w:pPr>
              <w:spacing w:after="0" w:line="20" w:lineRule="exact"/>
              <w:rPr>
                <w:sz w:val="1"/>
                <w:szCs w:val="1"/>
                <w:color w:val="auto"/>
              </w:rPr>
            </w:pPr>
          </w:p>
        </w:tc>
      </w:tr>
      <w:tr>
        <w:trPr>
          <w:trHeight w:val="210"/>
        </w:trPr>
        <w:tc>
          <w:tcPr>
            <w:tcW w:w="34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196,522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208,036</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(11,514)</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3,002</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1.1%</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(770)</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17,750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3,194</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9.1%</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14,556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455.7%</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58,958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61,133</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30.0%</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29.4%</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(2,175)</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46,707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41,416</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23.8%</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19.9%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5,291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198"/>
        </w:trPr>
        <w:tc>
          <w:tcPr>
            <w:tcW w:w="348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8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57,791</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29.7%</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27.8%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8"/>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(5,898)</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 costs and expenses</w:t>
            </w: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6.7%</w:t>
            </w:r>
          </w:p>
        </w:tc>
        <w:tc>
          <w:tcPr>
            <w:tcW w:w="0" w:type="dxa"/>
            <w:vAlign w:val="bottom"/>
          </w:tcPr>
          <w:p>
            <w:pPr>
              <w:spacing w:after="0" w:line="20" w:lineRule="exact"/>
              <w:rPr>
                <w:sz w:val="1"/>
                <w:szCs w:val="1"/>
                <w:color w:val="auto"/>
              </w:rPr>
            </w:pPr>
          </w:p>
        </w:tc>
      </w:tr>
      <w:tr>
        <w:trPr>
          <w:trHeight w:val="209"/>
        </w:trPr>
        <w:tc>
          <w:tcPr>
            <w:tcW w:w="3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184,059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172,434</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93.7%</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82.9%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11,625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Income from operations</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(65.0)%</w:t>
            </w:r>
          </w:p>
        </w:tc>
        <w:tc>
          <w:tcPr>
            <w:tcW w:w="0" w:type="dxa"/>
            <w:vAlign w:val="bottom"/>
          </w:tcPr>
          <w:p>
            <w:pPr>
              <w:spacing w:after="0" w:line="20" w:lineRule="exact"/>
              <w:rPr>
                <w:sz w:val="1"/>
                <w:szCs w:val="1"/>
                <w:color w:val="auto"/>
              </w:rPr>
            </w:pPr>
          </w:p>
        </w:tc>
      </w:tr>
      <w:tr>
        <w:trPr>
          <w:trHeight w:val="209"/>
        </w:trPr>
        <w:tc>
          <w:tcPr>
            <w:tcW w:w="34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35,602</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6.3%</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17.1%</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(23,139)</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21,990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31,689</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11.2%</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15.2%</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(9,699)</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6"/>
              </w:rPr>
              <w:t>Loss from tax receivable agreement adjustment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2.2%</w:t>
            </w:r>
          </w:p>
        </w:tc>
        <w:tc>
          <w:tcPr>
            <w:tcW w:w="1400" w:type="dxa"/>
            <w:vAlign w:val="bottom"/>
            <w:tcBorders>
              <w:right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(4,448)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(5,552)</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(2.6)%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1,104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other expenses</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line="20" w:lineRule="exact"/>
              <w:rPr>
                <w:sz w:val="1"/>
                <w:szCs w:val="1"/>
                <w:color w:val="auto"/>
              </w:rPr>
            </w:pPr>
          </w:p>
        </w:tc>
      </w:tr>
      <w:tr>
        <w:trPr>
          <w:trHeight w:val="210"/>
        </w:trPr>
        <w:tc>
          <w:tcPr>
            <w:tcW w:w="34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26,137</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11.1%</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12.6%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(4,149)</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480" w:type="dxa"/>
            <w:vAlign w:val="bottom"/>
            <w:gridSpan w:val="2"/>
          </w:tcPr>
          <w:p>
            <w:pPr>
              <w:spacing w:after="0" w:line="192" w:lineRule="exact"/>
              <w:rPr>
                <w:sz w:val="20"/>
                <w:szCs w:val="20"/>
                <w:color w:val="auto"/>
              </w:rPr>
            </w:pPr>
            <w:r>
              <w:rPr>
                <w:rFonts w:ascii="Arial" w:cs="Arial" w:eastAsia="Arial" w:hAnsi="Arial"/>
                <w:sz w:val="17"/>
                <w:szCs w:val="17"/>
                <w:color w:val="auto"/>
              </w:rPr>
              <w:t>(Loss) income before income tax (benefit)</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80" w:type="dxa"/>
            <w:vAlign w:val="bottom"/>
            <w:gridSpan w:val="2"/>
          </w:tcPr>
          <w:p>
            <w:pPr>
              <w:spacing w:after="0"/>
              <w:rPr>
                <w:sz w:val="20"/>
                <w:szCs w:val="20"/>
                <w:color w:val="auto"/>
              </w:rPr>
            </w:pPr>
            <w:r>
              <w:rPr>
                <w:rFonts w:ascii="Arial" w:cs="Arial" w:eastAsia="Arial" w:hAnsi="Arial"/>
                <w:sz w:val="17"/>
                <w:szCs w:val="17"/>
                <w:color w:val="auto"/>
              </w:rPr>
              <w:t>provision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(9,525)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9,465</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4.5%</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(18,990)</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(200.6)%</w:t>
            </w:r>
          </w:p>
        </w:tc>
        <w:tc>
          <w:tcPr>
            <w:tcW w:w="0" w:type="dxa"/>
            <w:vAlign w:val="bottom"/>
          </w:tcPr>
          <w:p>
            <w:pPr>
              <w:spacing w:after="0"/>
              <w:rPr>
                <w:sz w:val="1"/>
                <w:szCs w:val="1"/>
                <w:color w:val="auto"/>
              </w:rPr>
            </w:pPr>
          </w:p>
        </w:tc>
      </w:tr>
      <w:tr>
        <w:trPr>
          <w:trHeight w:val="218"/>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(benefit) provision</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(810)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3,054</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(0.4)%</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(3,864)</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(126.5)%</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Net (loss) income</w:t>
            </w: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26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(235.9)%</w:t>
            </w:r>
          </w:p>
        </w:tc>
        <w:tc>
          <w:tcPr>
            <w:tcW w:w="0" w:type="dxa"/>
            <w:vAlign w:val="bottom"/>
          </w:tcPr>
          <w:p>
            <w:pPr>
              <w:spacing w:after="0" w:line="20" w:lineRule="exact"/>
              <w:rPr>
                <w:sz w:val="1"/>
                <w:szCs w:val="1"/>
                <w:color w:val="auto"/>
              </w:rPr>
            </w:pPr>
          </w:p>
        </w:tc>
      </w:tr>
      <w:tr>
        <w:trPr>
          <w:trHeight w:val="209"/>
        </w:trPr>
        <w:tc>
          <w:tcPr>
            <w:tcW w:w="34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(8,715)</w:t>
            </w:r>
          </w:p>
        </w:tc>
        <w:tc>
          <w:tcPr>
            <w:tcW w:w="1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6,411</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(4.4)%</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3.1%</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(15,126</w:t>
            </w:r>
          </w:p>
        </w:tc>
        <w:tc>
          <w:tcPr>
            <w:tcW w:w="2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decreased by $38.8 million, or 19.3%, to $162.3 million for the six months ended June 30,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$201.1 million for the six months ended June 30, 2019, representing 82.6% and 96.7% of total revenue, respectively. The following table depicts service revenue by segment: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6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2000" w:type="dxa"/>
            <w:vAlign w:val="bottom"/>
            <w:gridSpan w:val="4"/>
          </w:tcPr>
          <w:p>
            <w:pPr>
              <w:jc w:val="center"/>
              <w:ind w:right="19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174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1"/>
              </w:rPr>
              <w:t>2020 vs 2019</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8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10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88,514</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130,679</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62.8%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(42,165)</w:t>
            </w: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70,448</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37.6%</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8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line="20" w:lineRule="exact"/>
              <w:rPr>
                <w:sz w:val="1"/>
                <w:szCs w:val="1"/>
                <w:color w:val="auto"/>
              </w:rPr>
            </w:pPr>
          </w:p>
        </w:tc>
      </w:tr>
      <w:tr>
        <w:trPr>
          <w:trHeight w:val="223"/>
        </w:trPr>
        <w:tc>
          <w:tcPr>
            <w:tcW w:w="2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162,312</w:t>
            </w:r>
          </w:p>
        </w:tc>
        <w:tc>
          <w:tcPr>
            <w:tcW w:w="26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201,127</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82.6%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96.7%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(38,815)</w:t>
            </w:r>
          </w:p>
        </w:tc>
        <w:tc>
          <w:tcPr>
            <w:tcW w:w="2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Commercial Services service revenue decreased by $42.2 million, or 32.3%, from $130.7 million for the six months ended June 30, 2019 to $88.5 million for the six months ended June 30, 2020. This decrease was primarily due to the COVID-19 pandemic and related containment measures, which continue to have a significant negative impact on the RAC industry beginning in March 2020. Reduced airline travel and widespread travel restrictions have continued and resulted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rental cancellations and declining forward bookings. We expect revenues from RAC customers to decrease in fiscal 2020 as a result of COVID-19, and the full extent and duration of its impact is not yet known.</w:t>
      </w:r>
    </w:p>
    <w:p>
      <w:pPr>
        <w:spacing w:after="0" w:line="130" w:lineRule="exact"/>
        <w:rPr>
          <w:sz w:val="20"/>
          <w:szCs w:val="20"/>
          <w:color w:val="auto"/>
        </w:rPr>
      </w:pPr>
    </w:p>
    <w:p>
      <w:pPr>
        <w:jc w:val="both"/>
        <w:ind w:firstLine="802"/>
        <w:spacing w:after="0" w:line="287" w:lineRule="auto"/>
        <w:rPr>
          <w:sz w:val="20"/>
          <w:szCs w:val="20"/>
          <w:color w:val="auto"/>
        </w:rPr>
      </w:pPr>
      <w:r>
        <w:rPr>
          <w:rFonts w:ascii="Arial" w:cs="Arial" w:eastAsia="Arial" w:hAnsi="Arial"/>
          <w:sz w:val="16"/>
          <w:szCs w:val="16"/>
          <w:color w:val="auto"/>
        </w:rPr>
        <w:t>Government Solutions service revenue includes revenue from red-light, speed, school bus stop arm and bus lane photo enforcement systems. Service revenue increased by $3.4 million to $73.8 million for the six months ended June 30, 2020 from $70.4 million for the six months ended June 30, 2019. Our red-light photo enforcement service revenue declined $5.5 million during the six months ended June 30, 2020 compared to the same period in</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2019. This was primarily due to a $3.2 million decline from the loss of certain Texas programs on June 1, 2019 due to a legislative change that banned most red-light photo enforcement programs in the state. The decline was also attributed to the impact from COVID-19 discussed below and the loss of several smaller programs and lower pricing per system. We discontinued our street light maintenance offering at the end of the first quarter of 2019, which resulted in a $0.8 million decrease for the six months ended June 30, 2020 compared to the same period in 2019. The street light maintenance offering was not part of our core business and did not meet our profitability criteria. We also had a $1.6 million service revenue decline from the suspension of school bus stop arm cameras as school buses were not operating. These declines were offset by speed program revenue, which grew approximately $10.7 million in the six months ended June 30, 2020, compared to the same period in 2019, due to an increase in the total number of camera systems installed.</w:t>
      </w:r>
    </w:p>
    <w:p>
      <w:pPr>
        <w:spacing w:after="0" w:line="141"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6"/>
          <w:szCs w:val="16"/>
          <w:color w:val="auto"/>
        </w:rPr>
        <w:t>There were an average of 4,147 active camera systems during the six months ended June 30, 2020 compared to an average of 4,620 for the six months ended June 30, 2019. The decline in active camera systems was primarily due to 960 cameras that are temporarily inactive due to COVID-19, and the loss of Texas programs noted above. These declines were partially offset by the expansion of speed enforcement systems with existing customers.</w:t>
      </w:r>
    </w:p>
    <w:p>
      <w:pPr>
        <w:spacing w:after="0" w:line="10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Service revenue for the year was negatively impacted from COVID-19 beginning in March which led to reduction in vehicle traffic as a result of stay-at-home orders and early school closures in certain jurisdictions in which we operate. To the extent that stay-at-home orders and school closures continue, we anticipate a negative impact in future quarters from COVID-19.</w:t>
      </w:r>
    </w:p>
    <w:p>
      <w:pPr>
        <w:spacing w:after="0" w:line="14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were $34.2 million for the six months ended June 30, 2020 which relate to revenue generated from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customers who purchased their equipment. Product sales increased by $27.3 million compared to $6.9 million in 2019 which was primarily driven by sales to a single customer that is currently expanding its existing school zone speed program.</w:t>
      </w:r>
    </w:p>
    <w:p>
      <w:pPr>
        <w:spacing w:after="0" w:line="15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decreased year over year, from $3.0 million for the six months ended June 30,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$2.2 million for the six months ended June 30, 2020. The decrease resulted from decreased costs of collection and other third-party professional services and associated with the delivery of certain ancillary services performed by both of our segments.</w:t>
      </w:r>
    </w:p>
    <w:p>
      <w:pPr>
        <w:spacing w:after="0" w:line="143"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by $14.6 million from $3.2 million in the six months ended June 30,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$17.8 million in the same period in 2020, and was consistent with the increase in product sales.</w:t>
      </w:r>
    </w:p>
    <w:p>
      <w:pPr>
        <w:spacing w:after="0" w:line="130" w:lineRule="exact"/>
        <w:rPr>
          <w:sz w:val="20"/>
          <w:szCs w:val="20"/>
          <w:color w:val="auto"/>
        </w:rPr>
      </w:pPr>
    </w:p>
    <w:p>
      <w:pPr>
        <w:jc w:val="both"/>
        <w:ind w:firstLine="802"/>
        <w:spacing w:after="0" w:line="30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decreased by $2.2 million, or 3.6%, from $61.1 million for the six months ended June 30, 2019 to</w:t>
      </w:r>
      <w:r>
        <w:rPr>
          <w:rFonts w:ascii="Arial" w:cs="Arial" w:eastAsia="Arial" w:hAnsi="Arial"/>
          <w:sz w:val="16"/>
          <w:szCs w:val="16"/>
          <w:i w:val="1"/>
          <w:iCs w:val="1"/>
          <w:color w:val="auto"/>
        </w:rPr>
        <w:t xml:space="preserve"> </w:t>
      </w:r>
      <w:r>
        <w:rPr>
          <w:rFonts w:ascii="Arial" w:cs="Arial" w:eastAsia="Arial" w:hAnsi="Arial"/>
          <w:sz w:val="16"/>
          <w:szCs w:val="16"/>
          <w:color w:val="auto"/>
        </w:rPr>
        <w:t>$58.9 million for the six months ended June 30, 2020. This decrease was primarily due to decreases in employee wages, transaction processing and related costs, which were partially offset by increases in subcontractor expenses and operational equipment costs. Operating expenses as a percentage of revenue increased from 29.4% to 30% for the six months ended June 30, 2019 and 2020, respectively. The following table presents operating expenses by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68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1"/>
              </w:rPr>
              <w:t>2020 vs 2019</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27,280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31,818</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(4,538)</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28,839</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15.8%</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3680" w:type="dxa"/>
            <w:vAlign w:val="bottom"/>
            <w:gridSpan w:val="2"/>
          </w:tcPr>
          <w:p>
            <w:pPr>
              <w:spacing w:after="0"/>
              <w:rPr>
                <w:sz w:val="20"/>
                <w:szCs w:val="20"/>
                <w:color w:val="auto"/>
              </w:rPr>
            </w:pPr>
            <w:r>
              <w:rPr>
                <w:rFonts w:ascii="Arial" w:cs="Arial" w:eastAsia="Arial" w:hAnsi="Arial"/>
                <w:sz w:val="18"/>
                <w:szCs w:val="18"/>
                <w:color w:val="auto"/>
              </w:rPr>
              <w:t>Total operating expenses before stock-based</w:t>
            </w: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58,444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60,657</w:t>
            </w:r>
          </w:p>
        </w:tc>
        <w:tc>
          <w:tcPr>
            <w:tcW w:w="2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(2,213)</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23"/>
        </w:trPr>
        <w:tc>
          <w:tcPr>
            <w:tcW w:w="368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58,958</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61,133</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(2,175)</w:t>
            </w:r>
          </w:p>
        </w:tc>
        <w:tc>
          <w:tcPr>
            <w:tcW w:w="2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33"/>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ind w:firstLine="802"/>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by $5.3 million to $46.7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2020 compared to $41.4 million for the same period in 2019. We recorded a $10.7 million credit loss expense during the year as a result of the new CECL accounting standard, discussed further in the notes to the condensed consolidated financial statements. This contributed $8.0 million to the increase, in addition to a $1.0 million increase in stock-based compensation expense. These increases were partially offset by an aggregate $3.6 million decrease in costs related to the bonus expense as a result of eliminating the bonus accrual, marketing and non-essential travel. Selling, general and administrative expenses as a percentage of revenue increased from 19.9% to 23.8% for the six months ended June 30, 2019 and 2020, respectively. The following table presents selling, general and administrative expenses by segment: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2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1"/>
              </w:rPr>
              <w:t>2020 vs 2019</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23,575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20,391</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3,184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15,411</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before stock-based compensation</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36,937</w:t>
            </w: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2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4,479</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selling, general and administrative expenses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line="20" w:lineRule="exact"/>
              <w:rPr>
                <w:sz w:val="1"/>
                <w:szCs w:val="1"/>
                <w:color w:val="auto"/>
              </w:rPr>
            </w:pPr>
          </w:p>
        </w:tc>
      </w:tr>
      <w:tr>
        <w:trPr>
          <w:trHeight w:val="223"/>
        </w:trPr>
        <w:tc>
          <w:tcPr>
            <w:tcW w:w="422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46,707</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41,416</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23.8%</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Depreciation, Amortization and Gain or Loss on Disposal of Assets, Net. </w:t>
      </w:r>
      <w:r>
        <w:rPr>
          <w:rFonts w:ascii="Arial" w:cs="Arial" w:eastAsia="Arial" w:hAnsi="Arial"/>
          <w:sz w:val="18"/>
          <w:szCs w:val="18"/>
          <w:color w:val="auto"/>
        </w:rPr>
        <w:t>Depreciation, amortization and gain or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from $57.8 million for the six months ended June 30, 2019 to $58.4 million for the same period in 2020. The increase is primarily due to the increased amortization expense resulting from the Pagatelia acquisition included in the six months ended June 30, 2020 with no comparable amount in the prior year.</w:t>
      </w:r>
    </w:p>
    <w:p>
      <w:pPr>
        <w:spacing w:after="0" w:line="214"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Impairment of Property and Equipment</w:t>
      </w:r>
      <w:r>
        <w:rPr>
          <w:rFonts w:ascii="Arial" w:cs="Arial" w:eastAsia="Arial" w:hAnsi="Arial"/>
          <w:sz w:val="18"/>
          <w:szCs w:val="18"/>
          <w:color w:val="auto"/>
        </w:rPr>
        <w:t>. Impairment of property and equipment for the six months ended June 30, 2019 includes a $5.9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charge as a result of legislation that banned most red-light photo enforcement programs in Texas on June 1, 2019, which was in the Government Solutions segment.</w:t>
      </w:r>
    </w:p>
    <w:p>
      <w:pPr>
        <w:spacing w:after="0" w:line="143"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$9.7 million from $31.7 million for the six months ended June 30,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$22.0 million for the same period in 2020. This decrease is primarily as a result of lower interest rates coupled with the refinancing of our First Lien Term Loan (as defined and discussed below) in February 2020, which reduced the applicable margin on the interest rate by 50 basis points. See “</w:t>
      </w:r>
      <w:r>
        <w:rPr>
          <w:rFonts w:ascii="Arial" w:cs="Arial" w:eastAsia="Arial" w:hAnsi="Arial"/>
          <w:sz w:val="18"/>
          <w:szCs w:val="18"/>
          <w:i w:val="1"/>
          <w:iCs w:val="1"/>
          <w:color w:val="auto"/>
        </w:rPr>
        <w:t>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w:t>
      </w:r>
      <w:r>
        <w:rPr>
          <w:rFonts w:ascii="Arial" w:cs="Arial" w:eastAsia="Arial" w:hAnsi="Arial"/>
          <w:sz w:val="18"/>
          <w:szCs w:val="18"/>
          <w:color w:val="auto"/>
        </w:rPr>
        <w:t>” below.</w:t>
      </w:r>
    </w:p>
    <w:p>
      <w:pPr>
        <w:spacing w:after="0" w:line="160"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Loss from Tax Receivable Agreement Adjustment</w:t>
      </w:r>
      <w:r>
        <w:rPr>
          <w:rFonts w:ascii="Arial" w:cs="Arial" w:eastAsia="Arial" w:hAnsi="Arial"/>
          <w:sz w:val="18"/>
          <w:szCs w:val="18"/>
          <w:color w:val="auto"/>
        </w:rPr>
        <w:t>. We recorded a $4.4 million charge to Loss from tax receivable agreement adjustment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2020. The adjustment reflects the impact of an increase to the Company’s deferred tax rate arising from higher estimated state tax rates due to a change in apportionment.</w:t>
      </w:r>
    </w:p>
    <w:p>
      <w:pPr>
        <w:spacing w:after="0" w:line="143" w:lineRule="exact"/>
        <w:rPr>
          <w:sz w:val="20"/>
          <w:szCs w:val="20"/>
          <w:color w:val="auto"/>
        </w:rPr>
      </w:pPr>
    </w:p>
    <w:p>
      <w:pPr>
        <w:jc w:val="both"/>
        <w:ind w:firstLine="802"/>
        <w:spacing w:after="0" w:line="301"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We pay a high volume of tolls on behalf of our customers with purchasing cards which generate rebates based on volume,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terms and rebate frequency. Other income, net was $4.4 million for the six months ended June 30, 2020, compared to $5.5 million for the six months ended June 30, 2019. This decrease of $1.1 million was primarily due to the decreased volume in purchasing card rebates from the decline in tolling activity beginning in March, as a result of COVID-19 impacting the rental car industry. We anticipate lower rebates for the remainder of 2020.</w:t>
      </w:r>
    </w:p>
    <w:p>
      <w:pPr>
        <w:spacing w:after="0" w:line="117"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Income Tax (Benefit) Provision. </w:t>
      </w:r>
      <w:r>
        <w:rPr>
          <w:rFonts w:ascii="Arial" w:cs="Arial" w:eastAsia="Arial" w:hAnsi="Arial"/>
          <w:sz w:val="18"/>
          <w:szCs w:val="18"/>
          <w:color w:val="auto"/>
        </w:rPr>
        <w:t>Income tax benefit was $(0.8) million representing an effective tax rate of (8.5) %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compared to a tax provision of $3.1 million, representing an effective tax rate of 32.3 % for the same period in 2019. The effective tax rate change was primarily due to lower pre-tax income in the current year, resulting in the Company’s permanent book and tax differences having a proportionately greater impact on the effective tax rate in the current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both"/>
        <w:ind w:firstLine="802"/>
        <w:spacing w:after="0" w:line="255" w:lineRule="auto"/>
        <w:rPr>
          <w:sz w:val="20"/>
          <w:szCs w:val="20"/>
          <w:color w:val="auto"/>
        </w:rPr>
      </w:pPr>
      <w:r>
        <w:rPr>
          <w:rFonts w:ascii="Arial" w:cs="Arial" w:eastAsia="Arial" w:hAnsi="Arial"/>
          <w:sz w:val="18"/>
          <w:szCs w:val="18"/>
          <w:i w:val="1"/>
          <w:iCs w:val="1"/>
          <w:color w:val="auto"/>
        </w:rPr>
        <w:t xml:space="preserve">Net (Loss) Income. </w:t>
      </w:r>
      <w:r>
        <w:rPr>
          <w:rFonts w:ascii="Arial" w:cs="Arial" w:eastAsia="Arial" w:hAnsi="Arial"/>
          <w:sz w:val="18"/>
          <w:szCs w:val="18"/>
          <w:color w:val="auto"/>
        </w:rPr>
        <w:t>We had a net loss of $(8.7) million for the six months ended June 30, 2020, as compared to net income of $6.4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2019. The change in net (loss) income was primarily due to the decline in revenue related to the impact of COVID-19 on RAC customers, credit loss expense related to the CECL standard, loss from tax receivable agreement adjustment, and increased cost related to product sales. These decreases to income were partially offset by growth in product sales revenue, decrease in interest expense, net from lower interest rates and refinancing of our First Lien Term Loan in February 2020, and due to the impairment on property and equipment in the prior year for which there is no comparable amount in the current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principal sources of liquidity are cash flow from operations and borrowings under our 2018 Credit Facilities (as defined below).</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have incurred significant long-term debt as a result of acquisitions completed in prior years.</w:t>
      </w:r>
    </w:p>
    <w:p>
      <w:pPr>
        <w:spacing w:after="0" w:line="198"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We believe that our existing cash and cash equivalents, cash flows provided by operating activities and our availability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borrowings on our Revolver, or equity financings, all of which may not be available to us on favorable terms or at all. See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37"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have the ability to borrow under our Revolver to meet obligations as they come due. As of June 30, 2020, we had $68.7 million available for borrowing, net of letters of credit, under our Revolver.</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sets forth certain captions indicated on our statements of cash flows for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340" w:type="dxa"/>
            <w:vAlign w:val="bottom"/>
            <w:vMerge w:val="restart"/>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434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3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22,543</w:t>
            </w:r>
          </w:p>
        </w:tc>
        <w:tc>
          <w:tcPr>
            <w:tcW w:w="3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45,781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(14,252)</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(14,178)</w:t>
            </w: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(25,501)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8"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Cash provided by operating activities decreased by $23.3 million, from $45.8 million for the six months ended June 30, 2019 to $22.5 million for the six months ended June 30, 2020. Net income year over year decreased by $15.1 million, from $6.4 million in 2019 to a net loss of $(8.7) million in 2020. The aggregate adjustments to net (loss) income increased $15.7 million mainly due to a $10.7 million credit loss expense related to the CECL accounting standard and the $4.4 million loss from tax receivable agreement adjustment. This was offset by an aggregate $23.8 million decrease in changes in operating assets and liabilities, which was driven primarily by an increase in accounts receivables due to collection delays on the accounts receivable associated with our fixed speed and bus lane camera product sales, combined with a decrease in accounts payable and accrued liabilities due to the payout of the 2019 bonus accrual with no accrual for fiscal 2020 and vendor payments for the fixed speed and bus lane cameras sold to a large Government Solutions customer.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Cash used in investing activities was $14.3 million and $14.2 million for the six months ended June 30, 2020 and 2019, respectively, which was related to purchases of installation and service parts and property and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5"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Cash used in financing activities was $25.5 million and $4.7 million for the six months ended June 30, 2020 and 2019, respectively. The cash used in financing activities in 2020 increased as a result of a $19.7 million mandatory prepayment of excess cash flows we made pursuant to the terms of the First Lien Term Loan (as defined below), and costs associated with refinancing the First Lien Term Loan in February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7"/>
          <w:szCs w:val="17"/>
          <w:color w:val="auto"/>
        </w:rPr>
        <w:t>In connection with an acquisition in 2018, VM Consolidated, Inc., a wholly-owned subsidiary, entered into a First Lien Term Loan Credit Agreement (the “</w:t>
      </w:r>
      <w:r>
        <w:rPr>
          <w:rFonts w:ascii="Arial" w:cs="Arial" w:eastAsia="Arial" w:hAnsi="Arial"/>
          <w:sz w:val="17"/>
          <w:szCs w:val="17"/>
          <w:b w:val="1"/>
          <w:bCs w:val="1"/>
          <w:i w:val="1"/>
          <w:iCs w:val="1"/>
          <w:color w:val="auto"/>
        </w:rPr>
        <w:t>First Lien Term Loan</w:t>
      </w:r>
      <w:r>
        <w:rPr>
          <w:rFonts w:ascii="Arial" w:cs="Arial" w:eastAsia="Arial" w:hAnsi="Arial"/>
          <w:sz w:val="17"/>
          <w:szCs w:val="17"/>
          <w:color w:val="auto"/>
        </w:rPr>
        <w:t>”), a Second Lien Term Loan Credit Agreement (the “</w:t>
      </w:r>
      <w:r>
        <w:rPr>
          <w:rFonts w:ascii="Arial" w:cs="Arial" w:eastAsia="Arial" w:hAnsi="Arial"/>
          <w:sz w:val="17"/>
          <w:szCs w:val="17"/>
          <w:b w:val="1"/>
          <w:bCs w:val="1"/>
          <w:i w:val="1"/>
          <w:iCs w:val="1"/>
          <w:color w:val="auto"/>
        </w:rPr>
        <w:t>Second Lien Term Loan</w:t>
      </w:r>
      <w:r>
        <w:rPr>
          <w:rFonts w:ascii="Arial" w:cs="Arial" w:eastAsia="Arial" w:hAnsi="Arial"/>
          <w:sz w:val="17"/>
          <w:szCs w:val="17"/>
          <w:color w:val="auto"/>
        </w:rPr>
        <w:t>,” and together with the First Lien Term Loan, the “</w:t>
      </w:r>
      <w:r>
        <w:rPr>
          <w:rFonts w:ascii="Arial" w:cs="Arial" w:eastAsia="Arial" w:hAnsi="Arial"/>
          <w:sz w:val="17"/>
          <w:szCs w:val="17"/>
          <w:b w:val="1"/>
          <w:bCs w:val="1"/>
          <w:i w:val="1"/>
          <w:iCs w:val="1"/>
          <w:color w:val="auto"/>
        </w:rPr>
        <w:t>Term Loans</w:t>
      </w:r>
      <w:r>
        <w:rPr>
          <w:rFonts w:ascii="Arial" w:cs="Arial" w:eastAsia="Arial" w:hAnsi="Arial"/>
          <w:sz w:val="17"/>
          <w:szCs w:val="17"/>
          <w:color w:val="auto"/>
        </w:rPr>
        <w:t>”) and a Revolving Credit Facility Agreement (the “</w:t>
      </w:r>
      <w:r>
        <w:rPr>
          <w:rFonts w:ascii="Arial" w:cs="Arial" w:eastAsia="Arial" w:hAnsi="Arial"/>
          <w:sz w:val="17"/>
          <w:szCs w:val="17"/>
          <w:b w:val="1"/>
          <w:bCs w:val="1"/>
          <w:i w:val="1"/>
          <w:iCs w:val="1"/>
          <w:color w:val="auto"/>
        </w:rPr>
        <w:t>Revolver</w:t>
      </w:r>
      <w:r>
        <w:rPr>
          <w:rFonts w:ascii="Arial" w:cs="Arial" w:eastAsia="Arial" w:hAnsi="Arial"/>
          <w:sz w:val="17"/>
          <w:szCs w:val="17"/>
          <w:color w:val="auto"/>
        </w:rPr>
        <w:t>,” and together with the Term Loans, the “</w:t>
      </w:r>
      <w:r>
        <w:rPr>
          <w:rFonts w:ascii="Arial" w:cs="Arial" w:eastAsia="Arial" w:hAnsi="Arial"/>
          <w:sz w:val="17"/>
          <w:szCs w:val="17"/>
          <w:b w:val="1"/>
          <w:bCs w:val="1"/>
          <w:i w:val="1"/>
          <w:iCs w:val="1"/>
          <w:color w:val="auto"/>
        </w:rPr>
        <w:t>2018 Credit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Facilities</w:t>
      </w:r>
      <w:r>
        <w:rPr>
          <w:rFonts w:ascii="Arial" w:cs="Arial" w:eastAsia="Arial" w:hAnsi="Arial"/>
          <w:sz w:val="17"/>
          <w:szCs w:val="17"/>
          <w:color w:val="auto"/>
        </w:rPr>
        <w:t>”) with a syndicate of lenders. The 2018 Credit Facilities initially provided for committed senior secured financing of $1.115 billion, consisting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 aggregate principal amount of $1.04 billion under the Term Loans and an aggregate revolving commitment of up to $75 million available for loans and letters of credit under the Revolver (subject to borrowing eligibility requirements as described below). In July 2018, we amended the First Lien Term Loan to expand the aggregate principal loan amount from $840 million to $910 million. The additional $70 million, along with funds contributed by Platinum Equity, LLC, were used to repay the $200 million Second Lien Term Loan in full contemporaneously with the closing of the Business Combination (see Note 1, </w:t>
      </w:r>
      <w:r>
        <w:rPr>
          <w:rFonts w:ascii="Arial" w:cs="Arial" w:eastAsia="Arial" w:hAnsi="Arial"/>
          <w:sz w:val="17"/>
          <w:szCs w:val="17"/>
          <w:i w:val="1"/>
          <w:iCs w:val="1"/>
          <w:color w:val="auto"/>
        </w:rPr>
        <w:t>Description of Business</w:t>
      </w:r>
      <w:r>
        <w:rPr>
          <w:rFonts w:ascii="Arial" w:cs="Arial" w:eastAsia="Arial" w:hAnsi="Arial"/>
          <w:sz w:val="17"/>
          <w:szCs w:val="17"/>
          <w:color w:val="auto"/>
        </w:rPr>
        <w:t>) on October 17, 2018.</w:t>
      </w:r>
    </w:p>
    <w:p>
      <w:pPr>
        <w:spacing w:after="0" w:line="154"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On February 20, 2020, we refinanced the entire outstanding amount under the First Lien Term Loan, which reduced the previous applicable interest rate by 50 basis points. The First Lien Term Loan now bears interest based, at our option, on either (1) LIBOR plus an applicable margin of 3.25% per annum, or (2) an alternate base rate plus an applicable margin of 2.25% per annum. The First Lien Term Loan is repayable at 1.0% per annum of the amount initially borrowed, paid in quarterly installments. The First Lien Term Loan matures on February 28, 2025. As of June 30, 2020, the interest rate on the First Lien Term Loan was 3.6%.</w:t>
      </w:r>
    </w:p>
    <w:p>
      <w:pPr>
        <w:spacing w:after="0" w:line="14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 addition, the First Lien Term Loan requires mandatory prepayments equal to the product of the excess cash flows of the Company (as defined in the loan agreement) and the applicable prepayment percentages (calculated as of the last day of the fiscal year, beginning with the year ending December 31, 2019), as set forth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8"/>
        </w:trPr>
        <w:tc>
          <w:tcPr>
            <w:tcW w:w="894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Consolidated first lien net leverage ratio (as defined by the First Lien Term Loan agreement)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8940" w:type="dxa"/>
            <w:vAlign w:val="bottom"/>
            <w:gridSpan w:val="6"/>
            <w:vMerge w:val="continue"/>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Arial" w:cs="Arial" w:eastAsia="Arial" w:hAnsi="Arial"/>
                <w:sz w:val="18"/>
                <w:szCs w:val="18"/>
                <w:color w:val="auto"/>
                <w:w w:val="92"/>
              </w:rPr>
              <w:t>&gt; 3.70:1.00</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4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20" w:type="dxa"/>
            <w:vAlign w:val="bottom"/>
            <w:gridSpan w:val="5"/>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&lt; 3.20:1.00</w:t>
            </w:r>
          </w:p>
        </w:tc>
        <w:tc>
          <w:tcPr>
            <w:tcW w:w="220" w:type="dxa"/>
            <w:vAlign w:val="bottom"/>
            <w:shd w:val="clear" w:color="auto" w:fill="CFF0FC"/>
          </w:tcPr>
          <w:p>
            <w:pPr>
              <w:spacing w:after="0"/>
              <w:rPr>
                <w:sz w:val="16"/>
                <w:szCs w:val="16"/>
                <w:color w:val="auto"/>
              </w:rPr>
            </w:pPr>
          </w:p>
        </w:tc>
        <w:tc>
          <w:tcPr>
            <w:tcW w:w="21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We made a $19.7 million mandatory prepayment of excess cash flow during the first quarter of fiscal 2020, which was classified as current portion of long-term debt in the condensed consolidated balance sheet at December 31, 2019.</w:t>
      </w:r>
    </w:p>
    <w:p>
      <w:pPr>
        <w:spacing w:after="0" w:line="130"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The Revolver matures on February 28, 2023. The terms of the Revolver were not affected by the refinancing of the First Lien Term Loan discussed above.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June 30, 2020, we had no outstanding borrowings on the Revolver and availability to borrow under the Revolver was $68.7 million, net of $6.3 million of outstanding letters of credit.</w:t>
      </w:r>
    </w:p>
    <w:p>
      <w:pPr>
        <w:spacing w:after="0" w:line="168"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we are also required to pay participation and fronting fees at 1.38% on $6.3 million in outstanding letters of credit as of June 30, 2020.</w:t>
      </w:r>
    </w:p>
    <w:p>
      <w:pPr>
        <w:spacing w:after="0" w:line="13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June 30, 2020, we were compliant with the 2018 Credit Facilities covenants. Substantially all of our assets are pledged as collateral to secure the Company’s indebtedness under the 2018 Credit Facilities.</w:t>
      </w:r>
    </w:p>
    <w:p>
      <w:pPr>
        <w:spacing w:after="0" w:line="14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We recorded interest expense, including amortization of deferred financing costs and discounts, of $9.5 million and $15.7 million for the three months ended June 30, 2020 and June 30, 2019, respectively, and $22.0 million and $31.7 million for the six months ended June 30, 2020 and 2019, respectively.</w:t>
      </w:r>
    </w:p>
    <w:p>
      <w:pPr>
        <w:spacing w:after="0" w:line="157"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 connection with the refinancing of the First Lien Term Loan in February 2020, which we determined was to be accounted for as a modification, we incurred $0.8 million of lender fees which were capitalized as deferred financing costs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amortized over the remaining life of the First Lien Term Loan, and $0.2 million of legal fees that were expensed as Selling, general and administrative expenses on the condensed consolidated statement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do not have any off-balance sheet arrangements as of June 30,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202"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generally accepted accounting principles in the United States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requires management to make estimates and assumptions that affect the amounts reported in the condensed consolidated financial statements and the accompanying notes. Significant items subject to such estimates and assumptions include the fair values assigned to net assets acquired (including identifiable intangibles) in business combinations, the carrying amounts of long-lived assets, goodwill and installation and service parts, the allowance for credit loss, valuation allowances on deferred tax assets, asset retirement obligations, contingent consideration and the recognition and measurement of loss contingencies. Management believes that its estimates and assumptions are reasonable in the circumstances; however, actual results could differ materially from those estimates.</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Refer to our 2019 Annual Report on Form 10-K for our critical accounting policies, estimates and judgments.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640" w:firstLine="802"/>
        <w:spacing w:after="0" w:line="453" w:lineRule="auto"/>
        <w:rPr>
          <w:sz w:val="20"/>
          <w:szCs w:val="20"/>
          <w:color w:val="auto"/>
        </w:rPr>
      </w:pPr>
      <w:r>
        <w:rPr>
          <w:rFonts w:ascii="Arial" w:cs="Arial" w:eastAsia="Arial" w:hAnsi="Arial"/>
          <w:sz w:val="18"/>
          <w:szCs w:val="18"/>
          <w:color w:val="auto"/>
        </w:rPr>
        <w:t xml:space="preserve">For a discussion of recent accounting pronouncements,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Item 1, Financial Statements. </w:t>
      </w:r>
      <w:r>
        <w:rPr>
          <w:rFonts w:ascii="Arial" w:cs="Arial" w:eastAsia="Arial" w:hAnsi="Arial"/>
          <w:sz w:val="18"/>
          <w:szCs w:val="18"/>
          <w:b w:val="1"/>
          <w:bCs w:val="1"/>
          <w:color w:val="auto"/>
        </w:rPr>
        <w:t>Item 3. Quantitative and Qualitative Disclosures About Market Risk</w:t>
      </w:r>
    </w:p>
    <w:p>
      <w:pPr>
        <w:spacing w:after="0" w:line="2"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are exposed to interest rate market risk due to the variable interest rate on the First Lien Term Loan described in “Item 2. Management’s Discussion and Analysis of Financial Condition and Results of Operations—</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43"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Interest rate risk represents our exposure to fluctuations in interest rates associated with the variable rate debt represented by the First Lien Term Loan, which has an outstanding balance of $870.2 million at June 30, 2020. We refinanced the First Lien Term Loan on February 20, 2020 which reduced the previous applicable margin by 50 basis points. The First Lien Term Loan now bears interest based, at our option, on either (1) LIBOR plus an applicable margin of 3.25% per annum, or (2) an alternate base rate plus an applicable margin of 2.25% per annum. At June 30, 2020, the interest rate on the First Lien Term Loan was 3.6%. Based on the June 30, 2020 balance outstanding, each 1% movement in interest rates will result in an approximately $8.7 million change in annual interest expense.</w:t>
      </w:r>
    </w:p>
    <w:p>
      <w:pPr>
        <w:spacing w:after="0" w:line="152"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have not engaged in any hedging activities during the six months ended June 30, 2020. We do not expect to engage in any hedging activities with respect to the market risk to which we are exposed.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June 30, 2020 and, based on their evaluation, have concluded the controls and procedures were not effective as of that date due to a material weakness in internal control over financial reporting that was disclosed in our Annual Report on Form 10-K for the year ended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or 15d-15(f) of the Exchange Act) that occurred during the quarter ended June 30, 2020 that have materially affected, or are reasonably likely to materially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w:t>
      </w:r>
    </w:p>
    <w:p>
      <w:pPr>
        <w:spacing w:after="0" w:line="185"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As previously described in Part II, Item 9A. “Controls and Procedures” in our Annual Report on Form 10-K for the year ended December 31, 2019, we began implementing a remediation plan to address the material weakness mentioned above. The weakness will not be considered remediated until the applicable controls operate for a sufficient period of time and management has concluded, through testing, that these controls are operating effectively. We expect that the remediation of this material weakness will be completed prior to the end of our 2020 fiscal year.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Part I, Item 1A. “Risk Factors” in our Annual Report on Form 10-K for the year ended December 31, 2019 includes a discussion of our risk factors. The information presented below supplements, and should be read in conjunction with, the risk factors and information disclosed in our Annual Report on Form 10-K. Except as presented below, there have been no material changes from the risk factors described in our Annual Report on Form 10-K. We may disclose changes to such risk factors or disclose additional risk factors from time to time in our future SEC filings.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results of operations may be adversely affected by the recent COVID-19 pandemic.</w:t>
      </w:r>
    </w:p>
    <w:p>
      <w:pPr>
        <w:spacing w:after="0" w:line="18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On March 11, 2020, the World Health Organization designated COVID-19 a pandemic. In the United States and abroad, many federal, state and local governments have instituted travel restrictions, stay-at-home orders, social distancing orders, and border closures in order to minimize the spread of the virus. COVID-19 has caused severe disruption to the global economy.</w:t>
      </w:r>
    </w:p>
    <w:p>
      <w:pPr>
        <w:spacing w:after="0" w:line="157"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7"/>
          <w:szCs w:val="17"/>
          <w:color w:val="auto"/>
        </w:rPr>
        <w:t>As a result of these restrictions, we have shifted most of our workforce to remote operations and have implemented changes in our physical locations to ensure social distancing. While we have not experienced any significant disruptions in our operations to date, these measures may result in decreases in productivity, an increased risk of information security breaches and delays in responses to our customers, which could harm customer relations and adversely impact our business. COVID-19 may also cause us to temporarily suspend or ultimately forego strategic acquisitions, business initiatives or expansions into new markets. Also, our existing customers may seek to terminate or renegotiate their contracts with us or seek pricing concessions as a result of changes in their business needs or financial condition. In addition, certain of our customers have reduced their operations during the pandemic, and government restrictions could further restrict our operations or result in supply chain interruptions. The measures implemented to contain COVID-19 have had, and we expect will continue to have, a significant negative effect on our business, financial condition, results of operations, cash flows and liquidity position, both in the near term and on a year-over-year basis.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affected our revenues from key customers in the rental car industry, on which our Commercial Services segment is dependent, and from photo enforcement programs in our Government Solutions segment.</w:t>
      </w:r>
    </w:p>
    <w:p>
      <w:pPr>
        <w:spacing w:after="0" w:line="197" w:lineRule="exact"/>
        <w:rPr>
          <w:sz w:val="20"/>
          <w:szCs w:val="20"/>
          <w:color w:val="auto"/>
        </w:rPr>
      </w:pPr>
    </w:p>
    <w:p>
      <w:pPr>
        <w:jc w:val="both"/>
        <w:ind w:firstLine="802"/>
        <w:spacing w:after="0" w:line="253" w:lineRule="auto"/>
        <w:rPr>
          <w:sz w:val="20"/>
          <w:szCs w:val="20"/>
          <w:color w:val="auto"/>
        </w:rPr>
      </w:pPr>
      <w:r>
        <w:rPr>
          <w:rFonts w:ascii="Arial" w:cs="Arial" w:eastAsia="Arial" w:hAnsi="Arial"/>
          <w:sz w:val="18"/>
          <w:szCs w:val="18"/>
          <w:color w:val="auto"/>
        </w:rPr>
        <w:t>Our Commercial Services segment is dependent on certain key customers, including those in the RAC industry, such as Hertz, Avis Budget Group, Inc. and Enterprise Holdings, Inc. COVID-19 continues to have a significant negative impact on the RAC industry. Reduced airline travel and widespread travel restrictions have resulted in declining customer demand and many RACs have responded by reducing fleet sizes. In addition, in May 2020, Hertz, one of our key Commercial Services customers, filed for bankruptcy protection under Chapter 11 of the U.S. Bankruptcy Code, as amended, in the United States Bankruptcy Court for the District of Delaware. The full extent and duration of COVID-19’s impact on the RAC industry and the financial health of our key RAC customers cannot be predicted at this time. However, we expect that if our RAC customers continue to experience adversity in their businesses or file for bankruptcy, they may delay or default on their payment commitments to us or request to modify or renegotiate pre-existing contractual commitments on terms that are less favorable to us, any of which could have a material adverse effect on our business, financial condition and results of operations.</w:t>
      </w:r>
    </w:p>
    <w:p>
      <w:pPr>
        <w:spacing w:after="0" w:line="156"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In our Government Solutions segment, school closures and reductions in vehicle traffic resulting from COVID-19 and the related containment measures have negatively impacted revenues. The COVID-19 pandemic is a highly fluid and rapidly evolving situation, and we cannot anticipate with any certainty the length, scope or severity of such impacts in the jurisdictions in which we operate. Moreover, any additional measures or changes in laws or regulations, whether in the United States or abroad, that further impair the ability or desire of individuals to gather or travel due to the risk of the spreading of COVID-19, including laws or regulations banning travel or requiring the closure of schools, may exacerbate the negative impact of the COVID-19 pandemic on our Government Solutions segment.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firstLine="802"/>
        <w:spacing w:after="0" w:line="263" w:lineRule="auto"/>
        <w:rPr>
          <w:sz w:val="20"/>
          <w:szCs w:val="20"/>
          <w:color w:val="auto"/>
        </w:rPr>
      </w:pPr>
      <w:r>
        <w:rPr>
          <w:rFonts w:ascii="Arial" w:cs="Arial" w:eastAsia="Arial" w:hAnsi="Arial"/>
          <w:sz w:val="18"/>
          <w:szCs w:val="18"/>
          <w:color w:val="auto"/>
        </w:rPr>
        <w:t>The full extent and duration of COVID-19’s impact on customers in our Commercial Services and Government Solutions segments, or the ways that COVID-19 may fundamentally alter the travel industry remains to be seen, and this ongoing impact could result in a material adverse impact on our business, financial condition, results of operations and cash flows, potentially for a prolonged period.</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Historical data regarding our business, results of operations, financial condition and liquidity may not reflect the impact of the COVID-19 pandemic and related containment measures and therefore does not purport to be representative of our future performance.</w:t>
      </w:r>
    </w:p>
    <w:p>
      <w:pPr>
        <w:spacing w:after="0" w:line="106"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The information included in this Quarterly Report on Form 10-Q and our other reports filed with the SEC includes information regarding our business, properties, results of operations, financial condition and liquidity as of dates and for periods before the impact of COVID-19 and related containment measures (including quarantines and governmental orders requiring the closure of certain businesses, limiting travel, requiring that individuals stay at home or shelter in place and closing borders). This historical information therefore may not reflect the adverse impacts of COVID-19 and the related containment measures. Accordingly, investors are cautioned not to unduly rely on historical information regarding our business, results of operations, financial condition or liquidity, as that data does not reflect the adverse impact of COVID-19 and therefore does not purport to be representative of the future results of operations, financial condition, liquidity or other financial or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95"/>
              </w:rPr>
              <w:t>Incorporated by Reference</w:t>
            </w:r>
          </w:p>
        </w:tc>
        <w:tc>
          <w:tcPr>
            <w:tcW w:w="1420" w:type="dxa"/>
            <w:vAlign w:val="bottom"/>
            <w:tcBorders>
              <w:bottom w:val="single" w:sz="8" w:color="auto"/>
            </w:tcBorders>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6"/>
        </w:trPr>
        <w:tc>
          <w:tcPr>
            <w:tcW w:w="9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3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w w:val="94"/>
              </w:rPr>
              <w:t>File No.</w:t>
            </w:r>
          </w:p>
        </w:tc>
        <w:tc>
          <w:tcPr>
            <w:tcW w:w="98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4"/>
              </w:rPr>
              <w:t>Exhibit</w:t>
            </w:r>
          </w:p>
        </w:tc>
        <w:tc>
          <w:tcPr>
            <w:tcW w:w="142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w w:val="94"/>
              </w:rPr>
              <w:t>Filing Date</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2"/>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940" w:type="dxa"/>
            <w:vAlign w:val="bottom"/>
            <w:vMerge w:val="restart"/>
          </w:tcPr>
          <w:p>
            <w:pPr>
              <w:spacing w:after="0"/>
              <w:rPr>
                <w:sz w:val="20"/>
                <w:szCs w:val="20"/>
                <w:color w:val="auto"/>
              </w:rPr>
            </w:pPr>
            <w:r>
              <w:rPr>
                <w:rFonts w:ascii="Arial" w:cs="Arial" w:eastAsia="Arial" w:hAnsi="Arial"/>
                <w:sz w:val="18"/>
                <w:szCs w:val="18"/>
                <w:color w:val="auto"/>
              </w:rPr>
              <w:t>2.1</w:t>
            </w:r>
          </w:p>
        </w:tc>
        <w:tc>
          <w:tcPr>
            <w:tcW w:w="4940" w:type="dxa"/>
            <w:vAlign w:val="bottom"/>
            <w:tcBorders>
              <w:bottom w:val="single" w:sz="8" w:color="0000EE"/>
            </w:tcBorders>
            <w:gridSpan w:val="5"/>
          </w:tcPr>
          <w:p>
            <w:pPr>
              <w:spacing w:after="0" w:line="169"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Merger Agreement, dated as of June 21, 2018, by and among Gores</w:t>
              </w:r>
            </w:hyperlink>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4"/>
              <w:spacing w:after="0" w:line="169" w:lineRule="exact"/>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line="169" w:lineRule="exact"/>
              <w:rPr>
                <w:sz w:val="20"/>
                <w:szCs w:val="20"/>
                <w:color w:val="auto"/>
              </w:rPr>
            </w:pPr>
            <w:r>
              <w:rPr>
                <w:rFonts w:ascii="Arial" w:cs="Arial" w:eastAsia="Arial" w:hAnsi="Arial"/>
                <w:sz w:val="18"/>
                <w:szCs w:val="18"/>
                <w:color w:val="auto"/>
                <w:w w:val="95"/>
              </w:rPr>
              <w:t>2.1</w:t>
            </w:r>
          </w:p>
        </w:tc>
        <w:tc>
          <w:tcPr>
            <w:tcW w:w="1420" w:type="dxa"/>
            <w:vAlign w:val="bottom"/>
          </w:tcPr>
          <w:p>
            <w:pPr>
              <w:jc w:val="center"/>
              <w:ind w:right="172"/>
              <w:spacing w:after="0" w:line="169" w:lineRule="exact"/>
              <w:rPr>
                <w:sz w:val="20"/>
                <w:szCs w:val="20"/>
                <w:color w:val="auto"/>
              </w:rPr>
            </w:pPr>
            <w:r>
              <w:rPr>
                <w:rFonts w:ascii="Arial" w:cs="Arial" w:eastAsia="Arial" w:hAnsi="Arial"/>
                <w:sz w:val="18"/>
                <w:szCs w:val="18"/>
                <w:color w:val="auto"/>
                <w:w w:val="87"/>
              </w:rPr>
              <w:t>June 21, 2018</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4940" w:type="dxa"/>
            <w:vAlign w:val="bottom"/>
            <w:gridSpan w:val="5"/>
            <w:vMerge w:val="restart"/>
          </w:tcPr>
          <w:p>
            <w:pPr>
              <w:spacing w:after="0" w:line="196"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Holdings II, Inc., AM Merger Sub I, Inc., AM Merger Sub II, LLC,</w:t>
              </w:r>
            </w:hyperlink>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4940" w:type="dxa"/>
            <w:vAlign w:val="bottom"/>
            <w:tcBorders>
              <w:bottom w:val="single" w:sz="8" w:color="0000EE"/>
            </w:tcBorders>
            <w:gridSpan w:val="5"/>
            <w:vMerge w:val="continue"/>
          </w:tcPr>
          <w:p>
            <w:pPr>
              <w:spacing w:after="0"/>
              <w:rPr>
                <w:sz w:val="8"/>
                <w:szCs w:val="8"/>
                <w:color w:val="auto"/>
              </w:rPr>
            </w:pPr>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r:id="rId68">
              <w:r>
                <w:rPr>
                  <w:rFonts w:ascii="Arial" w:cs="Arial" w:eastAsia="Arial" w:hAnsi="Arial"/>
                  <w:sz w:val="18"/>
                  <w:szCs w:val="18"/>
                  <w:color w:val="0000EE"/>
                  <w:w w:val="99"/>
                </w:rPr>
                <w:t>Greenlight Holding II Corporation and PE Greenlight Holdings,</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940" w:type="dxa"/>
            <w:vAlign w:val="bottom"/>
            <w:gridSpan w:val="5"/>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LLC, in its capacity as the Stockholder Representative.</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2.2</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5"/>
              </w:rPr>
            </w:pPr>
            <w:hyperlink r:id="rId69">
              <w:r>
                <w:rPr>
                  <w:rFonts w:ascii="Arial" w:cs="Arial" w:eastAsia="Arial" w:hAnsi="Arial"/>
                  <w:sz w:val="18"/>
                  <w:szCs w:val="18"/>
                  <w:color w:val="0000EE"/>
                  <w:w w:val="95"/>
                </w:rPr>
                <w:t>Amendment No. 1 to Agreement and Plan of Merger, dated as of</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2.2</w:t>
            </w:r>
          </w:p>
        </w:tc>
        <w:tc>
          <w:tcPr>
            <w:tcW w:w="1420" w:type="dxa"/>
            <w:vAlign w:val="bottom"/>
          </w:tcPr>
          <w:p>
            <w:pPr>
              <w:jc w:val="center"/>
              <w:ind w:right="192"/>
              <w:spacing w:after="0"/>
              <w:rPr>
                <w:sz w:val="20"/>
                <w:szCs w:val="20"/>
                <w:color w:val="auto"/>
              </w:rPr>
            </w:pPr>
            <w:r>
              <w:rPr>
                <w:rFonts w:ascii="Arial" w:cs="Arial" w:eastAsia="Arial" w:hAnsi="Arial"/>
                <w:sz w:val="18"/>
                <w:szCs w:val="18"/>
                <w:color w:val="auto"/>
                <w:w w:val="90"/>
              </w:rPr>
              <w:t>Aug. 24, 2018</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August 23, 2018, by and among Gores Holdings II, Inc., AM</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r:id="rId69">
              <w:r>
                <w:rPr>
                  <w:rFonts w:ascii="Arial" w:cs="Arial" w:eastAsia="Arial" w:hAnsi="Arial"/>
                  <w:sz w:val="18"/>
                  <w:szCs w:val="18"/>
                  <w:color w:val="0000EE"/>
                  <w:w w:val="96"/>
                </w:rPr>
                <w:t>Merger Sub I, Inc., AM Merger Sub II, LLC, Greenlight Holding II</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4940" w:type="dxa"/>
            <w:vAlign w:val="bottom"/>
            <w:gridSpan w:val="5"/>
          </w:tcPr>
          <w:p>
            <w:pPr>
              <w:spacing w:after="0"/>
              <w:rPr>
                <w:rFonts w:ascii="Arial" w:cs="Arial" w:eastAsia="Arial" w:hAnsi="Arial"/>
                <w:sz w:val="18"/>
                <w:szCs w:val="18"/>
                <w:u w:val="single" w:color="auto"/>
                <w:color w:val="0000EE"/>
                <w:w w:val="91"/>
              </w:rPr>
            </w:pPr>
            <w:hyperlink r:id="rId69">
              <w:r>
                <w:rPr>
                  <w:rFonts w:ascii="Arial" w:cs="Arial" w:eastAsia="Arial" w:hAnsi="Arial"/>
                  <w:sz w:val="18"/>
                  <w:szCs w:val="18"/>
                  <w:u w:val="single" w:color="auto"/>
                  <w:color w:val="0000EE"/>
                  <w:w w:val="91"/>
                </w:rPr>
                <w:t>Corporation and PE Greenlight Holdings, LLC, in its capacity as the</w:t>
              </w:r>
            </w:hyperlink>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940" w:type="dxa"/>
            <w:vAlign w:val="bottom"/>
            <w:gridSpan w:val="5"/>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Stockholder Representative.</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Second Amended and Restated Certificate of Incorporation of Verra</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3.1</w:t>
            </w:r>
          </w:p>
        </w:tc>
        <w:tc>
          <w:tcPr>
            <w:tcW w:w="1420" w:type="dxa"/>
            <w:vAlign w:val="bottom"/>
          </w:tcPr>
          <w:p>
            <w:pPr>
              <w:jc w:val="center"/>
              <w:ind w:right="192"/>
              <w:spacing w:after="0"/>
              <w:rPr>
                <w:sz w:val="20"/>
                <w:szCs w:val="20"/>
                <w:color w:val="auto"/>
              </w:rPr>
            </w:pPr>
            <w:r>
              <w:rPr>
                <w:rFonts w:ascii="Arial" w:cs="Arial" w:eastAsia="Arial" w:hAnsi="Arial"/>
                <w:sz w:val="18"/>
                <w:szCs w:val="18"/>
                <w:color w:val="auto"/>
                <w:w w:val="90"/>
              </w:rPr>
              <w:t>Oct. 22, 2018</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5"/>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Mobility Corporation.</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4940" w:type="dxa"/>
            <w:vAlign w:val="bottom"/>
            <w:gridSpan w:val="5"/>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Amended and Restated Bylaws of Verra Mobility Corporation.</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3.2</w:t>
            </w:r>
          </w:p>
        </w:tc>
        <w:tc>
          <w:tcPr>
            <w:tcW w:w="1420" w:type="dxa"/>
            <w:vAlign w:val="bottom"/>
          </w:tcPr>
          <w:p>
            <w:pPr>
              <w:jc w:val="center"/>
              <w:ind w:right="192"/>
              <w:spacing w:after="0"/>
              <w:rPr>
                <w:sz w:val="20"/>
                <w:szCs w:val="20"/>
                <w:color w:val="auto"/>
              </w:rPr>
            </w:pPr>
            <w:r>
              <w:rPr>
                <w:rFonts w:ascii="Arial" w:cs="Arial" w:eastAsia="Arial" w:hAnsi="Arial"/>
                <w:sz w:val="18"/>
                <w:szCs w:val="18"/>
                <w:color w:val="auto"/>
                <w:w w:val="90"/>
              </w:rPr>
              <w:t>Oct. 22, 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4940" w:type="dxa"/>
            <w:vAlign w:val="bottom"/>
            <w:gridSpan w:val="5"/>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Specimen Class A Common Stock Certificate.</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333-21503</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4.2</w:t>
            </w:r>
          </w:p>
        </w:tc>
        <w:tc>
          <w:tcPr>
            <w:tcW w:w="1420" w:type="dxa"/>
            <w:vAlign w:val="bottom"/>
          </w:tcPr>
          <w:p>
            <w:pPr>
              <w:jc w:val="center"/>
              <w:ind w:right="172"/>
              <w:spacing w:after="0"/>
              <w:rPr>
                <w:sz w:val="20"/>
                <w:szCs w:val="20"/>
                <w:color w:val="auto"/>
              </w:rPr>
            </w:pPr>
            <w:r>
              <w:rPr>
                <w:rFonts w:ascii="Arial" w:cs="Arial" w:eastAsia="Arial" w:hAnsi="Arial"/>
                <w:sz w:val="18"/>
                <w:szCs w:val="18"/>
                <w:color w:val="auto"/>
                <w:w w:val="90"/>
              </w:rPr>
              <w:t>Dec. 9, 2016</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4940" w:type="dxa"/>
            <w:vAlign w:val="bottom"/>
            <w:gridSpan w:val="5"/>
          </w:tcPr>
          <w:p>
            <w:pPr>
              <w:spacing w:after="0"/>
              <w:rPr>
                <w:rFonts w:ascii="Arial" w:cs="Arial" w:eastAsia="Arial" w:hAnsi="Arial"/>
                <w:sz w:val="18"/>
                <w:szCs w:val="18"/>
                <w:color w:val="0000EE"/>
              </w:rPr>
            </w:pPr>
            <w:hyperlink r:id="rId73">
              <w:r>
                <w:rPr>
                  <w:rFonts w:ascii="Arial" w:cs="Arial" w:eastAsia="Arial" w:hAnsi="Arial"/>
                  <w:sz w:val="18"/>
                  <w:szCs w:val="18"/>
                  <w:u w:val="single" w:color="auto"/>
                  <w:color w:val="0000EE"/>
                </w:rPr>
                <w:t>Specimen Warrant Certificate</w:t>
              </w:r>
              <w:r>
                <w:rPr>
                  <w:rFonts w:ascii="Arial" w:cs="Arial" w:eastAsia="Arial" w:hAnsi="Arial"/>
                  <w:sz w:val="18"/>
                  <w:szCs w:val="18"/>
                  <w:color w:val="0000EE"/>
                </w:rPr>
                <w:t>.</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333-21503</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4.3</w:t>
            </w:r>
          </w:p>
        </w:tc>
        <w:tc>
          <w:tcPr>
            <w:tcW w:w="1420" w:type="dxa"/>
            <w:vAlign w:val="bottom"/>
          </w:tcPr>
          <w:p>
            <w:pPr>
              <w:jc w:val="center"/>
              <w:ind w:right="172"/>
              <w:spacing w:after="0"/>
              <w:rPr>
                <w:sz w:val="20"/>
                <w:szCs w:val="20"/>
                <w:color w:val="auto"/>
              </w:rPr>
            </w:pPr>
            <w:r>
              <w:rPr>
                <w:rFonts w:ascii="Arial" w:cs="Arial" w:eastAsia="Arial" w:hAnsi="Arial"/>
                <w:sz w:val="18"/>
                <w:szCs w:val="18"/>
                <w:color w:val="auto"/>
                <w:w w:val="90"/>
              </w:rPr>
              <w:t>Dec. 9, 2016</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4940" w:type="dxa"/>
            <w:vAlign w:val="bottom"/>
            <w:tcBorders>
              <w:bottom w:val="single" w:sz="8" w:color="0000EE"/>
            </w:tcBorders>
            <w:gridSpan w:val="5"/>
          </w:tcPr>
          <w:p>
            <w:pPr>
              <w:spacing w:after="0"/>
              <w:rPr>
                <w:rFonts w:ascii="Arial" w:cs="Arial" w:eastAsia="Arial" w:hAnsi="Arial"/>
                <w:sz w:val="18"/>
                <w:szCs w:val="18"/>
                <w:color w:val="0000EE"/>
                <w:w w:val="89"/>
              </w:rPr>
            </w:pPr>
            <w:hyperlink r:id="rId74">
              <w:r>
                <w:rPr>
                  <w:rFonts w:ascii="Arial" w:cs="Arial" w:eastAsia="Arial" w:hAnsi="Arial"/>
                  <w:sz w:val="18"/>
                  <w:szCs w:val="18"/>
                  <w:color w:val="0000EE"/>
                  <w:w w:val="89"/>
                </w:rPr>
                <w:t>Warrant Agreement, dated January 12, 2017, between the Registrant</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4.1</w:t>
            </w:r>
          </w:p>
        </w:tc>
        <w:tc>
          <w:tcPr>
            <w:tcW w:w="1420" w:type="dxa"/>
            <w:vAlign w:val="bottom"/>
          </w:tcPr>
          <w:p>
            <w:pPr>
              <w:jc w:val="center"/>
              <w:ind w:right="172"/>
              <w:spacing w:after="0"/>
              <w:rPr>
                <w:sz w:val="20"/>
                <w:szCs w:val="20"/>
                <w:color w:val="auto"/>
              </w:rPr>
            </w:pPr>
            <w:r>
              <w:rPr>
                <w:rFonts w:ascii="Arial" w:cs="Arial" w:eastAsia="Arial" w:hAnsi="Arial"/>
                <w:sz w:val="18"/>
                <w:szCs w:val="18"/>
                <w:color w:val="auto"/>
                <w:w w:val="87"/>
              </w:rPr>
              <w:t>Jan. 19, 2017</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940" w:type="dxa"/>
            <w:vAlign w:val="bottom"/>
            <w:gridSpan w:val="5"/>
          </w:tcPr>
          <w:p>
            <w:pPr>
              <w:spacing w:after="0"/>
              <w:rPr>
                <w:rFonts w:ascii="Arial" w:cs="Arial" w:eastAsia="Arial" w:hAnsi="Arial"/>
                <w:sz w:val="18"/>
                <w:szCs w:val="18"/>
                <w:u w:val="single" w:color="auto"/>
                <w:color w:val="0000EE"/>
                <w:w w:val="90"/>
              </w:rPr>
            </w:pPr>
            <w:hyperlink r:id="rId74">
              <w:r>
                <w:rPr>
                  <w:rFonts w:ascii="Arial" w:cs="Arial" w:eastAsia="Arial" w:hAnsi="Arial"/>
                  <w:sz w:val="18"/>
                  <w:szCs w:val="18"/>
                  <w:u w:val="single" w:color="auto"/>
                  <w:color w:val="0000EE"/>
                  <w:w w:val="90"/>
                </w:rPr>
                <w:t>and Continental Stock Transfer &amp; Trust Company, as warrant agent.</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4.4</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4"/>
              </w:rPr>
            </w:pPr>
            <w:hyperlink r:id="rId75">
              <w:r>
                <w:rPr>
                  <w:rFonts w:ascii="Arial" w:cs="Arial" w:eastAsia="Arial" w:hAnsi="Arial"/>
                  <w:sz w:val="18"/>
                  <w:szCs w:val="18"/>
                  <w:color w:val="0000EE"/>
                  <w:w w:val="94"/>
                </w:rPr>
                <w:t>First Amendment to Warrant Agreement, dated January 15, 2020,</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4.4</w:t>
            </w:r>
          </w:p>
        </w:tc>
        <w:tc>
          <w:tcPr>
            <w:tcW w:w="1420" w:type="dxa"/>
            <w:vAlign w:val="bottom"/>
          </w:tcPr>
          <w:p>
            <w:pPr>
              <w:jc w:val="center"/>
              <w:ind w:right="192"/>
              <w:spacing w:after="0"/>
              <w:rPr>
                <w:sz w:val="20"/>
                <w:szCs w:val="20"/>
                <w:color w:val="auto"/>
              </w:rPr>
            </w:pPr>
            <w:r>
              <w:rPr>
                <w:rFonts w:ascii="Arial" w:cs="Arial" w:eastAsia="Arial" w:hAnsi="Arial"/>
                <w:sz w:val="18"/>
                <w:szCs w:val="18"/>
                <w:color w:val="auto"/>
                <w:w w:val="92"/>
              </w:rPr>
              <w:t>March 2, 2020</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r:id="rId75">
              <w:r>
                <w:rPr>
                  <w:rFonts w:ascii="Arial" w:cs="Arial" w:eastAsia="Arial" w:hAnsi="Arial"/>
                  <w:sz w:val="18"/>
                  <w:szCs w:val="18"/>
                  <w:color w:val="0000EE"/>
                  <w:w w:val="95"/>
                </w:rPr>
                <w:t>by and among the Registrant, Continental Stock Transfer &amp; Trust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940" w:type="dxa"/>
            <w:vAlign w:val="bottom"/>
            <w:gridSpan w:val="5"/>
          </w:tcPr>
          <w:p>
            <w:pPr>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Company and American Stock Transfer &amp; Trust Company.</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Certification  of  Principal  Executive  Officer  Pursuant  to  Rules</w:t>
              </w:r>
            </w:hyperlink>
          </w:p>
        </w:tc>
        <w:tc>
          <w:tcPr>
            <w:tcW w:w="10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as Adopted Pursuant to Section 302 of the Sarbanes-Oxley Act of</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2002.</w:t>
              </w:r>
            </w:hyperlink>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Certification  of  Principal  Financial  Officer  Pursuant  to  Rules</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as Adopted Pursuant to Section 302 of the Sarbanes-Oxley Act of</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8">
              <w:r>
                <w:rPr>
                  <w:rFonts w:ascii="Arial" w:cs="Arial" w:eastAsia="Arial" w:hAnsi="Arial"/>
                  <w:sz w:val="18"/>
                  <w:szCs w:val="18"/>
                  <w:color w:val="0000EE"/>
                  <w:w w:val="84"/>
                </w:rPr>
                <w:t>2002.</w:t>
              </w:r>
            </w:hyperlink>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4940" w:type="dxa"/>
            <w:vAlign w:val="bottom"/>
            <w:gridSpan w:val="5"/>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Certification of Principal Executive Officer Pursuant to 18 U.S.C.</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Section 1350, as Adopted Pursuant to Section 906 of the Sarbanes-</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Oxley Act of 2002.</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Certification of Principal Financial Officer Pursuant to 18 U.S.C.</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Section 1350, as Adopted Pursuant to Section 906 of the Sarbanes-</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Oxley Act of 2002.</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4940" w:type="dxa"/>
            <w:vAlign w:val="bottom"/>
            <w:gridSpan w:val="5"/>
          </w:tcPr>
          <w:p>
            <w:pPr>
              <w:spacing w:after="0"/>
              <w:rPr>
                <w:sz w:val="20"/>
                <w:szCs w:val="20"/>
                <w:color w:val="auto"/>
              </w:rPr>
            </w:pPr>
            <w:r>
              <w:rPr>
                <w:rFonts w:ascii="Arial" w:cs="Arial" w:eastAsia="Arial" w:hAnsi="Arial"/>
                <w:sz w:val="18"/>
                <w:szCs w:val="18"/>
                <w:color w:val="auto"/>
                <w:w w:val="95"/>
              </w:rPr>
              <w:t>Inline XBRL Instance Document (the instance does not appear in</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940" w:type="dxa"/>
            <w:vAlign w:val="bottom"/>
            <w:gridSpan w:val="5"/>
          </w:tcPr>
          <w:p>
            <w:pPr>
              <w:spacing w:after="0"/>
              <w:rPr>
                <w:sz w:val="20"/>
                <w:szCs w:val="20"/>
                <w:color w:val="auto"/>
              </w:rPr>
            </w:pPr>
            <w:r>
              <w:rPr>
                <w:rFonts w:ascii="Arial" w:cs="Arial" w:eastAsia="Arial" w:hAnsi="Arial"/>
                <w:sz w:val="18"/>
                <w:szCs w:val="18"/>
                <w:color w:val="auto"/>
                <w:w w:val="98"/>
              </w:rPr>
              <w:t>the Interactive Data File because its XBRL tags are embedded</w:t>
            </w: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94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494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3"/>
        </w:trPr>
        <w:tc>
          <w:tcPr>
            <w:tcW w:w="940" w:type="dxa"/>
            <w:vAlign w:val="bottom"/>
          </w:tcPr>
          <w:p>
            <w:pPr>
              <w:spacing w:after="0"/>
              <w:rPr>
                <w:sz w:val="24"/>
                <w:szCs w:val="24"/>
                <w:color w:val="auto"/>
              </w:rPr>
            </w:pPr>
          </w:p>
        </w:tc>
        <w:tc>
          <w:tcPr>
            <w:tcW w:w="4920" w:type="dxa"/>
            <w:vAlign w:val="bottom"/>
            <w:gridSpan w:val="4"/>
          </w:tcPr>
          <w:p>
            <w:pPr>
              <w:ind w:left="460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1"/>
        </w:trPr>
        <w:tc>
          <w:tcPr>
            <w:tcW w:w="8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50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1340" w:type="dxa"/>
            <w:vAlign w:val="bottom"/>
            <w:tcBorders>
              <w:bottom w:val="single" w:sz="8" w:color="auto"/>
            </w:tcBorders>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6"/>
        </w:trPr>
        <w:tc>
          <w:tcPr>
            <w:tcW w:w="840" w:type="dxa"/>
            <w:vAlign w:val="bottom"/>
            <w:vMerge w:val="continue"/>
          </w:tcPr>
          <w:p>
            <w:pPr>
              <w:spacing w:after="0"/>
              <w:rPr>
                <w:sz w:val="9"/>
                <w:szCs w:val="9"/>
                <w:color w:val="auto"/>
              </w:rPr>
            </w:pPr>
          </w:p>
        </w:tc>
        <w:tc>
          <w:tcPr>
            <w:tcW w:w="50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1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0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3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50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5040" w:type="dxa"/>
            <w:vAlign w:val="bottom"/>
          </w:tcPr>
          <w:p>
            <w:pPr>
              <w:ind w:left="100"/>
              <w:spacing w:after="0"/>
              <w:rPr>
                <w:sz w:val="20"/>
                <w:szCs w:val="20"/>
                <w:color w:val="auto"/>
              </w:rPr>
            </w:pPr>
            <w:r>
              <w:rPr>
                <w:rFonts w:ascii="Arial" w:cs="Arial" w:eastAsia="Arial" w:hAnsi="Arial"/>
                <w:sz w:val="18"/>
                <w:szCs w:val="18"/>
                <w:color w:val="auto"/>
                <w:w w:val="92"/>
              </w:rPr>
              <w:t>Inline XBRL Taxonomy Extension Calculation Linkbase Document.</w:t>
            </w: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5040" w:type="dxa"/>
            <w:vAlign w:val="bottom"/>
          </w:tcPr>
          <w:p>
            <w:pPr>
              <w:ind w:left="100"/>
              <w:spacing w:after="0"/>
              <w:rPr>
                <w:sz w:val="20"/>
                <w:szCs w:val="20"/>
                <w:color w:val="auto"/>
              </w:rPr>
            </w:pPr>
            <w:r>
              <w:rPr>
                <w:rFonts w:ascii="Arial" w:cs="Arial" w:eastAsia="Arial" w:hAnsi="Arial"/>
                <w:sz w:val="18"/>
                <w:szCs w:val="18"/>
                <w:color w:val="auto"/>
                <w:w w:val="95"/>
              </w:rPr>
              <w:t>Inline XBRL Taxonomy Extension Definition Linkbase Document.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5040" w:type="dxa"/>
            <w:vAlign w:val="bottom"/>
          </w:tcPr>
          <w:p>
            <w:pPr>
              <w:ind w:left="100"/>
              <w:spacing w:after="0"/>
              <w:rPr>
                <w:sz w:val="20"/>
                <w:szCs w:val="20"/>
                <w:color w:val="auto"/>
              </w:rPr>
            </w:pPr>
            <w:r>
              <w:rPr>
                <w:rFonts w:ascii="Arial" w:cs="Arial" w:eastAsia="Arial" w:hAnsi="Arial"/>
                <w:sz w:val="18"/>
                <w:szCs w:val="18"/>
                <w:color w:val="auto"/>
              </w:rPr>
              <w:t>Inline XBRL Taxonomy Extension Label Linkbase Document.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5040" w:type="dxa"/>
            <w:vAlign w:val="bottom"/>
          </w:tcPr>
          <w:p>
            <w:pPr>
              <w:ind w:left="100"/>
              <w:spacing w:after="0"/>
              <w:rPr>
                <w:sz w:val="20"/>
                <w:szCs w:val="20"/>
                <w:color w:val="auto"/>
              </w:rPr>
            </w:pPr>
            <w:r>
              <w:rPr>
                <w:rFonts w:ascii="Arial" w:cs="Arial" w:eastAsia="Arial" w:hAnsi="Arial"/>
                <w:sz w:val="18"/>
                <w:szCs w:val="18"/>
                <w:color w:val="auto"/>
              </w:rPr>
              <w:t>Inline  XBRL  Taxonomy  Extension  Presentation  Linkbase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Document.</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5040" w:type="dxa"/>
            <w:vAlign w:val="bottom"/>
          </w:tcPr>
          <w:p>
            <w:pPr>
              <w:ind w:left="100"/>
              <w:spacing w:after="0"/>
              <w:rPr>
                <w:sz w:val="20"/>
                <w:szCs w:val="20"/>
                <w:color w:val="auto"/>
              </w:rPr>
            </w:pPr>
            <w:r>
              <w:rPr>
                <w:rFonts w:ascii="Arial" w:cs="Arial" w:eastAsia="Arial" w:hAnsi="Arial"/>
                <w:sz w:val="18"/>
                <w:szCs w:val="18"/>
                <w:color w:val="auto"/>
              </w:rPr>
              <w:t>Cover Page Interactive Data File (embedded within the Inline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XBRL document)</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8"/>
        <w:spacing w:after="0" w:line="277" w:lineRule="auto"/>
        <w:tabs>
          <w:tab w:leader="none" w:pos="2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240"/>
              <w:spacing w:after="0"/>
              <w:rPr>
                <w:sz w:val="20"/>
                <w:szCs w:val="20"/>
                <w:color w:val="auto"/>
              </w:rPr>
            </w:pPr>
            <w:r>
              <w:rPr>
                <w:rFonts w:ascii="Arial" w:cs="Arial" w:eastAsia="Arial" w:hAnsi="Arial"/>
                <w:sz w:val="18"/>
                <w:szCs w:val="18"/>
                <w:color w:val="auto"/>
              </w:rPr>
              <w:t>VERRA MOBILITY CORPORATION</w:t>
            </w:r>
          </w:p>
        </w:tc>
      </w:tr>
      <w:tr>
        <w:trPr>
          <w:trHeight w:val="445"/>
        </w:trPr>
        <w:tc>
          <w:tcPr>
            <w:tcW w:w="3540" w:type="dxa"/>
            <w:vAlign w:val="bottom"/>
          </w:tcPr>
          <w:p>
            <w:pPr>
              <w:spacing w:after="0"/>
              <w:rPr>
                <w:sz w:val="20"/>
                <w:szCs w:val="20"/>
                <w:color w:val="auto"/>
              </w:rPr>
            </w:pPr>
            <w:r>
              <w:rPr>
                <w:rFonts w:ascii="Arial" w:cs="Arial" w:eastAsia="Arial" w:hAnsi="Arial"/>
                <w:sz w:val="18"/>
                <w:szCs w:val="18"/>
                <w:color w:val="auto"/>
              </w:rPr>
              <w:t>Date: August 6, 2020</w:t>
            </w:r>
          </w:p>
        </w:tc>
        <w:tc>
          <w:tcPr>
            <w:tcW w:w="2700" w:type="dxa"/>
            <w:vAlign w:val="bottom"/>
          </w:tcPr>
          <w:p>
            <w:pPr>
              <w:ind w:left="224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Roberts</w:t>
            </w:r>
          </w:p>
        </w:tc>
      </w:tr>
      <w:tr>
        <w:trPr>
          <w:trHeight w:val="195"/>
        </w:trPr>
        <w:tc>
          <w:tcPr>
            <w:tcW w:w="35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David Roberts</w:t>
            </w:r>
          </w:p>
        </w:tc>
      </w:tr>
      <w:tr>
        <w:trPr>
          <w:trHeight w:val="216"/>
        </w:trPr>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29"/>
        </w:trPr>
        <w:tc>
          <w:tcPr>
            <w:tcW w:w="3540" w:type="dxa"/>
            <w:vAlign w:val="bottom"/>
          </w:tcPr>
          <w:p>
            <w:pPr>
              <w:spacing w:after="0"/>
              <w:rPr>
                <w:sz w:val="24"/>
                <w:szCs w:val="24"/>
                <w:color w:val="auto"/>
              </w:rPr>
            </w:pPr>
          </w:p>
        </w:tc>
        <w:tc>
          <w:tcPr>
            <w:tcW w:w="2700" w:type="dxa"/>
            <w:vAlign w:val="bottom"/>
          </w:tcPr>
          <w:p>
            <w:pPr>
              <w:ind w:left="224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Chiodo</w:t>
            </w:r>
          </w:p>
        </w:tc>
      </w:tr>
      <w:tr>
        <w:trPr>
          <w:trHeight w:val="222"/>
        </w:trPr>
        <w:tc>
          <w:tcPr>
            <w:tcW w:w="35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Patricia Chiodo</w:t>
            </w:r>
          </w:p>
        </w:tc>
      </w:tr>
      <w:tr>
        <w:trPr>
          <w:trHeight w:val="216"/>
        </w:trPr>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91"/>
        </w:trPr>
        <w:tc>
          <w:tcPr>
            <w:tcW w:w="3540" w:type="dxa"/>
            <w:vAlign w:val="bottom"/>
          </w:tcPr>
          <w:p>
            <w:pPr>
              <w:spacing w:after="0"/>
              <w:rPr>
                <w:sz w:val="24"/>
                <w:szCs w:val="24"/>
                <w:color w:val="auto"/>
              </w:rPr>
            </w:pP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46</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David Roberts, certify that:</w:t>
      </w:r>
    </w:p>
    <w:p>
      <w:pPr>
        <w:spacing w:after="0" w:line="185" w:lineRule="exact"/>
        <w:rPr>
          <w:sz w:val="20"/>
          <w:szCs w:val="20"/>
          <w:color w:val="auto"/>
        </w:rPr>
      </w:pPr>
    </w:p>
    <w:p>
      <w:pPr>
        <w:ind w:left="560" w:hanging="55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60" w:hanging="552"/>
        <w:spacing w:after="0" w:line="263"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3" w:lineRule="exact"/>
        <w:rPr>
          <w:rFonts w:ascii="Arial" w:cs="Arial" w:eastAsia="Arial" w:hAnsi="Arial"/>
          <w:sz w:val="18"/>
          <w:szCs w:val="18"/>
          <w:color w:val="auto"/>
        </w:rPr>
      </w:pPr>
    </w:p>
    <w:p>
      <w:pPr>
        <w:ind w:left="560" w:hanging="552"/>
        <w:spacing w:after="0" w:line="342"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60" w:hanging="552"/>
        <w:spacing w:after="0" w:line="263"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57" w:lineRule="exact"/>
        <w:rPr>
          <w:rFonts w:ascii="Arial" w:cs="Arial" w:eastAsia="Arial" w:hAnsi="Arial"/>
          <w:sz w:val="17"/>
          <w:szCs w:val="17"/>
          <w:color w:val="auto"/>
        </w:rPr>
      </w:pPr>
    </w:p>
    <w:p>
      <w:pPr>
        <w:jc w:val="both"/>
        <w:ind w:left="1120" w:hanging="559"/>
        <w:spacing w:after="0" w:line="263"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560" w:right="20" w:hanging="552"/>
        <w:spacing w:after="0" w:line="308" w:lineRule="auto"/>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59"/>
        <w:spacing w:after="0" w:line="308" w:lineRule="auto"/>
        <w:tabs>
          <w:tab w:leader="none" w:pos="11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559"/>
        <w:spacing w:after="0" w:line="277"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Dated: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5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Patricia Chiodo, certify that:</w:t>
      </w:r>
    </w:p>
    <w:p>
      <w:pPr>
        <w:spacing w:after="0" w:line="185" w:lineRule="exact"/>
        <w:rPr>
          <w:sz w:val="20"/>
          <w:szCs w:val="20"/>
          <w:color w:val="auto"/>
        </w:rPr>
      </w:pPr>
    </w:p>
    <w:p>
      <w:pPr>
        <w:ind w:left="560" w:hanging="55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60" w:hanging="552"/>
        <w:spacing w:after="0" w:line="263"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3" w:lineRule="exact"/>
        <w:rPr>
          <w:rFonts w:ascii="Arial" w:cs="Arial" w:eastAsia="Arial" w:hAnsi="Arial"/>
          <w:sz w:val="18"/>
          <w:szCs w:val="18"/>
          <w:color w:val="auto"/>
        </w:rPr>
      </w:pPr>
    </w:p>
    <w:p>
      <w:pPr>
        <w:ind w:left="560" w:hanging="552"/>
        <w:spacing w:after="0" w:line="342"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60" w:hanging="552"/>
        <w:spacing w:after="0" w:line="263"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57" w:lineRule="exact"/>
        <w:rPr>
          <w:rFonts w:ascii="Arial" w:cs="Arial" w:eastAsia="Arial" w:hAnsi="Arial"/>
          <w:sz w:val="17"/>
          <w:szCs w:val="17"/>
          <w:color w:val="auto"/>
        </w:rPr>
      </w:pPr>
    </w:p>
    <w:p>
      <w:pPr>
        <w:jc w:val="both"/>
        <w:ind w:left="1120" w:hanging="559"/>
        <w:spacing w:after="0" w:line="263"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60" w:right="20" w:hanging="552"/>
        <w:spacing w:after="0" w:line="308" w:lineRule="auto"/>
        <w:tabs>
          <w:tab w:leader="none" w:pos="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59"/>
        <w:spacing w:after="0" w:line="308" w:lineRule="auto"/>
        <w:tabs>
          <w:tab w:leader="none" w:pos="11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559"/>
        <w:spacing w:after="0" w:line="277"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Dated: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Chiodo</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5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Verra Mobility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Form 10-Q for the period ended June 30, 2020 as filed with the Securities and Exchange Commission (the “</w:t>
      </w:r>
      <w:r>
        <w:rPr>
          <w:rFonts w:ascii="Arial" w:cs="Arial" w:eastAsia="Arial" w:hAnsi="Arial"/>
          <w:sz w:val="17"/>
          <w:szCs w:val="17"/>
          <w:b w:val="1"/>
          <w:bCs w:val="1"/>
          <w:i w:val="1"/>
          <w:iCs w:val="1"/>
          <w:color w:val="auto"/>
        </w:rPr>
        <w:t>Report</w:t>
      </w:r>
      <w:r>
        <w:rPr>
          <w:rFonts w:ascii="Arial" w:cs="Arial" w:eastAsia="Arial" w:hAnsi="Arial"/>
          <w:sz w:val="17"/>
          <w:szCs w:val="17"/>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57" w:lineRule="exact"/>
        <w:rPr>
          <w:sz w:val="20"/>
          <w:szCs w:val="20"/>
          <w:color w:val="auto"/>
        </w:rPr>
      </w:pPr>
    </w:p>
    <w:p>
      <w:pPr>
        <w:ind w:left="560" w:hanging="552"/>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 August 6, 2020</w:t>
      </w:r>
      <w:r>
        <w:rPr>
          <w:sz w:val="20"/>
          <w:szCs w:val="20"/>
          <w:color w:val="auto"/>
        </w:rPr>
        <w:tab/>
      </w:r>
      <w:r>
        <w:rPr>
          <w:rFonts w:ascii="Arial" w:cs="Arial" w:eastAsia="Arial" w:hAnsi="Arial"/>
          <w:sz w:val="16"/>
          <w:szCs w:val="16"/>
          <w:color w:val="auto"/>
        </w:rPr>
        <w:t>By:  /s/ David Roberts</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periodic report of Verra Mobility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10-Q for the period ended June 30, 2020 as filed with the Securities and Exchange Commission (the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I, Patricia Chiodo, Chief Financial Officer of the Company, hereby certify as of the date hereof, solely for purposes of Title 18, Chapter 63, Section 1350 of the United States Code, that to the best of my knowledge:</w:t>
      </w:r>
    </w:p>
    <w:p>
      <w:pPr>
        <w:spacing w:after="0" w:line="76"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 August 6, 2020</w:t>
      </w:r>
      <w:r>
        <w:rPr>
          <w:sz w:val="20"/>
          <w:szCs w:val="20"/>
          <w:color w:val="auto"/>
        </w:rPr>
        <w:tab/>
      </w:r>
      <w:r>
        <w:rPr>
          <w:rFonts w:ascii="Arial" w:cs="Arial" w:eastAsia="Arial" w:hAnsi="Arial"/>
          <w:sz w:val="16"/>
          <w:szCs w:val="16"/>
          <w:color w:val="auto"/>
        </w:rPr>
        <w:t>By:  /s/ Patricia Chiodo</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6"/>
    </w:lvl>
  </w:abstractNum>
  <w:abstractNum w:abstractNumId="10">
    <w:nsid w:val="41A7C4C9"/>
    <w:multiLevelType w:val="hybridMultilevel"/>
    <w:lvl w:ilvl="0">
      <w:lvlJc w:val="left"/>
      <w:lvlText w:val="%1."/>
      <w:numFmt w:val="decimal"/>
      <w:start w:val="7"/>
    </w:lvl>
  </w:abstractNum>
  <w:abstractNum w:abstractNumId="11">
    <w:nsid w:val="6B68079A"/>
    <w:multiLevelType w:val="hybridMultilevel"/>
    <w:lvl w:ilvl="0">
      <w:lvlJc w:val="left"/>
      <w:lvlText w:val="%1"/>
      <w:numFmt w:val="decimal"/>
      <w:start w:val="1"/>
    </w:lvl>
    <w:lvl w:ilvl="1">
      <w:lvlJc w:val="left"/>
      <w:lvlText w:val="(%2)"/>
      <w:numFmt w:val="decimal"/>
      <w:start w:val="1"/>
    </w:lvl>
  </w:abstractNum>
  <w:abstractNum w:abstractNumId="12">
    <w:nsid w:val="4E6AFB66"/>
    <w:multiLevelType w:val="hybridMultilevel"/>
    <w:lvl w:ilvl="0">
      <w:lvlJc w:val="left"/>
      <w:lvlText w:val="%1."/>
      <w:numFmt w:val="decimal"/>
      <w:start w:val="12"/>
    </w:lvl>
    <w:lvl w:ilvl="1">
      <w:lvlJc w:val="left"/>
      <w:lvlText w:val="%2"/>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68" Type="http://schemas.openxmlformats.org/officeDocument/2006/relationships/hyperlink" Target="http://www.sec.gov/Archives/edgar/data/0001682745/000110465918041476/a18-15692_1ex2d1.htm" TargetMode="External"/><Relationship Id="rId69" Type="http://schemas.openxmlformats.org/officeDocument/2006/relationships/hyperlink" Target="http://www.sec.gov/Archives/edgar/data/0001682745/000104746918005773/a2236552zex-2_2.htm" TargetMode="External"/><Relationship Id="rId70" Type="http://schemas.openxmlformats.org/officeDocument/2006/relationships/hyperlink" Target="http://www.sec.gov/Archives/edgar/data/0001682745/000156459018024644/vrrm-ex31_941.htm" TargetMode="External"/><Relationship Id="rId71" Type="http://schemas.openxmlformats.org/officeDocument/2006/relationships/hyperlink" Target="http://www.sec.gov/Archives/edgar/data/0001682745/000156459018024644/vrrm-ex32_939.htm" TargetMode="External"/><Relationship Id="rId72" Type="http://schemas.openxmlformats.org/officeDocument/2006/relationships/hyperlink" Target="http://www.sec.gov/Archives/edgar/data/0001682745/000104746916017126/a2230401zex-4_2.htm" TargetMode="External"/><Relationship Id="rId73" Type="http://schemas.openxmlformats.org/officeDocument/2006/relationships/hyperlink" Target="http://www.sec.gov/Archives/edgar/data/0001682745/000104746916017126/a2230401zex-4_3.htm" TargetMode="External"/><Relationship Id="rId74" Type="http://schemas.openxmlformats.org/officeDocument/2006/relationships/hyperlink" Target="http://www.sec.gov/Archives/edgar/data/0001682745/000110465917003086/a17-2559_1ex4d1.htm" TargetMode="External"/><Relationship Id="rId75" Type="http://schemas.openxmlformats.org/officeDocument/2006/relationships/hyperlink" Target="http://www.sec.gov/Archives/edgar/data/0001682745/000156459020008153/vrrm-ex44_2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2020-08-06T15:44:57Z</dcterms:created>
  <dcterms:modified xsi:type="dcterms:W3CDTF">2020-08-06T15:44:57Z</dcterms:modified>
</cp:coreProperties>
</file>